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750C" w14:textId="135CFD4E" w:rsidR="00A870EE" w:rsidRPr="00A870EE" w:rsidRDefault="00A870EE" w:rsidP="00E43023">
      <w:pPr>
        <w:pStyle w:val="Heading1"/>
        <w:shd w:val="clear" w:color="auto" w:fill="DBE5F1" w:themeFill="accent1" w:themeFillTint="33"/>
        <w:jc w:val="center"/>
      </w:pPr>
      <w:r w:rsidRPr="00A870EE">
        <w:t xml:space="preserve">Staff Report </w:t>
      </w:r>
      <w:r>
        <w:t>t</w:t>
      </w:r>
      <w:r w:rsidRPr="00A870EE">
        <w:t xml:space="preserve">o </w:t>
      </w:r>
      <w:r>
        <w:t>t</w:t>
      </w:r>
      <w:r w:rsidRPr="00A870EE">
        <w:t>he Public Health Council</w:t>
      </w:r>
      <w:r>
        <w:t xml:space="preserve"> </w:t>
      </w:r>
      <w:proofErr w:type="gramStart"/>
      <w:r w:rsidRPr="00A870EE">
        <w:t>For</w:t>
      </w:r>
      <w:proofErr w:type="gramEnd"/>
      <w:r w:rsidRPr="00A870EE">
        <w:t xml:space="preserve"> </w:t>
      </w:r>
      <w:r>
        <w:t>a</w:t>
      </w:r>
      <w:r w:rsidRPr="00A870EE">
        <w:t xml:space="preserve"> Determination </w:t>
      </w:r>
      <w:r w:rsidR="00CA3E95">
        <w:t>o</w:t>
      </w:r>
      <w:r w:rsidRPr="00A870EE">
        <w:t>f Need</w:t>
      </w:r>
    </w:p>
    <w:p w14:paraId="76C9C27F" w14:textId="77777777" w:rsidR="00900441" w:rsidRDefault="00A870EE" w:rsidP="00900441">
      <w:pPr>
        <w:tabs>
          <w:tab w:val="left" w:pos="4320"/>
        </w:tabs>
        <w:ind w:left="720"/>
        <w:rPr>
          <w:rFonts w:asciiTheme="minorHAnsi" w:hAnsiTheme="minorHAnsi"/>
        </w:rPr>
      </w:pPr>
      <w:r w:rsidRPr="005258A5">
        <w:rPr>
          <w:rFonts w:asciiTheme="minorHAnsi" w:hAnsiTheme="minorHAnsi"/>
          <w:color w:val="000000" w:themeColor="text1"/>
        </w:rPr>
        <w:t>Applicant Name</w:t>
      </w:r>
      <w:r>
        <w:rPr>
          <w:rFonts w:asciiTheme="minorHAnsi" w:hAnsiTheme="minorHAnsi"/>
          <w:color w:val="000000" w:themeColor="text1"/>
        </w:rPr>
        <w:t xml:space="preserve">: </w:t>
      </w:r>
      <w:r>
        <w:rPr>
          <w:rFonts w:asciiTheme="minorHAnsi" w:hAnsiTheme="minorHAnsi"/>
          <w:color w:val="000000" w:themeColor="text1"/>
        </w:rPr>
        <w:tab/>
      </w:r>
      <w:r w:rsidR="004F21D1">
        <w:rPr>
          <w:rFonts w:asciiTheme="minorHAnsi" w:hAnsiTheme="minorHAnsi"/>
        </w:rPr>
        <w:t>Beth Israel Lahey Health, Inc.</w:t>
      </w:r>
    </w:p>
    <w:p w14:paraId="52B727EC" w14:textId="67CBA856" w:rsidR="00A870EE" w:rsidRPr="00053178" w:rsidRDefault="00900441" w:rsidP="00053178">
      <w:pPr>
        <w:tabs>
          <w:tab w:val="left" w:pos="4320"/>
        </w:tabs>
        <w:ind w:left="720"/>
        <w:rPr>
          <w:rFonts w:asciiTheme="minorHAnsi" w:hAnsiTheme="minorHAnsi"/>
        </w:rPr>
      </w:pPr>
      <w:r w:rsidRPr="005258A5">
        <w:rPr>
          <w:rFonts w:asciiTheme="minorHAnsi" w:hAnsiTheme="minorHAnsi"/>
          <w:color w:val="000000" w:themeColor="text1"/>
        </w:rPr>
        <w:t>Applicant Address</w:t>
      </w:r>
      <w:proofErr w:type="gramStart"/>
      <w:r>
        <w:rPr>
          <w:rFonts w:asciiTheme="minorHAnsi" w:hAnsiTheme="minorHAnsi"/>
          <w:color w:val="000000" w:themeColor="text1"/>
        </w:rPr>
        <w:t xml:space="preserve">: </w:t>
      </w:r>
      <w:r>
        <w:rPr>
          <w:rFonts w:asciiTheme="minorHAnsi" w:hAnsiTheme="minorHAnsi"/>
          <w:color w:val="000000" w:themeColor="text1"/>
        </w:rPr>
        <w:tab/>
      </w:r>
      <w:r>
        <w:rPr>
          <w:rFonts w:asciiTheme="minorHAnsi" w:hAnsiTheme="minorHAnsi"/>
        </w:rPr>
        <w:t>20</w:t>
      </w:r>
      <w:proofErr w:type="gramEnd"/>
      <w:r>
        <w:rPr>
          <w:rFonts w:asciiTheme="minorHAnsi" w:hAnsiTheme="minorHAnsi"/>
        </w:rPr>
        <w:t xml:space="preserve"> University Road, Suite 700</w:t>
      </w:r>
      <w:r w:rsidR="00053178">
        <w:rPr>
          <w:rFonts w:asciiTheme="minorHAnsi" w:hAnsiTheme="minorHAnsi"/>
        </w:rPr>
        <w:t xml:space="preserve">, </w:t>
      </w:r>
      <w:r w:rsidR="00A870EE">
        <w:rPr>
          <w:rFonts w:asciiTheme="minorHAnsi" w:hAnsiTheme="minorHAnsi"/>
          <w:color w:val="000000" w:themeColor="text1"/>
        </w:rPr>
        <w:t>Quincy, MA 02169</w:t>
      </w:r>
    </w:p>
    <w:p w14:paraId="5783789A" w14:textId="777B4AFA" w:rsidR="00A870EE" w:rsidRDefault="00A870EE" w:rsidP="00A870EE">
      <w:pPr>
        <w:tabs>
          <w:tab w:val="left" w:pos="4320"/>
        </w:tabs>
        <w:ind w:left="720"/>
        <w:rPr>
          <w:rFonts w:asciiTheme="minorHAnsi" w:hAnsiTheme="minorHAnsi"/>
          <w:color w:val="000000" w:themeColor="text1"/>
        </w:rPr>
      </w:pPr>
      <w:r w:rsidRPr="006629AC">
        <w:rPr>
          <w:rFonts w:asciiTheme="minorHAnsi" w:hAnsiTheme="minorHAnsi"/>
          <w:color w:val="000000" w:themeColor="text1"/>
        </w:rPr>
        <w:t>Filing Date</w:t>
      </w:r>
      <w:proofErr w:type="gramStart"/>
      <w:r>
        <w:rPr>
          <w:rFonts w:asciiTheme="minorHAnsi" w:hAnsiTheme="minorHAnsi"/>
          <w:color w:val="000000" w:themeColor="text1"/>
        </w:rPr>
        <w:t xml:space="preserve">: </w:t>
      </w:r>
      <w:r>
        <w:rPr>
          <w:rFonts w:asciiTheme="minorHAnsi" w:hAnsiTheme="minorHAnsi"/>
          <w:color w:val="000000" w:themeColor="text1"/>
        </w:rPr>
        <w:tab/>
      </w:r>
      <w:r w:rsidR="00053178">
        <w:rPr>
          <w:rFonts w:asciiTheme="minorHAnsi" w:hAnsiTheme="minorHAnsi"/>
        </w:rPr>
        <w:t>December</w:t>
      </w:r>
      <w:proofErr w:type="gramEnd"/>
      <w:r w:rsidR="00053178">
        <w:rPr>
          <w:rFonts w:asciiTheme="minorHAnsi" w:hAnsiTheme="minorHAnsi"/>
        </w:rPr>
        <w:t xml:space="preserve"> 29, 2025</w:t>
      </w:r>
    </w:p>
    <w:p w14:paraId="69B68D0D" w14:textId="7F190D2A" w:rsidR="00A870EE" w:rsidRDefault="00A870EE" w:rsidP="00A870EE">
      <w:pPr>
        <w:tabs>
          <w:tab w:val="left" w:pos="4320"/>
        </w:tabs>
        <w:ind w:left="720"/>
        <w:rPr>
          <w:rFonts w:asciiTheme="minorHAnsi" w:hAnsiTheme="minorHAnsi"/>
          <w:color w:val="000000" w:themeColor="text1"/>
        </w:rPr>
      </w:pPr>
      <w:r w:rsidRPr="006A7299">
        <w:rPr>
          <w:rFonts w:asciiTheme="minorHAnsi" w:hAnsiTheme="minorHAnsi"/>
          <w:color w:val="000000" w:themeColor="text1"/>
        </w:rPr>
        <w:t xml:space="preserve">Type of </w:t>
      </w:r>
      <w:proofErr w:type="spellStart"/>
      <w:r w:rsidRPr="006A7299">
        <w:rPr>
          <w:rFonts w:asciiTheme="minorHAnsi" w:hAnsiTheme="minorHAnsi"/>
          <w:color w:val="000000" w:themeColor="text1"/>
        </w:rPr>
        <w:t>DoN</w:t>
      </w:r>
      <w:proofErr w:type="spellEnd"/>
      <w:r w:rsidRPr="006A7299">
        <w:rPr>
          <w:rFonts w:asciiTheme="minorHAnsi" w:hAnsiTheme="minorHAnsi"/>
          <w:color w:val="000000" w:themeColor="text1"/>
        </w:rPr>
        <w:t xml:space="preserve"> Application</w:t>
      </w:r>
      <w:r>
        <w:rPr>
          <w:rFonts w:asciiTheme="minorHAnsi" w:hAnsiTheme="minorHAnsi"/>
          <w:color w:val="000000" w:themeColor="text1"/>
        </w:rPr>
        <w:t xml:space="preserve">: </w:t>
      </w:r>
      <w:r>
        <w:rPr>
          <w:rFonts w:asciiTheme="minorHAnsi" w:hAnsiTheme="minorHAnsi"/>
          <w:color w:val="000000" w:themeColor="text1"/>
        </w:rPr>
        <w:tab/>
      </w:r>
      <w:r w:rsidR="00053178">
        <w:rPr>
          <w:rFonts w:asciiTheme="minorHAnsi" w:hAnsiTheme="minorHAnsi"/>
        </w:rPr>
        <w:t>Substantial Change in Service – Ambulatory Surgery</w:t>
      </w:r>
    </w:p>
    <w:p w14:paraId="1B4E1526" w14:textId="086B4407" w:rsidR="00A870EE" w:rsidRDefault="00A870EE" w:rsidP="00A870EE">
      <w:pPr>
        <w:tabs>
          <w:tab w:val="left" w:pos="4320"/>
        </w:tabs>
        <w:ind w:left="720"/>
        <w:rPr>
          <w:rFonts w:asciiTheme="minorHAnsi" w:hAnsiTheme="minorHAnsi"/>
          <w:color w:val="000000" w:themeColor="text1"/>
        </w:rPr>
      </w:pPr>
      <w:r w:rsidRPr="005258A5">
        <w:rPr>
          <w:rFonts w:asciiTheme="minorHAnsi" w:hAnsiTheme="minorHAnsi"/>
          <w:color w:val="000000" w:themeColor="text1"/>
        </w:rPr>
        <w:t>Total Value</w:t>
      </w:r>
      <w:proofErr w:type="gramStart"/>
      <w:r>
        <w:rPr>
          <w:rFonts w:asciiTheme="minorHAnsi" w:hAnsiTheme="minorHAnsi"/>
          <w:color w:val="000000" w:themeColor="text1"/>
        </w:rPr>
        <w:t xml:space="preserve">: </w:t>
      </w:r>
      <w:r>
        <w:rPr>
          <w:rFonts w:asciiTheme="minorHAnsi" w:hAnsiTheme="minorHAnsi"/>
          <w:color w:val="000000" w:themeColor="text1"/>
        </w:rPr>
        <w:tab/>
      </w:r>
      <w:r w:rsidR="00053178">
        <w:rPr>
          <w:rFonts w:asciiTheme="minorHAnsi" w:hAnsiTheme="minorHAnsi"/>
        </w:rPr>
        <w:t>$</w:t>
      </w:r>
      <w:proofErr w:type="gramEnd"/>
      <w:r w:rsidR="00053178">
        <w:rPr>
          <w:rFonts w:asciiTheme="minorHAnsi" w:hAnsiTheme="minorHAnsi"/>
        </w:rPr>
        <w:t>1,912,573.00</w:t>
      </w:r>
    </w:p>
    <w:p w14:paraId="1D8E1C16" w14:textId="61144C91" w:rsidR="00A870EE" w:rsidRDefault="00A870EE" w:rsidP="00A870EE">
      <w:pPr>
        <w:tabs>
          <w:tab w:val="left" w:pos="4320"/>
        </w:tabs>
        <w:ind w:left="720"/>
        <w:rPr>
          <w:rFonts w:asciiTheme="minorHAnsi" w:hAnsiTheme="minorHAnsi"/>
          <w:color w:val="000000" w:themeColor="text1"/>
          <w:spacing w:val="-2"/>
        </w:rPr>
      </w:pPr>
      <w:r w:rsidRPr="005258A5">
        <w:rPr>
          <w:rFonts w:asciiTheme="minorHAnsi" w:hAnsiTheme="minorHAnsi"/>
          <w:color w:val="000000" w:themeColor="text1"/>
        </w:rPr>
        <w:t>Project Number</w:t>
      </w:r>
      <w:proofErr w:type="gramStart"/>
      <w:r>
        <w:rPr>
          <w:rFonts w:asciiTheme="minorHAnsi" w:hAnsiTheme="minorHAnsi"/>
          <w:color w:val="000000" w:themeColor="text1"/>
        </w:rPr>
        <w:t xml:space="preserve">: </w:t>
      </w:r>
      <w:r>
        <w:rPr>
          <w:rFonts w:asciiTheme="minorHAnsi" w:hAnsiTheme="minorHAnsi"/>
          <w:color w:val="000000" w:themeColor="text1"/>
        </w:rPr>
        <w:tab/>
      </w:r>
      <w:r w:rsidR="00053178">
        <w:rPr>
          <w:rFonts w:asciiTheme="minorHAnsi" w:hAnsiTheme="minorHAnsi"/>
        </w:rPr>
        <w:t>BILH</w:t>
      </w:r>
      <w:proofErr w:type="gramEnd"/>
      <w:r w:rsidR="00053178">
        <w:rPr>
          <w:rFonts w:asciiTheme="minorHAnsi" w:hAnsiTheme="minorHAnsi"/>
        </w:rPr>
        <w:t>-25102211-AS</w:t>
      </w:r>
    </w:p>
    <w:p w14:paraId="6FD84431" w14:textId="7229AF13" w:rsidR="00A870EE" w:rsidRDefault="00A870EE" w:rsidP="00A870EE">
      <w:pPr>
        <w:tabs>
          <w:tab w:val="left" w:pos="4320"/>
        </w:tabs>
        <w:ind w:left="720"/>
        <w:rPr>
          <w:rFonts w:asciiTheme="minorHAnsi" w:hAnsiTheme="minorHAnsi"/>
          <w:color w:val="000000" w:themeColor="text1"/>
        </w:rPr>
      </w:pPr>
      <w:r w:rsidRPr="005258A5">
        <w:rPr>
          <w:rFonts w:asciiTheme="minorHAnsi" w:hAnsiTheme="minorHAnsi"/>
          <w:color w:val="000000" w:themeColor="text1"/>
        </w:rPr>
        <w:t>Ten Taxpayer Groups (TTG)</w:t>
      </w:r>
      <w:proofErr w:type="gramStart"/>
      <w:r>
        <w:rPr>
          <w:rFonts w:asciiTheme="minorHAnsi" w:hAnsiTheme="minorHAnsi"/>
          <w:color w:val="000000" w:themeColor="text1"/>
        </w:rPr>
        <w:t xml:space="preserve">: </w:t>
      </w:r>
      <w:r>
        <w:rPr>
          <w:rFonts w:asciiTheme="minorHAnsi" w:hAnsiTheme="minorHAnsi"/>
          <w:color w:val="000000" w:themeColor="text1"/>
        </w:rPr>
        <w:tab/>
      </w:r>
      <w:r w:rsidR="00053178">
        <w:rPr>
          <w:rFonts w:asciiTheme="minorHAnsi" w:hAnsiTheme="minorHAnsi"/>
        </w:rPr>
        <w:t>None</w:t>
      </w:r>
      <w:proofErr w:type="gramEnd"/>
      <w:r w:rsidR="00053178">
        <w:rPr>
          <w:rFonts w:asciiTheme="minorHAnsi" w:hAnsiTheme="minorHAnsi"/>
        </w:rPr>
        <w:t xml:space="preserve"> formed</w:t>
      </w:r>
    </w:p>
    <w:p w14:paraId="56BD0196" w14:textId="3449A2AC" w:rsidR="00A870EE" w:rsidRDefault="00A870EE" w:rsidP="00A870EE">
      <w:pPr>
        <w:tabs>
          <w:tab w:val="left" w:pos="4320"/>
        </w:tabs>
        <w:ind w:left="720"/>
        <w:rPr>
          <w:rFonts w:asciiTheme="minorHAnsi" w:hAnsiTheme="minorHAnsi"/>
          <w:color w:val="000000" w:themeColor="text1"/>
        </w:rPr>
      </w:pPr>
      <w:r w:rsidRPr="005258A5">
        <w:rPr>
          <w:rFonts w:asciiTheme="minorHAnsi" w:hAnsiTheme="minorHAnsi"/>
          <w:color w:val="000000" w:themeColor="text1"/>
        </w:rPr>
        <w:t>Community Health Initiative (CHI)</w:t>
      </w:r>
      <w:r>
        <w:rPr>
          <w:rFonts w:asciiTheme="minorHAnsi" w:hAnsiTheme="minorHAnsi"/>
          <w:color w:val="000000" w:themeColor="text1"/>
        </w:rPr>
        <w:t>:</w:t>
      </w:r>
      <w:r>
        <w:rPr>
          <w:rFonts w:asciiTheme="minorHAnsi" w:hAnsiTheme="minorHAnsi"/>
          <w:color w:val="000000" w:themeColor="text1"/>
        </w:rPr>
        <w:tab/>
      </w:r>
      <w:r w:rsidR="00053178">
        <w:rPr>
          <w:rFonts w:asciiTheme="minorHAnsi" w:hAnsiTheme="minorHAnsi"/>
        </w:rPr>
        <w:t>$95,628.65</w:t>
      </w:r>
    </w:p>
    <w:p w14:paraId="2BF2C603" w14:textId="21A13EA9" w:rsidR="00A870EE" w:rsidRDefault="00A870EE" w:rsidP="00A870EE">
      <w:pPr>
        <w:tabs>
          <w:tab w:val="left" w:pos="4320"/>
        </w:tabs>
        <w:ind w:left="720"/>
        <w:rPr>
          <w:rFonts w:asciiTheme="minorHAnsi" w:hAnsiTheme="minorHAnsi"/>
          <w:color w:val="000000" w:themeColor="text1"/>
        </w:rPr>
      </w:pPr>
      <w:r w:rsidRPr="005258A5">
        <w:rPr>
          <w:rFonts w:asciiTheme="minorHAnsi" w:hAnsiTheme="minorHAnsi"/>
          <w:color w:val="000000" w:themeColor="text1"/>
        </w:rPr>
        <w:t>Staff Recommendation</w:t>
      </w:r>
      <w:r>
        <w:rPr>
          <w:rFonts w:asciiTheme="minorHAnsi" w:hAnsiTheme="minorHAnsi"/>
          <w:color w:val="000000" w:themeColor="text1"/>
        </w:rPr>
        <w:t>:</w:t>
      </w:r>
      <w:r>
        <w:rPr>
          <w:rFonts w:asciiTheme="minorHAnsi" w:hAnsiTheme="minorHAnsi"/>
          <w:color w:val="000000" w:themeColor="text1"/>
        </w:rPr>
        <w:tab/>
      </w:r>
      <w:r w:rsidR="00053178">
        <w:rPr>
          <w:rFonts w:asciiTheme="minorHAnsi" w:hAnsiTheme="minorHAnsi"/>
        </w:rPr>
        <w:t xml:space="preserve">Approval </w:t>
      </w:r>
      <w:proofErr w:type="gramStart"/>
      <w:r w:rsidR="00053178">
        <w:rPr>
          <w:rFonts w:asciiTheme="minorHAnsi" w:hAnsiTheme="minorHAnsi"/>
        </w:rPr>
        <w:t>with</w:t>
      </w:r>
      <w:proofErr w:type="gramEnd"/>
      <w:r w:rsidR="00053178">
        <w:rPr>
          <w:rFonts w:asciiTheme="minorHAnsi" w:hAnsiTheme="minorHAnsi"/>
        </w:rPr>
        <w:t xml:space="preserve"> Conditions</w:t>
      </w:r>
    </w:p>
    <w:p w14:paraId="1BA337DC" w14:textId="6DB772A1" w:rsidR="00A870EE" w:rsidRDefault="00053178" w:rsidP="00A870EE">
      <w:pPr>
        <w:tabs>
          <w:tab w:val="left" w:pos="4320"/>
        </w:tabs>
        <w:ind w:left="720"/>
        <w:rPr>
          <w:rFonts w:asciiTheme="minorHAnsi" w:hAnsiTheme="minorHAnsi"/>
          <w:color w:val="000000" w:themeColor="text1"/>
        </w:rPr>
      </w:pPr>
      <w:r w:rsidRPr="00FD3A87">
        <w:rPr>
          <w:rFonts w:asciiTheme="minorHAnsi" w:hAnsiTheme="minorHAnsi"/>
        </w:rPr>
        <w:t>Public Health Council Meeting</w:t>
      </w:r>
      <w:r w:rsidR="00A870EE">
        <w:rPr>
          <w:rFonts w:asciiTheme="minorHAnsi" w:hAnsiTheme="minorHAnsi"/>
          <w:color w:val="000000" w:themeColor="text1"/>
        </w:rPr>
        <w:t>:</w:t>
      </w:r>
      <w:r w:rsidR="00A870EE">
        <w:rPr>
          <w:rFonts w:asciiTheme="minorHAnsi" w:hAnsiTheme="minorHAnsi"/>
          <w:color w:val="000000" w:themeColor="text1"/>
        </w:rPr>
        <w:tab/>
      </w:r>
      <w:r>
        <w:rPr>
          <w:rFonts w:asciiTheme="minorHAnsi" w:hAnsiTheme="minorHAnsi"/>
        </w:rPr>
        <w:t>May 13, 2026</w:t>
      </w:r>
    </w:p>
    <w:p w14:paraId="5CBD35BE" w14:textId="77777777" w:rsidR="004F21D1" w:rsidRDefault="004F21D1" w:rsidP="00A870EE">
      <w:pPr>
        <w:tabs>
          <w:tab w:val="left" w:pos="4320"/>
        </w:tabs>
        <w:ind w:left="720"/>
        <w:rPr>
          <w:rFonts w:asciiTheme="minorHAnsi" w:eastAsia="Calibri" w:hAnsiTheme="minorHAnsi"/>
          <w:b/>
          <w:color w:val="000000" w:themeColor="text1"/>
          <w:u w:val="single"/>
        </w:rPr>
      </w:pPr>
    </w:p>
    <w:p w14:paraId="50FF2146" w14:textId="77777777" w:rsidR="004F21D1" w:rsidRPr="00FD3A87" w:rsidRDefault="004F21D1" w:rsidP="004F21D1">
      <w:pPr>
        <w:spacing w:line="251" w:lineRule="exact"/>
        <w:jc w:val="center"/>
        <w:rPr>
          <w:rFonts w:asciiTheme="minorHAnsi" w:hAnsiTheme="minorHAnsi"/>
          <w:u w:val="single"/>
        </w:rPr>
      </w:pPr>
      <w:r w:rsidRPr="00FD3A87">
        <w:rPr>
          <w:rFonts w:asciiTheme="minorHAnsi" w:hAnsiTheme="minorHAnsi"/>
          <w:u w:val="single"/>
        </w:rPr>
        <w:t>Project Summary and Regulatory Review</w:t>
      </w:r>
    </w:p>
    <w:p w14:paraId="66AC59D0" w14:textId="3F9FC6BC" w:rsidR="004F21D1" w:rsidRDefault="00B719B2" w:rsidP="004F21D1">
      <w:pPr>
        <w:rPr>
          <w:rFonts w:asciiTheme="minorHAnsi" w:hAnsiTheme="minorHAnsi"/>
        </w:rPr>
      </w:pPr>
      <w:r w:rsidRPr="00390F6A">
        <w:rPr>
          <w:rFonts w:asciiTheme="minorHAnsi" w:hAnsiTheme="minorHAnsi"/>
        </w:rPr>
        <w:t xml:space="preserve"> </w:t>
      </w:r>
      <w:r w:rsidR="004F21D1" w:rsidRPr="00390F6A">
        <w:rPr>
          <w:rFonts w:asciiTheme="minorHAnsi" w:hAnsiTheme="minorHAnsi"/>
        </w:rPr>
        <w:t xml:space="preserve">Beth Israel Lahey Health, Inc. </w:t>
      </w:r>
      <w:r w:rsidR="004F21D1">
        <w:rPr>
          <w:rFonts w:asciiTheme="minorHAnsi" w:hAnsiTheme="minorHAnsi"/>
        </w:rPr>
        <w:t xml:space="preserve">(Applicant or BILH) </w:t>
      </w:r>
      <w:r w:rsidR="004F21D1" w:rsidRPr="006F6D19">
        <w:rPr>
          <w:rFonts w:asciiTheme="minorHAnsi" w:hAnsiTheme="minorHAnsi"/>
        </w:rPr>
        <w:t>filed a Determination of Need (</w:t>
      </w:r>
      <w:proofErr w:type="spellStart"/>
      <w:r w:rsidR="004F21D1" w:rsidRPr="006F6D19">
        <w:rPr>
          <w:rFonts w:asciiTheme="minorHAnsi" w:hAnsiTheme="minorHAnsi"/>
        </w:rPr>
        <w:t>DoN</w:t>
      </w:r>
      <w:proofErr w:type="spellEnd"/>
      <w:r w:rsidR="004F21D1" w:rsidRPr="006F6D19">
        <w:rPr>
          <w:rFonts w:asciiTheme="minorHAnsi" w:hAnsiTheme="minorHAnsi"/>
        </w:rPr>
        <w:t xml:space="preserve">) application </w:t>
      </w:r>
      <w:r w:rsidR="004F21D1">
        <w:rPr>
          <w:rFonts w:asciiTheme="minorHAnsi" w:hAnsiTheme="minorHAnsi"/>
        </w:rPr>
        <w:t xml:space="preserve">with the Department of Public Health (Department) on behalf of Winchester Hospital (the Hospital) </w:t>
      </w:r>
      <w:r w:rsidR="004F21D1" w:rsidRPr="006F6D19">
        <w:rPr>
          <w:rFonts w:asciiTheme="minorHAnsi" w:hAnsiTheme="minorHAnsi"/>
        </w:rPr>
        <w:t xml:space="preserve">to </w:t>
      </w:r>
      <w:r w:rsidR="004F21D1">
        <w:rPr>
          <w:rFonts w:asciiTheme="minorHAnsi" w:hAnsiTheme="minorHAnsi"/>
        </w:rPr>
        <w:t>expand</w:t>
      </w:r>
      <w:r w:rsidR="004F21D1" w:rsidRPr="006F6D19">
        <w:rPr>
          <w:rFonts w:asciiTheme="minorHAnsi" w:hAnsiTheme="minorHAnsi"/>
        </w:rPr>
        <w:t xml:space="preserve"> </w:t>
      </w:r>
      <w:r w:rsidR="004F21D1">
        <w:rPr>
          <w:rFonts w:asciiTheme="minorHAnsi" w:hAnsiTheme="minorHAnsi"/>
        </w:rPr>
        <w:t>services at Winchester Hospital’s satellite</w:t>
      </w:r>
      <w:r w:rsidR="004F21D1" w:rsidRPr="69133796">
        <w:rPr>
          <w:rFonts w:asciiTheme="minorHAnsi" w:hAnsiTheme="minorHAnsi"/>
        </w:rPr>
        <w:t xml:space="preserve"> (an outpatient department of Winchester Hospital, or HOPD),</w:t>
      </w:r>
      <w:r w:rsidR="004F21D1">
        <w:rPr>
          <w:rFonts w:asciiTheme="minorHAnsi" w:hAnsiTheme="minorHAnsi"/>
        </w:rPr>
        <w:t xml:space="preserve"> Winchester Hospital Endoscopy Center (the Center), located at 10P Commerce Way, Woburn, MA. The Applicant is </w:t>
      </w:r>
      <w:r w:rsidR="004F21D1" w:rsidRPr="006F6D19">
        <w:rPr>
          <w:rFonts w:asciiTheme="minorHAnsi" w:hAnsiTheme="minorHAnsi"/>
        </w:rPr>
        <w:t>proposing to increase the number of</w:t>
      </w:r>
      <w:r w:rsidR="004F21D1">
        <w:rPr>
          <w:rFonts w:asciiTheme="minorHAnsi" w:hAnsiTheme="minorHAnsi"/>
        </w:rPr>
        <w:t xml:space="preserve"> endoscopy</w:t>
      </w:r>
      <w:r w:rsidR="004F21D1" w:rsidRPr="006F6D19">
        <w:rPr>
          <w:rFonts w:asciiTheme="minorHAnsi" w:hAnsiTheme="minorHAnsi"/>
        </w:rPr>
        <w:t xml:space="preserve"> </w:t>
      </w:r>
      <w:r w:rsidR="004F21D1">
        <w:rPr>
          <w:rFonts w:asciiTheme="minorHAnsi" w:hAnsiTheme="minorHAnsi"/>
        </w:rPr>
        <w:t>procedure</w:t>
      </w:r>
      <w:r w:rsidR="004F21D1" w:rsidRPr="006F6D19">
        <w:rPr>
          <w:rFonts w:asciiTheme="minorHAnsi" w:hAnsiTheme="minorHAnsi"/>
        </w:rPr>
        <w:t xml:space="preserve"> rooms from </w:t>
      </w:r>
      <w:r w:rsidR="004F21D1">
        <w:rPr>
          <w:rFonts w:asciiTheme="minorHAnsi" w:hAnsiTheme="minorHAnsi"/>
        </w:rPr>
        <w:t xml:space="preserve">five to eight and to increase the number of endoscopy pre/post procedure bays from 15 to 22 at the Center </w:t>
      </w:r>
      <w:r w:rsidR="004F21D1" w:rsidRPr="00D4438B">
        <w:rPr>
          <w:rFonts w:asciiTheme="minorHAnsi" w:hAnsiTheme="minorHAnsi"/>
        </w:rPr>
        <w:t>(Proposed Project)</w:t>
      </w:r>
      <w:r w:rsidR="004F21D1" w:rsidRPr="006F6D19">
        <w:rPr>
          <w:rFonts w:asciiTheme="minorHAnsi" w:hAnsiTheme="minorHAnsi"/>
        </w:rPr>
        <w:t xml:space="preserve">. The total value for the Proposed Project is </w:t>
      </w:r>
      <w:r w:rsidR="004F21D1" w:rsidRPr="00650511">
        <w:rPr>
          <w:rFonts w:asciiTheme="minorHAnsi" w:hAnsiTheme="minorHAnsi"/>
        </w:rPr>
        <w:t>$1,912,573.00</w:t>
      </w:r>
      <w:r w:rsidR="004F21D1" w:rsidRPr="006F6D19">
        <w:rPr>
          <w:rFonts w:asciiTheme="minorHAnsi" w:hAnsiTheme="minorHAnsi"/>
        </w:rPr>
        <w:t xml:space="preserve">. The Community Health Initiative (CHI) contribution is </w:t>
      </w:r>
      <w:r w:rsidR="004F21D1" w:rsidRPr="00650511">
        <w:rPr>
          <w:rFonts w:asciiTheme="minorHAnsi" w:hAnsiTheme="minorHAnsi"/>
        </w:rPr>
        <w:t>$95,628.65</w:t>
      </w:r>
      <w:r w:rsidR="004F21D1" w:rsidRPr="006F6D19">
        <w:rPr>
          <w:rFonts w:asciiTheme="minorHAnsi" w:hAnsiTheme="minorHAnsi"/>
        </w:rPr>
        <w:t>.</w:t>
      </w:r>
    </w:p>
    <w:p w14:paraId="4A37118F" w14:textId="77777777" w:rsidR="00D42E15" w:rsidRDefault="00D42E15" w:rsidP="004F21D1">
      <w:pPr>
        <w:rPr>
          <w:rFonts w:asciiTheme="minorHAnsi" w:hAnsiTheme="minorHAnsi"/>
        </w:rPr>
      </w:pPr>
    </w:p>
    <w:p w14:paraId="1BBB673E" w14:textId="77777777" w:rsidR="00D42E15" w:rsidRDefault="00D42E15" w:rsidP="00D42E15">
      <w:pPr>
        <w:rPr>
          <w:rFonts w:asciiTheme="minorHAnsi" w:hAnsiTheme="minorHAnsi"/>
        </w:rPr>
      </w:pPr>
      <w:r w:rsidRPr="138EB02A">
        <w:rPr>
          <w:rFonts w:asciiTheme="minorHAnsi" w:hAnsiTheme="minorHAnsi"/>
        </w:rPr>
        <w:t xml:space="preserve">This </w:t>
      </w:r>
      <w:proofErr w:type="spellStart"/>
      <w:r w:rsidRPr="138EB02A">
        <w:rPr>
          <w:rFonts w:asciiTheme="minorHAnsi" w:hAnsiTheme="minorHAnsi"/>
        </w:rPr>
        <w:t>DoN</w:t>
      </w:r>
      <w:proofErr w:type="spellEnd"/>
      <w:r w:rsidRPr="138EB02A">
        <w:rPr>
          <w:rFonts w:asciiTheme="minorHAnsi" w:hAnsiTheme="minorHAnsi"/>
        </w:rPr>
        <w:t xml:space="preserve"> Application falls within the definition of Ambulatory Surgery, which is reviewed under the </w:t>
      </w:r>
      <w:proofErr w:type="spellStart"/>
      <w:r w:rsidRPr="138EB02A">
        <w:rPr>
          <w:rFonts w:asciiTheme="minorHAnsi" w:hAnsiTheme="minorHAnsi"/>
        </w:rPr>
        <w:t>DoN</w:t>
      </w:r>
      <w:proofErr w:type="spellEnd"/>
      <w:r w:rsidRPr="138EB02A">
        <w:rPr>
          <w:rFonts w:asciiTheme="minorHAnsi" w:hAnsiTheme="minorHAnsi"/>
        </w:rPr>
        <w:t xml:space="preserve"> </w:t>
      </w:r>
      <w:proofErr w:type="gramStart"/>
      <w:r w:rsidRPr="138EB02A">
        <w:rPr>
          <w:rFonts w:asciiTheme="minorHAnsi" w:hAnsiTheme="minorHAnsi"/>
        </w:rPr>
        <w:t>regulation</w:t>
      </w:r>
      <w:proofErr w:type="gramEnd"/>
      <w:r w:rsidRPr="138EB02A">
        <w:rPr>
          <w:rFonts w:asciiTheme="minorHAnsi" w:hAnsiTheme="minorHAnsi"/>
        </w:rPr>
        <w:t xml:space="preserve"> 105 CMR 100.000. The Department must determine that need exists for a Proposed Project, </w:t>
      </w:r>
      <w:proofErr w:type="gramStart"/>
      <w:r w:rsidRPr="138EB02A">
        <w:rPr>
          <w:rFonts w:asciiTheme="minorHAnsi" w:hAnsiTheme="minorHAnsi"/>
        </w:rPr>
        <w:t>on the basis of</w:t>
      </w:r>
      <w:proofErr w:type="gramEnd"/>
      <w:r w:rsidRPr="138EB02A">
        <w:rPr>
          <w:rFonts w:asciiTheme="minorHAnsi" w:hAnsiTheme="minorHAnsi"/>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060A4FD6" w14:textId="77777777" w:rsidR="004F21D1" w:rsidRDefault="004F21D1" w:rsidP="004F21D1">
      <w:pPr>
        <w:rPr>
          <w:rFonts w:asciiTheme="minorHAnsi" w:hAnsiTheme="minorHAnsi"/>
        </w:rPr>
      </w:pPr>
    </w:p>
    <w:p w14:paraId="6CBC7A19" w14:textId="2E8E6B1D" w:rsidR="004F21D1" w:rsidRPr="00FD3A87" w:rsidRDefault="004F21D1" w:rsidP="004F21D1">
      <w:pPr>
        <w:rPr>
          <w:rFonts w:asciiTheme="minorHAnsi" w:hAnsiTheme="minorHAnsi"/>
        </w:rPr>
      </w:pPr>
      <w:r w:rsidRPr="00255FC7">
        <w:rPr>
          <w:rFonts w:asciiTheme="minorHAnsi" w:hAnsiTheme="minorHAnsi"/>
        </w:rPr>
        <w:t xml:space="preserve">The Department did not receive any public comments on this </w:t>
      </w:r>
      <w:proofErr w:type="spellStart"/>
      <w:r w:rsidRPr="00255FC7">
        <w:rPr>
          <w:rFonts w:asciiTheme="minorHAnsi" w:hAnsiTheme="minorHAnsi"/>
        </w:rPr>
        <w:t>DoN</w:t>
      </w:r>
      <w:proofErr w:type="spellEnd"/>
      <w:r w:rsidRPr="00255FC7">
        <w:rPr>
          <w:rFonts w:asciiTheme="minorHAnsi" w:hAnsiTheme="minorHAnsi"/>
        </w:rPr>
        <w:t xml:space="preserve"> application, nor did any Ten Taxpayer Groups (TTGs) form in connection with this </w:t>
      </w:r>
      <w:proofErr w:type="spellStart"/>
      <w:r w:rsidRPr="00255FC7">
        <w:rPr>
          <w:rFonts w:asciiTheme="minorHAnsi" w:hAnsiTheme="minorHAnsi"/>
        </w:rPr>
        <w:t>DoN</w:t>
      </w:r>
      <w:proofErr w:type="spellEnd"/>
      <w:r w:rsidRPr="00255FC7">
        <w:rPr>
          <w:rFonts w:asciiTheme="minorHAnsi" w:hAnsiTheme="minorHAnsi"/>
        </w:rPr>
        <w:t xml:space="preserve"> application.</w:t>
      </w:r>
    </w:p>
    <w:p w14:paraId="11ACF5BF" w14:textId="77777777" w:rsidR="00A870EE" w:rsidRDefault="00A870EE" w:rsidP="00A870EE">
      <w:pPr>
        <w:tabs>
          <w:tab w:val="left" w:pos="2417"/>
        </w:tabs>
        <w:rPr>
          <w:rFonts w:asciiTheme="minorHAnsi" w:hAnsiTheme="minorHAnsi"/>
        </w:rPr>
      </w:pPr>
    </w:p>
    <w:p w14:paraId="4AF4C98A" w14:textId="0E67BF0F" w:rsidR="00053178" w:rsidRPr="00A870EE" w:rsidRDefault="00053178" w:rsidP="00A870EE">
      <w:pPr>
        <w:tabs>
          <w:tab w:val="left" w:pos="2417"/>
        </w:tabs>
        <w:rPr>
          <w:rFonts w:asciiTheme="minorHAnsi" w:hAnsiTheme="minorHAnsi"/>
        </w:rPr>
        <w:sectPr w:rsidR="00053178" w:rsidRPr="00A870EE" w:rsidSect="004C1B7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EastAsia" w:hAnsiTheme="minorHAnsi" w:cstheme="minorBidi"/>
          <w:b/>
          <w:bCs/>
          <w:sz w:val="24"/>
          <w:szCs w:val="24"/>
          <w:lang w:bidi="ar-SA"/>
        </w:rPr>
      </w:sdtEndPr>
      <w:sdtContent>
        <w:p w14:paraId="7AAE295D" w14:textId="53B6C1CD" w:rsidR="008650F2" w:rsidRDefault="008650F2">
          <w:pPr>
            <w:pStyle w:val="TOCHeading"/>
          </w:pPr>
          <w:r>
            <w:t>Contents</w:t>
          </w:r>
        </w:p>
        <w:p w14:paraId="31C60FC6" w14:textId="295C5769" w:rsidR="0024233D" w:rsidRDefault="008650F2">
          <w:pPr>
            <w:pStyle w:val="TOC1"/>
            <w:tabs>
              <w:tab w:val="right" w:leader="dot" w:pos="10387"/>
            </w:tabs>
            <w:rPr>
              <w:rFonts w:asciiTheme="minorHAnsi" w:eastAsiaTheme="minorEastAsia" w:hAnsiTheme="minorHAnsi" w:cstheme="minorBidi"/>
              <w:noProof/>
              <w:kern w:val="2"/>
              <w:szCs w:val="24"/>
              <w14:ligatures w14:val="standardContextual"/>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226541448" w:history="1">
            <w:r w:rsidR="0024233D" w:rsidRPr="009D16B8">
              <w:rPr>
                <w:rStyle w:val="Hyperlink"/>
                <w:noProof/>
              </w:rPr>
              <w:t>Background: Beth Israel Lahey Health, Inc.; and Application Overview</w:t>
            </w:r>
            <w:r w:rsidR="0024233D">
              <w:rPr>
                <w:noProof/>
                <w:webHidden/>
              </w:rPr>
              <w:tab/>
            </w:r>
            <w:r w:rsidR="0024233D">
              <w:rPr>
                <w:noProof/>
                <w:webHidden/>
              </w:rPr>
              <w:fldChar w:fldCharType="begin"/>
            </w:r>
            <w:r w:rsidR="0024233D">
              <w:rPr>
                <w:noProof/>
                <w:webHidden/>
              </w:rPr>
              <w:instrText xml:space="preserve"> PAGEREF _Toc226541448 \h </w:instrText>
            </w:r>
            <w:r w:rsidR="0024233D">
              <w:rPr>
                <w:noProof/>
                <w:webHidden/>
              </w:rPr>
            </w:r>
            <w:r w:rsidR="0024233D">
              <w:rPr>
                <w:noProof/>
                <w:webHidden/>
              </w:rPr>
              <w:fldChar w:fldCharType="separate"/>
            </w:r>
            <w:r w:rsidR="00D520AE">
              <w:rPr>
                <w:noProof/>
                <w:webHidden/>
              </w:rPr>
              <w:t>3</w:t>
            </w:r>
            <w:r w:rsidR="0024233D">
              <w:rPr>
                <w:noProof/>
                <w:webHidden/>
              </w:rPr>
              <w:fldChar w:fldCharType="end"/>
            </w:r>
          </w:hyperlink>
        </w:p>
        <w:p w14:paraId="1657E571" w14:textId="0A661BC5"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49" w:history="1">
            <w:r w:rsidRPr="009D16B8">
              <w:rPr>
                <w:rStyle w:val="Hyperlink"/>
                <w:noProof/>
              </w:rPr>
              <w:t>Patient Panel</w:t>
            </w:r>
            <w:r>
              <w:rPr>
                <w:noProof/>
                <w:webHidden/>
              </w:rPr>
              <w:tab/>
            </w:r>
            <w:r>
              <w:rPr>
                <w:noProof/>
                <w:webHidden/>
              </w:rPr>
              <w:fldChar w:fldCharType="begin"/>
            </w:r>
            <w:r>
              <w:rPr>
                <w:noProof/>
                <w:webHidden/>
              </w:rPr>
              <w:instrText xml:space="preserve"> PAGEREF _Toc226541449 \h </w:instrText>
            </w:r>
            <w:r>
              <w:rPr>
                <w:noProof/>
                <w:webHidden/>
              </w:rPr>
            </w:r>
            <w:r>
              <w:rPr>
                <w:noProof/>
                <w:webHidden/>
              </w:rPr>
              <w:fldChar w:fldCharType="separate"/>
            </w:r>
            <w:r w:rsidR="00D520AE">
              <w:rPr>
                <w:noProof/>
                <w:webHidden/>
              </w:rPr>
              <w:t>6</w:t>
            </w:r>
            <w:r>
              <w:rPr>
                <w:noProof/>
                <w:webHidden/>
              </w:rPr>
              <w:fldChar w:fldCharType="end"/>
            </w:r>
          </w:hyperlink>
        </w:p>
        <w:p w14:paraId="4509D09B" w14:textId="5B739C4B"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50" w:history="1">
            <w:r w:rsidRPr="009D16B8">
              <w:rPr>
                <w:rStyle w:val="Hyperlink"/>
                <w:noProof/>
              </w:rPr>
              <w:t>Factor 1: a) Patient Panel Need</w:t>
            </w:r>
            <w:r>
              <w:rPr>
                <w:noProof/>
                <w:webHidden/>
              </w:rPr>
              <w:tab/>
            </w:r>
            <w:r>
              <w:rPr>
                <w:noProof/>
                <w:webHidden/>
              </w:rPr>
              <w:fldChar w:fldCharType="begin"/>
            </w:r>
            <w:r>
              <w:rPr>
                <w:noProof/>
                <w:webHidden/>
              </w:rPr>
              <w:instrText xml:space="preserve"> PAGEREF _Toc226541450 \h </w:instrText>
            </w:r>
            <w:r>
              <w:rPr>
                <w:noProof/>
                <w:webHidden/>
              </w:rPr>
            </w:r>
            <w:r>
              <w:rPr>
                <w:noProof/>
                <w:webHidden/>
              </w:rPr>
              <w:fldChar w:fldCharType="separate"/>
            </w:r>
            <w:r w:rsidR="00D520AE">
              <w:rPr>
                <w:noProof/>
                <w:webHidden/>
              </w:rPr>
              <w:t>10</w:t>
            </w:r>
            <w:r>
              <w:rPr>
                <w:noProof/>
                <w:webHidden/>
              </w:rPr>
              <w:fldChar w:fldCharType="end"/>
            </w:r>
          </w:hyperlink>
        </w:p>
        <w:p w14:paraId="249498C3" w14:textId="15434C66"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51" w:history="1">
            <w:r w:rsidRPr="009D16B8">
              <w:rPr>
                <w:rStyle w:val="Hyperlink"/>
                <w:noProof/>
              </w:rPr>
              <w:t>Factor 1: b) Public health value, improved health outcomes and quality of life; assurances of health equity</w:t>
            </w:r>
            <w:r>
              <w:rPr>
                <w:noProof/>
                <w:webHidden/>
              </w:rPr>
              <w:tab/>
            </w:r>
            <w:r>
              <w:rPr>
                <w:noProof/>
                <w:webHidden/>
              </w:rPr>
              <w:fldChar w:fldCharType="begin"/>
            </w:r>
            <w:r>
              <w:rPr>
                <w:noProof/>
                <w:webHidden/>
              </w:rPr>
              <w:instrText xml:space="preserve"> PAGEREF _Toc226541451 \h </w:instrText>
            </w:r>
            <w:r>
              <w:rPr>
                <w:noProof/>
                <w:webHidden/>
              </w:rPr>
            </w:r>
            <w:r>
              <w:rPr>
                <w:noProof/>
                <w:webHidden/>
              </w:rPr>
              <w:fldChar w:fldCharType="separate"/>
            </w:r>
            <w:r w:rsidR="00D520AE">
              <w:rPr>
                <w:noProof/>
                <w:webHidden/>
              </w:rPr>
              <w:t>17</w:t>
            </w:r>
            <w:r>
              <w:rPr>
                <w:noProof/>
                <w:webHidden/>
              </w:rPr>
              <w:fldChar w:fldCharType="end"/>
            </w:r>
          </w:hyperlink>
        </w:p>
        <w:p w14:paraId="73B52B22" w14:textId="5B8C6947"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52" w:history="1">
            <w:r w:rsidRPr="009D16B8">
              <w:rPr>
                <w:rStyle w:val="Hyperlink"/>
                <w:noProof/>
              </w:rPr>
              <w:t>Factor 1: c) Efficiency, Continuity of Care, Coordination of Care</w:t>
            </w:r>
            <w:r>
              <w:rPr>
                <w:noProof/>
                <w:webHidden/>
              </w:rPr>
              <w:tab/>
            </w:r>
            <w:r>
              <w:rPr>
                <w:noProof/>
                <w:webHidden/>
              </w:rPr>
              <w:fldChar w:fldCharType="begin"/>
            </w:r>
            <w:r>
              <w:rPr>
                <w:noProof/>
                <w:webHidden/>
              </w:rPr>
              <w:instrText xml:space="preserve"> PAGEREF _Toc226541452 \h </w:instrText>
            </w:r>
            <w:r>
              <w:rPr>
                <w:noProof/>
                <w:webHidden/>
              </w:rPr>
            </w:r>
            <w:r>
              <w:rPr>
                <w:noProof/>
                <w:webHidden/>
              </w:rPr>
              <w:fldChar w:fldCharType="separate"/>
            </w:r>
            <w:r w:rsidR="00D520AE">
              <w:rPr>
                <w:noProof/>
                <w:webHidden/>
              </w:rPr>
              <w:t>20</w:t>
            </w:r>
            <w:r>
              <w:rPr>
                <w:noProof/>
                <w:webHidden/>
              </w:rPr>
              <w:fldChar w:fldCharType="end"/>
            </w:r>
          </w:hyperlink>
        </w:p>
        <w:p w14:paraId="08449D55" w14:textId="11B16D7D"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53" w:history="1">
            <w:r w:rsidRPr="009D16B8">
              <w:rPr>
                <w:rStyle w:val="Hyperlink"/>
                <w:noProof/>
              </w:rPr>
              <w:t>Factor 1: d) Consultation</w:t>
            </w:r>
            <w:r>
              <w:rPr>
                <w:noProof/>
                <w:webHidden/>
              </w:rPr>
              <w:tab/>
            </w:r>
            <w:r>
              <w:rPr>
                <w:noProof/>
                <w:webHidden/>
              </w:rPr>
              <w:fldChar w:fldCharType="begin"/>
            </w:r>
            <w:r>
              <w:rPr>
                <w:noProof/>
                <w:webHidden/>
              </w:rPr>
              <w:instrText xml:space="preserve"> PAGEREF _Toc226541453 \h </w:instrText>
            </w:r>
            <w:r>
              <w:rPr>
                <w:noProof/>
                <w:webHidden/>
              </w:rPr>
            </w:r>
            <w:r>
              <w:rPr>
                <w:noProof/>
                <w:webHidden/>
              </w:rPr>
              <w:fldChar w:fldCharType="separate"/>
            </w:r>
            <w:r w:rsidR="00D520AE">
              <w:rPr>
                <w:noProof/>
                <w:webHidden/>
              </w:rPr>
              <w:t>21</w:t>
            </w:r>
            <w:r>
              <w:rPr>
                <w:noProof/>
                <w:webHidden/>
              </w:rPr>
              <w:fldChar w:fldCharType="end"/>
            </w:r>
          </w:hyperlink>
        </w:p>
        <w:p w14:paraId="4B548199" w14:textId="5E7422B3"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54" w:history="1">
            <w:r w:rsidRPr="009D16B8">
              <w:rPr>
                <w:rStyle w:val="Hyperlink"/>
                <w:noProof/>
              </w:rPr>
              <w:t>Factor 1: e) Evidence of Sound Community Engagement through the Patient Panel</w:t>
            </w:r>
            <w:r>
              <w:rPr>
                <w:noProof/>
                <w:webHidden/>
              </w:rPr>
              <w:tab/>
            </w:r>
            <w:r>
              <w:rPr>
                <w:noProof/>
                <w:webHidden/>
              </w:rPr>
              <w:fldChar w:fldCharType="begin"/>
            </w:r>
            <w:r>
              <w:rPr>
                <w:noProof/>
                <w:webHidden/>
              </w:rPr>
              <w:instrText xml:space="preserve"> PAGEREF _Toc226541454 \h </w:instrText>
            </w:r>
            <w:r>
              <w:rPr>
                <w:noProof/>
                <w:webHidden/>
              </w:rPr>
            </w:r>
            <w:r>
              <w:rPr>
                <w:noProof/>
                <w:webHidden/>
              </w:rPr>
              <w:fldChar w:fldCharType="separate"/>
            </w:r>
            <w:r w:rsidR="00D520AE">
              <w:rPr>
                <w:noProof/>
                <w:webHidden/>
              </w:rPr>
              <w:t>21</w:t>
            </w:r>
            <w:r>
              <w:rPr>
                <w:noProof/>
                <w:webHidden/>
              </w:rPr>
              <w:fldChar w:fldCharType="end"/>
            </w:r>
          </w:hyperlink>
        </w:p>
        <w:p w14:paraId="03FC9B82" w14:textId="1D70D142"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55" w:history="1">
            <w:r w:rsidRPr="009D16B8">
              <w:rPr>
                <w:rStyle w:val="Hyperlink"/>
                <w:noProof/>
              </w:rPr>
              <w:t>Factor 1: f) Competition on price, total medical expenses (TME), costs and other measures of health care spending</w:t>
            </w:r>
            <w:r>
              <w:rPr>
                <w:noProof/>
                <w:webHidden/>
              </w:rPr>
              <w:tab/>
            </w:r>
            <w:r>
              <w:rPr>
                <w:noProof/>
                <w:webHidden/>
              </w:rPr>
              <w:fldChar w:fldCharType="begin"/>
            </w:r>
            <w:r>
              <w:rPr>
                <w:noProof/>
                <w:webHidden/>
              </w:rPr>
              <w:instrText xml:space="preserve"> PAGEREF _Toc226541455 \h </w:instrText>
            </w:r>
            <w:r>
              <w:rPr>
                <w:noProof/>
                <w:webHidden/>
              </w:rPr>
            </w:r>
            <w:r>
              <w:rPr>
                <w:noProof/>
                <w:webHidden/>
              </w:rPr>
              <w:fldChar w:fldCharType="separate"/>
            </w:r>
            <w:r w:rsidR="00D520AE">
              <w:rPr>
                <w:noProof/>
                <w:webHidden/>
              </w:rPr>
              <w:t>22</w:t>
            </w:r>
            <w:r>
              <w:rPr>
                <w:noProof/>
                <w:webHidden/>
              </w:rPr>
              <w:fldChar w:fldCharType="end"/>
            </w:r>
          </w:hyperlink>
        </w:p>
        <w:p w14:paraId="0CE6844D" w14:textId="5D978216"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56" w:history="1">
            <w:r w:rsidRPr="009D16B8">
              <w:rPr>
                <w:rStyle w:val="Hyperlink"/>
                <w:noProof/>
              </w:rPr>
              <w:t>Summary, Factor 1</w:t>
            </w:r>
            <w:r>
              <w:rPr>
                <w:noProof/>
                <w:webHidden/>
              </w:rPr>
              <w:tab/>
            </w:r>
            <w:r>
              <w:rPr>
                <w:noProof/>
                <w:webHidden/>
              </w:rPr>
              <w:fldChar w:fldCharType="begin"/>
            </w:r>
            <w:r>
              <w:rPr>
                <w:noProof/>
                <w:webHidden/>
              </w:rPr>
              <w:instrText xml:space="preserve"> PAGEREF _Toc226541456 \h </w:instrText>
            </w:r>
            <w:r>
              <w:rPr>
                <w:noProof/>
                <w:webHidden/>
              </w:rPr>
            </w:r>
            <w:r>
              <w:rPr>
                <w:noProof/>
                <w:webHidden/>
              </w:rPr>
              <w:fldChar w:fldCharType="separate"/>
            </w:r>
            <w:r w:rsidR="00D520AE">
              <w:rPr>
                <w:noProof/>
                <w:webHidden/>
              </w:rPr>
              <w:t>23</w:t>
            </w:r>
            <w:r>
              <w:rPr>
                <w:noProof/>
                <w:webHidden/>
              </w:rPr>
              <w:fldChar w:fldCharType="end"/>
            </w:r>
          </w:hyperlink>
        </w:p>
        <w:p w14:paraId="026E28B0" w14:textId="2BB8E0C5"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57" w:history="1">
            <w:r w:rsidRPr="009D16B8">
              <w:rPr>
                <w:rStyle w:val="Hyperlink"/>
                <w:noProof/>
              </w:rPr>
              <w:t>Factor 2: Cost containment, Improved Public Health Outcomes and Delivery System Transformation</w:t>
            </w:r>
            <w:r>
              <w:rPr>
                <w:noProof/>
                <w:webHidden/>
              </w:rPr>
              <w:tab/>
            </w:r>
            <w:r>
              <w:rPr>
                <w:noProof/>
                <w:webHidden/>
              </w:rPr>
              <w:fldChar w:fldCharType="begin"/>
            </w:r>
            <w:r>
              <w:rPr>
                <w:noProof/>
                <w:webHidden/>
              </w:rPr>
              <w:instrText xml:space="preserve"> PAGEREF _Toc226541457 \h </w:instrText>
            </w:r>
            <w:r>
              <w:rPr>
                <w:noProof/>
                <w:webHidden/>
              </w:rPr>
            </w:r>
            <w:r>
              <w:rPr>
                <w:noProof/>
                <w:webHidden/>
              </w:rPr>
              <w:fldChar w:fldCharType="separate"/>
            </w:r>
            <w:r w:rsidR="00D520AE">
              <w:rPr>
                <w:noProof/>
                <w:webHidden/>
              </w:rPr>
              <w:t>23</w:t>
            </w:r>
            <w:r>
              <w:rPr>
                <w:noProof/>
                <w:webHidden/>
              </w:rPr>
              <w:fldChar w:fldCharType="end"/>
            </w:r>
          </w:hyperlink>
        </w:p>
        <w:p w14:paraId="571B8994" w14:textId="5E7E7D3D"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58" w:history="1">
            <w:r w:rsidRPr="009D16B8">
              <w:rPr>
                <w:rStyle w:val="Hyperlink"/>
                <w:noProof/>
              </w:rPr>
              <w:t>Summary, Factor 2</w:t>
            </w:r>
            <w:r>
              <w:rPr>
                <w:noProof/>
                <w:webHidden/>
              </w:rPr>
              <w:tab/>
            </w:r>
            <w:r>
              <w:rPr>
                <w:noProof/>
                <w:webHidden/>
              </w:rPr>
              <w:fldChar w:fldCharType="begin"/>
            </w:r>
            <w:r>
              <w:rPr>
                <w:noProof/>
                <w:webHidden/>
              </w:rPr>
              <w:instrText xml:space="preserve"> PAGEREF _Toc226541458 \h </w:instrText>
            </w:r>
            <w:r>
              <w:rPr>
                <w:noProof/>
                <w:webHidden/>
              </w:rPr>
            </w:r>
            <w:r>
              <w:rPr>
                <w:noProof/>
                <w:webHidden/>
              </w:rPr>
              <w:fldChar w:fldCharType="separate"/>
            </w:r>
            <w:r w:rsidR="00D520AE">
              <w:rPr>
                <w:noProof/>
                <w:webHidden/>
              </w:rPr>
              <w:t>24</w:t>
            </w:r>
            <w:r>
              <w:rPr>
                <w:noProof/>
                <w:webHidden/>
              </w:rPr>
              <w:fldChar w:fldCharType="end"/>
            </w:r>
          </w:hyperlink>
        </w:p>
        <w:p w14:paraId="5679E1F6" w14:textId="7A64B4E7"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59" w:history="1">
            <w:r w:rsidRPr="009D16B8">
              <w:rPr>
                <w:rStyle w:val="Hyperlink"/>
                <w:noProof/>
              </w:rPr>
              <w:t>Factor 3: Relevant Licensure/Oversight Compliance</w:t>
            </w:r>
            <w:r>
              <w:rPr>
                <w:noProof/>
                <w:webHidden/>
              </w:rPr>
              <w:tab/>
            </w:r>
            <w:r>
              <w:rPr>
                <w:noProof/>
                <w:webHidden/>
              </w:rPr>
              <w:fldChar w:fldCharType="begin"/>
            </w:r>
            <w:r>
              <w:rPr>
                <w:noProof/>
                <w:webHidden/>
              </w:rPr>
              <w:instrText xml:space="preserve"> PAGEREF _Toc226541459 \h </w:instrText>
            </w:r>
            <w:r>
              <w:rPr>
                <w:noProof/>
                <w:webHidden/>
              </w:rPr>
            </w:r>
            <w:r>
              <w:rPr>
                <w:noProof/>
                <w:webHidden/>
              </w:rPr>
              <w:fldChar w:fldCharType="separate"/>
            </w:r>
            <w:r w:rsidR="00D520AE">
              <w:rPr>
                <w:noProof/>
                <w:webHidden/>
              </w:rPr>
              <w:t>24</w:t>
            </w:r>
            <w:r>
              <w:rPr>
                <w:noProof/>
                <w:webHidden/>
              </w:rPr>
              <w:fldChar w:fldCharType="end"/>
            </w:r>
          </w:hyperlink>
        </w:p>
        <w:p w14:paraId="1CDE7A21" w14:textId="2DBFF83F"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60" w:history="1">
            <w:r w:rsidRPr="009D16B8">
              <w:rPr>
                <w:rStyle w:val="Hyperlink"/>
                <w:noProof/>
              </w:rPr>
              <w:t>Factor 4: Financial Feasibility</w:t>
            </w:r>
            <w:r>
              <w:rPr>
                <w:noProof/>
                <w:webHidden/>
              </w:rPr>
              <w:tab/>
            </w:r>
            <w:r>
              <w:rPr>
                <w:noProof/>
                <w:webHidden/>
              </w:rPr>
              <w:fldChar w:fldCharType="begin"/>
            </w:r>
            <w:r>
              <w:rPr>
                <w:noProof/>
                <w:webHidden/>
              </w:rPr>
              <w:instrText xml:space="preserve"> PAGEREF _Toc226541460 \h </w:instrText>
            </w:r>
            <w:r>
              <w:rPr>
                <w:noProof/>
                <w:webHidden/>
              </w:rPr>
            </w:r>
            <w:r>
              <w:rPr>
                <w:noProof/>
                <w:webHidden/>
              </w:rPr>
              <w:fldChar w:fldCharType="separate"/>
            </w:r>
            <w:r w:rsidR="00D520AE">
              <w:rPr>
                <w:noProof/>
                <w:webHidden/>
              </w:rPr>
              <w:t>24</w:t>
            </w:r>
            <w:r>
              <w:rPr>
                <w:noProof/>
                <w:webHidden/>
              </w:rPr>
              <w:fldChar w:fldCharType="end"/>
            </w:r>
          </w:hyperlink>
        </w:p>
        <w:p w14:paraId="1DFFFCB6" w14:textId="1AFA4167"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61" w:history="1">
            <w:r w:rsidRPr="009D16B8">
              <w:rPr>
                <w:rStyle w:val="Hyperlink"/>
                <w:noProof/>
              </w:rPr>
              <w:t>Factor 5: Assessment of the Proposed Project’s Relative Merit</w:t>
            </w:r>
            <w:r>
              <w:rPr>
                <w:noProof/>
                <w:webHidden/>
              </w:rPr>
              <w:tab/>
            </w:r>
            <w:r>
              <w:rPr>
                <w:noProof/>
                <w:webHidden/>
              </w:rPr>
              <w:fldChar w:fldCharType="begin"/>
            </w:r>
            <w:r>
              <w:rPr>
                <w:noProof/>
                <w:webHidden/>
              </w:rPr>
              <w:instrText xml:space="preserve"> PAGEREF _Toc226541461 \h </w:instrText>
            </w:r>
            <w:r>
              <w:rPr>
                <w:noProof/>
                <w:webHidden/>
              </w:rPr>
            </w:r>
            <w:r>
              <w:rPr>
                <w:noProof/>
                <w:webHidden/>
              </w:rPr>
              <w:fldChar w:fldCharType="separate"/>
            </w:r>
            <w:r w:rsidR="00D520AE">
              <w:rPr>
                <w:noProof/>
                <w:webHidden/>
              </w:rPr>
              <w:t>28</w:t>
            </w:r>
            <w:r>
              <w:rPr>
                <w:noProof/>
                <w:webHidden/>
              </w:rPr>
              <w:fldChar w:fldCharType="end"/>
            </w:r>
          </w:hyperlink>
        </w:p>
        <w:p w14:paraId="008E98DB" w14:textId="08538FB4"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62" w:history="1">
            <w:r w:rsidRPr="009D16B8">
              <w:rPr>
                <w:rStyle w:val="Hyperlink"/>
                <w:noProof/>
              </w:rPr>
              <w:t>Factor 6: Fulfillment of DPH Community-based Health Initiatives Guideline</w:t>
            </w:r>
            <w:r>
              <w:rPr>
                <w:noProof/>
                <w:webHidden/>
              </w:rPr>
              <w:tab/>
            </w:r>
            <w:r>
              <w:rPr>
                <w:noProof/>
                <w:webHidden/>
              </w:rPr>
              <w:fldChar w:fldCharType="begin"/>
            </w:r>
            <w:r>
              <w:rPr>
                <w:noProof/>
                <w:webHidden/>
              </w:rPr>
              <w:instrText xml:space="preserve"> PAGEREF _Toc226541462 \h </w:instrText>
            </w:r>
            <w:r>
              <w:rPr>
                <w:noProof/>
                <w:webHidden/>
              </w:rPr>
            </w:r>
            <w:r>
              <w:rPr>
                <w:noProof/>
                <w:webHidden/>
              </w:rPr>
              <w:fldChar w:fldCharType="separate"/>
            </w:r>
            <w:r w:rsidR="00D520AE">
              <w:rPr>
                <w:noProof/>
                <w:webHidden/>
              </w:rPr>
              <w:t>29</w:t>
            </w:r>
            <w:r>
              <w:rPr>
                <w:noProof/>
                <w:webHidden/>
              </w:rPr>
              <w:fldChar w:fldCharType="end"/>
            </w:r>
          </w:hyperlink>
        </w:p>
        <w:p w14:paraId="798AA8A7" w14:textId="440D8E33"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63" w:history="1">
            <w:r w:rsidRPr="009D16B8">
              <w:rPr>
                <w:rStyle w:val="Hyperlink"/>
                <w:noProof/>
              </w:rPr>
              <w:t>Findings and Recommendations</w:t>
            </w:r>
            <w:r>
              <w:rPr>
                <w:noProof/>
                <w:webHidden/>
              </w:rPr>
              <w:tab/>
            </w:r>
            <w:r>
              <w:rPr>
                <w:noProof/>
                <w:webHidden/>
              </w:rPr>
              <w:fldChar w:fldCharType="begin"/>
            </w:r>
            <w:r>
              <w:rPr>
                <w:noProof/>
                <w:webHidden/>
              </w:rPr>
              <w:instrText xml:space="preserve"> PAGEREF _Toc226541463 \h </w:instrText>
            </w:r>
            <w:r>
              <w:rPr>
                <w:noProof/>
                <w:webHidden/>
              </w:rPr>
            </w:r>
            <w:r>
              <w:rPr>
                <w:noProof/>
                <w:webHidden/>
              </w:rPr>
              <w:fldChar w:fldCharType="separate"/>
            </w:r>
            <w:r w:rsidR="00D520AE">
              <w:rPr>
                <w:noProof/>
                <w:webHidden/>
              </w:rPr>
              <w:t>31</w:t>
            </w:r>
            <w:r>
              <w:rPr>
                <w:noProof/>
                <w:webHidden/>
              </w:rPr>
              <w:fldChar w:fldCharType="end"/>
            </w:r>
          </w:hyperlink>
        </w:p>
        <w:p w14:paraId="5774F71E" w14:textId="21DC4884"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64" w:history="1">
            <w:r w:rsidRPr="009D16B8">
              <w:rPr>
                <w:rStyle w:val="Hyperlink"/>
                <w:noProof/>
              </w:rPr>
              <w:t>Other Conditions</w:t>
            </w:r>
            <w:r>
              <w:rPr>
                <w:noProof/>
                <w:webHidden/>
              </w:rPr>
              <w:tab/>
            </w:r>
            <w:r>
              <w:rPr>
                <w:noProof/>
                <w:webHidden/>
              </w:rPr>
              <w:fldChar w:fldCharType="begin"/>
            </w:r>
            <w:r>
              <w:rPr>
                <w:noProof/>
                <w:webHidden/>
              </w:rPr>
              <w:instrText xml:space="preserve"> PAGEREF _Toc226541464 \h </w:instrText>
            </w:r>
            <w:r>
              <w:rPr>
                <w:noProof/>
                <w:webHidden/>
              </w:rPr>
            </w:r>
            <w:r>
              <w:rPr>
                <w:noProof/>
                <w:webHidden/>
              </w:rPr>
              <w:fldChar w:fldCharType="separate"/>
            </w:r>
            <w:r w:rsidR="00D520AE">
              <w:rPr>
                <w:noProof/>
                <w:webHidden/>
              </w:rPr>
              <w:t>31</w:t>
            </w:r>
            <w:r>
              <w:rPr>
                <w:noProof/>
                <w:webHidden/>
              </w:rPr>
              <w:fldChar w:fldCharType="end"/>
            </w:r>
          </w:hyperlink>
        </w:p>
        <w:p w14:paraId="3D392738" w14:textId="56422280"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65" w:history="1">
            <w:r w:rsidRPr="009D16B8">
              <w:rPr>
                <w:rStyle w:val="Hyperlink"/>
                <w:noProof/>
                <w:bdr w:val="none" w:sz="0" w:space="0" w:color="auto" w:frame="1"/>
              </w:rPr>
              <w:t>Appendix I: Required Measures for Annual Reporting</w:t>
            </w:r>
            <w:r>
              <w:rPr>
                <w:noProof/>
                <w:webHidden/>
              </w:rPr>
              <w:tab/>
            </w:r>
            <w:r>
              <w:rPr>
                <w:noProof/>
                <w:webHidden/>
              </w:rPr>
              <w:fldChar w:fldCharType="begin"/>
            </w:r>
            <w:r>
              <w:rPr>
                <w:noProof/>
                <w:webHidden/>
              </w:rPr>
              <w:instrText xml:space="preserve"> PAGEREF _Toc226541465 \h </w:instrText>
            </w:r>
            <w:r>
              <w:rPr>
                <w:noProof/>
                <w:webHidden/>
              </w:rPr>
            </w:r>
            <w:r>
              <w:rPr>
                <w:noProof/>
                <w:webHidden/>
              </w:rPr>
              <w:fldChar w:fldCharType="separate"/>
            </w:r>
            <w:r w:rsidR="00D520AE">
              <w:rPr>
                <w:noProof/>
                <w:webHidden/>
              </w:rPr>
              <w:t>33</w:t>
            </w:r>
            <w:r>
              <w:rPr>
                <w:noProof/>
                <w:webHidden/>
              </w:rPr>
              <w:fldChar w:fldCharType="end"/>
            </w:r>
          </w:hyperlink>
        </w:p>
        <w:p w14:paraId="54A269B5" w14:textId="7C0AE4F9" w:rsidR="0024233D" w:rsidRDefault="0024233D">
          <w:pPr>
            <w:pStyle w:val="TOC1"/>
            <w:tabs>
              <w:tab w:val="right" w:leader="dot" w:pos="10387"/>
            </w:tabs>
            <w:rPr>
              <w:rFonts w:asciiTheme="minorHAnsi" w:eastAsiaTheme="minorEastAsia" w:hAnsiTheme="minorHAnsi" w:cstheme="minorBidi"/>
              <w:noProof/>
              <w:kern w:val="2"/>
              <w:szCs w:val="24"/>
              <w14:ligatures w14:val="standardContextual"/>
            </w:rPr>
          </w:pPr>
          <w:hyperlink w:anchor="_Toc226541466" w:history="1">
            <w:r w:rsidRPr="009D16B8">
              <w:rPr>
                <w:rStyle w:val="Hyperlink"/>
                <w:noProof/>
              </w:rPr>
              <w:t>REFERENCES</w:t>
            </w:r>
            <w:r>
              <w:rPr>
                <w:noProof/>
                <w:webHidden/>
              </w:rPr>
              <w:tab/>
            </w:r>
            <w:r>
              <w:rPr>
                <w:noProof/>
                <w:webHidden/>
              </w:rPr>
              <w:fldChar w:fldCharType="begin"/>
            </w:r>
            <w:r>
              <w:rPr>
                <w:noProof/>
                <w:webHidden/>
              </w:rPr>
              <w:instrText xml:space="preserve"> PAGEREF _Toc226541466 \h </w:instrText>
            </w:r>
            <w:r>
              <w:rPr>
                <w:noProof/>
                <w:webHidden/>
              </w:rPr>
            </w:r>
            <w:r>
              <w:rPr>
                <w:noProof/>
                <w:webHidden/>
              </w:rPr>
              <w:fldChar w:fldCharType="separate"/>
            </w:r>
            <w:r w:rsidR="00D520AE">
              <w:rPr>
                <w:noProof/>
                <w:webHidden/>
              </w:rPr>
              <w:t>35</w:t>
            </w:r>
            <w:r>
              <w:rPr>
                <w:noProof/>
                <w:webHidden/>
              </w:rPr>
              <w:fldChar w:fldCharType="end"/>
            </w:r>
          </w:hyperlink>
        </w:p>
        <w:p w14:paraId="0675CDB9" w14:textId="75BE20D6"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rsidSect="001B302B">
          <w:headerReference w:type="even" r:id="rId14"/>
          <w:headerReference w:type="default" r:id="rId15"/>
          <w:headerReference w:type="first" r:id="rId16"/>
          <w:pgSz w:w="12240" w:h="15840"/>
          <w:pgMar w:top="1354" w:right="979" w:bottom="1123" w:left="864" w:header="0" w:footer="936" w:gutter="0"/>
          <w:cols w:space="720"/>
        </w:sectPr>
      </w:pPr>
    </w:p>
    <w:p w14:paraId="6280C006" w14:textId="7B814A76" w:rsidR="00B447F3" w:rsidRPr="00C515CE" w:rsidRDefault="00A4110F" w:rsidP="005559F1">
      <w:pPr>
        <w:pStyle w:val="Heading2"/>
      </w:pPr>
      <w:bookmarkStart w:id="0" w:name="Background:_Emerson_Endoscopy_and_Digest"/>
      <w:bookmarkStart w:id="1" w:name="_Toc226541448"/>
      <w:bookmarkEnd w:id="0"/>
      <w:r w:rsidRPr="00C515CE">
        <w:lastRenderedPageBreak/>
        <w:t>Background:</w:t>
      </w:r>
      <w:r w:rsidR="00A903C8">
        <w:t xml:space="preserve"> </w:t>
      </w:r>
      <w:r w:rsidR="003B35E2">
        <w:t>Beth Israel Lahey Health, Inc.</w:t>
      </w:r>
      <w:r w:rsidR="00DE2FE1" w:rsidRPr="00C515CE">
        <w:t xml:space="preserve">; </w:t>
      </w:r>
      <w:r w:rsidRPr="00C515CE">
        <w:t>and Application Overview</w:t>
      </w:r>
      <w:bookmarkEnd w:id="1"/>
    </w:p>
    <w:p w14:paraId="32F6900F" w14:textId="21ED00C7" w:rsidR="00B447F3" w:rsidRDefault="00B447F3">
      <w:pPr>
        <w:pStyle w:val="BodyText"/>
        <w:spacing w:before="1"/>
        <w:rPr>
          <w:rFonts w:asciiTheme="minorHAnsi" w:hAnsiTheme="minorHAnsi"/>
        </w:rPr>
      </w:pPr>
    </w:p>
    <w:p w14:paraId="05255668" w14:textId="77777777" w:rsidR="00620D10" w:rsidRPr="00620D10" w:rsidRDefault="00620D10" w:rsidP="007E5A7F">
      <w:pPr>
        <w:pStyle w:val="Heading3"/>
      </w:pPr>
      <w:r w:rsidRPr="00620D10">
        <w:t>Beth Israel Lahey Health, Inc.</w:t>
      </w:r>
    </w:p>
    <w:p w14:paraId="04707BF2" w14:textId="6A0F01ED" w:rsidR="00620D10" w:rsidRPr="00620D10" w:rsidRDefault="480DB9D1" w:rsidP="74EFE279">
      <w:pPr>
        <w:pStyle w:val="BodyText"/>
        <w:rPr>
          <w:rFonts w:asciiTheme="minorHAnsi" w:hAnsiTheme="minorHAnsi"/>
        </w:rPr>
      </w:pPr>
      <w:r w:rsidRPr="74EFE279">
        <w:rPr>
          <w:rFonts w:asciiTheme="minorHAnsi" w:hAnsiTheme="minorHAnsi"/>
        </w:rPr>
        <w:t>The Beth Israel Lahey Health, Inc</w:t>
      </w:r>
      <w:r w:rsidR="74DFE514" w:rsidRPr="74EFE279">
        <w:rPr>
          <w:rFonts w:asciiTheme="minorHAnsi" w:hAnsiTheme="minorHAnsi"/>
        </w:rPr>
        <w:t>.</w:t>
      </w:r>
      <w:r w:rsidRPr="74EFE279">
        <w:rPr>
          <w:rFonts w:asciiTheme="minorHAnsi" w:hAnsiTheme="minorHAnsi"/>
        </w:rPr>
        <w:t xml:space="preserve"> (BILH or Applicant), is a Massachusetts non-profit, tax-exempt corporation that oversees an integrated health care delivery system comprised of teaching and community hospitals, physician groups, behavioral health providers, post-acute care providers and other caregivers serving patients in Greater Boston</w:t>
      </w:r>
      <w:r w:rsidR="00620D10" w:rsidRPr="74EFE279">
        <w:rPr>
          <w:rStyle w:val="FootnoteReference"/>
          <w:rFonts w:asciiTheme="minorHAnsi" w:hAnsiTheme="minorHAnsi"/>
        </w:rPr>
        <w:footnoteReference w:id="2"/>
      </w:r>
      <w:r w:rsidRPr="74EFE279">
        <w:rPr>
          <w:rFonts w:asciiTheme="minorHAnsi" w:hAnsiTheme="minorHAnsi"/>
        </w:rPr>
        <w:t xml:space="preserve"> and the surrounding communities in Eastern Massachusetts and Southeastern New Hampshire.</w:t>
      </w:r>
    </w:p>
    <w:p w14:paraId="6A4FB42D" w14:textId="77777777" w:rsidR="00620D10" w:rsidRPr="00620D10" w:rsidRDefault="00620D10" w:rsidP="00620D10">
      <w:pPr>
        <w:pStyle w:val="BodyText"/>
        <w:rPr>
          <w:rFonts w:asciiTheme="minorHAnsi" w:hAnsiTheme="minorHAnsi"/>
        </w:rPr>
      </w:pPr>
    </w:p>
    <w:p w14:paraId="0EC00435" w14:textId="1485C947" w:rsidR="00620D10" w:rsidRPr="00620D10" w:rsidRDefault="00620D10" w:rsidP="00620D10">
      <w:pPr>
        <w:pStyle w:val="BodyText"/>
        <w:rPr>
          <w:rFonts w:asciiTheme="minorHAnsi" w:hAnsiTheme="minorHAnsi"/>
        </w:rPr>
      </w:pPr>
      <w:r w:rsidRPr="00620D10">
        <w:rPr>
          <w:rFonts w:asciiTheme="minorHAnsi" w:hAnsiTheme="minorHAnsi"/>
        </w:rPr>
        <w:t>BILH’s member hospitals include</w:t>
      </w:r>
      <w:r w:rsidR="00496C50">
        <w:rPr>
          <w:rStyle w:val="FootnoteReference"/>
          <w:rFonts w:asciiTheme="minorHAnsi" w:hAnsiTheme="minorHAnsi"/>
        </w:rPr>
        <w:footnoteReference w:id="3"/>
      </w:r>
      <w:r w:rsidRPr="00620D10">
        <w:rPr>
          <w:rFonts w:asciiTheme="minorHAnsi" w:hAnsiTheme="minorHAnsi"/>
        </w:rPr>
        <w:t>:</w:t>
      </w:r>
    </w:p>
    <w:p w14:paraId="776E2145" w14:textId="77777777" w:rsidR="00620D10" w:rsidRPr="00620D10" w:rsidRDefault="00620D10" w:rsidP="00620D10">
      <w:pPr>
        <w:pStyle w:val="BodyText"/>
        <w:rPr>
          <w:rFonts w:asciiTheme="minorHAnsi" w:hAnsiTheme="minorHAnsi"/>
        </w:rPr>
      </w:pPr>
    </w:p>
    <w:p w14:paraId="56FF40DC" w14:textId="068C5554" w:rsidR="00620D10" w:rsidRPr="00620D10" w:rsidRDefault="00620D10" w:rsidP="00620D10">
      <w:pPr>
        <w:pStyle w:val="BodyText"/>
        <w:rPr>
          <w:rFonts w:asciiTheme="minorHAnsi" w:hAnsiTheme="minorHAnsi"/>
          <w:b/>
          <w:bCs/>
        </w:rPr>
      </w:pPr>
      <w:r w:rsidRPr="00620D10">
        <w:rPr>
          <w:rFonts w:asciiTheme="minorHAnsi" w:hAnsiTheme="minorHAnsi"/>
          <w:b/>
          <w:bCs/>
          <w:u w:val="single"/>
        </w:rPr>
        <w:t>Table 1:</w:t>
      </w:r>
      <w:r w:rsidRPr="00620D10">
        <w:rPr>
          <w:rFonts w:asciiTheme="minorHAnsi" w:hAnsiTheme="minorHAnsi"/>
          <w:b/>
          <w:bCs/>
        </w:rPr>
        <w:t xml:space="preserve"> BILH </w:t>
      </w:r>
      <w:r w:rsidR="0065592E">
        <w:rPr>
          <w:rFonts w:asciiTheme="minorHAnsi" w:hAnsiTheme="minorHAnsi"/>
          <w:b/>
          <w:bCs/>
        </w:rPr>
        <w:t xml:space="preserve">Acute </w:t>
      </w:r>
      <w:r w:rsidRPr="00620D10">
        <w:rPr>
          <w:rFonts w:asciiTheme="minorHAnsi" w:hAnsiTheme="minorHAnsi"/>
          <w:b/>
          <w:bCs/>
        </w:rPr>
        <w:t>Hospitals</w:t>
      </w:r>
      <w:r w:rsidR="00B5292D">
        <w:rPr>
          <w:rFonts w:asciiTheme="minorHAnsi" w:hAnsiTheme="minorHAnsi"/>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ILH Acute Hospitals"/>
      </w:tblPr>
      <w:tblGrid>
        <w:gridCol w:w="4675"/>
        <w:gridCol w:w="4675"/>
      </w:tblGrid>
      <w:tr w:rsidR="00620D10" w:rsidRPr="00620D10" w14:paraId="5DA9A46E" w14:textId="77777777" w:rsidTr="00320D0C">
        <w:trPr>
          <w:cantSplit/>
          <w:trHeight w:val="292"/>
          <w:tblHeader/>
        </w:trPr>
        <w:tc>
          <w:tcPr>
            <w:tcW w:w="4675" w:type="dxa"/>
            <w:shd w:val="clear" w:color="auto" w:fill="DBE5F1" w:themeFill="accent1" w:themeFillTint="33"/>
          </w:tcPr>
          <w:p w14:paraId="19682E3C" w14:textId="77777777" w:rsidR="00620D10" w:rsidRPr="00620D10" w:rsidRDefault="00620D10" w:rsidP="00620D10">
            <w:pPr>
              <w:pStyle w:val="BodyText"/>
              <w:rPr>
                <w:rFonts w:asciiTheme="minorHAnsi" w:hAnsiTheme="minorHAnsi"/>
                <w:b/>
              </w:rPr>
            </w:pPr>
            <w:r w:rsidRPr="00620D10">
              <w:rPr>
                <w:rFonts w:asciiTheme="minorHAnsi" w:hAnsiTheme="minorHAnsi"/>
                <w:b/>
              </w:rPr>
              <w:t>Acute Hospital</w:t>
            </w:r>
          </w:p>
        </w:tc>
        <w:tc>
          <w:tcPr>
            <w:tcW w:w="4675" w:type="dxa"/>
            <w:shd w:val="clear" w:color="auto" w:fill="DBE5F1" w:themeFill="accent1" w:themeFillTint="33"/>
          </w:tcPr>
          <w:p w14:paraId="4CC2865E" w14:textId="56DF7290" w:rsidR="00620D10" w:rsidRPr="00620D10" w:rsidRDefault="00620D10" w:rsidP="00620D10">
            <w:pPr>
              <w:pStyle w:val="BodyText"/>
              <w:jc w:val="center"/>
              <w:rPr>
                <w:rFonts w:asciiTheme="minorHAnsi" w:hAnsiTheme="minorHAnsi"/>
                <w:b/>
              </w:rPr>
            </w:pPr>
            <w:r w:rsidRPr="00620D10">
              <w:rPr>
                <w:rFonts w:asciiTheme="minorHAnsi" w:hAnsiTheme="minorHAnsi"/>
                <w:b/>
              </w:rPr>
              <w:t>Type (Per CHIA Category</w:t>
            </w:r>
            <w:r w:rsidRPr="00620D10">
              <w:rPr>
                <w:rFonts w:asciiTheme="minorHAnsi" w:hAnsiTheme="minorHAnsi"/>
                <w:b/>
                <w:vertAlign w:val="superscript"/>
              </w:rPr>
              <w:endnoteReference w:id="2"/>
            </w:r>
            <w:r w:rsidRPr="00620D10">
              <w:rPr>
                <w:rFonts w:asciiTheme="minorHAnsi" w:hAnsiTheme="minorHAnsi"/>
                <w:b/>
              </w:rPr>
              <w:t>)</w:t>
            </w:r>
          </w:p>
        </w:tc>
      </w:tr>
      <w:tr w:rsidR="00620D10" w:rsidRPr="00620D10" w14:paraId="5D14EAFA" w14:textId="77777777" w:rsidTr="00320D0C">
        <w:trPr>
          <w:cantSplit/>
          <w:trHeight w:val="294"/>
        </w:trPr>
        <w:tc>
          <w:tcPr>
            <w:tcW w:w="4675" w:type="dxa"/>
          </w:tcPr>
          <w:p w14:paraId="5015F976" w14:textId="77777777" w:rsidR="00620D10" w:rsidRPr="00620D10" w:rsidRDefault="00620D10" w:rsidP="00620D10">
            <w:pPr>
              <w:pStyle w:val="BodyText"/>
              <w:rPr>
                <w:rFonts w:asciiTheme="minorHAnsi" w:hAnsiTheme="minorHAnsi"/>
              </w:rPr>
            </w:pPr>
            <w:r w:rsidRPr="00620D10">
              <w:rPr>
                <w:rFonts w:asciiTheme="minorHAnsi" w:hAnsiTheme="minorHAnsi"/>
              </w:rPr>
              <w:t>Anna Jaques Hospital</w:t>
            </w:r>
          </w:p>
        </w:tc>
        <w:tc>
          <w:tcPr>
            <w:tcW w:w="4675" w:type="dxa"/>
          </w:tcPr>
          <w:p w14:paraId="760FF41D" w14:textId="51DDE39D" w:rsidR="00620D10" w:rsidRPr="00620D10" w:rsidRDefault="00620D10" w:rsidP="00496C50">
            <w:pPr>
              <w:pStyle w:val="BodyText"/>
              <w:rPr>
                <w:rFonts w:asciiTheme="minorHAnsi" w:hAnsiTheme="minorHAnsi"/>
              </w:rPr>
            </w:pPr>
            <w:r w:rsidRPr="00620D10">
              <w:rPr>
                <w:rFonts w:asciiTheme="minorHAnsi" w:hAnsiTheme="minorHAnsi"/>
              </w:rPr>
              <w:t xml:space="preserve">Community </w:t>
            </w:r>
            <w:r w:rsidR="00BF6969" w:rsidRPr="00BF6969">
              <w:rPr>
                <w:rFonts w:asciiTheme="minorHAnsi" w:hAnsiTheme="minorHAnsi"/>
              </w:rPr>
              <w:t>High Public Payer Hospital</w:t>
            </w:r>
          </w:p>
        </w:tc>
      </w:tr>
      <w:tr w:rsidR="00620D10" w:rsidRPr="00620D10" w14:paraId="07B76705" w14:textId="77777777" w:rsidTr="00320D0C">
        <w:trPr>
          <w:cantSplit/>
          <w:trHeight w:val="292"/>
        </w:trPr>
        <w:tc>
          <w:tcPr>
            <w:tcW w:w="4675" w:type="dxa"/>
          </w:tcPr>
          <w:p w14:paraId="06876F23" w14:textId="77777777" w:rsidR="00620D10" w:rsidRPr="00620D10" w:rsidRDefault="00620D10" w:rsidP="00620D10">
            <w:pPr>
              <w:pStyle w:val="BodyText"/>
              <w:rPr>
                <w:rFonts w:asciiTheme="minorHAnsi" w:hAnsiTheme="minorHAnsi"/>
              </w:rPr>
            </w:pPr>
            <w:r w:rsidRPr="00620D10">
              <w:rPr>
                <w:rFonts w:asciiTheme="minorHAnsi" w:hAnsiTheme="minorHAnsi"/>
              </w:rPr>
              <w:t>Beth Israel Deaconess Hospital–Milton</w:t>
            </w:r>
          </w:p>
        </w:tc>
        <w:tc>
          <w:tcPr>
            <w:tcW w:w="4675" w:type="dxa"/>
          </w:tcPr>
          <w:p w14:paraId="14BF3DED" w14:textId="77777777" w:rsidR="00620D10" w:rsidRPr="00620D10" w:rsidRDefault="00620D10" w:rsidP="00496C50">
            <w:pPr>
              <w:pStyle w:val="BodyText"/>
              <w:rPr>
                <w:rFonts w:asciiTheme="minorHAnsi" w:hAnsiTheme="minorHAnsi"/>
              </w:rPr>
            </w:pPr>
            <w:r w:rsidRPr="00620D10">
              <w:rPr>
                <w:rFonts w:asciiTheme="minorHAnsi" w:hAnsiTheme="minorHAnsi"/>
              </w:rPr>
              <w:t>Community Hospital</w:t>
            </w:r>
          </w:p>
        </w:tc>
      </w:tr>
      <w:tr w:rsidR="00620D10" w:rsidRPr="00620D10" w14:paraId="5900E7E8" w14:textId="77777777" w:rsidTr="00320D0C">
        <w:trPr>
          <w:cantSplit/>
          <w:trHeight w:val="292"/>
        </w:trPr>
        <w:tc>
          <w:tcPr>
            <w:tcW w:w="4675" w:type="dxa"/>
          </w:tcPr>
          <w:p w14:paraId="21F7EDF4" w14:textId="77777777" w:rsidR="00620D10" w:rsidRPr="00620D10" w:rsidRDefault="00620D10" w:rsidP="00620D10">
            <w:pPr>
              <w:pStyle w:val="BodyText"/>
              <w:rPr>
                <w:rFonts w:asciiTheme="minorHAnsi" w:hAnsiTheme="minorHAnsi"/>
              </w:rPr>
            </w:pPr>
            <w:r w:rsidRPr="00620D10">
              <w:rPr>
                <w:rFonts w:asciiTheme="minorHAnsi" w:hAnsiTheme="minorHAnsi"/>
              </w:rPr>
              <w:t>Beth Israel Deaconess Hospital–Needham</w:t>
            </w:r>
          </w:p>
        </w:tc>
        <w:tc>
          <w:tcPr>
            <w:tcW w:w="4675" w:type="dxa"/>
          </w:tcPr>
          <w:p w14:paraId="3F7079E4" w14:textId="77777777" w:rsidR="00620D10" w:rsidRPr="00620D10" w:rsidRDefault="00620D10" w:rsidP="00496C50">
            <w:pPr>
              <w:pStyle w:val="BodyText"/>
              <w:rPr>
                <w:rFonts w:asciiTheme="minorHAnsi" w:hAnsiTheme="minorHAnsi"/>
              </w:rPr>
            </w:pPr>
            <w:r w:rsidRPr="00620D10">
              <w:rPr>
                <w:rFonts w:asciiTheme="minorHAnsi" w:hAnsiTheme="minorHAnsi"/>
              </w:rPr>
              <w:t>Community Hospital</w:t>
            </w:r>
          </w:p>
        </w:tc>
      </w:tr>
      <w:tr w:rsidR="00620D10" w:rsidRPr="00620D10" w14:paraId="148A73E3" w14:textId="77777777" w:rsidTr="00320D0C">
        <w:trPr>
          <w:cantSplit/>
          <w:trHeight w:val="292"/>
        </w:trPr>
        <w:tc>
          <w:tcPr>
            <w:tcW w:w="4675" w:type="dxa"/>
          </w:tcPr>
          <w:p w14:paraId="12CDA572" w14:textId="77777777" w:rsidR="00620D10" w:rsidRPr="00620D10" w:rsidRDefault="00620D10" w:rsidP="00620D10">
            <w:pPr>
              <w:pStyle w:val="BodyText"/>
              <w:rPr>
                <w:rFonts w:asciiTheme="minorHAnsi" w:hAnsiTheme="minorHAnsi"/>
              </w:rPr>
            </w:pPr>
            <w:r w:rsidRPr="00620D10">
              <w:rPr>
                <w:rFonts w:asciiTheme="minorHAnsi" w:hAnsiTheme="minorHAnsi"/>
              </w:rPr>
              <w:t>Beth Israel Deaconess Hospital–Plymouth</w:t>
            </w:r>
          </w:p>
        </w:tc>
        <w:tc>
          <w:tcPr>
            <w:tcW w:w="4675" w:type="dxa"/>
          </w:tcPr>
          <w:p w14:paraId="7650CB0C" w14:textId="77777777" w:rsidR="00620D10" w:rsidRPr="00620D10" w:rsidRDefault="00620D10" w:rsidP="00496C50">
            <w:pPr>
              <w:pStyle w:val="BodyText"/>
              <w:rPr>
                <w:rFonts w:asciiTheme="minorHAnsi" w:hAnsiTheme="minorHAnsi"/>
              </w:rPr>
            </w:pPr>
            <w:r w:rsidRPr="00620D10">
              <w:rPr>
                <w:rFonts w:asciiTheme="minorHAnsi" w:hAnsiTheme="minorHAnsi"/>
              </w:rPr>
              <w:t>Community-High Public Payer Hospital</w:t>
            </w:r>
          </w:p>
        </w:tc>
      </w:tr>
      <w:tr w:rsidR="00620D10" w:rsidRPr="00620D10" w14:paraId="1DADDF3B" w14:textId="77777777" w:rsidTr="00320D0C">
        <w:trPr>
          <w:cantSplit/>
          <w:trHeight w:val="292"/>
        </w:trPr>
        <w:tc>
          <w:tcPr>
            <w:tcW w:w="4675" w:type="dxa"/>
          </w:tcPr>
          <w:p w14:paraId="1E8C8DEE" w14:textId="77777777" w:rsidR="00620D10" w:rsidRPr="00620D10" w:rsidRDefault="00620D10" w:rsidP="00620D10">
            <w:pPr>
              <w:pStyle w:val="BodyText"/>
              <w:rPr>
                <w:rFonts w:asciiTheme="minorHAnsi" w:hAnsiTheme="minorHAnsi"/>
              </w:rPr>
            </w:pPr>
            <w:r w:rsidRPr="00620D10">
              <w:rPr>
                <w:rFonts w:asciiTheme="minorHAnsi" w:hAnsiTheme="minorHAnsi"/>
              </w:rPr>
              <w:t>Beth Israel Deaconess Medical Center</w:t>
            </w:r>
          </w:p>
        </w:tc>
        <w:tc>
          <w:tcPr>
            <w:tcW w:w="4675" w:type="dxa"/>
          </w:tcPr>
          <w:p w14:paraId="112D9B5C" w14:textId="77777777" w:rsidR="00620D10" w:rsidRPr="00620D10" w:rsidRDefault="00620D10" w:rsidP="00496C50">
            <w:pPr>
              <w:pStyle w:val="BodyText"/>
              <w:rPr>
                <w:rFonts w:asciiTheme="minorHAnsi" w:hAnsiTheme="minorHAnsi"/>
              </w:rPr>
            </w:pPr>
            <w:r w:rsidRPr="00620D10">
              <w:rPr>
                <w:rFonts w:asciiTheme="minorHAnsi" w:hAnsiTheme="minorHAnsi"/>
              </w:rPr>
              <w:t>Academic Medical Center</w:t>
            </w:r>
          </w:p>
        </w:tc>
      </w:tr>
      <w:tr w:rsidR="00620D10" w:rsidRPr="00620D10" w14:paraId="5B58BB68" w14:textId="77777777" w:rsidTr="00320D0C">
        <w:trPr>
          <w:cantSplit/>
          <w:trHeight w:val="294"/>
        </w:trPr>
        <w:tc>
          <w:tcPr>
            <w:tcW w:w="4675" w:type="dxa"/>
          </w:tcPr>
          <w:p w14:paraId="3259A6DD" w14:textId="77777777" w:rsidR="00620D10" w:rsidRPr="00620D10" w:rsidRDefault="00620D10" w:rsidP="00620D10">
            <w:pPr>
              <w:pStyle w:val="BodyText"/>
              <w:rPr>
                <w:rFonts w:asciiTheme="minorHAnsi" w:hAnsiTheme="minorHAnsi"/>
              </w:rPr>
            </w:pPr>
            <w:r w:rsidRPr="00620D10">
              <w:rPr>
                <w:rFonts w:asciiTheme="minorHAnsi" w:hAnsiTheme="minorHAnsi"/>
              </w:rPr>
              <w:t>Lahey Hospital &amp; Medical Center</w:t>
            </w:r>
          </w:p>
        </w:tc>
        <w:tc>
          <w:tcPr>
            <w:tcW w:w="4675" w:type="dxa"/>
          </w:tcPr>
          <w:p w14:paraId="34632A40" w14:textId="121F267B" w:rsidR="00620D10" w:rsidRPr="00620D10" w:rsidRDefault="00620D10" w:rsidP="00496C50">
            <w:pPr>
              <w:pStyle w:val="BodyText"/>
              <w:rPr>
                <w:rFonts w:asciiTheme="minorHAnsi" w:hAnsiTheme="minorHAnsi"/>
              </w:rPr>
            </w:pPr>
            <w:r w:rsidRPr="00620D10">
              <w:rPr>
                <w:rFonts w:asciiTheme="minorHAnsi" w:hAnsiTheme="minorHAnsi"/>
              </w:rPr>
              <w:t>Teaching Hospital</w:t>
            </w:r>
            <w:r w:rsidR="00BF6969">
              <w:rPr>
                <w:rFonts w:asciiTheme="minorHAnsi" w:hAnsiTheme="minorHAnsi"/>
              </w:rPr>
              <w:t xml:space="preserve"> </w:t>
            </w:r>
          </w:p>
        </w:tc>
      </w:tr>
      <w:tr w:rsidR="00620D10" w:rsidRPr="00620D10" w14:paraId="08DE798F" w14:textId="77777777" w:rsidTr="00320D0C">
        <w:trPr>
          <w:cantSplit/>
          <w:trHeight w:val="292"/>
        </w:trPr>
        <w:tc>
          <w:tcPr>
            <w:tcW w:w="4675" w:type="dxa"/>
          </w:tcPr>
          <w:p w14:paraId="761A5CAB" w14:textId="77777777" w:rsidR="00620D10" w:rsidRPr="00620D10" w:rsidRDefault="00620D10" w:rsidP="00620D10">
            <w:pPr>
              <w:pStyle w:val="BodyText"/>
              <w:rPr>
                <w:rFonts w:asciiTheme="minorHAnsi" w:hAnsiTheme="minorHAnsi"/>
              </w:rPr>
            </w:pPr>
            <w:r w:rsidRPr="00620D10">
              <w:rPr>
                <w:rFonts w:asciiTheme="minorHAnsi" w:hAnsiTheme="minorHAnsi"/>
              </w:rPr>
              <w:t>Mount Auburn Hospital</w:t>
            </w:r>
          </w:p>
        </w:tc>
        <w:tc>
          <w:tcPr>
            <w:tcW w:w="4675" w:type="dxa"/>
          </w:tcPr>
          <w:p w14:paraId="6C620ECB" w14:textId="77777777" w:rsidR="00620D10" w:rsidRPr="00620D10" w:rsidRDefault="00620D10" w:rsidP="00496C50">
            <w:pPr>
              <w:pStyle w:val="BodyText"/>
              <w:rPr>
                <w:rFonts w:asciiTheme="minorHAnsi" w:hAnsiTheme="minorHAnsi"/>
              </w:rPr>
            </w:pPr>
            <w:r w:rsidRPr="00620D10">
              <w:rPr>
                <w:rFonts w:asciiTheme="minorHAnsi" w:hAnsiTheme="minorHAnsi"/>
              </w:rPr>
              <w:t>Teaching Hospital</w:t>
            </w:r>
          </w:p>
        </w:tc>
      </w:tr>
      <w:tr w:rsidR="00620D10" w:rsidRPr="00620D10" w14:paraId="5437F087" w14:textId="77777777" w:rsidTr="00320D0C">
        <w:trPr>
          <w:cantSplit/>
          <w:trHeight w:val="292"/>
        </w:trPr>
        <w:tc>
          <w:tcPr>
            <w:tcW w:w="4675" w:type="dxa"/>
          </w:tcPr>
          <w:p w14:paraId="59EA2782" w14:textId="77777777" w:rsidR="00620D10" w:rsidRPr="00620D10" w:rsidRDefault="00620D10" w:rsidP="00620D10">
            <w:pPr>
              <w:pStyle w:val="BodyText"/>
              <w:rPr>
                <w:rFonts w:asciiTheme="minorHAnsi" w:hAnsiTheme="minorHAnsi"/>
              </w:rPr>
            </w:pPr>
            <w:r w:rsidRPr="00620D10">
              <w:rPr>
                <w:rFonts w:asciiTheme="minorHAnsi" w:hAnsiTheme="minorHAnsi"/>
              </w:rPr>
              <w:t>New England Baptist Hospital</w:t>
            </w:r>
          </w:p>
        </w:tc>
        <w:tc>
          <w:tcPr>
            <w:tcW w:w="4675" w:type="dxa"/>
          </w:tcPr>
          <w:p w14:paraId="06FA87C9" w14:textId="77777777" w:rsidR="00620D10" w:rsidRPr="00620D10" w:rsidRDefault="00620D10" w:rsidP="00496C50">
            <w:pPr>
              <w:pStyle w:val="BodyText"/>
              <w:rPr>
                <w:rFonts w:asciiTheme="minorHAnsi" w:hAnsiTheme="minorHAnsi"/>
              </w:rPr>
            </w:pPr>
            <w:r w:rsidRPr="00620D10">
              <w:rPr>
                <w:rFonts w:asciiTheme="minorHAnsi" w:hAnsiTheme="minorHAnsi"/>
              </w:rPr>
              <w:t>Specialty Hospital</w:t>
            </w:r>
          </w:p>
        </w:tc>
      </w:tr>
      <w:tr w:rsidR="00620D10" w:rsidRPr="00620D10" w14:paraId="69B45A95" w14:textId="77777777" w:rsidTr="00320D0C">
        <w:trPr>
          <w:cantSplit/>
          <w:trHeight w:val="292"/>
        </w:trPr>
        <w:tc>
          <w:tcPr>
            <w:tcW w:w="4675" w:type="dxa"/>
          </w:tcPr>
          <w:p w14:paraId="011341F7" w14:textId="77777777" w:rsidR="00620D10" w:rsidRPr="00620D10" w:rsidRDefault="00620D10" w:rsidP="00620D10">
            <w:pPr>
              <w:pStyle w:val="BodyText"/>
              <w:rPr>
                <w:rFonts w:asciiTheme="minorHAnsi" w:hAnsiTheme="minorHAnsi"/>
              </w:rPr>
            </w:pPr>
            <w:r w:rsidRPr="00620D10">
              <w:rPr>
                <w:rFonts w:asciiTheme="minorHAnsi" w:hAnsiTheme="minorHAnsi"/>
              </w:rPr>
              <w:t>Northeast Hospital</w:t>
            </w:r>
          </w:p>
        </w:tc>
        <w:tc>
          <w:tcPr>
            <w:tcW w:w="4675" w:type="dxa"/>
          </w:tcPr>
          <w:p w14:paraId="5AD648D1" w14:textId="45995151" w:rsidR="00620D10" w:rsidRPr="00620D10" w:rsidRDefault="00620D10" w:rsidP="00496C50">
            <w:pPr>
              <w:pStyle w:val="BodyText"/>
              <w:rPr>
                <w:rFonts w:asciiTheme="minorHAnsi" w:hAnsiTheme="minorHAnsi"/>
              </w:rPr>
            </w:pPr>
            <w:r w:rsidRPr="00620D10">
              <w:rPr>
                <w:rFonts w:asciiTheme="minorHAnsi" w:hAnsiTheme="minorHAnsi"/>
              </w:rPr>
              <w:t>Community-High Public Payer</w:t>
            </w:r>
            <w:r w:rsidR="00BF6969">
              <w:rPr>
                <w:rFonts w:asciiTheme="minorHAnsi" w:hAnsiTheme="minorHAnsi"/>
              </w:rPr>
              <w:t xml:space="preserve"> Hospital</w:t>
            </w:r>
          </w:p>
        </w:tc>
      </w:tr>
      <w:tr w:rsidR="00620D10" w:rsidRPr="00620D10" w14:paraId="16E5CA28" w14:textId="77777777" w:rsidTr="00320D0C">
        <w:trPr>
          <w:cantSplit/>
          <w:trHeight w:val="294"/>
        </w:trPr>
        <w:tc>
          <w:tcPr>
            <w:tcW w:w="4675" w:type="dxa"/>
          </w:tcPr>
          <w:p w14:paraId="4703F792" w14:textId="77777777" w:rsidR="00620D10" w:rsidRPr="00620D10" w:rsidRDefault="00620D10" w:rsidP="00620D10">
            <w:pPr>
              <w:pStyle w:val="BodyText"/>
              <w:rPr>
                <w:rFonts w:asciiTheme="minorHAnsi" w:hAnsiTheme="minorHAnsi"/>
              </w:rPr>
            </w:pPr>
            <w:r w:rsidRPr="00620D10">
              <w:rPr>
                <w:rFonts w:asciiTheme="minorHAnsi" w:hAnsiTheme="minorHAnsi"/>
              </w:rPr>
              <w:t>Winchester Hospital</w:t>
            </w:r>
          </w:p>
        </w:tc>
        <w:tc>
          <w:tcPr>
            <w:tcW w:w="4675" w:type="dxa"/>
          </w:tcPr>
          <w:p w14:paraId="7E3D7606" w14:textId="77777777" w:rsidR="00620D10" w:rsidRPr="00620D10" w:rsidRDefault="00620D10" w:rsidP="00496C50">
            <w:pPr>
              <w:pStyle w:val="BodyText"/>
              <w:rPr>
                <w:rFonts w:asciiTheme="minorHAnsi" w:hAnsiTheme="minorHAnsi"/>
              </w:rPr>
            </w:pPr>
            <w:r w:rsidRPr="00620D10">
              <w:rPr>
                <w:rFonts w:asciiTheme="minorHAnsi" w:hAnsiTheme="minorHAnsi"/>
              </w:rPr>
              <w:t>Community Hospital</w:t>
            </w:r>
          </w:p>
        </w:tc>
      </w:tr>
    </w:tbl>
    <w:p w14:paraId="08890B52" w14:textId="77777777" w:rsidR="00620D10" w:rsidRPr="00620D10" w:rsidRDefault="00620D10" w:rsidP="00620D10">
      <w:pPr>
        <w:pStyle w:val="BodyText"/>
        <w:rPr>
          <w:rFonts w:asciiTheme="minorHAnsi" w:hAnsiTheme="minorHAnsi"/>
        </w:rPr>
      </w:pPr>
    </w:p>
    <w:p w14:paraId="0C83F167" w14:textId="2EC07604" w:rsidR="00620D10" w:rsidRPr="00620D10" w:rsidRDefault="008C443A" w:rsidP="00620D10">
      <w:pPr>
        <w:pStyle w:val="BodyText"/>
        <w:rPr>
          <w:rFonts w:asciiTheme="minorHAnsi" w:hAnsiTheme="minorHAnsi"/>
        </w:rPr>
      </w:pPr>
      <w:r>
        <w:rPr>
          <w:rFonts w:asciiTheme="minorHAnsi" w:hAnsiTheme="minorHAnsi"/>
        </w:rPr>
        <w:t xml:space="preserve">Additionally, </w:t>
      </w:r>
      <w:r w:rsidR="00620D10" w:rsidRPr="00620D10">
        <w:rPr>
          <w:rFonts w:asciiTheme="minorHAnsi" w:hAnsiTheme="minorHAnsi"/>
        </w:rPr>
        <w:t>BILH operates Beth Israel Lahey Health Performance Network, LLC (BILHPN), a Massachusetts Health Policy Commission (HPC) certified Accountable Care Organization (ACO), which the Applicant states is a value-based physician and hospital network whose goal is to partner with other community hospitals and providers throughout Eastern Massachusetts to improve quality of care while managing medical costs.</w:t>
      </w:r>
      <w:r w:rsidR="00D27816">
        <w:rPr>
          <w:rFonts w:asciiTheme="minorHAnsi" w:hAnsiTheme="minorHAnsi"/>
        </w:rPr>
        <w:t xml:space="preserve"> The Applicant states that BILHPN leverages best practices in population health management and data analytics to improve the quality of care and patient health outcomes across the BILH system. </w:t>
      </w:r>
    </w:p>
    <w:p w14:paraId="563F07B2" w14:textId="77777777" w:rsidR="00D76DC2" w:rsidRDefault="00D76DC2" w:rsidP="00C316C3">
      <w:pPr>
        <w:pStyle w:val="BodyText"/>
        <w:rPr>
          <w:rFonts w:asciiTheme="minorHAnsi" w:hAnsiTheme="minorHAnsi"/>
        </w:rPr>
      </w:pPr>
    </w:p>
    <w:p w14:paraId="3DA45439" w14:textId="02C40179" w:rsidR="00BC62BB" w:rsidRPr="00BC62BB" w:rsidRDefault="00BC62BB" w:rsidP="007E5A7F">
      <w:pPr>
        <w:pStyle w:val="Heading3"/>
      </w:pPr>
      <w:r w:rsidRPr="00BC62BB">
        <w:t xml:space="preserve">Winchester Hospital </w:t>
      </w:r>
    </w:p>
    <w:p w14:paraId="2BF25EBC" w14:textId="504C3EA8" w:rsidR="00BC62BB" w:rsidRDefault="00B11A8A" w:rsidP="3A668521">
      <w:pPr>
        <w:pStyle w:val="BodyText"/>
        <w:rPr>
          <w:rFonts w:asciiTheme="minorHAnsi" w:hAnsiTheme="minorHAnsi"/>
        </w:rPr>
      </w:pPr>
      <w:r w:rsidRPr="3A668521">
        <w:rPr>
          <w:rFonts w:asciiTheme="minorHAnsi" w:hAnsiTheme="minorHAnsi"/>
        </w:rPr>
        <w:t>Winchester Hospital</w:t>
      </w:r>
      <w:r w:rsidR="00BF6969" w:rsidRPr="3A668521">
        <w:rPr>
          <w:rFonts w:asciiTheme="minorHAnsi" w:hAnsiTheme="minorHAnsi"/>
        </w:rPr>
        <w:t xml:space="preserve"> (the Hospital)</w:t>
      </w:r>
      <w:r w:rsidRPr="3A668521">
        <w:rPr>
          <w:rFonts w:asciiTheme="minorHAnsi" w:hAnsiTheme="minorHAnsi"/>
        </w:rPr>
        <w:t xml:space="preserve"> is</w:t>
      </w:r>
      <w:r w:rsidR="041572C8" w:rsidRPr="3A668521">
        <w:rPr>
          <w:rFonts w:asciiTheme="minorHAnsi" w:hAnsiTheme="minorHAnsi"/>
        </w:rPr>
        <w:t xml:space="preserve"> a</w:t>
      </w:r>
      <w:r w:rsidRPr="3A668521">
        <w:rPr>
          <w:rFonts w:asciiTheme="minorHAnsi" w:hAnsiTheme="minorHAnsi"/>
        </w:rPr>
        <w:t xml:space="preserve"> </w:t>
      </w:r>
      <w:r w:rsidR="009A60B3" w:rsidRPr="3A668521">
        <w:rPr>
          <w:rFonts w:asciiTheme="minorHAnsi" w:hAnsiTheme="minorHAnsi"/>
        </w:rPr>
        <w:t>non-profit, acute care hospital in Winchester MA with 22</w:t>
      </w:r>
      <w:r w:rsidR="00BF6969" w:rsidRPr="3A668521">
        <w:rPr>
          <w:rFonts w:asciiTheme="minorHAnsi" w:hAnsiTheme="minorHAnsi"/>
        </w:rPr>
        <w:t>9</w:t>
      </w:r>
      <w:r w:rsidR="009A60B3" w:rsidRPr="3A668521">
        <w:rPr>
          <w:rFonts w:asciiTheme="minorHAnsi" w:hAnsiTheme="minorHAnsi"/>
        </w:rPr>
        <w:t xml:space="preserve"> </w:t>
      </w:r>
      <w:r w:rsidR="009A60B3" w:rsidRPr="3A668521">
        <w:rPr>
          <w:rFonts w:asciiTheme="minorHAnsi" w:hAnsiTheme="minorHAnsi"/>
        </w:rPr>
        <w:lastRenderedPageBreak/>
        <w:t xml:space="preserve">licensed </w:t>
      </w:r>
      <w:r w:rsidR="0009544D" w:rsidRPr="3A668521">
        <w:rPr>
          <w:rFonts w:asciiTheme="minorHAnsi" w:hAnsiTheme="minorHAnsi"/>
        </w:rPr>
        <w:t xml:space="preserve">inpatient </w:t>
      </w:r>
      <w:r w:rsidR="009A60B3" w:rsidRPr="3A668521">
        <w:rPr>
          <w:rFonts w:asciiTheme="minorHAnsi" w:hAnsiTheme="minorHAnsi"/>
        </w:rPr>
        <w:t>beds.</w:t>
      </w:r>
      <w:r w:rsidR="00136DE9" w:rsidRPr="3A668521">
        <w:rPr>
          <w:rFonts w:asciiTheme="minorHAnsi" w:hAnsiTheme="minorHAnsi"/>
        </w:rPr>
        <w:t xml:space="preserve"> Winchester Hospital provides acute </w:t>
      </w:r>
      <w:r w:rsidR="001B1A77" w:rsidRPr="3A668521">
        <w:rPr>
          <w:rFonts w:asciiTheme="minorHAnsi" w:hAnsiTheme="minorHAnsi"/>
        </w:rPr>
        <w:t>care i</w:t>
      </w:r>
      <w:r w:rsidR="00136DE9" w:rsidRPr="3A668521">
        <w:rPr>
          <w:rFonts w:asciiTheme="minorHAnsi" w:hAnsiTheme="minorHAnsi"/>
        </w:rPr>
        <w:t>npatient services, and outpatient services</w:t>
      </w:r>
      <w:r w:rsidR="001B1A77" w:rsidRPr="3A668521">
        <w:rPr>
          <w:rFonts w:asciiTheme="minorHAnsi" w:hAnsiTheme="minorHAnsi"/>
        </w:rPr>
        <w:t>.</w:t>
      </w:r>
      <w:r w:rsidR="009A60B3" w:rsidRPr="3A668521">
        <w:rPr>
          <w:rFonts w:asciiTheme="minorHAnsi" w:hAnsiTheme="minorHAnsi"/>
        </w:rPr>
        <w:t xml:space="preserve"> The Hospital provides comprehensive health services in northeast suburban Boston, </w:t>
      </w:r>
      <w:r w:rsidR="008C443A">
        <w:rPr>
          <w:rFonts w:asciiTheme="minorHAnsi" w:hAnsiTheme="minorHAnsi"/>
        </w:rPr>
        <w:t xml:space="preserve">predominantly </w:t>
      </w:r>
      <w:r w:rsidR="009A60B3" w:rsidRPr="3A668521">
        <w:rPr>
          <w:rFonts w:asciiTheme="minorHAnsi" w:hAnsiTheme="minorHAnsi"/>
        </w:rPr>
        <w:t xml:space="preserve">serving the communities of Medford, North Reading, Reading, Stoneham, Tewksbury, Wakefield, Wilmington, Winchester, and Woburn. </w:t>
      </w:r>
    </w:p>
    <w:p w14:paraId="43D2609A" w14:textId="77777777" w:rsidR="005555E7" w:rsidRDefault="005555E7" w:rsidP="00C316C3">
      <w:pPr>
        <w:pStyle w:val="BodyText"/>
        <w:rPr>
          <w:rFonts w:asciiTheme="minorHAnsi" w:hAnsiTheme="minorHAnsi"/>
        </w:rPr>
      </w:pPr>
    </w:p>
    <w:p w14:paraId="7D9BA7E1" w14:textId="65AB523D" w:rsidR="005555E7" w:rsidRPr="005555E7" w:rsidRDefault="005555E7" w:rsidP="007E5A7F">
      <w:pPr>
        <w:pStyle w:val="Heading3"/>
      </w:pPr>
      <w:r w:rsidRPr="005555E7">
        <w:t>Winchester</w:t>
      </w:r>
      <w:r w:rsidR="00EC664E">
        <w:t xml:space="preserve"> Hospital</w:t>
      </w:r>
      <w:r w:rsidRPr="005555E7">
        <w:t xml:space="preserve"> Endoscopy Center</w:t>
      </w:r>
      <w:r w:rsidR="00D7654F">
        <w:t xml:space="preserve"> </w:t>
      </w:r>
    </w:p>
    <w:p w14:paraId="22CE498B" w14:textId="50912A88" w:rsidR="00BC62BB" w:rsidRDefault="001E5718" w:rsidP="76986DFC">
      <w:pPr>
        <w:pStyle w:val="BodyText"/>
        <w:rPr>
          <w:rFonts w:asciiTheme="minorHAnsi" w:hAnsiTheme="minorHAnsi"/>
        </w:rPr>
      </w:pPr>
      <w:r w:rsidRPr="76986DFC">
        <w:rPr>
          <w:rFonts w:asciiTheme="minorHAnsi" w:hAnsiTheme="minorHAnsi"/>
        </w:rPr>
        <w:t xml:space="preserve">Winchester </w:t>
      </w:r>
      <w:r w:rsidR="00EC664E" w:rsidRPr="76986DFC">
        <w:rPr>
          <w:rFonts w:asciiTheme="minorHAnsi" w:hAnsiTheme="minorHAnsi"/>
        </w:rPr>
        <w:t>Hospital Endoscopy Center</w:t>
      </w:r>
      <w:r w:rsidR="00D7654F" w:rsidRPr="76986DFC">
        <w:rPr>
          <w:rFonts w:asciiTheme="minorHAnsi" w:hAnsiTheme="minorHAnsi"/>
        </w:rPr>
        <w:t xml:space="preserve"> (the Center)</w:t>
      </w:r>
      <w:r w:rsidR="00EC664E" w:rsidRPr="76986DFC">
        <w:rPr>
          <w:rFonts w:asciiTheme="minorHAnsi" w:hAnsiTheme="minorHAnsi"/>
        </w:rPr>
        <w:t xml:space="preserve"> is a satellite of Winchester Hospital that opened in 2006</w:t>
      </w:r>
      <w:r w:rsidR="001935F4">
        <w:rPr>
          <w:rFonts w:asciiTheme="minorHAnsi" w:hAnsiTheme="minorHAnsi"/>
        </w:rPr>
        <w:t xml:space="preserve"> with a focus on endoscopy services</w:t>
      </w:r>
      <w:r w:rsidR="00EC664E" w:rsidRPr="76986DFC">
        <w:rPr>
          <w:rFonts w:asciiTheme="minorHAnsi" w:hAnsiTheme="minorHAnsi"/>
        </w:rPr>
        <w:t xml:space="preserve">. </w:t>
      </w:r>
      <w:r w:rsidR="00C37FFE" w:rsidRPr="76986DFC">
        <w:rPr>
          <w:rFonts w:asciiTheme="minorHAnsi" w:hAnsiTheme="minorHAnsi"/>
        </w:rPr>
        <w:t>The Center</w:t>
      </w:r>
      <w:r w:rsidR="77337263" w:rsidRPr="316E7642">
        <w:rPr>
          <w:rFonts w:asciiTheme="minorHAnsi" w:hAnsiTheme="minorHAnsi"/>
        </w:rPr>
        <w:t xml:space="preserve"> </w:t>
      </w:r>
      <w:r w:rsidR="77337263" w:rsidRPr="3691FEA0">
        <w:rPr>
          <w:rFonts w:asciiTheme="minorHAnsi" w:hAnsiTheme="minorHAnsi"/>
        </w:rPr>
        <w:t xml:space="preserve">operates as </w:t>
      </w:r>
      <w:r w:rsidR="77337263" w:rsidRPr="33209B0A">
        <w:rPr>
          <w:rFonts w:asciiTheme="minorHAnsi" w:hAnsiTheme="minorHAnsi"/>
        </w:rPr>
        <w:t>a</w:t>
      </w:r>
      <w:r w:rsidR="77337263" w:rsidRPr="3691FEA0">
        <w:rPr>
          <w:rFonts w:asciiTheme="minorHAnsi" w:hAnsiTheme="minorHAnsi"/>
        </w:rPr>
        <w:t xml:space="preserve"> </w:t>
      </w:r>
      <w:r w:rsidR="77337263" w:rsidRPr="02A871F1">
        <w:rPr>
          <w:rFonts w:asciiTheme="minorHAnsi" w:hAnsiTheme="minorHAnsi"/>
        </w:rPr>
        <w:t xml:space="preserve">single </w:t>
      </w:r>
      <w:r w:rsidR="77337263" w:rsidRPr="4744D0D6">
        <w:rPr>
          <w:rFonts w:asciiTheme="minorHAnsi" w:hAnsiTheme="minorHAnsi"/>
        </w:rPr>
        <w:t>specialty HOPD providing endoscopy and</w:t>
      </w:r>
      <w:r w:rsidR="00FD42DC" w:rsidRPr="76986DFC">
        <w:rPr>
          <w:rFonts w:asciiTheme="minorHAnsi" w:hAnsiTheme="minorHAnsi"/>
        </w:rPr>
        <w:t xml:space="preserve"> </w:t>
      </w:r>
      <w:r w:rsidR="00B91846">
        <w:rPr>
          <w:rFonts w:asciiTheme="minorHAnsi" w:hAnsiTheme="minorHAnsi"/>
        </w:rPr>
        <w:t xml:space="preserve">currently has </w:t>
      </w:r>
      <w:r w:rsidR="00FD42DC" w:rsidRPr="76986DFC">
        <w:rPr>
          <w:rFonts w:asciiTheme="minorHAnsi" w:hAnsiTheme="minorHAnsi"/>
        </w:rPr>
        <w:t>five</w:t>
      </w:r>
      <w:r w:rsidR="00BF6969" w:rsidRPr="76986DFC">
        <w:rPr>
          <w:rFonts w:asciiTheme="minorHAnsi" w:hAnsiTheme="minorHAnsi"/>
        </w:rPr>
        <w:t xml:space="preserve"> endoscopy</w:t>
      </w:r>
      <w:r w:rsidR="00FD42DC" w:rsidRPr="76986DFC">
        <w:rPr>
          <w:rFonts w:asciiTheme="minorHAnsi" w:hAnsiTheme="minorHAnsi"/>
        </w:rPr>
        <w:t xml:space="preserve"> procedure rooms and 15 </w:t>
      </w:r>
      <w:r w:rsidR="00BF6969" w:rsidRPr="76986DFC">
        <w:rPr>
          <w:rFonts w:asciiTheme="minorHAnsi" w:hAnsiTheme="minorHAnsi"/>
        </w:rPr>
        <w:t xml:space="preserve">endoscopy </w:t>
      </w:r>
      <w:r w:rsidR="00FD42DC" w:rsidRPr="76986DFC">
        <w:rPr>
          <w:rFonts w:asciiTheme="minorHAnsi" w:hAnsiTheme="minorHAnsi"/>
        </w:rPr>
        <w:t>pre/post procedure bays.</w:t>
      </w:r>
      <w:r w:rsidR="00BD24E3">
        <w:rPr>
          <w:rStyle w:val="FootnoteReference"/>
          <w:rFonts w:asciiTheme="minorHAnsi" w:hAnsiTheme="minorHAnsi"/>
        </w:rPr>
        <w:footnoteReference w:id="4"/>
      </w:r>
      <w:r w:rsidR="00FD42DC" w:rsidRPr="76986DFC">
        <w:rPr>
          <w:rFonts w:asciiTheme="minorHAnsi" w:hAnsiTheme="minorHAnsi"/>
        </w:rPr>
        <w:t xml:space="preserve"> </w:t>
      </w:r>
      <w:r w:rsidR="00C37FFE" w:rsidRPr="76986DFC">
        <w:rPr>
          <w:rFonts w:asciiTheme="minorHAnsi" w:hAnsiTheme="minorHAnsi"/>
        </w:rPr>
        <w:t>The Center</w:t>
      </w:r>
      <w:r w:rsidR="00EA06D0" w:rsidRPr="76986DFC">
        <w:rPr>
          <w:rFonts w:asciiTheme="minorHAnsi" w:hAnsiTheme="minorHAnsi"/>
        </w:rPr>
        <w:t xml:space="preserve"> provides outpatient diagnostic and preventive care. </w:t>
      </w:r>
    </w:p>
    <w:p w14:paraId="7ABBF797" w14:textId="77777777" w:rsidR="003556E4" w:rsidRDefault="003556E4" w:rsidP="00C316C3">
      <w:pPr>
        <w:pStyle w:val="BodyText"/>
        <w:rPr>
          <w:rFonts w:asciiTheme="minorHAnsi" w:hAnsiTheme="minorHAnsi"/>
        </w:rPr>
      </w:pPr>
    </w:p>
    <w:p w14:paraId="38015343" w14:textId="3FF28758" w:rsidR="00B447F3" w:rsidRDefault="00A4110F" w:rsidP="007E5A7F">
      <w:pPr>
        <w:pStyle w:val="Heading3"/>
      </w:pPr>
      <w:r w:rsidRPr="003708FC">
        <w:t>Application Overview</w:t>
      </w:r>
    </w:p>
    <w:p w14:paraId="778BBB7B" w14:textId="77777777" w:rsidR="000C7AF1" w:rsidRDefault="00573CE8" w:rsidP="00C316C3">
      <w:pPr>
        <w:pStyle w:val="BodyText"/>
      </w:pPr>
      <w:r>
        <w:t xml:space="preserve">Per </w:t>
      </w:r>
      <w:proofErr w:type="spellStart"/>
      <w:r>
        <w:t>DoN</w:t>
      </w:r>
      <w:proofErr w:type="spellEnd"/>
      <w:r>
        <w:t xml:space="preserve"> Regulation, </w:t>
      </w:r>
      <w:r w:rsidRPr="00573CE8">
        <w:t>100.715(B)(2)(a)</w:t>
      </w:r>
      <w:r>
        <w:t>(</w:t>
      </w:r>
      <w:r w:rsidRPr="00573CE8">
        <w:t>2</w:t>
      </w:r>
      <w:r>
        <w:t xml:space="preserve">) the Applicant is proposing </w:t>
      </w:r>
      <w:r w:rsidR="00FE014C" w:rsidRPr="00307C7F">
        <w:rPr>
          <w:i/>
          <w:iCs/>
        </w:rPr>
        <w:t>An Expansion of Ambulatory Surgery capacity located on a satellite campus of an existing Hospital for which the Applicant has or is a participant in a Certified ACO</w:t>
      </w:r>
      <w:r w:rsidR="00FE014C">
        <w:t xml:space="preserve">. Staff consulted the </w:t>
      </w:r>
      <w:proofErr w:type="spellStart"/>
      <w:r w:rsidR="00FE014C">
        <w:t>DoN</w:t>
      </w:r>
      <w:proofErr w:type="spellEnd"/>
      <w:r w:rsidR="00FE014C">
        <w:t xml:space="preserve"> P</w:t>
      </w:r>
      <w:r w:rsidR="003C7D84">
        <w:t>rograms current memorandum (</w:t>
      </w:r>
      <w:r w:rsidR="00E92905" w:rsidRPr="00E92905">
        <w:t>Primary Service Area (PSA) of Independent Community Hospitals with respect to Ambulatory Surgery Centers</w:t>
      </w:r>
      <w:r w:rsidR="00E92905">
        <w:t>)</w:t>
      </w:r>
      <w:r w:rsidR="00F30865">
        <w:t>.</w:t>
      </w:r>
      <w:r w:rsidR="00E92905">
        <w:t xml:space="preserve"> </w:t>
      </w:r>
      <w:r w:rsidR="00C37FFE">
        <w:t>The Center</w:t>
      </w:r>
      <w:r w:rsidR="00E92905">
        <w:t xml:space="preserve"> is not located with</w:t>
      </w:r>
      <w:r w:rsidR="00754BEA">
        <w:t>in</w:t>
      </w:r>
      <w:r w:rsidR="00E92905">
        <w:t xml:space="preserve"> the PSA of an Independent Community Hospital.</w:t>
      </w:r>
      <w:r w:rsidR="000C14DE" w:rsidRPr="000C14DE">
        <w:rPr>
          <w:vertAlign w:val="superscript"/>
        </w:rPr>
        <w:footnoteReference w:id="5"/>
      </w:r>
      <w:r w:rsidRPr="00573CE8">
        <w:t xml:space="preserve"> </w:t>
      </w:r>
    </w:p>
    <w:p w14:paraId="2BA1348E" w14:textId="77777777" w:rsidR="000C7AF1" w:rsidRDefault="000C7AF1" w:rsidP="00C316C3">
      <w:pPr>
        <w:pStyle w:val="BodyText"/>
      </w:pPr>
    </w:p>
    <w:p w14:paraId="045C6194" w14:textId="79B2DC16" w:rsidR="006B144B" w:rsidRDefault="005555E7" w:rsidP="00C316C3">
      <w:pPr>
        <w:pStyle w:val="BodyText"/>
      </w:pPr>
      <w:r w:rsidRPr="005555E7">
        <w:t xml:space="preserve">The Applicant is proposing to expand the number of procedure rooms and pre/post </w:t>
      </w:r>
      <w:r w:rsidR="002C12E9">
        <w:t>procedure</w:t>
      </w:r>
      <w:r w:rsidRPr="005555E7">
        <w:t xml:space="preserve"> bays at </w:t>
      </w:r>
      <w:r w:rsidR="00622615">
        <w:t>t</w:t>
      </w:r>
      <w:r w:rsidR="00C37FFE">
        <w:t>he Center</w:t>
      </w:r>
      <w:r w:rsidR="00FF0504">
        <w:t xml:space="preserve"> to address Patient Panel need for timely access to endoscopy services. </w:t>
      </w:r>
      <w:r w:rsidR="005D21C9">
        <w:t>The</w:t>
      </w:r>
      <w:r w:rsidR="00BF6969">
        <w:t xml:space="preserve"> Applicant states that the</w:t>
      </w:r>
      <w:r w:rsidR="005D21C9">
        <w:t xml:space="preserve"> addition of procedures rooms and pre/post procedure bays will improve the Center’s ability to efficiently manage patient flow and recovery. </w:t>
      </w:r>
      <w:r w:rsidR="00FF0504">
        <w:t xml:space="preserve">Table </w:t>
      </w:r>
      <w:r w:rsidR="00A15FBE">
        <w:t>2</w:t>
      </w:r>
      <w:r w:rsidR="00FF0504">
        <w:t xml:space="preserve"> provides an overview of the Proposed Project. </w:t>
      </w:r>
    </w:p>
    <w:p w14:paraId="6D9DDF72" w14:textId="77777777" w:rsidR="00FF0504" w:rsidRDefault="00FF0504" w:rsidP="00C316C3">
      <w:pPr>
        <w:pStyle w:val="BodyText"/>
      </w:pPr>
    </w:p>
    <w:p w14:paraId="4E519EC4" w14:textId="19C95400" w:rsidR="00374A5A" w:rsidRPr="00374A5A" w:rsidRDefault="00374A5A" w:rsidP="00374A5A">
      <w:pPr>
        <w:rPr>
          <w:b/>
          <w:bCs/>
          <w:szCs w:val="24"/>
        </w:rPr>
      </w:pPr>
      <w:r w:rsidRPr="00374A5A">
        <w:rPr>
          <w:b/>
          <w:bCs/>
          <w:szCs w:val="24"/>
          <w:u w:val="single"/>
        </w:rPr>
        <w:t xml:space="preserve">Table </w:t>
      </w:r>
      <w:r w:rsidR="00A15FBE">
        <w:rPr>
          <w:b/>
          <w:bCs/>
          <w:szCs w:val="24"/>
          <w:u w:val="single"/>
        </w:rPr>
        <w:t>2</w:t>
      </w:r>
      <w:r w:rsidRPr="00374A5A">
        <w:rPr>
          <w:b/>
          <w:bCs/>
          <w:szCs w:val="24"/>
        </w:rPr>
        <w:t xml:space="preserve">: Overview of Proposed Project at </w:t>
      </w:r>
      <w:r w:rsidR="000B68AE">
        <w:rPr>
          <w:b/>
          <w:bCs/>
          <w:szCs w:val="24"/>
        </w:rPr>
        <w:t>t</w:t>
      </w:r>
      <w:r w:rsidR="00C37FFE">
        <w:rPr>
          <w:b/>
          <w:bCs/>
          <w:szCs w:val="24"/>
        </w:rPr>
        <w:t>he Center</w:t>
      </w:r>
      <w:r>
        <w:rPr>
          <w:b/>
          <w:bCs/>
          <w:szCs w:val="24"/>
        </w:rPr>
        <w:t xml:space="preserve"> </w:t>
      </w:r>
      <w:r w:rsidRPr="00374A5A">
        <w:rPr>
          <w:b/>
          <w:bCs/>
          <w:szCs w:val="24"/>
        </w:rPr>
        <w:t xml:space="preserve"> </w:t>
      </w:r>
    </w:p>
    <w:tbl>
      <w:tblPr>
        <w:tblStyle w:val="TableGrid"/>
        <w:tblW w:w="0" w:type="auto"/>
        <w:tblLook w:val="04A0" w:firstRow="1" w:lastRow="0" w:firstColumn="1" w:lastColumn="0" w:noHBand="0" w:noVBand="1"/>
        <w:tblCaption w:val="Overview of Proposed Project at the Center"/>
      </w:tblPr>
      <w:tblGrid>
        <w:gridCol w:w="2628"/>
        <w:gridCol w:w="976"/>
        <w:gridCol w:w="1162"/>
        <w:gridCol w:w="725"/>
      </w:tblGrid>
      <w:tr w:rsidR="00374A5A" w:rsidRPr="00374A5A" w14:paraId="62A94E75" w14:textId="77777777" w:rsidTr="000B32ED">
        <w:trPr>
          <w:cantSplit/>
          <w:tblHeader/>
        </w:trPr>
        <w:tc>
          <w:tcPr>
            <w:tcW w:w="0" w:type="auto"/>
          </w:tcPr>
          <w:p w14:paraId="2C449AEC" w14:textId="0AF337F0" w:rsidR="00374A5A" w:rsidRPr="00374A5A" w:rsidRDefault="009F4894" w:rsidP="00374A5A">
            <w:pPr>
              <w:rPr>
                <w:rFonts w:asciiTheme="minorHAnsi" w:hAnsiTheme="minorHAnsi"/>
                <w:b/>
                <w:bCs/>
                <w:szCs w:val="24"/>
              </w:rPr>
            </w:pPr>
            <w:r>
              <w:rPr>
                <w:rFonts w:asciiTheme="minorHAnsi" w:hAnsiTheme="minorHAnsi"/>
                <w:b/>
                <w:bCs/>
                <w:szCs w:val="24"/>
              </w:rPr>
              <w:t>Type</w:t>
            </w:r>
          </w:p>
        </w:tc>
        <w:tc>
          <w:tcPr>
            <w:tcW w:w="0" w:type="auto"/>
            <w:shd w:val="clear" w:color="auto" w:fill="DBE5F1" w:themeFill="accent1" w:themeFillTint="33"/>
          </w:tcPr>
          <w:p w14:paraId="5EF821C7" w14:textId="77777777" w:rsidR="00374A5A" w:rsidRPr="00374A5A" w:rsidRDefault="00374A5A" w:rsidP="00374A5A">
            <w:pPr>
              <w:jc w:val="center"/>
              <w:rPr>
                <w:rFonts w:asciiTheme="minorHAnsi" w:hAnsiTheme="minorHAnsi"/>
                <w:b/>
                <w:bCs/>
                <w:szCs w:val="24"/>
              </w:rPr>
            </w:pPr>
            <w:r w:rsidRPr="00374A5A">
              <w:rPr>
                <w:rFonts w:asciiTheme="minorHAnsi" w:hAnsiTheme="minorHAnsi"/>
                <w:b/>
                <w:bCs/>
                <w:szCs w:val="24"/>
              </w:rPr>
              <w:t>Current</w:t>
            </w:r>
          </w:p>
        </w:tc>
        <w:tc>
          <w:tcPr>
            <w:tcW w:w="0" w:type="auto"/>
            <w:shd w:val="clear" w:color="auto" w:fill="DBE5F1" w:themeFill="accent1" w:themeFillTint="33"/>
          </w:tcPr>
          <w:p w14:paraId="7034CB85" w14:textId="77777777" w:rsidR="00374A5A" w:rsidRPr="00374A5A" w:rsidRDefault="00374A5A" w:rsidP="00374A5A">
            <w:pPr>
              <w:jc w:val="center"/>
              <w:rPr>
                <w:rFonts w:asciiTheme="minorHAnsi" w:hAnsiTheme="minorHAnsi"/>
                <w:b/>
                <w:bCs/>
                <w:szCs w:val="24"/>
              </w:rPr>
            </w:pPr>
            <w:r w:rsidRPr="00374A5A">
              <w:rPr>
                <w:rFonts w:asciiTheme="minorHAnsi" w:hAnsiTheme="minorHAnsi"/>
                <w:b/>
                <w:bCs/>
                <w:szCs w:val="24"/>
              </w:rPr>
              <w:t>Proposed</w:t>
            </w:r>
          </w:p>
        </w:tc>
        <w:tc>
          <w:tcPr>
            <w:tcW w:w="0" w:type="auto"/>
            <w:shd w:val="clear" w:color="auto" w:fill="DBE5F1" w:themeFill="accent1" w:themeFillTint="33"/>
          </w:tcPr>
          <w:p w14:paraId="3470B3AA" w14:textId="77777777" w:rsidR="00374A5A" w:rsidRPr="00374A5A" w:rsidRDefault="00374A5A" w:rsidP="00374A5A">
            <w:pPr>
              <w:jc w:val="center"/>
              <w:rPr>
                <w:rFonts w:asciiTheme="minorHAnsi" w:hAnsiTheme="minorHAnsi"/>
                <w:b/>
                <w:bCs/>
                <w:szCs w:val="24"/>
              </w:rPr>
            </w:pPr>
            <w:r w:rsidRPr="00374A5A">
              <w:rPr>
                <w:rFonts w:asciiTheme="minorHAnsi" w:hAnsiTheme="minorHAnsi"/>
                <w:b/>
                <w:bCs/>
                <w:szCs w:val="24"/>
              </w:rPr>
              <w:t>Total</w:t>
            </w:r>
          </w:p>
        </w:tc>
      </w:tr>
      <w:tr w:rsidR="00374A5A" w:rsidRPr="00374A5A" w14:paraId="2EF4D9CF" w14:textId="77777777" w:rsidTr="000B32ED">
        <w:trPr>
          <w:cantSplit/>
        </w:trPr>
        <w:tc>
          <w:tcPr>
            <w:tcW w:w="0" w:type="auto"/>
          </w:tcPr>
          <w:p w14:paraId="1433C635" w14:textId="77777777" w:rsidR="00374A5A" w:rsidRPr="00374A5A" w:rsidRDefault="00374A5A" w:rsidP="00374A5A">
            <w:pPr>
              <w:rPr>
                <w:rFonts w:asciiTheme="minorHAnsi" w:hAnsiTheme="minorHAnsi"/>
                <w:szCs w:val="24"/>
              </w:rPr>
            </w:pPr>
            <w:r w:rsidRPr="00374A5A">
              <w:rPr>
                <w:rFonts w:asciiTheme="minorHAnsi" w:hAnsiTheme="minorHAnsi"/>
                <w:szCs w:val="24"/>
              </w:rPr>
              <w:t>Procedure Rooms</w:t>
            </w:r>
          </w:p>
        </w:tc>
        <w:tc>
          <w:tcPr>
            <w:tcW w:w="0" w:type="auto"/>
          </w:tcPr>
          <w:p w14:paraId="2147A1B8" w14:textId="4C1F0DB4" w:rsidR="00374A5A" w:rsidRPr="00374A5A" w:rsidRDefault="00374A5A" w:rsidP="00374A5A">
            <w:pPr>
              <w:jc w:val="center"/>
              <w:rPr>
                <w:rFonts w:asciiTheme="minorHAnsi" w:hAnsiTheme="minorHAnsi"/>
                <w:szCs w:val="24"/>
              </w:rPr>
            </w:pPr>
            <w:r>
              <w:rPr>
                <w:rFonts w:asciiTheme="minorHAnsi" w:hAnsiTheme="minorHAnsi"/>
                <w:szCs w:val="24"/>
              </w:rPr>
              <w:t>5</w:t>
            </w:r>
          </w:p>
        </w:tc>
        <w:tc>
          <w:tcPr>
            <w:tcW w:w="0" w:type="auto"/>
          </w:tcPr>
          <w:p w14:paraId="5413C7BD" w14:textId="75D5D913" w:rsidR="00374A5A" w:rsidRPr="00374A5A" w:rsidRDefault="00374A5A" w:rsidP="00374A5A">
            <w:pPr>
              <w:jc w:val="center"/>
              <w:rPr>
                <w:rFonts w:asciiTheme="minorHAnsi" w:hAnsiTheme="minorHAnsi"/>
                <w:szCs w:val="24"/>
              </w:rPr>
            </w:pPr>
            <w:r>
              <w:rPr>
                <w:rFonts w:asciiTheme="minorHAnsi" w:hAnsiTheme="minorHAnsi"/>
                <w:szCs w:val="24"/>
              </w:rPr>
              <w:t>+3</w:t>
            </w:r>
          </w:p>
        </w:tc>
        <w:tc>
          <w:tcPr>
            <w:tcW w:w="0" w:type="auto"/>
          </w:tcPr>
          <w:p w14:paraId="15E28AD5" w14:textId="16647C26" w:rsidR="00374A5A" w:rsidRPr="00374A5A" w:rsidRDefault="00374A5A" w:rsidP="00374A5A">
            <w:pPr>
              <w:jc w:val="center"/>
              <w:rPr>
                <w:rFonts w:asciiTheme="minorHAnsi" w:hAnsiTheme="minorHAnsi"/>
                <w:szCs w:val="24"/>
              </w:rPr>
            </w:pPr>
            <w:r>
              <w:rPr>
                <w:rFonts w:asciiTheme="minorHAnsi" w:hAnsiTheme="minorHAnsi"/>
                <w:szCs w:val="24"/>
              </w:rPr>
              <w:t>8</w:t>
            </w:r>
          </w:p>
        </w:tc>
      </w:tr>
      <w:tr w:rsidR="00374A5A" w:rsidRPr="00374A5A" w14:paraId="73E4A5F5" w14:textId="77777777" w:rsidTr="000B32ED">
        <w:trPr>
          <w:cantSplit/>
        </w:trPr>
        <w:tc>
          <w:tcPr>
            <w:tcW w:w="0" w:type="auto"/>
          </w:tcPr>
          <w:p w14:paraId="0254982B" w14:textId="78F05CF3" w:rsidR="00374A5A" w:rsidRPr="00374A5A" w:rsidRDefault="00374A5A" w:rsidP="00374A5A">
            <w:pPr>
              <w:rPr>
                <w:rFonts w:asciiTheme="minorHAnsi" w:hAnsiTheme="minorHAnsi"/>
                <w:szCs w:val="24"/>
              </w:rPr>
            </w:pPr>
            <w:r w:rsidRPr="00374A5A">
              <w:rPr>
                <w:rFonts w:asciiTheme="minorHAnsi" w:hAnsiTheme="minorHAnsi"/>
                <w:szCs w:val="24"/>
              </w:rPr>
              <w:t xml:space="preserve">Pre/Post </w:t>
            </w:r>
            <w:r w:rsidR="00CB6268">
              <w:rPr>
                <w:rFonts w:asciiTheme="minorHAnsi" w:hAnsiTheme="minorHAnsi"/>
                <w:szCs w:val="24"/>
              </w:rPr>
              <w:t>Procedure</w:t>
            </w:r>
            <w:r w:rsidRPr="00374A5A">
              <w:rPr>
                <w:rFonts w:asciiTheme="minorHAnsi" w:hAnsiTheme="minorHAnsi"/>
                <w:szCs w:val="24"/>
              </w:rPr>
              <w:t xml:space="preserve"> Bays </w:t>
            </w:r>
          </w:p>
        </w:tc>
        <w:tc>
          <w:tcPr>
            <w:tcW w:w="0" w:type="auto"/>
          </w:tcPr>
          <w:p w14:paraId="025E656B" w14:textId="35BBF205" w:rsidR="00374A5A" w:rsidRPr="00374A5A" w:rsidRDefault="00374A5A" w:rsidP="00374A5A">
            <w:pPr>
              <w:jc w:val="center"/>
              <w:rPr>
                <w:rFonts w:asciiTheme="minorHAnsi" w:hAnsiTheme="minorHAnsi"/>
                <w:szCs w:val="24"/>
              </w:rPr>
            </w:pPr>
            <w:r>
              <w:rPr>
                <w:rFonts w:asciiTheme="minorHAnsi" w:hAnsiTheme="minorHAnsi"/>
                <w:szCs w:val="24"/>
              </w:rPr>
              <w:t>15</w:t>
            </w:r>
          </w:p>
        </w:tc>
        <w:tc>
          <w:tcPr>
            <w:tcW w:w="0" w:type="auto"/>
          </w:tcPr>
          <w:p w14:paraId="7A656B66" w14:textId="2D3788C6" w:rsidR="00374A5A" w:rsidRPr="00374A5A" w:rsidRDefault="00374A5A" w:rsidP="00374A5A">
            <w:pPr>
              <w:jc w:val="center"/>
              <w:rPr>
                <w:rFonts w:asciiTheme="minorHAnsi" w:hAnsiTheme="minorHAnsi"/>
                <w:szCs w:val="24"/>
              </w:rPr>
            </w:pPr>
            <w:r>
              <w:rPr>
                <w:rFonts w:asciiTheme="minorHAnsi" w:hAnsiTheme="minorHAnsi"/>
                <w:szCs w:val="24"/>
              </w:rPr>
              <w:t>+7</w:t>
            </w:r>
          </w:p>
        </w:tc>
        <w:tc>
          <w:tcPr>
            <w:tcW w:w="0" w:type="auto"/>
          </w:tcPr>
          <w:p w14:paraId="1FD61B5E" w14:textId="4D897364" w:rsidR="00374A5A" w:rsidRPr="00374A5A" w:rsidRDefault="00374A5A" w:rsidP="00374A5A">
            <w:pPr>
              <w:jc w:val="center"/>
              <w:rPr>
                <w:rFonts w:asciiTheme="minorHAnsi" w:hAnsiTheme="minorHAnsi"/>
                <w:szCs w:val="24"/>
              </w:rPr>
            </w:pPr>
            <w:r>
              <w:rPr>
                <w:rFonts w:asciiTheme="minorHAnsi" w:hAnsiTheme="minorHAnsi"/>
                <w:szCs w:val="24"/>
              </w:rPr>
              <w:t>22</w:t>
            </w:r>
          </w:p>
        </w:tc>
      </w:tr>
    </w:tbl>
    <w:p w14:paraId="682F6087" w14:textId="77777777" w:rsidR="00FF0504" w:rsidRDefault="00FF0504" w:rsidP="00C316C3">
      <w:pPr>
        <w:pStyle w:val="BodyText"/>
      </w:pPr>
    </w:p>
    <w:p w14:paraId="08D14C13" w14:textId="71248C2B" w:rsidR="008840CA" w:rsidRDefault="008840CA" w:rsidP="00C316C3">
      <w:pPr>
        <w:pStyle w:val="BodyText"/>
      </w:pPr>
      <w:r>
        <w:t xml:space="preserve">The Applicant asserts that the Proposed Project is needed </w:t>
      </w:r>
      <w:r w:rsidR="00B23D9C">
        <w:t>because</w:t>
      </w:r>
      <w:r w:rsidR="009F5AC0">
        <w:t xml:space="preserve"> </w:t>
      </w:r>
      <w:r w:rsidR="00B23D9C">
        <w:t>t</w:t>
      </w:r>
      <w:r w:rsidR="00536D4F">
        <w:t xml:space="preserve">he Center’s </w:t>
      </w:r>
      <w:r w:rsidR="00B23D9C">
        <w:t>existing</w:t>
      </w:r>
      <w:r w:rsidR="009F5AC0">
        <w:t xml:space="preserve"> procedure room capacity </w:t>
      </w:r>
      <w:r w:rsidR="00536D4F">
        <w:t xml:space="preserve">is unable to accommodate the Center’s </w:t>
      </w:r>
      <w:r w:rsidR="00754BEA">
        <w:t xml:space="preserve">large </w:t>
      </w:r>
      <w:r w:rsidR="00536D4F">
        <w:t xml:space="preserve">increase </w:t>
      </w:r>
      <w:r w:rsidR="00754BEA">
        <w:t xml:space="preserve">in </w:t>
      </w:r>
      <w:r w:rsidR="00536D4F">
        <w:t xml:space="preserve">procedure volume which is resulting in </w:t>
      </w:r>
      <w:r w:rsidR="009F5AC0">
        <w:t>long wait</w:t>
      </w:r>
      <w:r w:rsidR="008C443A">
        <w:t>-</w:t>
      </w:r>
      <w:r w:rsidR="009F5AC0">
        <w:t xml:space="preserve">times for </w:t>
      </w:r>
      <w:r w:rsidR="005A2A02">
        <w:t xml:space="preserve">procedures for </w:t>
      </w:r>
      <w:r w:rsidR="009F5AC0">
        <w:t xml:space="preserve">the Applicant’s Patient Panel. </w:t>
      </w:r>
      <w:r>
        <w:t xml:space="preserve">The </w:t>
      </w:r>
      <w:r w:rsidR="001E7810">
        <w:t xml:space="preserve">Applicant </w:t>
      </w:r>
      <w:r w:rsidR="00B23D9C">
        <w:t>states</w:t>
      </w:r>
      <w:r w:rsidR="001E7810">
        <w:t xml:space="preserve"> that the Proposed Project will address several sources of increasing need for the Center’s endoscopy services including </w:t>
      </w:r>
      <w:r w:rsidR="00AE4402">
        <w:t>long wait times</w:t>
      </w:r>
      <w:r w:rsidR="001E7810">
        <w:t xml:space="preserve"> for endoscopy</w:t>
      </w:r>
      <w:r w:rsidR="00B23D9C">
        <w:t xml:space="preserve"> services</w:t>
      </w:r>
      <w:r w:rsidR="001E7810">
        <w:t xml:space="preserve"> in the BILH system, specifically </w:t>
      </w:r>
      <w:r w:rsidR="00B23D9C">
        <w:t xml:space="preserve">for </w:t>
      </w:r>
      <w:r w:rsidR="00C76240">
        <w:t xml:space="preserve">Lahey Primary Care (Lahey) </w:t>
      </w:r>
      <w:r w:rsidR="001E7810">
        <w:t xml:space="preserve">and </w:t>
      </w:r>
      <w:r w:rsidR="00C76240">
        <w:t>Beth Israel Deaconess Medical Center (BIDMC) Gastroenterology</w:t>
      </w:r>
      <w:r w:rsidR="00FD73BC">
        <w:t xml:space="preserve"> (GI)</w:t>
      </w:r>
      <w:r w:rsidR="00C76240">
        <w:t xml:space="preserve"> </w:t>
      </w:r>
      <w:r w:rsidR="00B23D9C">
        <w:lastRenderedPageBreak/>
        <w:t>patients</w:t>
      </w:r>
      <w:r w:rsidR="01D70CC8">
        <w:t>;</w:t>
      </w:r>
      <w:r w:rsidR="001E7810">
        <w:t xml:space="preserve"> increasing need </w:t>
      </w:r>
      <w:r w:rsidR="00B23D9C">
        <w:t xml:space="preserve">for endoscopy services </w:t>
      </w:r>
      <w:r w:rsidR="001E7810">
        <w:t>in</w:t>
      </w:r>
      <w:r w:rsidR="00E33E1B">
        <w:t xml:space="preserve"> </w:t>
      </w:r>
      <w:r w:rsidR="00836C27">
        <w:t>Winchester Hospital’s</w:t>
      </w:r>
      <w:r w:rsidR="001E7810">
        <w:t xml:space="preserve"> service area and</w:t>
      </w:r>
      <w:r w:rsidR="00054502">
        <w:t xml:space="preserve"> </w:t>
      </w:r>
      <w:r w:rsidR="00B23D9C">
        <w:t xml:space="preserve">from </w:t>
      </w:r>
      <w:r w:rsidR="00054502">
        <w:t>Winchester Hospital</w:t>
      </w:r>
      <w:r w:rsidR="001E7810">
        <w:t xml:space="preserve"> patients </w:t>
      </w:r>
      <w:r w:rsidR="00054502">
        <w:t>with an active order for a colonoscopy</w:t>
      </w:r>
      <w:r w:rsidR="3F4CEC25">
        <w:t>;</w:t>
      </w:r>
      <w:r w:rsidR="00054502">
        <w:t xml:space="preserve"> and Winchester Hospital patients </w:t>
      </w:r>
      <w:r w:rsidR="0063766F">
        <w:t xml:space="preserve">that are </w:t>
      </w:r>
      <w:r w:rsidR="00054502">
        <w:t xml:space="preserve">eligible for </w:t>
      </w:r>
      <w:r w:rsidR="002973BD">
        <w:t xml:space="preserve">their screening </w:t>
      </w:r>
      <w:r w:rsidR="00054502">
        <w:t xml:space="preserve">colonoscopy </w:t>
      </w:r>
      <w:r w:rsidR="00DD0CE0">
        <w:t xml:space="preserve">and </w:t>
      </w:r>
      <w:r w:rsidR="001E7810">
        <w:t xml:space="preserve">waiting for </w:t>
      </w:r>
      <w:r w:rsidR="00DD0CE0">
        <w:t xml:space="preserve">a referral from their </w:t>
      </w:r>
      <w:r w:rsidR="009C44C8">
        <w:t>primary care physician (PCP)</w:t>
      </w:r>
      <w:r w:rsidR="001E7810">
        <w:t xml:space="preserve">. </w:t>
      </w:r>
      <w:r w:rsidR="00AE4402">
        <w:t xml:space="preserve">This will be discussed further in Factor 1a: Patient Panel Need. </w:t>
      </w:r>
    </w:p>
    <w:p w14:paraId="65DFAD0D" w14:textId="77777777" w:rsidR="008840CA" w:rsidRDefault="008840CA" w:rsidP="00C316C3">
      <w:pPr>
        <w:pStyle w:val="BodyText"/>
      </w:pPr>
    </w:p>
    <w:p w14:paraId="499CFCDA" w14:textId="335D3B28" w:rsidR="000E033F" w:rsidRDefault="000E033F" w:rsidP="00C316C3">
      <w:pPr>
        <w:pStyle w:val="BodyText"/>
      </w:pPr>
      <w:r>
        <w:t xml:space="preserve">The Applicant notes several design features of the Center that will allow for the expansion to be efficient, cost-effective, and minimize disruption to patient care. </w:t>
      </w:r>
    </w:p>
    <w:p w14:paraId="6B4CF31A" w14:textId="07B76086" w:rsidR="000E033F" w:rsidRDefault="000E033F" w:rsidP="00C9571B">
      <w:pPr>
        <w:pStyle w:val="BodyText"/>
        <w:numPr>
          <w:ilvl w:val="0"/>
          <w:numId w:val="7"/>
        </w:numPr>
      </w:pPr>
      <w:r>
        <w:t xml:space="preserve">The Center’s design and operational flow allow for renovations to be carried out with minimal impact to clinical services. </w:t>
      </w:r>
    </w:p>
    <w:p w14:paraId="63ED7F0E" w14:textId="641EA78B" w:rsidR="000E033F" w:rsidRDefault="000E033F" w:rsidP="00C9571B">
      <w:pPr>
        <w:pStyle w:val="BodyText"/>
        <w:numPr>
          <w:ilvl w:val="0"/>
          <w:numId w:val="7"/>
        </w:numPr>
      </w:pPr>
      <w:r>
        <w:t>The proposed renovations to the Center are not expected to be significant, which will allow for a cost-effective and time-sensitive expansion of services.</w:t>
      </w:r>
    </w:p>
    <w:p w14:paraId="4FB38550" w14:textId="24A61B61" w:rsidR="000E033F" w:rsidRDefault="000E033F" w:rsidP="00C9571B">
      <w:pPr>
        <w:pStyle w:val="BodyText"/>
        <w:numPr>
          <w:ilvl w:val="0"/>
          <w:numId w:val="7"/>
        </w:numPr>
      </w:pPr>
      <w:r>
        <w:t>The Center’s central location makes it easily accessible for both Lahey and BIDM</w:t>
      </w:r>
      <w:r w:rsidR="0063766F">
        <w:t>C</w:t>
      </w:r>
      <w:r>
        <w:t xml:space="preserve"> patients</w:t>
      </w:r>
      <w:r w:rsidR="00976297">
        <w:t xml:space="preserve">, and increasing the Center’s capacity to take on these patients will help to alleviate BILH system-wide wait times for endoscopy. </w:t>
      </w:r>
    </w:p>
    <w:p w14:paraId="6CD94113" w14:textId="7240F364" w:rsidR="00397EE7" w:rsidRDefault="00397EE7" w:rsidP="00C9571B">
      <w:pPr>
        <w:pStyle w:val="BodyText"/>
        <w:numPr>
          <w:ilvl w:val="0"/>
          <w:numId w:val="7"/>
        </w:numPr>
      </w:pPr>
      <w:r>
        <w:t xml:space="preserve">The Center is a freestanding </w:t>
      </w:r>
      <w:r w:rsidR="00887D39">
        <w:t xml:space="preserve">building </w:t>
      </w:r>
      <w:r>
        <w:t xml:space="preserve">with dedicated parking and streamlined access, making it a convenient option for existing patients, and new patients that will be accommodated through the proposed expansion. </w:t>
      </w:r>
    </w:p>
    <w:p w14:paraId="3CCF3987" w14:textId="77777777" w:rsidR="00DD0CE0" w:rsidRDefault="00DD0CE0" w:rsidP="00DD0CE0">
      <w:pPr>
        <w:pStyle w:val="BodyText"/>
      </w:pPr>
    </w:p>
    <w:p w14:paraId="230A883B" w14:textId="58D6CAEC" w:rsidR="00DD0CE0" w:rsidRDefault="007A7F88" w:rsidP="00DD0CE0">
      <w:pPr>
        <w:pStyle w:val="BodyText"/>
      </w:pPr>
      <w:r>
        <w:t xml:space="preserve">The Applicant states that with increasing rates of </w:t>
      </w:r>
      <w:r w:rsidR="30B80389">
        <w:t>colorectal cancer (</w:t>
      </w:r>
      <w:r>
        <w:t>CRC</w:t>
      </w:r>
      <w:r w:rsidR="3AA797DB">
        <w:t>)</w:t>
      </w:r>
      <w:r>
        <w:t xml:space="preserve">, particularly among younger populations, timely and equitable access to endoscopy services is required. </w:t>
      </w:r>
      <w:r w:rsidR="00DD0CE0">
        <w:t>The Applicant maintains t</w:t>
      </w:r>
      <w:r w:rsidR="00ED5372">
        <w:t xml:space="preserve">hat the Proposed Project will increase </w:t>
      </w:r>
      <w:r w:rsidR="00691882">
        <w:t xml:space="preserve">endoscopy </w:t>
      </w:r>
      <w:r w:rsidR="00ED5372">
        <w:t>procedural capacity, reduce wait</w:t>
      </w:r>
      <w:r w:rsidR="001D48D1">
        <w:t>-</w:t>
      </w:r>
      <w:r w:rsidR="00ED5372">
        <w:t xml:space="preserve">times, and improve access, and as such, the Center will play a critical role in advancing early detection of disease, improve clinical outcomes, and contain healthcare costs. </w:t>
      </w:r>
    </w:p>
    <w:p w14:paraId="268DCF3C" w14:textId="77777777" w:rsidR="00671A5B" w:rsidRDefault="00671A5B" w:rsidP="00DD0CE0">
      <w:pPr>
        <w:pStyle w:val="BodyText"/>
      </w:pPr>
    </w:p>
    <w:p w14:paraId="1759EA33" w14:textId="3EE4756F" w:rsidR="00671A5B" w:rsidRPr="00671A5B" w:rsidRDefault="00671A5B" w:rsidP="008879F5">
      <w:pPr>
        <w:pStyle w:val="Heading3"/>
      </w:pPr>
      <w:r w:rsidRPr="00671A5B">
        <w:t xml:space="preserve">Background: Winchester Hospital Endoscopy Services </w:t>
      </w:r>
    </w:p>
    <w:p w14:paraId="3E367466" w14:textId="49AF351D" w:rsidR="00437226" w:rsidRPr="00437226" w:rsidRDefault="0026409F" w:rsidP="76986DFC">
      <w:pPr>
        <w:pStyle w:val="BodyText"/>
        <w:spacing w:line="269" w:lineRule="exact"/>
        <w:rPr>
          <w:rFonts w:asciiTheme="minorHAnsi" w:hAnsiTheme="minorHAnsi"/>
        </w:rPr>
      </w:pPr>
      <w:r w:rsidRPr="76986DFC">
        <w:rPr>
          <w:rFonts w:asciiTheme="minorHAnsi" w:hAnsiTheme="minorHAnsi"/>
        </w:rPr>
        <w:t xml:space="preserve">Currently, </w:t>
      </w:r>
      <w:r w:rsidR="00671A5B" w:rsidRPr="76986DFC">
        <w:rPr>
          <w:rFonts w:asciiTheme="minorHAnsi" w:hAnsiTheme="minorHAnsi"/>
        </w:rPr>
        <w:t>Winchester Hospital provides outpatient endoscopy services at the Hospital’s main campus in Winchester</w:t>
      </w:r>
      <w:r w:rsidR="002D026D" w:rsidRPr="76986DFC">
        <w:rPr>
          <w:rFonts w:asciiTheme="minorHAnsi" w:hAnsiTheme="minorHAnsi"/>
        </w:rPr>
        <w:t xml:space="preserve"> (hospital outpatient department)</w:t>
      </w:r>
      <w:r w:rsidR="00671A5B" w:rsidRPr="76986DFC">
        <w:rPr>
          <w:rFonts w:asciiTheme="minorHAnsi" w:hAnsiTheme="minorHAnsi"/>
        </w:rPr>
        <w:t xml:space="preserve">, and at the Hospital’s satellite, the Center (hospital outpatient department), located in Woburn. </w:t>
      </w:r>
      <w:r w:rsidR="00437226" w:rsidRPr="76986DFC">
        <w:rPr>
          <w:rFonts w:asciiTheme="minorHAnsi" w:hAnsiTheme="minorHAnsi"/>
        </w:rPr>
        <w:t xml:space="preserve">The top 10 communities </w:t>
      </w:r>
      <w:r w:rsidRPr="76986DFC">
        <w:rPr>
          <w:rFonts w:asciiTheme="minorHAnsi" w:hAnsiTheme="minorHAnsi"/>
        </w:rPr>
        <w:t xml:space="preserve">served by </w:t>
      </w:r>
      <w:r w:rsidR="00437226" w:rsidRPr="76986DFC">
        <w:rPr>
          <w:rFonts w:asciiTheme="minorHAnsi" w:hAnsiTheme="minorHAnsi"/>
        </w:rPr>
        <w:t xml:space="preserve">Winchester Hospital – Main Campus Endoscopy </w:t>
      </w:r>
      <w:r w:rsidR="00262788" w:rsidRPr="76986DFC">
        <w:rPr>
          <w:rFonts w:asciiTheme="minorHAnsi" w:hAnsiTheme="minorHAnsi"/>
        </w:rPr>
        <w:t xml:space="preserve">based on </w:t>
      </w:r>
      <w:r w:rsidR="00437226" w:rsidRPr="76986DFC">
        <w:rPr>
          <w:rFonts w:asciiTheme="minorHAnsi" w:hAnsiTheme="minorHAnsi"/>
        </w:rPr>
        <w:t>patient</w:t>
      </w:r>
      <w:r w:rsidR="00262788" w:rsidRPr="76986DFC">
        <w:rPr>
          <w:rFonts w:asciiTheme="minorHAnsi" w:hAnsiTheme="minorHAnsi"/>
        </w:rPr>
        <w:t xml:space="preserve"> utilization </w:t>
      </w:r>
      <w:r w:rsidR="00437226" w:rsidRPr="76986DFC">
        <w:rPr>
          <w:rFonts w:asciiTheme="minorHAnsi" w:hAnsiTheme="minorHAnsi"/>
        </w:rPr>
        <w:t>are</w:t>
      </w:r>
      <w:r w:rsidR="00262788" w:rsidRPr="76986DFC">
        <w:rPr>
          <w:rFonts w:asciiTheme="minorHAnsi" w:hAnsiTheme="minorHAnsi"/>
        </w:rPr>
        <w:t xml:space="preserve">: </w:t>
      </w:r>
      <w:r w:rsidR="00437226" w:rsidRPr="76986DFC">
        <w:rPr>
          <w:rFonts w:asciiTheme="minorHAnsi" w:hAnsiTheme="minorHAnsi"/>
        </w:rPr>
        <w:t>Woburn</w:t>
      </w:r>
      <w:r w:rsidR="00810808" w:rsidRPr="76986DFC">
        <w:rPr>
          <w:rFonts w:asciiTheme="minorHAnsi" w:hAnsiTheme="minorHAnsi"/>
        </w:rPr>
        <w:t xml:space="preserve"> (13%)</w:t>
      </w:r>
      <w:r w:rsidR="00437226" w:rsidRPr="76986DFC">
        <w:rPr>
          <w:rFonts w:asciiTheme="minorHAnsi" w:hAnsiTheme="minorHAnsi"/>
        </w:rPr>
        <w:t>, Stoneham</w:t>
      </w:r>
      <w:r w:rsidR="00810808" w:rsidRPr="76986DFC">
        <w:rPr>
          <w:rFonts w:asciiTheme="minorHAnsi" w:hAnsiTheme="minorHAnsi"/>
        </w:rPr>
        <w:t xml:space="preserve"> (8%)</w:t>
      </w:r>
      <w:r w:rsidR="00437226" w:rsidRPr="76986DFC">
        <w:rPr>
          <w:rFonts w:asciiTheme="minorHAnsi" w:hAnsiTheme="minorHAnsi"/>
        </w:rPr>
        <w:t>, Medford</w:t>
      </w:r>
      <w:r w:rsidR="00810808" w:rsidRPr="76986DFC">
        <w:rPr>
          <w:rFonts w:asciiTheme="minorHAnsi" w:hAnsiTheme="minorHAnsi"/>
        </w:rPr>
        <w:t xml:space="preserve"> (7%)</w:t>
      </w:r>
      <w:r w:rsidR="00437226" w:rsidRPr="76986DFC">
        <w:rPr>
          <w:rFonts w:asciiTheme="minorHAnsi" w:hAnsiTheme="minorHAnsi"/>
        </w:rPr>
        <w:t>, Wilmington</w:t>
      </w:r>
      <w:r w:rsidR="009C00A7" w:rsidRPr="76986DFC">
        <w:rPr>
          <w:rFonts w:asciiTheme="minorHAnsi" w:hAnsiTheme="minorHAnsi"/>
        </w:rPr>
        <w:t xml:space="preserve"> (6%)</w:t>
      </w:r>
      <w:r w:rsidR="00437226" w:rsidRPr="76986DFC">
        <w:rPr>
          <w:rFonts w:asciiTheme="minorHAnsi" w:hAnsiTheme="minorHAnsi"/>
        </w:rPr>
        <w:t>, Reading</w:t>
      </w:r>
      <w:r w:rsidR="009C00A7" w:rsidRPr="76986DFC">
        <w:rPr>
          <w:rFonts w:asciiTheme="minorHAnsi" w:hAnsiTheme="minorHAnsi"/>
        </w:rPr>
        <w:t xml:space="preserve"> (6%)</w:t>
      </w:r>
      <w:r w:rsidR="00437226" w:rsidRPr="76986DFC">
        <w:rPr>
          <w:rFonts w:asciiTheme="minorHAnsi" w:hAnsiTheme="minorHAnsi"/>
        </w:rPr>
        <w:t>, Tewksbury</w:t>
      </w:r>
      <w:r w:rsidR="009C00A7" w:rsidRPr="76986DFC">
        <w:rPr>
          <w:rFonts w:asciiTheme="minorHAnsi" w:hAnsiTheme="minorHAnsi"/>
        </w:rPr>
        <w:t xml:space="preserve"> (6%)</w:t>
      </w:r>
      <w:r w:rsidR="00437226" w:rsidRPr="76986DFC">
        <w:rPr>
          <w:rFonts w:asciiTheme="minorHAnsi" w:hAnsiTheme="minorHAnsi"/>
        </w:rPr>
        <w:t>, Winchester</w:t>
      </w:r>
      <w:r w:rsidR="009C00A7" w:rsidRPr="76986DFC">
        <w:rPr>
          <w:rFonts w:asciiTheme="minorHAnsi" w:hAnsiTheme="minorHAnsi"/>
        </w:rPr>
        <w:t xml:space="preserve"> (6%)</w:t>
      </w:r>
      <w:r w:rsidR="00437226" w:rsidRPr="76986DFC">
        <w:rPr>
          <w:rFonts w:asciiTheme="minorHAnsi" w:hAnsiTheme="minorHAnsi"/>
        </w:rPr>
        <w:t>, North Reading</w:t>
      </w:r>
      <w:r w:rsidR="009C00A7" w:rsidRPr="76986DFC">
        <w:rPr>
          <w:rFonts w:asciiTheme="minorHAnsi" w:hAnsiTheme="minorHAnsi"/>
        </w:rPr>
        <w:t xml:space="preserve"> (4%)</w:t>
      </w:r>
      <w:r w:rsidR="00437226" w:rsidRPr="76986DFC">
        <w:rPr>
          <w:rFonts w:asciiTheme="minorHAnsi" w:hAnsiTheme="minorHAnsi"/>
        </w:rPr>
        <w:t>, Wakefield</w:t>
      </w:r>
      <w:r w:rsidR="009C00A7" w:rsidRPr="76986DFC">
        <w:rPr>
          <w:rFonts w:asciiTheme="minorHAnsi" w:hAnsiTheme="minorHAnsi"/>
        </w:rPr>
        <w:t xml:space="preserve"> (4%)</w:t>
      </w:r>
      <w:r w:rsidR="00437226" w:rsidRPr="76986DFC">
        <w:rPr>
          <w:rFonts w:asciiTheme="minorHAnsi" w:hAnsiTheme="minorHAnsi"/>
        </w:rPr>
        <w:t xml:space="preserve"> and Billerica</w:t>
      </w:r>
      <w:r w:rsidR="009C00A7" w:rsidRPr="76986DFC">
        <w:rPr>
          <w:rFonts w:asciiTheme="minorHAnsi" w:hAnsiTheme="minorHAnsi"/>
        </w:rPr>
        <w:t xml:space="preserve"> (3%)</w:t>
      </w:r>
      <w:r w:rsidR="00437226" w:rsidRPr="76986DFC">
        <w:rPr>
          <w:rFonts w:asciiTheme="minorHAnsi" w:hAnsiTheme="minorHAnsi"/>
        </w:rPr>
        <w:t>. The top 10 communities</w:t>
      </w:r>
      <w:r w:rsidR="00262788" w:rsidRPr="76986DFC">
        <w:rPr>
          <w:rFonts w:asciiTheme="minorHAnsi" w:hAnsiTheme="minorHAnsi"/>
        </w:rPr>
        <w:t xml:space="preserve"> served by </w:t>
      </w:r>
      <w:r w:rsidR="00437226" w:rsidRPr="76986DFC">
        <w:rPr>
          <w:rFonts w:asciiTheme="minorHAnsi" w:hAnsiTheme="minorHAnsi"/>
        </w:rPr>
        <w:t>the Center</w:t>
      </w:r>
      <w:r w:rsidR="00262788" w:rsidRPr="76986DFC">
        <w:rPr>
          <w:rFonts w:asciiTheme="minorHAnsi" w:hAnsiTheme="minorHAnsi"/>
        </w:rPr>
        <w:t xml:space="preserve"> based on</w:t>
      </w:r>
      <w:r w:rsidR="00437226" w:rsidRPr="76986DFC">
        <w:rPr>
          <w:rFonts w:asciiTheme="minorHAnsi" w:hAnsiTheme="minorHAnsi"/>
        </w:rPr>
        <w:t xml:space="preserve"> patient</w:t>
      </w:r>
      <w:r w:rsidR="00262788" w:rsidRPr="76986DFC">
        <w:rPr>
          <w:rFonts w:asciiTheme="minorHAnsi" w:hAnsiTheme="minorHAnsi"/>
        </w:rPr>
        <w:t xml:space="preserve"> utilization are:</w:t>
      </w:r>
      <w:r w:rsidR="00437226" w:rsidRPr="76986DFC">
        <w:rPr>
          <w:rFonts w:asciiTheme="minorHAnsi" w:hAnsiTheme="minorHAnsi"/>
        </w:rPr>
        <w:t xml:space="preserve"> Woburn</w:t>
      </w:r>
      <w:r w:rsidR="00C9516C" w:rsidRPr="76986DFC">
        <w:rPr>
          <w:rFonts w:asciiTheme="minorHAnsi" w:hAnsiTheme="minorHAnsi"/>
        </w:rPr>
        <w:t xml:space="preserve"> (8%)</w:t>
      </w:r>
      <w:r w:rsidR="00437226" w:rsidRPr="76986DFC">
        <w:rPr>
          <w:rFonts w:asciiTheme="minorHAnsi" w:hAnsiTheme="minorHAnsi"/>
        </w:rPr>
        <w:t>, Medford</w:t>
      </w:r>
      <w:r w:rsidR="00C9516C" w:rsidRPr="76986DFC">
        <w:rPr>
          <w:rFonts w:asciiTheme="minorHAnsi" w:hAnsiTheme="minorHAnsi"/>
        </w:rPr>
        <w:t xml:space="preserve"> (6%)</w:t>
      </w:r>
      <w:r w:rsidR="00437226" w:rsidRPr="76986DFC">
        <w:rPr>
          <w:rFonts w:asciiTheme="minorHAnsi" w:hAnsiTheme="minorHAnsi"/>
        </w:rPr>
        <w:t>, Wilmington</w:t>
      </w:r>
      <w:r w:rsidR="000627F3" w:rsidRPr="76986DFC">
        <w:rPr>
          <w:rFonts w:asciiTheme="minorHAnsi" w:hAnsiTheme="minorHAnsi"/>
        </w:rPr>
        <w:t xml:space="preserve"> (6%)</w:t>
      </w:r>
      <w:r w:rsidR="00437226" w:rsidRPr="76986DFC">
        <w:rPr>
          <w:rFonts w:asciiTheme="minorHAnsi" w:hAnsiTheme="minorHAnsi"/>
        </w:rPr>
        <w:t>, Winchester</w:t>
      </w:r>
      <w:r w:rsidR="000627F3" w:rsidRPr="76986DFC">
        <w:rPr>
          <w:rFonts w:asciiTheme="minorHAnsi" w:hAnsiTheme="minorHAnsi"/>
        </w:rPr>
        <w:t xml:space="preserve"> (5%)</w:t>
      </w:r>
      <w:r w:rsidR="00437226" w:rsidRPr="76986DFC">
        <w:rPr>
          <w:rFonts w:asciiTheme="minorHAnsi" w:hAnsiTheme="minorHAnsi"/>
        </w:rPr>
        <w:t>, Reading</w:t>
      </w:r>
      <w:r w:rsidR="000627F3" w:rsidRPr="76986DFC">
        <w:rPr>
          <w:rFonts w:asciiTheme="minorHAnsi" w:hAnsiTheme="minorHAnsi"/>
        </w:rPr>
        <w:t xml:space="preserve"> (5%)</w:t>
      </w:r>
      <w:r w:rsidR="00437226" w:rsidRPr="76986DFC">
        <w:rPr>
          <w:rFonts w:asciiTheme="minorHAnsi" w:hAnsiTheme="minorHAnsi"/>
        </w:rPr>
        <w:t>, Burlington</w:t>
      </w:r>
      <w:r w:rsidR="000627F3" w:rsidRPr="76986DFC">
        <w:rPr>
          <w:rFonts w:asciiTheme="minorHAnsi" w:hAnsiTheme="minorHAnsi"/>
        </w:rPr>
        <w:t xml:space="preserve"> (4%)</w:t>
      </w:r>
      <w:r w:rsidR="00437226" w:rsidRPr="76986DFC">
        <w:rPr>
          <w:rFonts w:asciiTheme="minorHAnsi" w:hAnsiTheme="minorHAnsi"/>
        </w:rPr>
        <w:t>, Tewksbury</w:t>
      </w:r>
      <w:r w:rsidR="000627F3" w:rsidRPr="76986DFC">
        <w:rPr>
          <w:rFonts w:asciiTheme="minorHAnsi" w:hAnsiTheme="minorHAnsi"/>
        </w:rPr>
        <w:t xml:space="preserve"> (4%)</w:t>
      </w:r>
      <w:r w:rsidR="00437226" w:rsidRPr="76986DFC">
        <w:rPr>
          <w:rFonts w:asciiTheme="minorHAnsi" w:hAnsiTheme="minorHAnsi"/>
        </w:rPr>
        <w:t>, Stoneham</w:t>
      </w:r>
      <w:r w:rsidR="000627F3" w:rsidRPr="76986DFC">
        <w:rPr>
          <w:rFonts w:asciiTheme="minorHAnsi" w:hAnsiTheme="minorHAnsi"/>
        </w:rPr>
        <w:t xml:space="preserve"> (4%)</w:t>
      </w:r>
      <w:r w:rsidR="00437226" w:rsidRPr="76986DFC">
        <w:rPr>
          <w:rFonts w:asciiTheme="minorHAnsi" w:hAnsiTheme="minorHAnsi"/>
        </w:rPr>
        <w:t>, Billerica</w:t>
      </w:r>
      <w:r w:rsidR="00810808" w:rsidRPr="76986DFC">
        <w:rPr>
          <w:rFonts w:asciiTheme="minorHAnsi" w:hAnsiTheme="minorHAnsi"/>
        </w:rPr>
        <w:t xml:space="preserve"> (4%)</w:t>
      </w:r>
      <w:r w:rsidR="00437226" w:rsidRPr="76986DFC">
        <w:rPr>
          <w:rFonts w:asciiTheme="minorHAnsi" w:hAnsiTheme="minorHAnsi"/>
        </w:rPr>
        <w:t>, and Wakefield</w:t>
      </w:r>
      <w:r w:rsidR="00810808" w:rsidRPr="76986DFC">
        <w:rPr>
          <w:rFonts w:asciiTheme="minorHAnsi" w:hAnsiTheme="minorHAnsi"/>
        </w:rPr>
        <w:t xml:space="preserve"> (3%).</w:t>
      </w:r>
    </w:p>
    <w:p w14:paraId="395CF52C" w14:textId="77777777" w:rsidR="00437226" w:rsidRDefault="00437226" w:rsidP="00671A5B">
      <w:pPr>
        <w:pStyle w:val="BodyText"/>
        <w:spacing w:line="269" w:lineRule="exact"/>
        <w:rPr>
          <w:rFonts w:asciiTheme="minorHAnsi" w:hAnsiTheme="minorHAnsi"/>
        </w:rPr>
      </w:pPr>
    </w:p>
    <w:p w14:paraId="10CBCAAB" w14:textId="5E2817E0" w:rsidR="00887535" w:rsidRDefault="003F2413" w:rsidP="00C21F25">
      <w:pPr>
        <w:pStyle w:val="BodyText"/>
        <w:spacing w:line="269" w:lineRule="exact"/>
        <w:rPr>
          <w:rFonts w:asciiTheme="minorHAnsi" w:hAnsiTheme="minorHAnsi"/>
        </w:rPr>
      </w:pPr>
      <w:r>
        <w:rPr>
          <w:rFonts w:asciiTheme="minorHAnsi" w:hAnsiTheme="minorHAnsi"/>
        </w:rPr>
        <w:t>Winchester Hospital’s</w:t>
      </w:r>
      <w:r w:rsidR="00671A5B">
        <w:rPr>
          <w:rFonts w:asciiTheme="minorHAnsi" w:hAnsiTheme="minorHAnsi"/>
        </w:rPr>
        <w:t xml:space="preserve"> main campus has two endoscopy procedure rooms, and the Center has five endoscopy procedure rooms. The Center’s current hours of operation are Monday through Friday, 7am to 5pm. </w:t>
      </w:r>
      <w:r w:rsidR="00E133B1">
        <w:rPr>
          <w:rFonts w:asciiTheme="minorHAnsi" w:hAnsiTheme="minorHAnsi"/>
        </w:rPr>
        <w:t xml:space="preserve">The Center does not employ </w:t>
      </w:r>
      <w:proofErr w:type="gramStart"/>
      <w:r w:rsidR="00E133B1">
        <w:rPr>
          <w:rFonts w:asciiTheme="minorHAnsi" w:hAnsiTheme="minorHAnsi"/>
        </w:rPr>
        <w:t>providers, but</w:t>
      </w:r>
      <w:proofErr w:type="gramEnd"/>
      <w:r w:rsidR="00E133B1">
        <w:rPr>
          <w:rFonts w:asciiTheme="minorHAnsi" w:hAnsiTheme="minorHAnsi"/>
        </w:rPr>
        <w:t xml:space="preserve"> grants surgical privileges and block time to eligible providers who need a facility in which to perform procedures for the patients they see in their office. Currently, the Center provides block time to </w:t>
      </w:r>
      <w:r w:rsidR="007E1F2B">
        <w:rPr>
          <w:rFonts w:asciiTheme="minorHAnsi" w:hAnsiTheme="minorHAnsi"/>
        </w:rPr>
        <w:t xml:space="preserve">Winchester Hospital GI or </w:t>
      </w:r>
      <w:r w:rsidR="00E133B1">
        <w:rPr>
          <w:rFonts w:asciiTheme="minorHAnsi" w:hAnsiTheme="minorHAnsi"/>
        </w:rPr>
        <w:t>Winchester</w:t>
      </w:r>
      <w:r w:rsidR="00FE6816">
        <w:rPr>
          <w:rFonts w:asciiTheme="minorHAnsi" w:hAnsiTheme="minorHAnsi"/>
        </w:rPr>
        <w:t xml:space="preserve"> </w:t>
      </w:r>
      <w:r w:rsidR="00DB3AED">
        <w:rPr>
          <w:rFonts w:asciiTheme="minorHAnsi" w:hAnsiTheme="minorHAnsi"/>
        </w:rPr>
        <w:t>GI</w:t>
      </w:r>
      <w:r w:rsidR="00E97D71">
        <w:rPr>
          <w:rFonts w:asciiTheme="minorHAnsi" w:hAnsiTheme="minorHAnsi"/>
        </w:rPr>
        <w:t xml:space="preserve"> (Winchester Hospital’s GI practice)</w:t>
      </w:r>
      <w:r w:rsidR="00E133B1">
        <w:rPr>
          <w:rFonts w:asciiTheme="minorHAnsi" w:hAnsiTheme="minorHAnsi"/>
        </w:rPr>
        <w:t xml:space="preserve">, Digestive Health Associates (DHA), and Atrius </w:t>
      </w:r>
      <w:r w:rsidR="003E3D9B">
        <w:rPr>
          <w:rFonts w:asciiTheme="minorHAnsi" w:hAnsiTheme="minorHAnsi"/>
        </w:rPr>
        <w:t>GI physicians</w:t>
      </w:r>
      <w:r w:rsidR="00E133B1">
        <w:rPr>
          <w:rFonts w:asciiTheme="minorHAnsi" w:hAnsiTheme="minorHAnsi"/>
        </w:rPr>
        <w:t>.</w:t>
      </w:r>
      <w:r w:rsidR="00343709">
        <w:rPr>
          <w:rFonts w:asciiTheme="minorHAnsi" w:hAnsiTheme="minorHAnsi"/>
        </w:rPr>
        <w:t xml:space="preserve"> </w:t>
      </w:r>
      <w:r w:rsidR="009E5EED" w:rsidRPr="00E7024B">
        <w:rPr>
          <w:rFonts w:asciiTheme="minorHAnsi" w:hAnsiTheme="minorHAnsi"/>
        </w:rPr>
        <w:t>Atrius is a private physician group that does not have its own outpatient endoscopy facilities in the Winchester service area.</w:t>
      </w:r>
      <w:r w:rsidR="00E133B1">
        <w:rPr>
          <w:rFonts w:asciiTheme="minorHAnsi" w:hAnsiTheme="minorHAnsi"/>
        </w:rPr>
        <w:t xml:space="preserve"> </w:t>
      </w:r>
      <w:r w:rsidR="00C21F25" w:rsidRPr="00E7024B">
        <w:rPr>
          <w:rFonts w:asciiTheme="minorHAnsi" w:hAnsiTheme="minorHAnsi"/>
        </w:rPr>
        <w:t>DHA is a private group of physicians that provide GI services in Winchester and the surrounding community. DHA physicians are credentialed by Winchester Hospital to provide endoscopy service</w:t>
      </w:r>
      <w:r w:rsidR="002D4E87">
        <w:rPr>
          <w:rFonts w:asciiTheme="minorHAnsi" w:hAnsiTheme="minorHAnsi"/>
        </w:rPr>
        <w:t>s</w:t>
      </w:r>
      <w:r w:rsidR="00C21F25" w:rsidRPr="00E7024B">
        <w:rPr>
          <w:rFonts w:asciiTheme="minorHAnsi" w:hAnsiTheme="minorHAnsi"/>
        </w:rPr>
        <w:t xml:space="preserve"> at the Center.</w:t>
      </w:r>
      <w:r w:rsidR="00C21F25">
        <w:rPr>
          <w:rFonts w:asciiTheme="minorHAnsi" w:hAnsiTheme="minorHAnsi"/>
        </w:rPr>
        <w:t xml:space="preserve"> </w:t>
      </w:r>
    </w:p>
    <w:p w14:paraId="4BCC706F" w14:textId="77777777" w:rsidR="00887535" w:rsidRDefault="00887535" w:rsidP="00C21F25">
      <w:pPr>
        <w:pStyle w:val="BodyText"/>
        <w:spacing w:line="269" w:lineRule="exact"/>
        <w:rPr>
          <w:rFonts w:asciiTheme="minorHAnsi" w:hAnsiTheme="minorHAnsi"/>
        </w:rPr>
      </w:pPr>
    </w:p>
    <w:p w14:paraId="5F5F5F3F" w14:textId="6349BD83" w:rsidR="00671A5B" w:rsidRDefault="00671A5B" w:rsidP="00671A5B">
      <w:pPr>
        <w:pStyle w:val="BodyText"/>
        <w:spacing w:line="269" w:lineRule="exact"/>
        <w:rPr>
          <w:rFonts w:asciiTheme="minorHAnsi" w:hAnsiTheme="minorHAnsi"/>
        </w:rPr>
      </w:pPr>
      <w:r>
        <w:rPr>
          <w:rFonts w:asciiTheme="minorHAnsi" w:hAnsiTheme="minorHAnsi"/>
        </w:rPr>
        <w:t xml:space="preserve">Winchester </w:t>
      </w:r>
      <w:r w:rsidR="007E1F2B">
        <w:rPr>
          <w:rFonts w:asciiTheme="minorHAnsi" w:hAnsiTheme="minorHAnsi"/>
        </w:rPr>
        <w:t xml:space="preserve">Hospital </w:t>
      </w:r>
      <w:r w:rsidR="00E13BBA">
        <w:rPr>
          <w:rFonts w:asciiTheme="minorHAnsi" w:hAnsiTheme="minorHAnsi"/>
        </w:rPr>
        <w:t xml:space="preserve">GI </w:t>
      </w:r>
      <w:r>
        <w:rPr>
          <w:rFonts w:asciiTheme="minorHAnsi" w:hAnsiTheme="minorHAnsi"/>
        </w:rPr>
        <w:t xml:space="preserve">patients comprise </w:t>
      </w:r>
      <w:r w:rsidR="005F62C7">
        <w:rPr>
          <w:rFonts w:asciiTheme="minorHAnsi" w:hAnsiTheme="minorHAnsi"/>
        </w:rPr>
        <w:t>3</w:t>
      </w:r>
      <w:r>
        <w:rPr>
          <w:rFonts w:asciiTheme="minorHAnsi" w:hAnsiTheme="minorHAnsi"/>
        </w:rPr>
        <w:t>4% of the Center’s patients</w:t>
      </w:r>
      <w:r w:rsidR="005F62C7">
        <w:rPr>
          <w:rFonts w:asciiTheme="minorHAnsi" w:hAnsiTheme="minorHAnsi"/>
        </w:rPr>
        <w:t>, DHA patients comprise 30%</w:t>
      </w:r>
      <w:r>
        <w:rPr>
          <w:rFonts w:asciiTheme="minorHAnsi" w:hAnsiTheme="minorHAnsi"/>
        </w:rPr>
        <w:t xml:space="preserve"> </w:t>
      </w:r>
      <w:r>
        <w:rPr>
          <w:rFonts w:asciiTheme="minorHAnsi" w:hAnsiTheme="minorHAnsi"/>
        </w:rPr>
        <w:lastRenderedPageBreak/>
        <w:t>and Atrius</w:t>
      </w:r>
      <w:r w:rsidR="00C21F25">
        <w:rPr>
          <w:rFonts w:asciiTheme="minorHAnsi" w:hAnsiTheme="minorHAnsi"/>
        </w:rPr>
        <w:t xml:space="preserve"> patients comprise the remaining 36% of patients.</w:t>
      </w:r>
      <w:r w:rsidR="006E6B14">
        <w:rPr>
          <w:rFonts w:asciiTheme="minorHAnsi" w:hAnsiTheme="minorHAnsi"/>
        </w:rPr>
        <w:t xml:space="preserve"> </w:t>
      </w:r>
      <w:r w:rsidDel="00BF32BD">
        <w:rPr>
          <w:rFonts w:asciiTheme="minorHAnsi" w:hAnsiTheme="minorHAnsi"/>
        </w:rPr>
        <w:t xml:space="preserve">The Applicant states that </w:t>
      </w:r>
      <w:r w:rsidR="00124400" w:rsidRPr="00124400">
        <w:rPr>
          <w:rFonts w:asciiTheme="minorHAnsi" w:hAnsiTheme="minorHAnsi"/>
        </w:rPr>
        <w:t>block time is determined by utilization of block time granted</w:t>
      </w:r>
      <w:r w:rsidR="00124400" w:rsidRPr="00124400" w:rsidDel="00BF32BD">
        <w:rPr>
          <w:rFonts w:asciiTheme="minorHAnsi" w:hAnsiTheme="minorHAnsi"/>
        </w:rPr>
        <w:t xml:space="preserve"> </w:t>
      </w:r>
      <w:r w:rsidR="00124400">
        <w:rPr>
          <w:rFonts w:asciiTheme="minorHAnsi" w:hAnsiTheme="minorHAnsi"/>
        </w:rPr>
        <w:t xml:space="preserve">and currently </w:t>
      </w:r>
      <w:r w:rsidDel="00BF32BD">
        <w:rPr>
          <w:rFonts w:asciiTheme="minorHAnsi" w:hAnsiTheme="minorHAnsi"/>
        </w:rPr>
        <w:t>Winchester</w:t>
      </w:r>
      <w:r w:rsidR="009E1C68">
        <w:rPr>
          <w:rFonts w:asciiTheme="minorHAnsi" w:hAnsiTheme="minorHAnsi"/>
        </w:rPr>
        <w:t xml:space="preserve"> </w:t>
      </w:r>
      <w:r w:rsidDel="00BF32BD">
        <w:rPr>
          <w:rFonts w:asciiTheme="minorHAnsi" w:hAnsiTheme="minorHAnsi"/>
        </w:rPr>
        <w:t xml:space="preserve">GI, DHA and Atrius each have 90 hours of block time per week. </w:t>
      </w:r>
      <w:r w:rsidR="00CD48B7">
        <w:rPr>
          <w:rFonts w:asciiTheme="minorHAnsi" w:hAnsiTheme="minorHAnsi"/>
        </w:rPr>
        <w:t xml:space="preserve">The Applicant states further that allocation of block time after project implementation has not yet been determined because it will be driven by utilization trends after the Proposed Project is implemented. </w:t>
      </w:r>
    </w:p>
    <w:p w14:paraId="313CF68E" w14:textId="77777777" w:rsidR="00A8218F" w:rsidRDefault="00A8218F" w:rsidP="00A8218F">
      <w:pPr>
        <w:pStyle w:val="BodyText"/>
        <w:spacing w:line="269" w:lineRule="exact"/>
        <w:rPr>
          <w:rFonts w:asciiTheme="minorHAnsi" w:hAnsiTheme="minorHAnsi"/>
        </w:rPr>
      </w:pPr>
    </w:p>
    <w:p w14:paraId="0ACB6FFE" w14:textId="4EBEE6FA" w:rsidR="00A8218F" w:rsidRDefault="00A8218F" w:rsidP="00A8218F">
      <w:pPr>
        <w:pStyle w:val="BodyText"/>
        <w:spacing w:line="269" w:lineRule="exact"/>
        <w:rPr>
          <w:rFonts w:asciiTheme="minorHAnsi" w:hAnsiTheme="minorHAnsi"/>
        </w:rPr>
      </w:pPr>
      <w:r>
        <w:rPr>
          <w:rFonts w:asciiTheme="minorHAnsi" w:hAnsiTheme="minorHAnsi"/>
        </w:rPr>
        <w:t>To facilitate access to the Center for BIDMC</w:t>
      </w:r>
      <w:r w:rsidR="006E6B14">
        <w:rPr>
          <w:rFonts w:asciiTheme="minorHAnsi" w:hAnsiTheme="minorHAnsi"/>
        </w:rPr>
        <w:t xml:space="preserve"> patients</w:t>
      </w:r>
      <w:r>
        <w:rPr>
          <w:rFonts w:asciiTheme="minorHAnsi" w:hAnsiTheme="minorHAnsi"/>
        </w:rPr>
        <w:t xml:space="preserve">, Winchester Hospital provides seven days of block time per month to one BIDMC GI provider, which allows for approximately 1,000 BIDMC patients per year to receive their care at the Center with their existing provider. </w:t>
      </w:r>
      <w:r w:rsidR="00CF50B1">
        <w:rPr>
          <w:rFonts w:asciiTheme="minorHAnsi" w:hAnsiTheme="minorHAnsi"/>
        </w:rPr>
        <w:t xml:space="preserve">To facilitate access to the Center for Lahey patients, </w:t>
      </w:r>
      <w:r>
        <w:rPr>
          <w:rFonts w:asciiTheme="minorHAnsi" w:hAnsiTheme="minorHAnsi"/>
        </w:rPr>
        <w:t xml:space="preserve">Winchester Hospital works with Lahey Primary Care patients with colonoscopy orders to schedule their procedures at the Center with the next available provider. </w:t>
      </w:r>
    </w:p>
    <w:p w14:paraId="68D5DDD5" w14:textId="77777777" w:rsidR="00671A5B" w:rsidRDefault="00671A5B" w:rsidP="00671A5B">
      <w:pPr>
        <w:pStyle w:val="BodyText"/>
        <w:spacing w:line="269" w:lineRule="exact"/>
        <w:rPr>
          <w:rFonts w:asciiTheme="minorHAnsi" w:hAnsiTheme="minorHAnsi"/>
        </w:rPr>
      </w:pPr>
    </w:p>
    <w:p w14:paraId="6FAC2E6F" w14:textId="197BAA18" w:rsidR="00671A5B" w:rsidRDefault="00671A5B" w:rsidP="76986DFC">
      <w:pPr>
        <w:pStyle w:val="BodyText"/>
        <w:spacing w:line="269" w:lineRule="exact"/>
        <w:rPr>
          <w:rFonts w:asciiTheme="minorHAnsi" w:hAnsiTheme="minorHAnsi"/>
        </w:rPr>
      </w:pPr>
      <w:r w:rsidRPr="76986DFC">
        <w:rPr>
          <w:rFonts w:asciiTheme="minorHAnsi" w:hAnsiTheme="minorHAnsi"/>
        </w:rPr>
        <w:t xml:space="preserve">The Applicant states that the following are some of the criteria used to determine which patients </w:t>
      </w:r>
      <w:r w:rsidR="00550F43">
        <w:rPr>
          <w:rFonts w:asciiTheme="minorHAnsi" w:hAnsiTheme="minorHAnsi"/>
        </w:rPr>
        <w:t xml:space="preserve">are treated at the Center and which patients are treated at </w:t>
      </w:r>
      <w:r w:rsidR="00405AE1">
        <w:rPr>
          <w:rFonts w:asciiTheme="minorHAnsi" w:hAnsiTheme="minorHAnsi"/>
        </w:rPr>
        <w:t xml:space="preserve">Winchester Hospital’s </w:t>
      </w:r>
      <w:r w:rsidR="00205977">
        <w:rPr>
          <w:rFonts w:asciiTheme="minorHAnsi" w:hAnsiTheme="minorHAnsi"/>
        </w:rPr>
        <w:t>Main Campus</w:t>
      </w:r>
      <w:r w:rsidRPr="76986DFC">
        <w:rPr>
          <w:rFonts w:asciiTheme="minorHAnsi" w:hAnsiTheme="minorHAnsi"/>
        </w:rPr>
        <w:t xml:space="preserve">: pregnancy; Body Mass Index (BMI) over 50 (BMI between 45 and 50 must be approved by Anesthesia); American Society of Anesthesiology score of </w:t>
      </w:r>
      <w:r w:rsidR="00FF5707" w:rsidRPr="76986DFC">
        <w:rPr>
          <w:rFonts w:asciiTheme="minorHAnsi" w:hAnsiTheme="minorHAnsi"/>
        </w:rPr>
        <w:t>four</w:t>
      </w:r>
      <w:r w:rsidRPr="76986DFC">
        <w:rPr>
          <w:rFonts w:asciiTheme="minorHAnsi" w:hAnsiTheme="minorHAnsi"/>
        </w:rPr>
        <w:t xml:space="preserve">; history of malignant hyperthermia or family history of the same; difficult airway; known active severe </w:t>
      </w:r>
      <w:r w:rsidR="00FD73BC" w:rsidRPr="76986DFC">
        <w:rPr>
          <w:rFonts w:asciiTheme="minorHAnsi" w:hAnsiTheme="minorHAnsi"/>
        </w:rPr>
        <w:t xml:space="preserve">GI </w:t>
      </w:r>
      <w:r w:rsidRPr="76986DFC">
        <w:rPr>
          <w:rFonts w:asciiTheme="minorHAnsi" w:hAnsiTheme="minorHAnsi"/>
        </w:rPr>
        <w:t>bleed; severe lung disease; severe heart disease; myocardial infarction (MI), stroke, neuro crisis within the last six months;</w:t>
      </w:r>
      <w:r w:rsidR="00FD73BC" w:rsidRPr="76986DFC">
        <w:rPr>
          <w:rFonts w:asciiTheme="minorHAnsi" w:hAnsiTheme="minorHAnsi"/>
        </w:rPr>
        <w:t xml:space="preserve"> </w:t>
      </w:r>
      <w:r w:rsidRPr="76986DFC">
        <w:rPr>
          <w:rFonts w:asciiTheme="minorHAnsi" w:hAnsiTheme="minorHAnsi"/>
        </w:rPr>
        <w:t xml:space="preserve">cirrhosis; </w:t>
      </w:r>
      <w:r w:rsidR="00FD73BC" w:rsidRPr="76986DFC">
        <w:rPr>
          <w:rFonts w:asciiTheme="minorHAnsi" w:hAnsiTheme="minorHAnsi"/>
        </w:rPr>
        <w:t xml:space="preserve">and </w:t>
      </w:r>
      <w:r w:rsidRPr="76986DFC">
        <w:rPr>
          <w:rFonts w:asciiTheme="minorHAnsi" w:hAnsiTheme="minorHAnsi"/>
        </w:rPr>
        <w:t xml:space="preserve">patients with pacemakers must receive cardiac and Anesthesia clearance. </w:t>
      </w:r>
    </w:p>
    <w:p w14:paraId="3B7E5468" w14:textId="77777777" w:rsidR="00671A5B" w:rsidRDefault="00671A5B" w:rsidP="00671A5B">
      <w:pPr>
        <w:pStyle w:val="BodyText"/>
        <w:spacing w:line="269" w:lineRule="exact"/>
        <w:rPr>
          <w:rFonts w:asciiTheme="minorHAnsi" w:hAnsiTheme="minorHAnsi"/>
        </w:rPr>
      </w:pPr>
    </w:p>
    <w:p w14:paraId="13A627BA" w14:textId="78D628CF" w:rsidR="00B95EA4" w:rsidRDefault="00A4110F" w:rsidP="007E5A7F">
      <w:pPr>
        <w:pStyle w:val="Heading2"/>
      </w:pPr>
      <w:bookmarkStart w:id="2" w:name="_Toc226541449"/>
      <w:r w:rsidRPr="00C776B7">
        <w:t>Patient Panel</w:t>
      </w:r>
      <w:r w:rsidR="00B95EA4">
        <w:rPr>
          <w:rStyle w:val="FootnoteReference"/>
          <w:color w:val="42558C"/>
        </w:rPr>
        <w:footnoteReference w:id="6"/>
      </w:r>
      <w:bookmarkEnd w:id="2"/>
    </w:p>
    <w:p w14:paraId="6155046B" w14:textId="2FCBC1D9" w:rsidR="00FD0171" w:rsidRDefault="00FD0171" w:rsidP="00283665">
      <w:r>
        <w:t xml:space="preserve">Table </w:t>
      </w:r>
      <w:r w:rsidR="00A15FBE">
        <w:t>3</w:t>
      </w:r>
      <w:r>
        <w:t xml:space="preserve"> includes three </w:t>
      </w:r>
      <w:r w:rsidR="00436140">
        <w:t>fiscal</w:t>
      </w:r>
      <w:r>
        <w:t xml:space="preserve"> years (</w:t>
      </w:r>
      <w:r w:rsidR="00436140">
        <w:t>FY</w:t>
      </w:r>
      <w:r>
        <w:t>s),</w:t>
      </w:r>
      <w:r w:rsidR="00006146">
        <w:t xml:space="preserve"> 2023</w:t>
      </w:r>
      <w:r w:rsidR="00C3039B">
        <w:t xml:space="preserve"> to </w:t>
      </w:r>
      <w:r>
        <w:t>202</w:t>
      </w:r>
      <w:r w:rsidR="00006146">
        <w:t>5</w:t>
      </w:r>
      <w:r>
        <w:t>, of the Applicant’s Patient Panel.</w:t>
      </w:r>
      <w:r w:rsidR="00B9307B">
        <w:rPr>
          <w:rStyle w:val="FootnoteReference"/>
        </w:rPr>
        <w:footnoteReference w:id="7"/>
      </w:r>
      <w:r>
        <w:t xml:space="preserve"> The Applicant’s Patient Panel increased by</w:t>
      </w:r>
      <w:r w:rsidR="003F3D2A">
        <w:t xml:space="preserve"> 26</w:t>
      </w:r>
      <w:r>
        <w:t>% from</w:t>
      </w:r>
      <w:r w:rsidR="003F3D2A">
        <w:t xml:space="preserve"> FY23 to FY25</w:t>
      </w:r>
      <w:r>
        <w:t>.</w:t>
      </w:r>
      <w:r w:rsidR="00E53921">
        <w:t xml:space="preserve"> </w:t>
      </w:r>
    </w:p>
    <w:p w14:paraId="22B5BDA4" w14:textId="00013B37" w:rsidR="00FD0171" w:rsidRDefault="00FD0171" w:rsidP="00283665"/>
    <w:p w14:paraId="7BC41D26" w14:textId="257B5BCB" w:rsidR="00FD0171" w:rsidRPr="00A965B5" w:rsidRDefault="00FD0171" w:rsidP="00283665">
      <w:pPr>
        <w:rPr>
          <w:b/>
          <w:bCs/>
        </w:rPr>
      </w:pPr>
      <w:r w:rsidRPr="00A965B5">
        <w:rPr>
          <w:b/>
          <w:bCs/>
          <w:u w:val="single"/>
        </w:rPr>
        <w:t xml:space="preserve">Table </w:t>
      </w:r>
      <w:r w:rsidR="00A15FBE">
        <w:rPr>
          <w:b/>
          <w:bCs/>
          <w:u w:val="single"/>
        </w:rPr>
        <w:t>3</w:t>
      </w:r>
      <w:r w:rsidRPr="00A965B5">
        <w:rPr>
          <w:b/>
          <w:bCs/>
        </w:rPr>
        <w:t>:</w:t>
      </w:r>
      <w:r w:rsidR="00C42800">
        <w:rPr>
          <w:b/>
          <w:bCs/>
        </w:rPr>
        <w:t xml:space="preserve"> </w:t>
      </w:r>
      <w:r w:rsidR="00A84C48">
        <w:rPr>
          <w:b/>
          <w:bCs/>
        </w:rPr>
        <w:t>BILH Patient Panel</w:t>
      </w:r>
      <w:r w:rsidR="00EF0C3D">
        <w:rPr>
          <w:b/>
          <w:bCs/>
        </w:rPr>
        <w:t xml:space="preserve">, FY23 to FY25 </w:t>
      </w:r>
      <w:r w:rsidR="00A84C48">
        <w:rPr>
          <w:b/>
          <w:bCs/>
        </w:rPr>
        <w:t xml:space="preserve"> </w:t>
      </w:r>
    </w:p>
    <w:tbl>
      <w:tblPr>
        <w:tblStyle w:val="TableGrid"/>
        <w:tblW w:w="0" w:type="auto"/>
        <w:tblLook w:val="04A0" w:firstRow="1" w:lastRow="0" w:firstColumn="1" w:lastColumn="0" w:noHBand="0" w:noVBand="1"/>
        <w:tblCaption w:val="BILH Patient Panel, FY23 to FY25"/>
      </w:tblPr>
      <w:tblGrid>
        <w:gridCol w:w="1810"/>
        <w:gridCol w:w="1006"/>
        <w:gridCol w:w="1188"/>
        <w:gridCol w:w="1188"/>
        <w:gridCol w:w="1493"/>
      </w:tblGrid>
      <w:tr w:rsidR="00FD0171" w14:paraId="140D699F" w14:textId="02470BCC" w:rsidTr="00C46C3E">
        <w:trPr>
          <w:cantSplit/>
          <w:tblHeader/>
        </w:trPr>
        <w:tc>
          <w:tcPr>
            <w:tcW w:w="0" w:type="auto"/>
          </w:tcPr>
          <w:p w14:paraId="428E5D42" w14:textId="6622FE41" w:rsidR="00FD0171" w:rsidRPr="00C46C3E" w:rsidRDefault="00C46C3E" w:rsidP="00283665">
            <w:pPr>
              <w:rPr>
                <w:b/>
                <w:bCs/>
              </w:rPr>
            </w:pPr>
            <w:r w:rsidRPr="00C46C3E">
              <w:rPr>
                <w:b/>
                <w:bCs/>
              </w:rPr>
              <w:t>Patient</w:t>
            </w:r>
            <w:r>
              <w:rPr>
                <w:b/>
                <w:bCs/>
              </w:rPr>
              <w:t>s</w:t>
            </w:r>
          </w:p>
        </w:tc>
        <w:tc>
          <w:tcPr>
            <w:tcW w:w="0" w:type="auto"/>
            <w:shd w:val="clear" w:color="auto" w:fill="DBE5F1" w:themeFill="accent1" w:themeFillTint="33"/>
          </w:tcPr>
          <w:p w14:paraId="6A9C7CEC" w14:textId="3F9D94A8" w:rsidR="00FD0171" w:rsidRPr="00820D83" w:rsidRDefault="00006146" w:rsidP="00A965B5">
            <w:pPr>
              <w:jc w:val="center"/>
              <w:rPr>
                <w:b/>
                <w:bCs/>
              </w:rPr>
            </w:pPr>
            <w:r>
              <w:rPr>
                <w:b/>
                <w:bCs/>
              </w:rPr>
              <w:t>FY23</w:t>
            </w:r>
          </w:p>
        </w:tc>
        <w:tc>
          <w:tcPr>
            <w:tcW w:w="0" w:type="auto"/>
            <w:shd w:val="clear" w:color="auto" w:fill="DBE5F1" w:themeFill="accent1" w:themeFillTint="33"/>
          </w:tcPr>
          <w:p w14:paraId="107162AC" w14:textId="2C5B4CC2" w:rsidR="00FD0171" w:rsidRPr="00820D83" w:rsidRDefault="00006146" w:rsidP="00A965B5">
            <w:pPr>
              <w:jc w:val="center"/>
              <w:rPr>
                <w:b/>
                <w:bCs/>
              </w:rPr>
            </w:pPr>
            <w:r>
              <w:rPr>
                <w:b/>
                <w:bCs/>
              </w:rPr>
              <w:t>FY24</w:t>
            </w:r>
          </w:p>
        </w:tc>
        <w:tc>
          <w:tcPr>
            <w:tcW w:w="0" w:type="auto"/>
            <w:shd w:val="clear" w:color="auto" w:fill="DBE5F1" w:themeFill="accent1" w:themeFillTint="33"/>
          </w:tcPr>
          <w:p w14:paraId="68E31A67" w14:textId="67475A34" w:rsidR="00FD0171" w:rsidRPr="00820D83" w:rsidRDefault="00006146" w:rsidP="00A965B5">
            <w:pPr>
              <w:jc w:val="center"/>
              <w:rPr>
                <w:b/>
                <w:bCs/>
              </w:rPr>
            </w:pPr>
            <w:r>
              <w:rPr>
                <w:b/>
                <w:bCs/>
              </w:rPr>
              <w:t>FY25</w:t>
            </w:r>
          </w:p>
        </w:tc>
        <w:tc>
          <w:tcPr>
            <w:tcW w:w="0" w:type="auto"/>
            <w:shd w:val="clear" w:color="auto" w:fill="DBE5F1" w:themeFill="accent1" w:themeFillTint="33"/>
          </w:tcPr>
          <w:p w14:paraId="11D892CC" w14:textId="77777777" w:rsidR="00FD0171" w:rsidRDefault="00006146" w:rsidP="00A965B5">
            <w:pPr>
              <w:jc w:val="center"/>
              <w:rPr>
                <w:b/>
                <w:bCs/>
              </w:rPr>
            </w:pPr>
            <w:r>
              <w:rPr>
                <w:b/>
                <w:bCs/>
              </w:rPr>
              <w:t>% Change</w:t>
            </w:r>
          </w:p>
          <w:p w14:paraId="7A9C50F2" w14:textId="397079BF" w:rsidR="00006146" w:rsidRPr="00820D83" w:rsidRDefault="00006146" w:rsidP="00A965B5">
            <w:pPr>
              <w:jc w:val="center"/>
              <w:rPr>
                <w:b/>
                <w:bCs/>
              </w:rPr>
            </w:pPr>
            <w:r>
              <w:rPr>
                <w:b/>
                <w:bCs/>
              </w:rPr>
              <w:t xml:space="preserve">FY23 to FY25 </w:t>
            </w:r>
          </w:p>
        </w:tc>
      </w:tr>
      <w:tr w:rsidR="00FD0171" w14:paraId="2FD36EA9" w14:textId="0413EC4A" w:rsidTr="00C46C3E">
        <w:trPr>
          <w:cantSplit/>
        </w:trPr>
        <w:tc>
          <w:tcPr>
            <w:tcW w:w="0" w:type="auto"/>
          </w:tcPr>
          <w:p w14:paraId="6199C0EA" w14:textId="210DBE6B" w:rsidR="00FD0171" w:rsidRPr="00820D83" w:rsidRDefault="00FD0171" w:rsidP="00820D83">
            <w:pPr>
              <w:rPr>
                <w:b/>
                <w:bCs/>
              </w:rPr>
            </w:pPr>
            <w:r w:rsidRPr="00820D83">
              <w:rPr>
                <w:b/>
                <w:bCs/>
              </w:rPr>
              <w:t>Unique Patients</w:t>
            </w:r>
          </w:p>
        </w:tc>
        <w:tc>
          <w:tcPr>
            <w:tcW w:w="0" w:type="auto"/>
          </w:tcPr>
          <w:p w14:paraId="628ACE23" w14:textId="1FEABBDD" w:rsidR="00FD0171" w:rsidRDefault="00A84C48" w:rsidP="00A965B5">
            <w:pPr>
              <w:jc w:val="center"/>
            </w:pPr>
            <w:r>
              <w:t>995,</w:t>
            </w:r>
            <w:r w:rsidR="0073112E">
              <w:t>640</w:t>
            </w:r>
          </w:p>
        </w:tc>
        <w:tc>
          <w:tcPr>
            <w:tcW w:w="0" w:type="auto"/>
          </w:tcPr>
          <w:p w14:paraId="0212FB98" w14:textId="03746FE3" w:rsidR="00FD0171" w:rsidRDefault="00C60ADA" w:rsidP="00A965B5">
            <w:pPr>
              <w:jc w:val="center"/>
            </w:pPr>
            <w:r w:rsidRPr="00C60ADA">
              <w:t>1,097,931</w:t>
            </w:r>
          </w:p>
        </w:tc>
        <w:tc>
          <w:tcPr>
            <w:tcW w:w="0" w:type="auto"/>
          </w:tcPr>
          <w:p w14:paraId="2D4AB8C2" w14:textId="295F09D0" w:rsidR="00FD0171" w:rsidRDefault="00A84C48" w:rsidP="00A965B5">
            <w:pPr>
              <w:jc w:val="center"/>
            </w:pPr>
            <w:r>
              <w:t>1,25</w:t>
            </w:r>
            <w:r w:rsidR="00C60ADA">
              <w:t>1</w:t>
            </w:r>
            <w:r>
              <w:t>,</w:t>
            </w:r>
            <w:r w:rsidR="00C60ADA">
              <w:t>364</w:t>
            </w:r>
          </w:p>
        </w:tc>
        <w:tc>
          <w:tcPr>
            <w:tcW w:w="0" w:type="auto"/>
          </w:tcPr>
          <w:p w14:paraId="0B5C737B" w14:textId="01615E7D" w:rsidR="00FD0171" w:rsidRPr="00B86828" w:rsidRDefault="003F3D2A" w:rsidP="00A965B5">
            <w:pPr>
              <w:jc w:val="center"/>
            </w:pPr>
            <w:r>
              <w:t>26%</w:t>
            </w:r>
          </w:p>
        </w:tc>
      </w:tr>
    </w:tbl>
    <w:p w14:paraId="38B45F0E" w14:textId="77777777" w:rsidR="003807DF" w:rsidRDefault="003807DF" w:rsidP="008879F5"/>
    <w:p w14:paraId="23B60B7E" w14:textId="230EF330" w:rsidR="003C6059" w:rsidRDefault="00A93FE5" w:rsidP="003C6059">
      <w:r>
        <w:t>The Applicant also provided information on the number of patients served at Winchester Hospital</w:t>
      </w:r>
      <w:r w:rsidR="0076108B">
        <w:t>, Winchester Hospital – Main Campus Endoscopy</w:t>
      </w:r>
      <w:r w:rsidR="00DA2CF1">
        <w:t xml:space="preserve">, </w:t>
      </w:r>
      <w:r>
        <w:t xml:space="preserve">and </w:t>
      </w:r>
      <w:r w:rsidR="003C6059">
        <w:t>t</w:t>
      </w:r>
      <w:r w:rsidR="00C37FFE">
        <w:t>he Center</w:t>
      </w:r>
      <w:r>
        <w:t xml:space="preserve"> from FY23 to FY25. This is shown in Table</w:t>
      </w:r>
      <w:r w:rsidR="003C6059">
        <w:t>s</w:t>
      </w:r>
      <w:r>
        <w:t xml:space="preserve"> </w:t>
      </w:r>
      <w:r w:rsidR="00A15FBE">
        <w:t>4</w:t>
      </w:r>
      <w:r w:rsidR="00460BA1">
        <w:t xml:space="preserve">, </w:t>
      </w:r>
      <w:r w:rsidR="00A15FBE">
        <w:t>5</w:t>
      </w:r>
      <w:r w:rsidR="00460BA1">
        <w:t>, and 6</w:t>
      </w:r>
      <w:r w:rsidR="00EF0C3D">
        <w:t xml:space="preserve"> below. </w:t>
      </w:r>
      <w:r w:rsidR="00CD2496">
        <w:t>Winchester Hospital patients increased by 6% from FY23 to FY25</w:t>
      </w:r>
      <w:r w:rsidR="00012168">
        <w:t xml:space="preserve">, </w:t>
      </w:r>
      <w:r w:rsidR="00012168" w:rsidRPr="00012168">
        <w:t>Winchester Hospital – Main Campus Endoscopy</w:t>
      </w:r>
      <w:r w:rsidR="00012168">
        <w:t xml:space="preserve"> patients increased by 24% and t</w:t>
      </w:r>
      <w:r w:rsidR="003C6059" w:rsidRPr="003C6059">
        <w:t xml:space="preserve">he Center’s patients increased by </w:t>
      </w:r>
      <w:r w:rsidR="00460BA1">
        <w:t>84</w:t>
      </w:r>
      <w:r w:rsidR="003C6059" w:rsidRPr="003C6059">
        <w:t xml:space="preserve">%. </w:t>
      </w:r>
    </w:p>
    <w:p w14:paraId="3D0E18B8" w14:textId="77777777" w:rsidR="00EF0C3D" w:rsidRDefault="00EF0C3D" w:rsidP="00F50B7B"/>
    <w:p w14:paraId="14D29D72" w14:textId="33F07AD0" w:rsidR="00EF0C3D" w:rsidRPr="00A965B5" w:rsidRDefault="00EF0C3D" w:rsidP="00EF0C3D">
      <w:pPr>
        <w:rPr>
          <w:b/>
          <w:bCs/>
        </w:rPr>
      </w:pPr>
      <w:r w:rsidRPr="00A965B5">
        <w:rPr>
          <w:b/>
          <w:bCs/>
          <w:u w:val="single"/>
        </w:rPr>
        <w:t xml:space="preserve">Table </w:t>
      </w:r>
      <w:r w:rsidR="00A15FBE">
        <w:rPr>
          <w:b/>
          <w:bCs/>
          <w:u w:val="single"/>
        </w:rPr>
        <w:t>4</w:t>
      </w:r>
      <w:r w:rsidRPr="00A965B5">
        <w:rPr>
          <w:b/>
          <w:bCs/>
        </w:rPr>
        <w:t>:</w:t>
      </w:r>
      <w:r>
        <w:rPr>
          <w:b/>
          <w:bCs/>
        </w:rPr>
        <w:t xml:space="preserve"> Winchester Hospital Patients, FY23 to FY25  </w:t>
      </w:r>
    </w:p>
    <w:tbl>
      <w:tblPr>
        <w:tblStyle w:val="TableGrid"/>
        <w:tblW w:w="0" w:type="auto"/>
        <w:tblLook w:val="04A0" w:firstRow="1" w:lastRow="0" w:firstColumn="1" w:lastColumn="0" w:noHBand="0" w:noVBand="1"/>
        <w:tblCaption w:val="Winchester Hospital Patients, FY23 to FY25"/>
      </w:tblPr>
      <w:tblGrid>
        <w:gridCol w:w="1810"/>
        <w:gridCol w:w="1006"/>
        <w:gridCol w:w="1006"/>
        <w:gridCol w:w="1006"/>
        <w:gridCol w:w="1493"/>
      </w:tblGrid>
      <w:tr w:rsidR="00EF0C3D" w14:paraId="2D1DCD71" w14:textId="77777777" w:rsidTr="004C218F">
        <w:trPr>
          <w:cantSplit/>
          <w:tblHeader/>
        </w:trPr>
        <w:tc>
          <w:tcPr>
            <w:tcW w:w="0" w:type="auto"/>
          </w:tcPr>
          <w:p w14:paraId="6EEEDB24" w14:textId="518B05BA" w:rsidR="00EF0C3D" w:rsidRPr="004C218F" w:rsidRDefault="004C218F" w:rsidP="00DE3967">
            <w:pPr>
              <w:rPr>
                <w:b/>
                <w:bCs/>
              </w:rPr>
            </w:pPr>
            <w:r>
              <w:rPr>
                <w:b/>
                <w:bCs/>
              </w:rPr>
              <w:lastRenderedPageBreak/>
              <w:t>Patients</w:t>
            </w:r>
          </w:p>
        </w:tc>
        <w:tc>
          <w:tcPr>
            <w:tcW w:w="0" w:type="auto"/>
            <w:shd w:val="clear" w:color="auto" w:fill="DBE5F1" w:themeFill="accent1" w:themeFillTint="33"/>
          </w:tcPr>
          <w:p w14:paraId="5C59E987" w14:textId="77777777" w:rsidR="00EF0C3D" w:rsidRPr="00820D83" w:rsidRDefault="00EF0C3D" w:rsidP="00DE3967">
            <w:pPr>
              <w:jc w:val="center"/>
              <w:rPr>
                <w:b/>
                <w:bCs/>
              </w:rPr>
            </w:pPr>
            <w:r>
              <w:rPr>
                <w:b/>
                <w:bCs/>
              </w:rPr>
              <w:t>FY23</w:t>
            </w:r>
          </w:p>
        </w:tc>
        <w:tc>
          <w:tcPr>
            <w:tcW w:w="0" w:type="auto"/>
            <w:shd w:val="clear" w:color="auto" w:fill="DBE5F1" w:themeFill="accent1" w:themeFillTint="33"/>
          </w:tcPr>
          <w:p w14:paraId="0060C26E" w14:textId="77777777" w:rsidR="00EF0C3D" w:rsidRPr="00820D83" w:rsidRDefault="00EF0C3D" w:rsidP="00DE3967">
            <w:pPr>
              <w:jc w:val="center"/>
              <w:rPr>
                <w:b/>
                <w:bCs/>
              </w:rPr>
            </w:pPr>
            <w:r>
              <w:rPr>
                <w:b/>
                <w:bCs/>
              </w:rPr>
              <w:t>FY24</w:t>
            </w:r>
          </w:p>
        </w:tc>
        <w:tc>
          <w:tcPr>
            <w:tcW w:w="0" w:type="auto"/>
            <w:shd w:val="clear" w:color="auto" w:fill="DBE5F1" w:themeFill="accent1" w:themeFillTint="33"/>
          </w:tcPr>
          <w:p w14:paraId="1B0F9608" w14:textId="77777777" w:rsidR="00EF0C3D" w:rsidRPr="00820D83" w:rsidRDefault="00EF0C3D" w:rsidP="00DE3967">
            <w:pPr>
              <w:jc w:val="center"/>
              <w:rPr>
                <w:b/>
                <w:bCs/>
              </w:rPr>
            </w:pPr>
            <w:r>
              <w:rPr>
                <w:b/>
                <w:bCs/>
              </w:rPr>
              <w:t>FY25</w:t>
            </w:r>
          </w:p>
        </w:tc>
        <w:tc>
          <w:tcPr>
            <w:tcW w:w="0" w:type="auto"/>
            <w:shd w:val="clear" w:color="auto" w:fill="DBE5F1" w:themeFill="accent1" w:themeFillTint="33"/>
          </w:tcPr>
          <w:p w14:paraId="3FFB80DB" w14:textId="77777777" w:rsidR="00EF0C3D" w:rsidRDefault="00EF0C3D" w:rsidP="00DE3967">
            <w:pPr>
              <w:jc w:val="center"/>
              <w:rPr>
                <w:b/>
                <w:bCs/>
              </w:rPr>
            </w:pPr>
            <w:r>
              <w:rPr>
                <w:b/>
                <w:bCs/>
              </w:rPr>
              <w:t>% Change</w:t>
            </w:r>
          </w:p>
          <w:p w14:paraId="2E8B3284" w14:textId="77777777" w:rsidR="00EF0C3D" w:rsidRPr="00820D83" w:rsidRDefault="00EF0C3D" w:rsidP="00DE3967">
            <w:pPr>
              <w:jc w:val="center"/>
              <w:rPr>
                <w:b/>
                <w:bCs/>
              </w:rPr>
            </w:pPr>
            <w:r>
              <w:rPr>
                <w:b/>
                <w:bCs/>
              </w:rPr>
              <w:t xml:space="preserve">FY23 to FY25 </w:t>
            </w:r>
          </w:p>
        </w:tc>
      </w:tr>
      <w:tr w:rsidR="00EF0C3D" w14:paraId="04DCB2C0" w14:textId="77777777" w:rsidTr="004C218F">
        <w:trPr>
          <w:cantSplit/>
        </w:trPr>
        <w:tc>
          <w:tcPr>
            <w:tcW w:w="0" w:type="auto"/>
          </w:tcPr>
          <w:p w14:paraId="6B5F3992" w14:textId="77777777" w:rsidR="00EF0C3D" w:rsidRPr="00820D83" w:rsidRDefault="00EF0C3D" w:rsidP="00DE3967">
            <w:pPr>
              <w:rPr>
                <w:b/>
                <w:bCs/>
              </w:rPr>
            </w:pPr>
            <w:r w:rsidRPr="00820D83">
              <w:rPr>
                <w:b/>
                <w:bCs/>
              </w:rPr>
              <w:t>Unique Patients</w:t>
            </w:r>
          </w:p>
        </w:tc>
        <w:tc>
          <w:tcPr>
            <w:tcW w:w="0" w:type="auto"/>
          </w:tcPr>
          <w:p w14:paraId="3F3087DB" w14:textId="546FDBA9" w:rsidR="00EF0C3D" w:rsidRDefault="00DA4DD8" w:rsidP="00DE3967">
            <w:pPr>
              <w:jc w:val="center"/>
            </w:pPr>
            <w:r w:rsidRPr="00DA4DD8">
              <w:t>15</w:t>
            </w:r>
            <w:r w:rsidR="0072483C">
              <w:t>4,014</w:t>
            </w:r>
          </w:p>
        </w:tc>
        <w:tc>
          <w:tcPr>
            <w:tcW w:w="0" w:type="auto"/>
          </w:tcPr>
          <w:p w14:paraId="43D8B31A" w14:textId="587EF80B" w:rsidR="00EF0C3D" w:rsidRDefault="00DA4DD8" w:rsidP="00DE3967">
            <w:pPr>
              <w:jc w:val="center"/>
            </w:pPr>
            <w:r w:rsidRPr="00DA4DD8">
              <w:t>15</w:t>
            </w:r>
            <w:r w:rsidR="00985340">
              <w:t>8,383</w:t>
            </w:r>
          </w:p>
        </w:tc>
        <w:tc>
          <w:tcPr>
            <w:tcW w:w="0" w:type="auto"/>
          </w:tcPr>
          <w:p w14:paraId="6B5BBE6A" w14:textId="0983EFBB" w:rsidR="00EF0C3D" w:rsidRDefault="00985340" w:rsidP="00DE3967">
            <w:pPr>
              <w:jc w:val="center"/>
            </w:pPr>
            <w:r>
              <w:t>163,740</w:t>
            </w:r>
          </w:p>
        </w:tc>
        <w:tc>
          <w:tcPr>
            <w:tcW w:w="0" w:type="auto"/>
          </w:tcPr>
          <w:p w14:paraId="39A4DDC5" w14:textId="5E1D523C" w:rsidR="00EF0C3D" w:rsidRPr="00B86828" w:rsidRDefault="003F5E24" w:rsidP="00DE3967">
            <w:pPr>
              <w:jc w:val="center"/>
            </w:pPr>
            <w:r>
              <w:t>6%</w:t>
            </w:r>
          </w:p>
        </w:tc>
      </w:tr>
    </w:tbl>
    <w:p w14:paraId="3548C60B" w14:textId="77777777" w:rsidR="00EF0C3D" w:rsidRDefault="00EF0C3D" w:rsidP="00F50B7B"/>
    <w:p w14:paraId="5773A4B3" w14:textId="0CB4DA33" w:rsidR="00DA2CF1" w:rsidRPr="00A965B5" w:rsidRDefault="00DA2CF1" w:rsidP="00DA2CF1">
      <w:pPr>
        <w:rPr>
          <w:b/>
          <w:bCs/>
        </w:rPr>
      </w:pPr>
      <w:r w:rsidRPr="00A965B5">
        <w:rPr>
          <w:b/>
          <w:bCs/>
          <w:u w:val="single"/>
        </w:rPr>
        <w:t xml:space="preserve">Table </w:t>
      </w:r>
      <w:r w:rsidR="00460BA1">
        <w:rPr>
          <w:b/>
          <w:bCs/>
          <w:u w:val="single"/>
        </w:rPr>
        <w:t>5</w:t>
      </w:r>
      <w:r w:rsidRPr="00A965B5">
        <w:rPr>
          <w:b/>
          <w:bCs/>
        </w:rPr>
        <w:t>:</w:t>
      </w:r>
      <w:r>
        <w:rPr>
          <w:b/>
          <w:bCs/>
        </w:rPr>
        <w:t xml:space="preserve"> Winchester Hospital – Main Campus Endoscopy Patients, FY23 to FY25  </w:t>
      </w:r>
    </w:p>
    <w:tbl>
      <w:tblPr>
        <w:tblStyle w:val="TableGrid"/>
        <w:tblW w:w="0" w:type="auto"/>
        <w:tblLook w:val="04A0" w:firstRow="1" w:lastRow="0" w:firstColumn="1" w:lastColumn="0" w:noHBand="0" w:noVBand="1"/>
        <w:tblCaption w:val="Winchester Hospital – Main Campus Endoscopy Patients, FY23 to FY25"/>
      </w:tblPr>
      <w:tblGrid>
        <w:gridCol w:w="1810"/>
        <w:gridCol w:w="763"/>
        <w:gridCol w:w="763"/>
        <w:gridCol w:w="763"/>
        <w:gridCol w:w="1493"/>
      </w:tblGrid>
      <w:tr w:rsidR="00DA2CF1" w14:paraId="3B65052F" w14:textId="77777777" w:rsidTr="004C218F">
        <w:trPr>
          <w:cantSplit/>
          <w:tblHeader/>
        </w:trPr>
        <w:tc>
          <w:tcPr>
            <w:tcW w:w="0" w:type="auto"/>
          </w:tcPr>
          <w:p w14:paraId="0A824464" w14:textId="271507AD" w:rsidR="00DA2CF1" w:rsidRPr="004C218F" w:rsidRDefault="004C218F" w:rsidP="00DE3967">
            <w:pPr>
              <w:rPr>
                <w:b/>
                <w:bCs/>
              </w:rPr>
            </w:pPr>
            <w:r>
              <w:rPr>
                <w:b/>
                <w:bCs/>
              </w:rPr>
              <w:t>Patients</w:t>
            </w:r>
          </w:p>
        </w:tc>
        <w:tc>
          <w:tcPr>
            <w:tcW w:w="0" w:type="auto"/>
            <w:shd w:val="clear" w:color="auto" w:fill="DBE5F1" w:themeFill="accent1" w:themeFillTint="33"/>
          </w:tcPr>
          <w:p w14:paraId="4286703E" w14:textId="77777777" w:rsidR="00DA2CF1" w:rsidRPr="00820D83" w:rsidRDefault="00DA2CF1" w:rsidP="00DE3967">
            <w:pPr>
              <w:jc w:val="center"/>
              <w:rPr>
                <w:b/>
                <w:bCs/>
              </w:rPr>
            </w:pPr>
            <w:r>
              <w:rPr>
                <w:b/>
                <w:bCs/>
              </w:rPr>
              <w:t>FY23</w:t>
            </w:r>
          </w:p>
        </w:tc>
        <w:tc>
          <w:tcPr>
            <w:tcW w:w="0" w:type="auto"/>
            <w:shd w:val="clear" w:color="auto" w:fill="DBE5F1" w:themeFill="accent1" w:themeFillTint="33"/>
          </w:tcPr>
          <w:p w14:paraId="3A8CD20A" w14:textId="77777777" w:rsidR="00DA2CF1" w:rsidRPr="00820D83" w:rsidRDefault="00DA2CF1" w:rsidP="00DE3967">
            <w:pPr>
              <w:jc w:val="center"/>
              <w:rPr>
                <w:b/>
                <w:bCs/>
              </w:rPr>
            </w:pPr>
            <w:r>
              <w:rPr>
                <w:b/>
                <w:bCs/>
              </w:rPr>
              <w:t>FY24</w:t>
            </w:r>
          </w:p>
        </w:tc>
        <w:tc>
          <w:tcPr>
            <w:tcW w:w="0" w:type="auto"/>
            <w:shd w:val="clear" w:color="auto" w:fill="DBE5F1" w:themeFill="accent1" w:themeFillTint="33"/>
          </w:tcPr>
          <w:p w14:paraId="4762A977" w14:textId="77777777" w:rsidR="00DA2CF1" w:rsidRPr="00820D83" w:rsidRDefault="00DA2CF1" w:rsidP="00DE3967">
            <w:pPr>
              <w:jc w:val="center"/>
              <w:rPr>
                <w:b/>
                <w:bCs/>
              </w:rPr>
            </w:pPr>
            <w:r>
              <w:rPr>
                <w:b/>
                <w:bCs/>
              </w:rPr>
              <w:t>FY25</w:t>
            </w:r>
          </w:p>
        </w:tc>
        <w:tc>
          <w:tcPr>
            <w:tcW w:w="0" w:type="auto"/>
            <w:shd w:val="clear" w:color="auto" w:fill="DBE5F1" w:themeFill="accent1" w:themeFillTint="33"/>
          </w:tcPr>
          <w:p w14:paraId="2F0C2049" w14:textId="77777777" w:rsidR="00DA2CF1" w:rsidRDefault="00DA2CF1" w:rsidP="00DE3967">
            <w:pPr>
              <w:jc w:val="center"/>
              <w:rPr>
                <w:b/>
                <w:bCs/>
              </w:rPr>
            </w:pPr>
            <w:r>
              <w:rPr>
                <w:b/>
                <w:bCs/>
              </w:rPr>
              <w:t>% Change</w:t>
            </w:r>
          </w:p>
          <w:p w14:paraId="7F3F5321" w14:textId="77777777" w:rsidR="00DA2CF1" w:rsidRPr="00820D83" w:rsidRDefault="00DA2CF1" w:rsidP="00DE3967">
            <w:pPr>
              <w:jc w:val="center"/>
              <w:rPr>
                <w:b/>
                <w:bCs/>
              </w:rPr>
            </w:pPr>
            <w:r>
              <w:rPr>
                <w:b/>
                <w:bCs/>
              </w:rPr>
              <w:t xml:space="preserve">FY23 to FY25 </w:t>
            </w:r>
          </w:p>
        </w:tc>
      </w:tr>
      <w:tr w:rsidR="00DA2CF1" w14:paraId="60FAE4CA" w14:textId="77777777" w:rsidTr="004C218F">
        <w:trPr>
          <w:cantSplit/>
        </w:trPr>
        <w:tc>
          <w:tcPr>
            <w:tcW w:w="0" w:type="auto"/>
          </w:tcPr>
          <w:p w14:paraId="2D84C101" w14:textId="77777777" w:rsidR="00DA2CF1" w:rsidRPr="00820D83" w:rsidRDefault="00DA2CF1" w:rsidP="00DE3967">
            <w:pPr>
              <w:rPr>
                <w:b/>
                <w:bCs/>
              </w:rPr>
            </w:pPr>
            <w:r w:rsidRPr="00820D83">
              <w:rPr>
                <w:b/>
                <w:bCs/>
              </w:rPr>
              <w:t>Unique Patients</w:t>
            </w:r>
          </w:p>
        </w:tc>
        <w:tc>
          <w:tcPr>
            <w:tcW w:w="0" w:type="auto"/>
          </w:tcPr>
          <w:p w14:paraId="58ED108A" w14:textId="031D30FF" w:rsidR="00DA2CF1" w:rsidRDefault="00DA2CF1" w:rsidP="00DE3967">
            <w:pPr>
              <w:jc w:val="center"/>
            </w:pPr>
            <w:r>
              <w:t>1,549</w:t>
            </w:r>
          </w:p>
        </w:tc>
        <w:tc>
          <w:tcPr>
            <w:tcW w:w="0" w:type="auto"/>
          </w:tcPr>
          <w:p w14:paraId="19A05B6C" w14:textId="34A2B310" w:rsidR="00DA2CF1" w:rsidRDefault="00DA2CF1" w:rsidP="00DE3967">
            <w:pPr>
              <w:jc w:val="center"/>
            </w:pPr>
            <w:r>
              <w:t>2,056</w:t>
            </w:r>
          </w:p>
        </w:tc>
        <w:tc>
          <w:tcPr>
            <w:tcW w:w="0" w:type="auto"/>
          </w:tcPr>
          <w:p w14:paraId="37DFF72E" w14:textId="74A00963" w:rsidR="00DA2CF1" w:rsidRDefault="009B4980" w:rsidP="00DE3967">
            <w:pPr>
              <w:jc w:val="center"/>
            </w:pPr>
            <w:r>
              <w:t>1,916</w:t>
            </w:r>
          </w:p>
        </w:tc>
        <w:tc>
          <w:tcPr>
            <w:tcW w:w="0" w:type="auto"/>
          </w:tcPr>
          <w:p w14:paraId="261A7B5A" w14:textId="6EFD9BCD" w:rsidR="00DA2CF1" w:rsidRPr="00B86828" w:rsidRDefault="0089322B" w:rsidP="00DE3967">
            <w:pPr>
              <w:jc w:val="center"/>
            </w:pPr>
            <w:r>
              <w:t>24%</w:t>
            </w:r>
          </w:p>
        </w:tc>
      </w:tr>
    </w:tbl>
    <w:p w14:paraId="186AE22D" w14:textId="77777777" w:rsidR="00DA2CF1" w:rsidRDefault="00DA2CF1" w:rsidP="00F50B7B"/>
    <w:p w14:paraId="21C21D9C" w14:textId="198F2FC4" w:rsidR="00EF0C3D" w:rsidRPr="00A965B5" w:rsidRDefault="00EF0C3D" w:rsidP="00EF0C3D">
      <w:pPr>
        <w:rPr>
          <w:b/>
          <w:bCs/>
        </w:rPr>
      </w:pPr>
      <w:r w:rsidRPr="76986DFC">
        <w:rPr>
          <w:b/>
          <w:bCs/>
          <w:u w:val="single"/>
        </w:rPr>
        <w:t xml:space="preserve">Table </w:t>
      </w:r>
      <w:r w:rsidR="00460BA1" w:rsidRPr="76986DFC">
        <w:rPr>
          <w:b/>
          <w:bCs/>
          <w:u w:val="single"/>
        </w:rPr>
        <w:t>6</w:t>
      </w:r>
      <w:r w:rsidRPr="76986DFC">
        <w:rPr>
          <w:b/>
          <w:bCs/>
        </w:rPr>
        <w:t xml:space="preserve">: </w:t>
      </w:r>
      <w:r w:rsidR="00C37FFE" w:rsidRPr="76986DFC">
        <w:rPr>
          <w:b/>
          <w:bCs/>
        </w:rPr>
        <w:t>The Center’s</w:t>
      </w:r>
      <w:r w:rsidR="003252C5" w:rsidRPr="76986DFC">
        <w:rPr>
          <w:b/>
          <w:bCs/>
        </w:rPr>
        <w:t xml:space="preserve"> </w:t>
      </w:r>
      <w:r w:rsidR="00CD2496" w:rsidRPr="76986DFC">
        <w:rPr>
          <w:b/>
          <w:bCs/>
        </w:rPr>
        <w:t xml:space="preserve">Patients, FY23 to FY25 </w:t>
      </w:r>
      <w:r w:rsidRPr="76986DFC">
        <w:rPr>
          <w:b/>
          <w:bCs/>
        </w:rPr>
        <w:t xml:space="preserve"> </w:t>
      </w:r>
    </w:p>
    <w:tbl>
      <w:tblPr>
        <w:tblStyle w:val="TableGrid"/>
        <w:tblW w:w="0" w:type="auto"/>
        <w:tblLook w:val="04A0" w:firstRow="1" w:lastRow="0" w:firstColumn="1" w:lastColumn="0" w:noHBand="0" w:noVBand="1"/>
        <w:tblCaption w:val="The Center’s Patients, FY23 to FY25"/>
      </w:tblPr>
      <w:tblGrid>
        <w:gridCol w:w="1810"/>
        <w:gridCol w:w="763"/>
        <w:gridCol w:w="763"/>
        <w:gridCol w:w="763"/>
        <w:gridCol w:w="1493"/>
      </w:tblGrid>
      <w:tr w:rsidR="00826DED" w14:paraId="71244DEE" w14:textId="77777777" w:rsidTr="00F04B79">
        <w:trPr>
          <w:cantSplit/>
          <w:tblHeader/>
        </w:trPr>
        <w:tc>
          <w:tcPr>
            <w:tcW w:w="0" w:type="auto"/>
          </w:tcPr>
          <w:p w14:paraId="2EF6A371" w14:textId="1089331F" w:rsidR="00EF0C3D" w:rsidRDefault="004C218F" w:rsidP="00DE3967">
            <w:r>
              <w:rPr>
                <w:b/>
                <w:bCs/>
              </w:rPr>
              <w:t>Patients</w:t>
            </w:r>
          </w:p>
        </w:tc>
        <w:tc>
          <w:tcPr>
            <w:tcW w:w="0" w:type="auto"/>
            <w:shd w:val="clear" w:color="auto" w:fill="DBE5F1" w:themeFill="accent1" w:themeFillTint="33"/>
          </w:tcPr>
          <w:p w14:paraId="46E9019D" w14:textId="77777777" w:rsidR="00EF0C3D" w:rsidRPr="00820D83" w:rsidRDefault="00EF0C3D" w:rsidP="00DE3967">
            <w:pPr>
              <w:jc w:val="center"/>
              <w:rPr>
                <w:b/>
                <w:bCs/>
              </w:rPr>
            </w:pPr>
            <w:r>
              <w:rPr>
                <w:b/>
                <w:bCs/>
              </w:rPr>
              <w:t>FY23</w:t>
            </w:r>
          </w:p>
        </w:tc>
        <w:tc>
          <w:tcPr>
            <w:tcW w:w="0" w:type="auto"/>
            <w:shd w:val="clear" w:color="auto" w:fill="DBE5F1" w:themeFill="accent1" w:themeFillTint="33"/>
          </w:tcPr>
          <w:p w14:paraId="73EFBC86" w14:textId="77777777" w:rsidR="00EF0C3D" w:rsidRPr="00820D83" w:rsidRDefault="00EF0C3D" w:rsidP="00DE3967">
            <w:pPr>
              <w:jc w:val="center"/>
              <w:rPr>
                <w:b/>
                <w:bCs/>
              </w:rPr>
            </w:pPr>
            <w:r>
              <w:rPr>
                <w:b/>
                <w:bCs/>
              </w:rPr>
              <w:t>FY24</w:t>
            </w:r>
          </w:p>
        </w:tc>
        <w:tc>
          <w:tcPr>
            <w:tcW w:w="0" w:type="auto"/>
            <w:shd w:val="clear" w:color="auto" w:fill="DBE5F1" w:themeFill="accent1" w:themeFillTint="33"/>
          </w:tcPr>
          <w:p w14:paraId="4F204E60" w14:textId="77777777" w:rsidR="00EF0C3D" w:rsidRPr="00820D83" w:rsidRDefault="00EF0C3D" w:rsidP="00DE3967">
            <w:pPr>
              <w:jc w:val="center"/>
              <w:rPr>
                <w:b/>
                <w:bCs/>
              </w:rPr>
            </w:pPr>
            <w:r>
              <w:rPr>
                <w:b/>
                <w:bCs/>
              </w:rPr>
              <w:t>FY25</w:t>
            </w:r>
          </w:p>
        </w:tc>
        <w:tc>
          <w:tcPr>
            <w:tcW w:w="0" w:type="auto"/>
            <w:shd w:val="clear" w:color="auto" w:fill="DBE5F1" w:themeFill="accent1" w:themeFillTint="33"/>
          </w:tcPr>
          <w:p w14:paraId="256B8FB8" w14:textId="77777777" w:rsidR="00EF0C3D" w:rsidRDefault="00EF0C3D" w:rsidP="00DE3967">
            <w:pPr>
              <w:jc w:val="center"/>
              <w:rPr>
                <w:b/>
                <w:bCs/>
              </w:rPr>
            </w:pPr>
            <w:r>
              <w:rPr>
                <w:b/>
                <w:bCs/>
              </w:rPr>
              <w:t>% Change</w:t>
            </w:r>
          </w:p>
          <w:p w14:paraId="2A754D54" w14:textId="77777777" w:rsidR="00EF0C3D" w:rsidRPr="00820D83" w:rsidRDefault="00EF0C3D" w:rsidP="00DE3967">
            <w:pPr>
              <w:jc w:val="center"/>
              <w:rPr>
                <w:b/>
                <w:bCs/>
              </w:rPr>
            </w:pPr>
            <w:r>
              <w:rPr>
                <w:b/>
                <w:bCs/>
              </w:rPr>
              <w:t xml:space="preserve">FY23 to FY25 </w:t>
            </w:r>
          </w:p>
        </w:tc>
      </w:tr>
      <w:tr w:rsidR="00826DED" w14:paraId="1697899B" w14:textId="77777777" w:rsidTr="00F04B79">
        <w:trPr>
          <w:cantSplit/>
        </w:trPr>
        <w:tc>
          <w:tcPr>
            <w:tcW w:w="0" w:type="auto"/>
          </w:tcPr>
          <w:p w14:paraId="18CE8911" w14:textId="77777777" w:rsidR="00EF0C3D" w:rsidRPr="00820D83" w:rsidRDefault="00EF0C3D" w:rsidP="00DE3967">
            <w:pPr>
              <w:rPr>
                <w:b/>
                <w:bCs/>
              </w:rPr>
            </w:pPr>
            <w:r w:rsidRPr="00820D83">
              <w:rPr>
                <w:b/>
                <w:bCs/>
              </w:rPr>
              <w:t>Unique Patients</w:t>
            </w:r>
          </w:p>
        </w:tc>
        <w:tc>
          <w:tcPr>
            <w:tcW w:w="0" w:type="auto"/>
          </w:tcPr>
          <w:p w14:paraId="466D1057" w14:textId="33CD8512" w:rsidR="00EF0C3D" w:rsidRDefault="00A44598" w:rsidP="00DE3967">
            <w:pPr>
              <w:jc w:val="center"/>
            </w:pPr>
            <w:r w:rsidRPr="00A44598">
              <w:t>4,903</w:t>
            </w:r>
          </w:p>
        </w:tc>
        <w:tc>
          <w:tcPr>
            <w:tcW w:w="0" w:type="auto"/>
          </w:tcPr>
          <w:p w14:paraId="6118B82A" w14:textId="219AC44C" w:rsidR="00EF0C3D" w:rsidRDefault="00A44598" w:rsidP="00DE3967">
            <w:pPr>
              <w:jc w:val="center"/>
            </w:pPr>
            <w:r w:rsidRPr="00A44598">
              <w:t>6,558</w:t>
            </w:r>
          </w:p>
        </w:tc>
        <w:tc>
          <w:tcPr>
            <w:tcW w:w="0" w:type="auto"/>
          </w:tcPr>
          <w:p w14:paraId="0C5E05F1" w14:textId="43121B44" w:rsidR="00EF0C3D" w:rsidRDefault="00A44598" w:rsidP="00DE3967">
            <w:pPr>
              <w:jc w:val="center"/>
            </w:pPr>
            <w:r w:rsidRPr="00A44598">
              <w:t>9,028</w:t>
            </w:r>
          </w:p>
        </w:tc>
        <w:tc>
          <w:tcPr>
            <w:tcW w:w="0" w:type="auto"/>
          </w:tcPr>
          <w:p w14:paraId="0E16AA7F" w14:textId="2F21E49C" w:rsidR="00EF0C3D" w:rsidRPr="00B86828" w:rsidRDefault="009C5997" w:rsidP="00DE3967">
            <w:pPr>
              <w:jc w:val="center"/>
            </w:pPr>
            <w:r>
              <w:t>84%</w:t>
            </w:r>
          </w:p>
        </w:tc>
      </w:tr>
    </w:tbl>
    <w:p w14:paraId="01B2F1C1" w14:textId="77777777" w:rsidR="00A93FE5" w:rsidRDefault="00A93FE5" w:rsidP="00F50B7B">
      <w:pPr>
        <w:rPr>
          <w:b/>
          <w:bCs/>
          <w:u w:val="single"/>
        </w:rPr>
      </w:pPr>
    </w:p>
    <w:p w14:paraId="68456326" w14:textId="498260FA" w:rsidR="00A93FE5" w:rsidRDefault="003A71DC" w:rsidP="00F50B7B">
      <w:r>
        <w:t xml:space="preserve">Tables </w:t>
      </w:r>
      <w:r w:rsidR="00460BA1">
        <w:t>7</w:t>
      </w:r>
      <w:r>
        <w:t xml:space="preserve">, </w:t>
      </w:r>
      <w:r w:rsidR="00460BA1">
        <w:t>8</w:t>
      </w:r>
      <w:r>
        <w:t xml:space="preserve">, </w:t>
      </w:r>
      <w:r w:rsidR="00460BA1">
        <w:t>9</w:t>
      </w:r>
      <w:r w:rsidR="00FC523F">
        <w:t xml:space="preserve">, and </w:t>
      </w:r>
      <w:r w:rsidR="00460BA1">
        <w:t>10</w:t>
      </w:r>
      <w:r>
        <w:t xml:space="preserve"> provide payer mix information for BILH, Winchester Hospital, </w:t>
      </w:r>
      <w:r w:rsidR="00FC523F">
        <w:t>Winchester Hospital</w:t>
      </w:r>
      <w:r w:rsidR="001173A7">
        <w:t xml:space="preserve">- </w:t>
      </w:r>
      <w:r w:rsidR="00FC523F">
        <w:t xml:space="preserve">Main Campus Endoscopy </w:t>
      </w:r>
      <w:r>
        <w:t xml:space="preserve">and </w:t>
      </w:r>
      <w:r w:rsidR="00C37FFE">
        <w:t>The Center’s</w:t>
      </w:r>
      <w:r>
        <w:t xml:space="preserve"> patients</w:t>
      </w:r>
      <w:r w:rsidR="00582731">
        <w:t>, inclusive of DHA and Atrius patients</w:t>
      </w:r>
      <w:r>
        <w:t xml:space="preserve">. </w:t>
      </w:r>
    </w:p>
    <w:p w14:paraId="4F7FA541" w14:textId="77777777" w:rsidR="001173A7" w:rsidRDefault="001173A7" w:rsidP="00F50B7B"/>
    <w:p w14:paraId="10134E4D" w14:textId="38CB2B51" w:rsidR="007F367D" w:rsidRDefault="007F367D" w:rsidP="00F50B7B">
      <w:pPr>
        <w:rPr>
          <w:b/>
          <w:bCs/>
        </w:rPr>
      </w:pPr>
      <w:r w:rsidRPr="1916EAF1">
        <w:rPr>
          <w:b/>
          <w:bCs/>
          <w:u w:val="single"/>
        </w:rPr>
        <w:t xml:space="preserve">Table </w:t>
      </w:r>
      <w:r w:rsidR="00460BA1">
        <w:rPr>
          <w:b/>
          <w:bCs/>
          <w:u w:val="single"/>
        </w:rPr>
        <w:t>7</w:t>
      </w:r>
      <w:r w:rsidRPr="1916EAF1">
        <w:rPr>
          <w:b/>
          <w:bCs/>
        </w:rPr>
        <w:t xml:space="preserve">: </w:t>
      </w:r>
      <w:r w:rsidR="00C81C5E">
        <w:rPr>
          <w:b/>
          <w:bCs/>
        </w:rPr>
        <w:t xml:space="preserve">BILH Payer Mix, FY23 to FY25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ILH Payer Mix, FY23 to FY25"/>
      </w:tblPr>
      <w:tblGrid>
        <w:gridCol w:w="2760"/>
        <w:gridCol w:w="814"/>
        <w:gridCol w:w="814"/>
        <w:gridCol w:w="814"/>
      </w:tblGrid>
      <w:tr w:rsidR="0063766F" w:rsidRPr="00885B07" w14:paraId="1AFFFB6E" w14:textId="77777777" w:rsidTr="004B37F1">
        <w:trPr>
          <w:cantSplit/>
          <w:trHeight w:val="110"/>
          <w:tblHeader/>
        </w:trPr>
        <w:tc>
          <w:tcPr>
            <w:tcW w:w="0" w:type="auto"/>
            <w:shd w:val="clear" w:color="auto" w:fill="DBE5F1" w:themeFill="accent1" w:themeFillTint="33"/>
            <w:vAlign w:val="center"/>
          </w:tcPr>
          <w:p w14:paraId="46132B5D" w14:textId="77777777" w:rsidR="0063766F" w:rsidRPr="00885B07" w:rsidRDefault="0063766F" w:rsidP="00DE3967">
            <w:pPr>
              <w:widowControl/>
              <w:autoSpaceDE/>
              <w:autoSpaceDN/>
              <w:rPr>
                <w:rFonts w:asciiTheme="minorHAnsi" w:eastAsia="Times New Roman" w:hAnsiTheme="minorHAnsi"/>
                <w:b/>
                <w:bCs/>
                <w:color w:val="000000"/>
                <w:szCs w:val="24"/>
              </w:rPr>
            </w:pPr>
            <w:r w:rsidRPr="00885B07">
              <w:rPr>
                <w:rFonts w:asciiTheme="minorHAnsi" w:eastAsia="Times New Roman" w:hAnsiTheme="minorHAnsi"/>
                <w:b/>
                <w:bCs/>
                <w:color w:val="000000"/>
                <w:szCs w:val="24"/>
              </w:rPr>
              <w:t>Payer</w:t>
            </w:r>
          </w:p>
        </w:tc>
        <w:tc>
          <w:tcPr>
            <w:tcW w:w="0" w:type="auto"/>
            <w:shd w:val="clear" w:color="auto" w:fill="DBE5F1" w:themeFill="accent1" w:themeFillTint="33"/>
            <w:vAlign w:val="center"/>
          </w:tcPr>
          <w:p w14:paraId="6873762F" w14:textId="77777777" w:rsidR="0063766F" w:rsidRPr="00885B07" w:rsidRDefault="0063766F" w:rsidP="00DE3967">
            <w:pPr>
              <w:widowControl/>
              <w:autoSpaceDE/>
              <w:autoSpaceDN/>
              <w:jc w:val="center"/>
              <w:rPr>
                <w:rFonts w:asciiTheme="minorHAnsi" w:eastAsia="Times New Roman" w:hAnsiTheme="minorHAnsi"/>
                <w:b/>
                <w:bCs/>
                <w:color w:val="000000"/>
                <w:szCs w:val="24"/>
              </w:rPr>
            </w:pPr>
            <w:r w:rsidRPr="00885B07">
              <w:rPr>
                <w:rFonts w:asciiTheme="minorHAnsi" w:eastAsia="Times New Roman" w:hAnsiTheme="minorHAnsi"/>
                <w:b/>
                <w:bCs/>
                <w:color w:val="000000"/>
                <w:szCs w:val="24"/>
              </w:rPr>
              <w:t>FY23</w:t>
            </w:r>
          </w:p>
        </w:tc>
        <w:tc>
          <w:tcPr>
            <w:tcW w:w="0" w:type="auto"/>
            <w:shd w:val="clear" w:color="auto" w:fill="DBE5F1" w:themeFill="accent1" w:themeFillTint="33"/>
            <w:vAlign w:val="center"/>
          </w:tcPr>
          <w:p w14:paraId="3089DC64" w14:textId="77777777" w:rsidR="0063766F" w:rsidRPr="00885B07" w:rsidRDefault="0063766F" w:rsidP="00DE3967">
            <w:pPr>
              <w:widowControl/>
              <w:autoSpaceDE/>
              <w:autoSpaceDN/>
              <w:jc w:val="center"/>
              <w:rPr>
                <w:rFonts w:asciiTheme="minorHAnsi" w:eastAsia="Times New Roman" w:hAnsiTheme="minorHAnsi"/>
                <w:b/>
                <w:bCs/>
                <w:color w:val="000000"/>
                <w:szCs w:val="24"/>
              </w:rPr>
            </w:pPr>
            <w:r w:rsidRPr="00885B07">
              <w:rPr>
                <w:rFonts w:asciiTheme="minorHAnsi" w:eastAsia="Times New Roman" w:hAnsiTheme="minorHAnsi"/>
                <w:b/>
                <w:bCs/>
                <w:color w:val="000000"/>
                <w:szCs w:val="24"/>
              </w:rPr>
              <w:t>FY24</w:t>
            </w:r>
          </w:p>
        </w:tc>
        <w:tc>
          <w:tcPr>
            <w:tcW w:w="0" w:type="auto"/>
            <w:shd w:val="clear" w:color="auto" w:fill="DBE5F1" w:themeFill="accent1" w:themeFillTint="33"/>
            <w:vAlign w:val="center"/>
          </w:tcPr>
          <w:p w14:paraId="33D8B0B6" w14:textId="77777777" w:rsidR="0063766F" w:rsidRPr="00885B07" w:rsidRDefault="0063766F" w:rsidP="00DE3967">
            <w:pPr>
              <w:widowControl/>
              <w:autoSpaceDE/>
              <w:autoSpaceDN/>
              <w:jc w:val="center"/>
              <w:rPr>
                <w:rFonts w:asciiTheme="minorHAnsi" w:eastAsia="Times New Roman" w:hAnsiTheme="minorHAnsi"/>
                <w:b/>
                <w:bCs/>
                <w:color w:val="000000"/>
                <w:szCs w:val="24"/>
              </w:rPr>
            </w:pPr>
            <w:r w:rsidRPr="00885B07">
              <w:rPr>
                <w:rFonts w:asciiTheme="minorHAnsi" w:eastAsia="Times New Roman" w:hAnsiTheme="minorHAnsi"/>
                <w:b/>
                <w:bCs/>
                <w:color w:val="000000"/>
                <w:szCs w:val="24"/>
              </w:rPr>
              <w:t>FY25</w:t>
            </w:r>
          </w:p>
        </w:tc>
      </w:tr>
      <w:tr w:rsidR="00026B8E" w:rsidRPr="00885B07" w14:paraId="78350A74" w14:textId="77777777" w:rsidTr="00F04B79">
        <w:trPr>
          <w:cantSplit/>
          <w:trHeight w:val="50"/>
        </w:trPr>
        <w:tc>
          <w:tcPr>
            <w:tcW w:w="0" w:type="auto"/>
            <w:vAlign w:val="center"/>
            <w:hideMark/>
          </w:tcPr>
          <w:p w14:paraId="695D5F1C" w14:textId="77777777" w:rsidR="00026B8E" w:rsidRPr="00885B07" w:rsidRDefault="00026B8E" w:rsidP="00026B8E">
            <w:pPr>
              <w:widowControl/>
              <w:autoSpaceDE/>
              <w:autoSpaceDN/>
              <w:ind w:left="144"/>
              <w:rPr>
                <w:rFonts w:asciiTheme="minorHAnsi" w:eastAsia="Times New Roman" w:hAnsiTheme="minorHAnsi"/>
                <w:color w:val="000000"/>
                <w:szCs w:val="24"/>
              </w:rPr>
            </w:pPr>
            <w:r w:rsidRPr="00885B07">
              <w:rPr>
                <w:rFonts w:asciiTheme="minorHAnsi" w:eastAsia="Times New Roman" w:hAnsiTheme="minorHAnsi"/>
                <w:color w:val="000000"/>
                <w:szCs w:val="24"/>
              </w:rPr>
              <w:t>Commercial</w:t>
            </w:r>
          </w:p>
        </w:tc>
        <w:tc>
          <w:tcPr>
            <w:tcW w:w="0" w:type="auto"/>
            <w:hideMark/>
          </w:tcPr>
          <w:p w14:paraId="3E169F32" w14:textId="33DCCEA3" w:rsidR="00026B8E" w:rsidRPr="00885B07" w:rsidRDefault="00026B8E" w:rsidP="00026B8E">
            <w:pPr>
              <w:widowControl/>
              <w:autoSpaceDE/>
              <w:autoSpaceDN/>
              <w:jc w:val="center"/>
              <w:rPr>
                <w:rFonts w:asciiTheme="minorHAnsi" w:eastAsia="Times New Roman" w:hAnsiTheme="minorHAnsi"/>
                <w:color w:val="000000"/>
                <w:szCs w:val="24"/>
              </w:rPr>
            </w:pPr>
            <w:r w:rsidRPr="004A4A07">
              <w:t>48.3%</w:t>
            </w:r>
          </w:p>
        </w:tc>
        <w:tc>
          <w:tcPr>
            <w:tcW w:w="0" w:type="auto"/>
            <w:hideMark/>
          </w:tcPr>
          <w:p w14:paraId="04E61BD5" w14:textId="2C0A5E22" w:rsidR="00026B8E" w:rsidRPr="00885B07" w:rsidRDefault="00026B8E" w:rsidP="00026B8E">
            <w:pPr>
              <w:widowControl/>
              <w:autoSpaceDE/>
              <w:autoSpaceDN/>
              <w:jc w:val="center"/>
              <w:rPr>
                <w:rFonts w:asciiTheme="minorHAnsi" w:eastAsia="Times New Roman" w:hAnsiTheme="minorHAnsi"/>
                <w:color w:val="000000"/>
                <w:szCs w:val="24"/>
              </w:rPr>
            </w:pPr>
            <w:r w:rsidRPr="004E0E71">
              <w:t>48.3%</w:t>
            </w:r>
          </w:p>
        </w:tc>
        <w:tc>
          <w:tcPr>
            <w:tcW w:w="0" w:type="auto"/>
            <w:hideMark/>
          </w:tcPr>
          <w:p w14:paraId="0AC6659E" w14:textId="24D2C3B1" w:rsidR="00026B8E" w:rsidRPr="00885B07" w:rsidRDefault="00026B8E" w:rsidP="00026B8E">
            <w:pPr>
              <w:widowControl/>
              <w:autoSpaceDE/>
              <w:autoSpaceDN/>
              <w:jc w:val="center"/>
              <w:rPr>
                <w:rFonts w:asciiTheme="minorHAnsi" w:eastAsia="Times New Roman" w:hAnsiTheme="minorHAnsi"/>
                <w:color w:val="000000"/>
                <w:szCs w:val="24"/>
              </w:rPr>
            </w:pPr>
            <w:r w:rsidRPr="00E257FE">
              <w:t>49.7%</w:t>
            </w:r>
          </w:p>
        </w:tc>
      </w:tr>
      <w:tr w:rsidR="00026B8E" w:rsidRPr="00885B07" w14:paraId="29A43196" w14:textId="77777777" w:rsidTr="00F04B79">
        <w:trPr>
          <w:cantSplit/>
          <w:trHeight w:val="50"/>
        </w:trPr>
        <w:tc>
          <w:tcPr>
            <w:tcW w:w="0" w:type="auto"/>
            <w:vAlign w:val="center"/>
            <w:hideMark/>
          </w:tcPr>
          <w:p w14:paraId="25DEFCDA" w14:textId="77777777" w:rsidR="00026B8E" w:rsidRPr="00885B07" w:rsidRDefault="00026B8E" w:rsidP="00026B8E">
            <w:pPr>
              <w:widowControl/>
              <w:autoSpaceDE/>
              <w:autoSpaceDN/>
              <w:ind w:left="144"/>
              <w:rPr>
                <w:rFonts w:asciiTheme="minorHAnsi" w:eastAsia="Times New Roman" w:hAnsiTheme="minorHAnsi"/>
                <w:color w:val="000000"/>
                <w:szCs w:val="24"/>
              </w:rPr>
            </w:pPr>
            <w:r w:rsidRPr="00885B07">
              <w:rPr>
                <w:rFonts w:asciiTheme="minorHAnsi" w:eastAsia="Times New Roman" w:hAnsiTheme="minorHAnsi"/>
                <w:color w:val="000000"/>
                <w:szCs w:val="24"/>
              </w:rPr>
              <w:t>Medicare</w:t>
            </w:r>
          </w:p>
        </w:tc>
        <w:tc>
          <w:tcPr>
            <w:tcW w:w="0" w:type="auto"/>
            <w:hideMark/>
          </w:tcPr>
          <w:p w14:paraId="769702A5" w14:textId="6D0DA579" w:rsidR="00026B8E" w:rsidRPr="00885B07" w:rsidRDefault="00026B8E" w:rsidP="00026B8E">
            <w:pPr>
              <w:widowControl/>
              <w:autoSpaceDE/>
              <w:autoSpaceDN/>
              <w:jc w:val="center"/>
              <w:rPr>
                <w:rFonts w:asciiTheme="minorHAnsi" w:eastAsia="Times New Roman" w:hAnsiTheme="minorHAnsi"/>
                <w:color w:val="000000"/>
                <w:szCs w:val="24"/>
              </w:rPr>
            </w:pPr>
            <w:r w:rsidRPr="004A4A07">
              <w:t>19.1%</w:t>
            </w:r>
          </w:p>
        </w:tc>
        <w:tc>
          <w:tcPr>
            <w:tcW w:w="0" w:type="auto"/>
            <w:hideMark/>
          </w:tcPr>
          <w:p w14:paraId="1A4D70C6" w14:textId="75853EB3" w:rsidR="00026B8E" w:rsidRPr="00885B07" w:rsidRDefault="00026B8E" w:rsidP="00026B8E">
            <w:pPr>
              <w:widowControl/>
              <w:autoSpaceDE/>
              <w:autoSpaceDN/>
              <w:jc w:val="center"/>
              <w:rPr>
                <w:rFonts w:asciiTheme="minorHAnsi" w:eastAsia="Times New Roman" w:hAnsiTheme="minorHAnsi"/>
                <w:color w:val="000000"/>
                <w:szCs w:val="24"/>
              </w:rPr>
            </w:pPr>
            <w:r w:rsidRPr="004E0E71">
              <w:t>19.2%</w:t>
            </w:r>
          </w:p>
        </w:tc>
        <w:tc>
          <w:tcPr>
            <w:tcW w:w="0" w:type="auto"/>
            <w:hideMark/>
          </w:tcPr>
          <w:p w14:paraId="27EC2716" w14:textId="50C1B55F" w:rsidR="00026B8E" w:rsidRPr="00885B07" w:rsidRDefault="00026B8E" w:rsidP="00026B8E">
            <w:pPr>
              <w:widowControl/>
              <w:autoSpaceDE/>
              <w:autoSpaceDN/>
              <w:jc w:val="center"/>
              <w:rPr>
                <w:rFonts w:asciiTheme="minorHAnsi" w:eastAsia="Times New Roman" w:hAnsiTheme="minorHAnsi"/>
                <w:color w:val="000000"/>
                <w:szCs w:val="24"/>
              </w:rPr>
            </w:pPr>
            <w:r w:rsidRPr="00E257FE">
              <w:t>19.0%</w:t>
            </w:r>
          </w:p>
        </w:tc>
      </w:tr>
      <w:tr w:rsidR="00026B8E" w:rsidRPr="00885B07" w14:paraId="2D0A3A36" w14:textId="77777777" w:rsidTr="00F04B79">
        <w:trPr>
          <w:cantSplit/>
          <w:trHeight w:val="50"/>
        </w:trPr>
        <w:tc>
          <w:tcPr>
            <w:tcW w:w="0" w:type="auto"/>
            <w:vAlign w:val="center"/>
            <w:hideMark/>
          </w:tcPr>
          <w:p w14:paraId="1B0F22FB" w14:textId="77777777" w:rsidR="00026B8E" w:rsidRPr="00885B07" w:rsidRDefault="00026B8E" w:rsidP="00026B8E">
            <w:pPr>
              <w:widowControl/>
              <w:autoSpaceDE/>
              <w:autoSpaceDN/>
              <w:ind w:left="144"/>
              <w:rPr>
                <w:rFonts w:asciiTheme="minorHAnsi" w:eastAsia="Times New Roman" w:hAnsiTheme="minorHAnsi"/>
                <w:color w:val="000000"/>
                <w:szCs w:val="24"/>
              </w:rPr>
            </w:pPr>
            <w:r w:rsidRPr="00885B07">
              <w:rPr>
                <w:rFonts w:asciiTheme="minorHAnsi" w:eastAsia="Times New Roman" w:hAnsiTheme="minorHAnsi"/>
                <w:color w:val="000000"/>
                <w:szCs w:val="24"/>
              </w:rPr>
              <w:t>Medicare Managed Care</w:t>
            </w:r>
          </w:p>
        </w:tc>
        <w:tc>
          <w:tcPr>
            <w:tcW w:w="0" w:type="auto"/>
            <w:hideMark/>
          </w:tcPr>
          <w:p w14:paraId="2EBDC8B5" w14:textId="6043D118" w:rsidR="00026B8E" w:rsidRPr="00885B07" w:rsidRDefault="00026B8E" w:rsidP="00026B8E">
            <w:pPr>
              <w:widowControl/>
              <w:autoSpaceDE/>
              <w:autoSpaceDN/>
              <w:jc w:val="center"/>
              <w:rPr>
                <w:rFonts w:asciiTheme="minorHAnsi" w:eastAsia="Times New Roman" w:hAnsiTheme="minorHAnsi"/>
                <w:color w:val="000000"/>
                <w:szCs w:val="24"/>
              </w:rPr>
            </w:pPr>
            <w:r w:rsidRPr="004A4A07">
              <w:t>12.0%</w:t>
            </w:r>
          </w:p>
        </w:tc>
        <w:tc>
          <w:tcPr>
            <w:tcW w:w="0" w:type="auto"/>
            <w:hideMark/>
          </w:tcPr>
          <w:p w14:paraId="41C99335" w14:textId="440A2ECF" w:rsidR="00026B8E" w:rsidRPr="00885B07" w:rsidRDefault="00026B8E" w:rsidP="00026B8E">
            <w:pPr>
              <w:widowControl/>
              <w:autoSpaceDE/>
              <w:autoSpaceDN/>
              <w:jc w:val="center"/>
              <w:rPr>
                <w:rFonts w:asciiTheme="minorHAnsi" w:eastAsia="Times New Roman" w:hAnsiTheme="minorHAnsi"/>
                <w:color w:val="000000"/>
                <w:szCs w:val="24"/>
              </w:rPr>
            </w:pPr>
            <w:r w:rsidRPr="004E0E71">
              <w:t>11.2%</w:t>
            </w:r>
          </w:p>
        </w:tc>
        <w:tc>
          <w:tcPr>
            <w:tcW w:w="0" w:type="auto"/>
            <w:hideMark/>
          </w:tcPr>
          <w:p w14:paraId="6D212EB8" w14:textId="6EE7A9A0" w:rsidR="00026B8E" w:rsidRPr="00885B07" w:rsidRDefault="00026B8E" w:rsidP="00026B8E">
            <w:pPr>
              <w:widowControl/>
              <w:autoSpaceDE/>
              <w:autoSpaceDN/>
              <w:jc w:val="center"/>
              <w:rPr>
                <w:rFonts w:asciiTheme="minorHAnsi" w:eastAsia="Times New Roman" w:hAnsiTheme="minorHAnsi"/>
                <w:color w:val="000000"/>
                <w:szCs w:val="24"/>
              </w:rPr>
            </w:pPr>
            <w:r w:rsidRPr="00E257FE">
              <w:t>10.1%</w:t>
            </w:r>
          </w:p>
        </w:tc>
      </w:tr>
      <w:tr w:rsidR="00026B8E" w:rsidRPr="00885B07" w14:paraId="57377D02" w14:textId="77777777" w:rsidTr="00F04B79">
        <w:trPr>
          <w:cantSplit/>
          <w:trHeight w:val="50"/>
        </w:trPr>
        <w:tc>
          <w:tcPr>
            <w:tcW w:w="0" w:type="auto"/>
            <w:vAlign w:val="center"/>
            <w:hideMark/>
          </w:tcPr>
          <w:p w14:paraId="7C67FCB6" w14:textId="77777777" w:rsidR="00026B8E" w:rsidRPr="00885B07" w:rsidRDefault="00026B8E" w:rsidP="00026B8E">
            <w:pPr>
              <w:widowControl/>
              <w:autoSpaceDE/>
              <w:autoSpaceDN/>
              <w:ind w:left="144"/>
              <w:rPr>
                <w:rFonts w:asciiTheme="minorHAnsi" w:eastAsia="Times New Roman" w:hAnsiTheme="minorHAnsi"/>
                <w:color w:val="000000"/>
                <w:szCs w:val="24"/>
              </w:rPr>
            </w:pPr>
            <w:r w:rsidRPr="00885B07">
              <w:rPr>
                <w:rFonts w:asciiTheme="minorHAnsi" w:eastAsia="Times New Roman" w:hAnsiTheme="minorHAnsi"/>
                <w:color w:val="000000"/>
                <w:szCs w:val="24"/>
              </w:rPr>
              <w:t>Medicaid</w:t>
            </w:r>
          </w:p>
        </w:tc>
        <w:tc>
          <w:tcPr>
            <w:tcW w:w="0" w:type="auto"/>
            <w:hideMark/>
          </w:tcPr>
          <w:p w14:paraId="3C56BCD1" w14:textId="77C754C8" w:rsidR="00026B8E" w:rsidRPr="00885B07" w:rsidRDefault="00026B8E" w:rsidP="00026B8E">
            <w:pPr>
              <w:widowControl/>
              <w:autoSpaceDE/>
              <w:autoSpaceDN/>
              <w:jc w:val="center"/>
              <w:rPr>
                <w:rFonts w:asciiTheme="minorHAnsi" w:eastAsia="Times New Roman" w:hAnsiTheme="minorHAnsi"/>
                <w:color w:val="000000"/>
                <w:szCs w:val="24"/>
              </w:rPr>
            </w:pPr>
            <w:r w:rsidRPr="004A4A07">
              <w:t>8.3%</w:t>
            </w:r>
          </w:p>
        </w:tc>
        <w:tc>
          <w:tcPr>
            <w:tcW w:w="0" w:type="auto"/>
            <w:hideMark/>
          </w:tcPr>
          <w:p w14:paraId="66966A93" w14:textId="3C85AF67" w:rsidR="00026B8E" w:rsidRPr="00885B07" w:rsidRDefault="00026B8E" w:rsidP="00026B8E">
            <w:pPr>
              <w:widowControl/>
              <w:autoSpaceDE/>
              <w:autoSpaceDN/>
              <w:jc w:val="center"/>
              <w:rPr>
                <w:rFonts w:asciiTheme="minorHAnsi" w:eastAsia="Times New Roman" w:hAnsiTheme="minorHAnsi"/>
                <w:color w:val="000000"/>
                <w:szCs w:val="24"/>
              </w:rPr>
            </w:pPr>
            <w:r w:rsidRPr="004E0E71">
              <w:t>9.0%</w:t>
            </w:r>
          </w:p>
        </w:tc>
        <w:tc>
          <w:tcPr>
            <w:tcW w:w="0" w:type="auto"/>
            <w:hideMark/>
          </w:tcPr>
          <w:p w14:paraId="338382A3" w14:textId="22B82008" w:rsidR="00026B8E" w:rsidRPr="00885B07" w:rsidRDefault="00026B8E" w:rsidP="00026B8E">
            <w:pPr>
              <w:widowControl/>
              <w:autoSpaceDE/>
              <w:autoSpaceDN/>
              <w:jc w:val="center"/>
              <w:rPr>
                <w:rFonts w:asciiTheme="minorHAnsi" w:eastAsia="Times New Roman" w:hAnsiTheme="minorHAnsi"/>
                <w:color w:val="000000"/>
                <w:szCs w:val="24"/>
              </w:rPr>
            </w:pPr>
            <w:r w:rsidRPr="00E257FE">
              <w:t>8.7%</w:t>
            </w:r>
          </w:p>
        </w:tc>
      </w:tr>
      <w:tr w:rsidR="00026B8E" w:rsidRPr="00885B07" w14:paraId="5E769A04" w14:textId="77777777" w:rsidTr="00F04B79">
        <w:trPr>
          <w:cantSplit/>
          <w:trHeight w:val="50"/>
        </w:trPr>
        <w:tc>
          <w:tcPr>
            <w:tcW w:w="0" w:type="auto"/>
            <w:vAlign w:val="center"/>
            <w:hideMark/>
          </w:tcPr>
          <w:p w14:paraId="06C38EBF" w14:textId="77777777" w:rsidR="00026B8E" w:rsidRPr="00885B07" w:rsidRDefault="00026B8E" w:rsidP="00026B8E">
            <w:pPr>
              <w:widowControl/>
              <w:autoSpaceDE/>
              <w:autoSpaceDN/>
              <w:ind w:left="144"/>
              <w:rPr>
                <w:rFonts w:asciiTheme="minorHAnsi" w:eastAsia="Times New Roman" w:hAnsiTheme="minorHAnsi"/>
                <w:color w:val="000000"/>
                <w:szCs w:val="24"/>
              </w:rPr>
            </w:pPr>
            <w:r w:rsidRPr="00885B07">
              <w:rPr>
                <w:rFonts w:asciiTheme="minorHAnsi" w:eastAsia="Times New Roman" w:hAnsiTheme="minorHAnsi"/>
                <w:color w:val="000000"/>
                <w:szCs w:val="24"/>
              </w:rPr>
              <w:t>Medicaid Managed Care</w:t>
            </w:r>
          </w:p>
        </w:tc>
        <w:tc>
          <w:tcPr>
            <w:tcW w:w="0" w:type="auto"/>
            <w:hideMark/>
          </w:tcPr>
          <w:p w14:paraId="1747E0C6" w14:textId="38365717" w:rsidR="00026B8E" w:rsidRPr="00885B07" w:rsidRDefault="00026B8E" w:rsidP="00026B8E">
            <w:pPr>
              <w:widowControl/>
              <w:autoSpaceDE/>
              <w:autoSpaceDN/>
              <w:jc w:val="center"/>
              <w:rPr>
                <w:rFonts w:asciiTheme="minorHAnsi" w:eastAsia="Times New Roman" w:hAnsiTheme="minorHAnsi"/>
                <w:color w:val="000000"/>
                <w:szCs w:val="24"/>
              </w:rPr>
            </w:pPr>
            <w:r w:rsidRPr="004A4A07">
              <w:t>7.4%</w:t>
            </w:r>
          </w:p>
        </w:tc>
        <w:tc>
          <w:tcPr>
            <w:tcW w:w="0" w:type="auto"/>
            <w:hideMark/>
          </w:tcPr>
          <w:p w14:paraId="3B86C5ED" w14:textId="7045772C" w:rsidR="00026B8E" w:rsidRPr="00885B07" w:rsidRDefault="00026B8E" w:rsidP="00026B8E">
            <w:pPr>
              <w:widowControl/>
              <w:autoSpaceDE/>
              <w:autoSpaceDN/>
              <w:jc w:val="center"/>
              <w:rPr>
                <w:rFonts w:asciiTheme="minorHAnsi" w:eastAsia="Times New Roman" w:hAnsiTheme="minorHAnsi"/>
                <w:color w:val="000000"/>
                <w:szCs w:val="24"/>
              </w:rPr>
            </w:pPr>
            <w:r w:rsidRPr="004E0E71">
              <w:t>6.7%</w:t>
            </w:r>
          </w:p>
        </w:tc>
        <w:tc>
          <w:tcPr>
            <w:tcW w:w="0" w:type="auto"/>
            <w:hideMark/>
          </w:tcPr>
          <w:p w14:paraId="3C63DF34" w14:textId="117A4F68" w:rsidR="00026B8E" w:rsidRPr="00885B07" w:rsidRDefault="00026B8E" w:rsidP="00026B8E">
            <w:pPr>
              <w:widowControl/>
              <w:autoSpaceDE/>
              <w:autoSpaceDN/>
              <w:jc w:val="center"/>
              <w:rPr>
                <w:rFonts w:asciiTheme="minorHAnsi" w:eastAsia="Times New Roman" w:hAnsiTheme="minorHAnsi"/>
                <w:color w:val="000000"/>
                <w:szCs w:val="24"/>
              </w:rPr>
            </w:pPr>
            <w:r w:rsidRPr="00E257FE">
              <w:t>6.2%</w:t>
            </w:r>
          </w:p>
        </w:tc>
      </w:tr>
      <w:tr w:rsidR="00026B8E" w:rsidRPr="00885B07" w14:paraId="2F62BD40" w14:textId="77777777" w:rsidTr="00F04B79">
        <w:trPr>
          <w:cantSplit/>
          <w:trHeight w:val="50"/>
        </w:trPr>
        <w:tc>
          <w:tcPr>
            <w:tcW w:w="0" w:type="auto"/>
            <w:vAlign w:val="center"/>
            <w:hideMark/>
          </w:tcPr>
          <w:p w14:paraId="06FF7A47" w14:textId="3A5143FC" w:rsidR="00026B8E" w:rsidRPr="00885B07" w:rsidRDefault="00026B8E" w:rsidP="00026B8E">
            <w:pPr>
              <w:widowControl/>
              <w:autoSpaceDE/>
              <w:autoSpaceDN/>
              <w:ind w:left="144"/>
              <w:rPr>
                <w:rFonts w:asciiTheme="minorHAnsi" w:eastAsia="Times New Roman" w:hAnsiTheme="minorHAnsi"/>
                <w:szCs w:val="24"/>
              </w:rPr>
            </w:pPr>
            <w:r w:rsidRPr="00885B07">
              <w:rPr>
                <w:rFonts w:asciiTheme="minorHAnsi" w:eastAsia="Times New Roman" w:hAnsiTheme="minorHAnsi"/>
                <w:szCs w:val="24"/>
              </w:rPr>
              <w:t>Other</w:t>
            </w:r>
            <w:r w:rsidRPr="007D19F9">
              <w:rPr>
                <w:rFonts w:asciiTheme="minorHAnsi" w:eastAsia="Times New Roman" w:hAnsiTheme="minorHAnsi"/>
                <w:szCs w:val="24"/>
                <w:vertAlign w:val="superscript"/>
              </w:rPr>
              <w:footnoteReference w:id="8"/>
            </w:r>
          </w:p>
        </w:tc>
        <w:tc>
          <w:tcPr>
            <w:tcW w:w="0" w:type="auto"/>
            <w:hideMark/>
          </w:tcPr>
          <w:p w14:paraId="12029BB6" w14:textId="04166762" w:rsidR="00026B8E" w:rsidRPr="00885B07" w:rsidRDefault="00026B8E" w:rsidP="00026B8E">
            <w:pPr>
              <w:widowControl/>
              <w:autoSpaceDE/>
              <w:autoSpaceDN/>
              <w:jc w:val="center"/>
              <w:rPr>
                <w:rFonts w:asciiTheme="minorHAnsi" w:eastAsia="Times New Roman" w:hAnsiTheme="minorHAnsi"/>
                <w:color w:val="000000"/>
                <w:szCs w:val="24"/>
              </w:rPr>
            </w:pPr>
            <w:r w:rsidRPr="004A4A07">
              <w:t>4.9%</w:t>
            </w:r>
          </w:p>
        </w:tc>
        <w:tc>
          <w:tcPr>
            <w:tcW w:w="0" w:type="auto"/>
            <w:hideMark/>
          </w:tcPr>
          <w:p w14:paraId="091C4526" w14:textId="0E115943" w:rsidR="00026B8E" w:rsidRPr="00885B07" w:rsidRDefault="00026B8E" w:rsidP="00026B8E">
            <w:pPr>
              <w:widowControl/>
              <w:autoSpaceDE/>
              <w:autoSpaceDN/>
              <w:jc w:val="center"/>
              <w:rPr>
                <w:rFonts w:asciiTheme="minorHAnsi" w:eastAsia="Times New Roman" w:hAnsiTheme="minorHAnsi"/>
                <w:color w:val="000000"/>
                <w:szCs w:val="24"/>
              </w:rPr>
            </w:pPr>
            <w:r w:rsidRPr="004E0E71">
              <w:t>5.7%</w:t>
            </w:r>
          </w:p>
        </w:tc>
        <w:tc>
          <w:tcPr>
            <w:tcW w:w="0" w:type="auto"/>
            <w:hideMark/>
          </w:tcPr>
          <w:p w14:paraId="1C9586D8" w14:textId="1E1B1B50" w:rsidR="00026B8E" w:rsidRPr="00885B07" w:rsidRDefault="00026B8E" w:rsidP="00026B8E">
            <w:pPr>
              <w:widowControl/>
              <w:autoSpaceDE/>
              <w:autoSpaceDN/>
              <w:jc w:val="center"/>
              <w:rPr>
                <w:rFonts w:asciiTheme="minorHAnsi" w:eastAsia="Times New Roman" w:hAnsiTheme="minorHAnsi"/>
                <w:color w:val="000000"/>
                <w:szCs w:val="24"/>
              </w:rPr>
            </w:pPr>
            <w:r w:rsidRPr="00E257FE">
              <w:t>6.2%</w:t>
            </w:r>
          </w:p>
        </w:tc>
      </w:tr>
      <w:tr w:rsidR="0063766F" w:rsidRPr="00885B07" w14:paraId="691E614D" w14:textId="77777777" w:rsidTr="00F04B79">
        <w:trPr>
          <w:cantSplit/>
          <w:trHeight w:val="290"/>
        </w:trPr>
        <w:tc>
          <w:tcPr>
            <w:tcW w:w="0" w:type="auto"/>
            <w:noWrap/>
            <w:vAlign w:val="bottom"/>
            <w:hideMark/>
          </w:tcPr>
          <w:p w14:paraId="7A02FD3D" w14:textId="77777777" w:rsidR="0063766F" w:rsidRPr="00885B07" w:rsidRDefault="0063766F" w:rsidP="00DE3967">
            <w:pPr>
              <w:widowControl/>
              <w:autoSpaceDE/>
              <w:autoSpaceDN/>
              <w:ind w:left="144"/>
              <w:rPr>
                <w:rFonts w:asciiTheme="minorHAnsi" w:eastAsia="Times New Roman" w:hAnsiTheme="minorHAnsi"/>
                <w:color w:val="000000"/>
                <w:szCs w:val="24"/>
              </w:rPr>
            </w:pPr>
            <w:r w:rsidRPr="00885B07">
              <w:rPr>
                <w:rFonts w:asciiTheme="minorHAnsi" w:eastAsia="Times New Roman" w:hAnsiTheme="minorHAnsi"/>
                <w:color w:val="000000"/>
                <w:szCs w:val="24"/>
              </w:rPr>
              <w:t xml:space="preserve">Total </w:t>
            </w:r>
          </w:p>
        </w:tc>
        <w:tc>
          <w:tcPr>
            <w:tcW w:w="0" w:type="auto"/>
            <w:vAlign w:val="center"/>
            <w:hideMark/>
          </w:tcPr>
          <w:p w14:paraId="5FBA07D1" w14:textId="68D3E002" w:rsidR="0063766F" w:rsidRPr="00885B07" w:rsidRDefault="0063766F" w:rsidP="00DE3967">
            <w:pPr>
              <w:widowControl/>
              <w:autoSpaceDE/>
              <w:autoSpaceDN/>
              <w:jc w:val="center"/>
              <w:rPr>
                <w:rFonts w:asciiTheme="minorHAnsi" w:eastAsia="Times New Roman" w:hAnsiTheme="minorHAnsi"/>
                <w:color w:val="000000"/>
                <w:szCs w:val="24"/>
              </w:rPr>
            </w:pPr>
            <w:r w:rsidRPr="00885B07">
              <w:rPr>
                <w:rFonts w:asciiTheme="minorHAnsi" w:eastAsia="Times New Roman" w:hAnsiTheme="minorHAnsi"/>
                <w:color w:val="000000"/>
                <w:szCs w:val="24"/>
              </w:rPr>
              <w:t>100%</w:t>
            </w:r>
          </w:p>
        </w:tc>
        <w:tc>
          <w:tcPr>
            <w:tcW w:w="0" w:type="auto"/>
            <w:vAlign w:val="center"/>
            <w:hideMark/>
          </w:tcPr>
          <w:p w14:paraId="7ECAC419" w14:textId="413EECB2" w:rsidR="0063766F" w:rsidRPr="00885B07" w:rsidRDefault="0063766F" w:rsidP="00DE3967">
            <w:pPr>
              <w:widowControl/>
              <w:autoSpaceDE/>
              <w:autoSpaceDN/>
              <w:jc w:val="center"/>
              <w:rPr>
                <w:rFonts w:asciiTheme="minorHAnsi" w:eastAsia="Times New Roman" w:hAnsiTheme="minorHAnsi"/>
                <w:color w:val="000000"/>
                <w:szCs w:val="24"/>
              </w:rPr>
            </w:pPr>
            <w:r w:rsidRPr="00885B07">
              <w:rPr>
                <w:rFonts w:asciiTheme="minorHAnsi" w:eastAsia="Times New Roman" w:hAnsiTheme="minorHAnsi"/>
                <w:color w:val="000000"/>
                <w:szCs w:val="24"/>
              </w:rPr>
              <w:t>100%</w:t>
            </w:r>
          </w:p>
        </w:tc>
        <w:tc>
          <w:tcPr>
            <w:tcW w:w="0" w:type="auto"/>
            <w:vAlign w:val="center"/>
            <w:hideMark/>
          </w:tcPr>
          <w:p w14:paraId="43D1F7DB" w14:textId="1967BC03" w:rsidR="0063766F" w:rsidRPr="00885B07" w:rsidRDefault="0063766F" w:rsidP="00DE3967">
            <w:pPr>
              <w:widowControl/>
              <w:autoSpaceDE/>
              <w:autoSpaceDN/>
              <w:jc w:val="center"/>
              <w:rPr>
                <w:rFonts w:asciiTheme="minorHAnsi" w:eastAsia="Times New Roman" w:hAnsiTheme="minorHAnsi"/>
                <w:color w:val="000000"/>
                <w:szCs w:val="24"/>
              </w:rPr>
            </w:pPr>
            <w:r w:rsidRPr="00885B07">
              <w:rPr>
                <w:rFonts w:asciiTheme="minorHAnsi" w:eastAsia="Times New Roman" w:hAnsiTheme="minorHAnsi"/>
                <w:color w:val="000000"/>
                <w:szCs w:val="24"/>
              </w:rPr>
              <w:t>100%</w:t>
            </w:r>
          </w:p>
        </w:tc>
      </w:tr>
    </w:tbl>
    <w:p w14:paraId="7E4B790A" w14:textId="77777777" w:rsidR="00C57C34" w:rsidRDefault="00C57C34" w:rsidP="00F50B7B"/>
    <w:p w14:paraId="7C291066" w14:textId="50D4F2B7" w:rsidR="00E72D4F" w:rsidRPr="007F367D" w:rsidRDefault="00E72D4F" w:rsidP="00E72D4F">
      <w:pPr>
        <w:rPr>
          <w:b/>
          <w:bCs/>
        </w:rPr>
      </w:pPr>
      <w:r w:rsidRPr="1916EAF1">
        <w:rPr>
          <w:b/>
          <w:bCs/>
          <w:u w:val="single"/>
        </w:rPr>
        <w:t xml:space="preserve">Table </w:t>
      </w:r>
      <w:r w:rsidR="00460BA1">
        <w:rPr>
          <w:b/>
          <w:bCs/>
          <w:u w:val="single"/>
        </w:rPr>
        <w:t>8</w:t>
      </w:r>
      <w:r w:rsidRPr="1916EAF1">
        <w:rPr>
          <w:b/>
          <w:bCs/>
        </w:rPr>
        <w:t xml:space="preserve">: </w:t>
      </w:r>
      <w:r>
        <w:rPr>
          <w:b/>
          <w:bCs/>
        </w:rPr>
        <w:t xml:space="preserve">Winchester Hospital Payer Mix, FY23 to FY25 </w:t>
      </w:r>
    </w:p>
    <w:tbl>
      <w:tblPr>
        <w:tblW w:w="0" w:type="auto"/>
        <w:tblLook w:val="04A0" w:firstRow="1" w:lastRow="0" w:firstColumn="1" w:lastColumn="0" w:noHBand="0" w:noVBand="1"/>
        <w:tblCaption w:val="Winchester Hospital Payer Mix, FY23 to FY25"/>
      </w:tblPr>
      <w:tblGrid>
        <w:gridCol w:w="2760"/>
        <w:gridCol w:w="814"/>
        <w:gridCol w:w="814"/>
        <w:gridCol w:w="814"/>
      </w:tblGrid>
      <w:tr w:rsidR="00E72D4F" w:rsidRPr="00F37701" w14:paraId="08795FBC" w14:textId="77777777" w:rsidTr="004B37F1">
        <w:trPr>
          <w:cantSplit/>
          <w:trHeight w:val="50"/>
          <w:tblHeader/>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672339" w14:textId="77777777" w:rsidR="00E72D4F" w:rsidRPr="00F37701" w:rsidRDefault="00E72D4F" w:rsidP="00DE3967">
            <w:pPr>
              <w:widowControl/>
              <w:autoSpaceDE/>
              <w:autoSpaceDN/>
              <w:rPr>
                <w:rFonts w:asciiTheme="minorHAnsi" w:eastAsia="Times New Roman" w:hAnsiTheme="minorHAnsi"/>
                <w:b/>
                <w:bCs/>
                <w:color w:val="000000"/>
                <w:szCs w:val="24"/>
              </w:rPr>
            </w:pPr>
            <w:r w:rsidRPr="00F37701">
              <w:rPr>
                <w:rFonts w:asciiTheme="minorHAnsi" w:eastAsia="Times New Roman" w:hAnsiTheme="minorHAnsi"/>
                <w:b/>
                <w:bCs/>
                <w:color w:val="000000"/>
                <w:szCs w:val="24"/>
              </w:rPr>
              <w:t>Payer</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tcPr>
          <w:p w14:paraId="65BF1972" w14:textId="77777777" w:rsidR="00E72D4F" w:rsidRPr="00F37701" w:rsidRDefault="00E72D4F" w:rsidP="00DE3967">
            <w:pPr>
              <w:widowControl/>
              <w:autoSpaceDE/>
              <w:autoSpaceDN/>
              <w:jc w:val="center"/>
              <w:rPr>
                <w:rFonts w:asciiTheme="minorHAnsi" w:eastAsia="Times New Roman" w:hAnsiTheme="minorHAnsi"/>
                <w:b/>
                <w:bCs/>
                <w:color w:val="000000"/>
                <w:szCs w:val="24"/>
              </w:rPr>
            </w:pPr>
            <w:r w:rsidRPr="00F37701">
              <w:rPr>
                <w:rFonts w:asciiTheme="minorHAnsi" w:eastAsia="Times New Roman" w:hAnsiTheme="minorHAns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tcPr>
          <w:p w14:paraId="6F401F26" w14:textId="77777777" w:rsidR="00E72D4F" w:rsidRPr="00F37701" w:rsidRDefault="00E72D4F" w:rsidP="00DE3967">
            <w:pPr>
              <w:widowControl/>
              <w:autoSpaceDE/>
              <w:autoSpaceDN/>
              <w:jc w:val="center"/>
              <w:rPr>
                <w:rFonts w:asciiTheme="minorHAnsi" w:eastAsia="Times New Roman" w:hAnsiTheme="minorHAnsi"/>
                <w:b/>
                <w:bCs/>
                <w:color w:val="000000"/>
                <w:szCs w:val="24"/>
              </w:rPr>
            </w:pPr>
            <w:r w:rsidRPr="00F37701">
              <w:rPr>
                <w:rFonts w:asciiTheme="minorHAnsi" w:eastAsia="Times New Roman" w:hAnsiTheme="minorHAnsi"/>
                <w:b/>
                <w:bCs/>
                <w:color w:val="000000"/>
                <w:szCs w:val="24"/>
              </w:rPr>
              <w:t>FY24</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tcPr>
          <w:p w14:paraId="09F7F4DC" w14:textId="77777777" w:rsidR="00E72D4F" w:rsidRPr="00F37701" w:rsidRDefault="00E72D4F" w:rsidP="00DE3967">
            <w:pPr>
              <w:widowControl/>
              <w:autoSpaceDE/>
              <w:autoSpaceDN/>
              <w:jc w:val="center"/>
              <w:rPr>
                <w:rFonts w:asciiTheme="minorHAnsi" w:eastAsia="Times New Roman" w:hAnsiTheme="minorHAnsi"/>
                <w:b/>
                <w:bCs/>
                <w:color w:val="000000"/>
                <w:szCs w:val="24"/>
              </w:rPr>
            </w:pPr>
            <w:r w:rsidRPr="00F37701">
              <w:rPr>
                <w:rFonts w:asciiTheme="minorHAnsi" w:eastAsia="Times New Roman" w:hAnsiTheme="minorHAnsi"/>
                <w:b/>
                <w:bCs/>
                <w:color w:val="000000"/>
                <w:szCs w:val="24"/>
              </w:rPr>
              <w:t>FY25</w:t>
            </w:r>
          </w:p>
        </w:tc>
      </w:tr>
      <w:tr w:rsidR="0000484F" w:rsidRPr="00F37701" w14:paraId="5062580A" w14:textId="77777777" w:rsidTr="004B37F1">
        <w:trPr>
          <w:cantSplit/>
          <w:trHeight w:val="173"/>
        </w:trPr>
        <w:tc>
          <w:tcPr>
            <w:tcW w:w="0" w:type="auto"/>
            <w:tcBorders>
              <w:top w:val="single" w:sz="4" w:space="0" w:color="auto"/>
              <w:left w:val="single" w:sz="4" w:space="0" w:color="auto"/>
              <w:bottom w:val="single" w:sz="4" w:space="0" w:color="auto"/>
              <w:right w:val="single" w:sz="4" w:space="0" w:color="auto"/>
            </w:tcBorders>
            <w:vAlign w:val="center"/>
            <w:hideMark/>
          </w:tcPr>
          <w:p w14:paraId="335A7189" w14:textId="77777777" w:rsidR="0000484F" w:rsidRPr="00E25EBA" w:rsidRDefault="0000484F" w:rsidP="0000484F">
            <w:pPr>
              <w:widowControl/>
              <w:autoSpaceDE/>
              <w:autoSpaceDN/>
              <w:ind w:left="144"/>
              <w:rPr>
                <w:rFonts w:asciiTheme="minorHAnsi" w:eastAsia="Times New Roman" w:hAnsiTheme="minorHAnsi"/>
                <w:color w:val="000000"/>
                <w:szCs w:val="24"/>
              </w:rPr>
            </w:pPr>
            <w:r w:rsidRPr="00E25EBA">
              <w:rPr>
                <w:rFonts w:asciiTheme="minorHAnsi" w:eastAsia="Times New Roman" w:hAnsiTheme="minorHAnsi"/>
                <w:color w:val="000000"/>
                <w:szCs w:val="24"/>
              </w:rPr>
              <w:t>Commercial</w:t>
            </w:r>
          </w:p>
        </w:tc>
        <w:tc>
          <w:tcPr>
            <w:tcW w:w="0" w:type="auto"/>
            <w:tcBorders>
              <w:top w:val="single" w:sz="4" w:space="0" w:color="auto"/>
              <w:left w:val="nil"/>
              <w:bottom w:val="single" w:sz="4" w:space="0" w:color="auto"/>
              <w:right w:val="single" w:sz="4" w:space="0" w:color="auto"/>
            </w:tcBorders>
          </w:tcPr>
          <w:p w14:paraId="2FC25E20" w14:textId="092DEF39" w:rsidR="0000484F" w:rsidRPr="00E25EBA" w:rsidRDefault="0000484F" w:rsidP="0000484F">
            <w:pPr>
              <w:widowControl/>
              <w:autoSpaceDE/>
              <w:autoSpaceDN/>
              <w:jc w:val="center"/>
              <w:rPr>
                <w:rFonts w:asciiTheme="minorHAnsi" w:eastAsia="Times New Roman" w:hAnsiTheme="minorHAnsi"/>
                <w:color w:val="000000"/>
                <w:szCs w:val="24"/>
              </w:rPr>
            </w:pPr>
            <w:r w:rsidRPr="009918AC">
              <w:t>62.7%</w:t>
            </w:r>
          </w:p>
        </w:tc>
        <w:tc>
          <w:tcPr>
            <w:tcW w:w="0" w:type="auto"/>
            <w:tcBorders>
              <w:top w:val="single" w:sz="4" w:space="0" w:color="auto"/>
              <w:left w:val="nil"/>
              <w:bottom w:val="single" w:sz="4" w:space="0" w:color="auto"/>
              <w:right w:val="single" w:sz="4" w:space="0" w:color="auto"/>
            </w:tcBorders>
          </w:tcPr>
          <w:p w14:paraId="4EA1C4CB" w14:textId="5936D4D6" w:rsidR="0000484F" w:rsidRPr="00E25EBA" w:rsidRDefault="0000484F" w:rsidP="0000484F">
            <w:pPr>
              <w:widowControl/>
              <w:autoSpaceDE/>
              <w:autoSpaceDN/>
              <w:jc w:val="center"/>
              <w:rPr>
                <w:rFonts w:asciiTheme="minorHAnsi" w:eastAsia="Times New Roman" w:hAnsiTheme="minorHAnsi"/>
                <w:color w:val="000000"/>
                <w:szCs w:val="24"/>
              </w:rPr>
            </w:pPr>
            <w:r w:rsidRPr="000B788A">
              <w:t>62.2%</w:t>
            </w:r>
          </w:p>
        </w:tc>
        <w:tc>
          <w:tcPr>
            <w:tcW w:w="0" w:type="auto"/>
            <w:tcBorders>
              <w:top w:val="single" w:sz="4" w:space="0" w:color="auto"/>
              <w:left w:val="nil"/>
              <w:bottom w:val="single" w:sz="4" w:space="0" w:color="auto"/>
              <w:right w:val="single" w:sz="4" w:space="0" w:color="auto"/>
            </w:tcBorders>
          </w:tcPr>
          <w:p w14:paraId="2F07916A" w14:textId="4A615E84" w:rsidR="0000484F" w:rsidRPr="00E25EBA" w:rsidRDefault="0000484F" w:rsidP="0000484F">
            <w:pPr>
              <w:widowControl/>
              <w:autoSpaceDE/>
              <w:autoSpaceDN/>
              <w:jc w:val="center"/>
              <w:rPr>
                <w:rFonts w:asciiTheme="minorHAnsi" w:eastAsia="Times New Roman" w:hAnsiTheme="minorHAnsi"/>
                <w:color w:val="000000"/>
                <w:szCs w:val="24"/>
              </w:rPr>
            </w:pPr>
            <w:r w:rsidRPr="00DB6BD6">
              <w:t>62.0%</w:t>
            </w:r>
          </w:p>
        </w:tc>
      </w:tr>
      <w:tr w:rsidR="0000484F" w:rsidRPr="00F37701" w14:paraId="6D0F58E1" w14:textId="77777777" w:rsidTr="004B37F1">
        <w:trPr>
          <w:cantSplit/>
          <w:trHeight w:val="137"/>
        </w:trPr>
        <w:tc>
          <w:tcPr>
            <w:tcW w:w="0" w:type="auto"/>
            <w:tcBorders>
              <w:top w:val="nil"/>
              <w:left w:val="single" w:sz="4" w:space="0" w:color="auto"/>
              <w:bottom w:val="single" w:sz="4" w:space="0" w:color="auto"/>
              <w:right w:val="single" w:sz="4" w:space="0" w:color="auto"/>
            </w:tcBorders>
            <w:vAlign w:val="center"/>
            <w:hideMark/>
          </w:tcPr>
          <w:p w14:paraId="67D84AE0" w14:textId="77777777" w:rsidR="0000484F" w:rsidRPr="00E25EBA" w:rsidRDefault="0000484F" w:rsidP="0000484F">
            <w:pPr>
              <w:widowControl/>
              <w:autoSpaceDE/>
              <w:autoSpaceDN/>
              <w:ind w:left="144"/>
              <w:rPr>
                <w:rFonts w:asciiTheme="minorHAnsi" w:eastAsia="Times New Roman" w:hAnsiTheme="minorHAnsi"/>
                <w:color w:val="000000"/>
                <w:szCs w:val="24"/>
              </w:rPr>
            </w:pPr>
            <w:r w:rsidRPr="00E25EBA">
              <w:rPr>
                <w:rFonts w:asciiTheme="minorHAnsi" w:eastAsia="Times New Roman" w:hAnsiTheme="minorHAnsi"/>
                <w:color w:val="000000"/>
                <w:szCs w:val="24"/>
              </w:rPr>
              <w:t>Medicare</w:t>
            </w:r>
          </w:p>
        </w:tc>
        <w:tc>
          <w:tcPr>
            <w:tcW w:w="0" w:type="auto"/>
            <w:tcBorders>
              <w:top w:val="nil"/>
              <w:left w:val="nil"/>
              <w:bottom w:val="single" w:sz="4" w:space="0" w:color="auto"/>
              <w:right w:val="single" w:sz="4" w:space="0" w:color="auto"/>
            </w:tcBorders>
          </w:tcPr>
          <w:p w14:paraId="6FBD6C02" w14:textId="423F0B43" w:rsidR="0000484F" w:rsidRPr="00E25EBA" w:rsidRDefault="0000484F" w:rsidP="0000484F">
            <w:pPr>
              <w:widowControl/>
              <w:autoSpaceDE/>
              <w:autoSpaceDN/>
              <w:jc w:val="center"/>
              <w:rPr>
                <w:rFonts w:asciiTheme="minorHAnsi" w:eastAsia="Times New Roman" w:hAnsiTheme="minorHAnsi"/>
                <w:color w:val="000000"/>
                <w:szCs w:val="24"/>
              </w:rPr>
            </w:pPr>
            <w:r w:rsidRPr="009918AC">
              <w:t>15.8%</w:t>
            </w:r>
          </w:p>
        </w:tc>
        <w:tc>
          <w:tcPr>
            <w:tcW w:w="0" w:type="auto"/>
            <w:tcBorders>
              <w:top w:val="nil"/>
              <w:left w:val="nil"/>
              <w:bottom w:val="single" w:sz="4" w:space="0" w:color="auto"/>
              <w:right w:val="single" w:sz="4" w:space="0" w:color="auto"/>
            </w:tcBorders>
          </w:tcPr>
          <w:p w14:paraId="50E57380" w14:textId="278FF74D" w:rsidR="0000484F" w:rsidRPr="00E25EBA" w:rsidRDefault="0000484F" w:rsidP="0000484F">
            <w:pPr>
              <w:widowControl/>
              <w:autoSpaceDE/>
              <w:autoSpaceDN/>
              <w:jc w:val="center"/>
              <w:rPr>
                <w:rFonts w:asciiTheme="minorHAnsi" w:eastAsia="Times New Roman" w:hAnsiTheme="minorHAnsi"/>
                <w:color w:val="000000"/>
                <w:szCs w:val="24"/>
              </w:rPr>
            </w:pPr>
            <w:r w:rsidRPr="000B788A">
              <w:t>15.5%</w:t>
            </w:r>
          </w:p>
        </w:tc>
        <w:tc>
          <w:tcPr>
            <w:tcW w:w="0" w:type="auto"/>
            <w:tcBorders>
              <w:top w:val="nil"/>
              <w:left w:val="nil"/>
              <w:bottom w:val="single" w:sz="4" w:space="0" w:color="auto"/>
              <w:right w:val="single" w:sz="4" w:space="0" w:color="auto"/>
            </w:tcBorders>
          </w:tcPr>
          <w:p w14:paraId="0D8CC933" w14:textId="1473CEB0" w:rsidR="0000484F" w:rsidRPr="00E25EBA" w:rsidRDefault="0000484F" w:rsidP="0000484F">
            <w:pPr>
              <w:widowControl/>
              <w:autoSpaceDE/>
              <w:autoSpaceDN/>
              <w:jc w:val="center"/>
              <w:rPr>
                <w:rFonts w:asciiTheme="minorHAnsi" w:eastAsia="Times New Roman" w:hAnsiTheme="minorHAnsi"/>
                <w:color w:val="000000"/>
                <w:szCs w:val="24"/>
              </w:rPr>
            </w:pPr>
            <w:r w:rsidRPr="00DB6BD6">
              <w:t>15.8%</w:t>
            </w:r>
          </w:p>
        </w:tc>
      </w:tr>
      <w:tr w:rsidR="0000484F" w:rsidRPr="00F37701" w14:paraId="0B9CC98A" w14:textId="77777777" w:rsidTr="004B37F1">
        <w:trPr>
          <w:cantSplit/>
          <w:trHeight w:val="191"/>
        </w:trPr>
        <w:tc>
          <w:tcPr>
            <w:tcW w:w="0" w:type="auto"/>
            <w:tcBorders>
              <w:top w:val="nil"/>
              <w:left w:val="single" w:sz="4" w:space="0" w:color="auto"/>
              <w:bottom w:val="single" w:sz="4" w:space="0" w:color="auto"/>
              <w:right w:val="single" w:sz="4" w:space="0" w:color="auto"/>
            </w:tcBorders>
            <w:vAlign w:val="center"/>
            <w:hideMark/>
          </w:tcPr>
          <w:p w14:paraId="00D1A827" w14:textId="77777777" w:rsidR="0000484F" w:rsidRPr="00E25EBA" w:rsidRDefault="0000484F" w:rsidP="0000484F">
            <w:pPr>
              <w:widowControl/>
              <w:autoSpaceDE/>
              <w:autoSpaceDN/>
              <w:ind w:left="144"/>
              <w:rPr>
                <w:rFonts w:asciiTheme="minorHAnsi" w:eastAsia="Times New Roman" w:hAnsiTheme="minorHAnsi"/>
                <w:color w:val="000000"/>
                <w:szCs w:val="24"/>
              </w:rPr>
            </w:pPr>
            <w:r w:rsidRPr="00E25EBA">
              <w:rPr>
                <w:rFonts w:asciiTheme="minorHAnsi" w:eastAsia="Times New Roman" w:hAnsiTheme="minorHAnsi"/>
                <w:color w:val="000000"/>
                <w:szCs w:val="24"/>
              </w:rPr>
              <w:t>Medicare Managed Care</w:t>
            </w:r>
          </w:p>
        </w:tc>
        <w:tc>
          <w:tcPr>
            <w:tcW w:w="0" w:type="auto"/>
            <w:tcBorders>
              <w:top w:val="nil"/>
              <w:left w:val="nil"/>
              <w:bottom w:val="single" w:sz="4" w:space="0" w:color="auto"/>
              <w:right w:val="single" w:sz="4" w:space="0" w:color="auto"/>
            </w:tcBorders>
          </w:tcPr>
          <w:p w14:paraId="062C8FC0" w14:textId="079FF3F7" w:rsidR="0000484F" w:rsidRPr="00E25EBA" w:rsidRDefault="0000484F" w:rsidP="0000484F">
            <w:pPr>
              <w:widowControl/>
              <w:autoSpaceDE/>
              <w:autoSpaceDN/>
              <w:jc w:val="center"/>
              <w:rPr>
                <w:rFonts w:asciiTheme="minorHAnsi" w:eastAsia="Times New Roman" w:hAnsiTheme="minorHAnsi"/>
                <w:color w:val="000000"/>
                <w:szCs w:val="24"/>
              </w:rPr>
            </w:pPr>
            <w:r w:rsidRPr="009918AC">
              <w:t>7.2%</w:t>
            </w:r>
          </w:p>
        </w:tc>
        <w:tc>
          <w:tcPr>
            <w:tcW w:w="0" w:type="auto"/>
            <w:tcBorders>
              <w:top w:val="nil"/>
              <w:left w:val="nil"/>
              <w:bottom w:val="single" w:sz="4" w:space="0" w:color="auto"/>
              <w:right w:val="single" w:sz="4" w:space="0" w:color="auto"/>
            </w:tcBorders>
          </w:tcPr>
          <w:p w14:paraId="76937956" w14:textId="590F0B7B" w:rsidR="0000484F" w:rsidRPr="00E25EBA" w:rsidRDefault="0000484F" w:rsidP="0000484F">
            <w:pPr>
              <w:widowControl/>
              <w:autoSpaceDE/>
              <w:autoSpaceDN/>
              <w:jc w:val="center"/>
              <w:rPr>
                <w:rFonts w:asciiTheme="minorHAnsi" w:eastAsia="Times New Roman" w:hAnsiTheme="minorHAnsi"/>
                <w:color w:val="000000"/>
                <w:szCs w:val="24"/>
              </w:rPr>
            </w:pPr>
            <w:r w:rsidRPr="000B788A">
              <w:t>7.6%</w:t>
            </w:r>
          </w:p>
        </w:tc>
        <w:tc>
          <w:tcPr>
            <w:tcW w:w="0" w:type="auto"/>
            <w:tcBorders>
              <w:top w:val="nil"/>
              <w:left w:val="nil"/>
              <w:bottom w:val="single" w:sz="4" w:space="0" w:color="auto"/>
              <w:right w:val="single" w:sz="4" w:space="0" w:color="auto"/>
            </w:tcBorders>
          </w:tcPr>
          <w:p w14:paraId="12A2D39C" w14:textId="39CCFC85" w:rsidR="0000484F" w:rsidRPr="00E25EBA" w:rsidRDefault="0000484F" w:rsidP="0000484F">
            <w:pPr>
              <w:widowControl/>
              <w:autoSpaceDE/>
              <w:autoSpaceDN/>
              <w:jc w:val="center"/>
              <w:rPr>
                <w:rFonts w:asciiTheme="minorHAnsi" w:eastAsia="Times New Roman" w:hAnsiTheme="minorHAnsi"/>
                <w:color w:val="000000"/>
                <w:szCs w:val="24"/>
              </w:rPr>
            </w:pPr>
            <w:r w:rsidRPr="00DB6BD6">
              <w:t>7.8%</w:t>
            </w:r>
          </w:p>
        </w:tc>
      </w:tr>
      <w:tr w:rsidR="0000484F" w:rsidRPr="00F37701" w14:paraId="5D6B4D38" w14:textId="77777777" w:rsidTr="004B37F1">
        <w:trPr>
          <w:cantSplit/>
          <w:trHeight w:val="50"/>
        </w:trPr>
        <w:tc>
          <w:tcPr>
            <w:tcW w:w="0" w:type="auto"/>
            <w:tcBorders>
              <w:top w:val="nil"/>
              <w:left w:val="single" w:sz="4" w:space="0" w:color="auto"/>
              <w:bottom w:val="single" w:sz="4" w:space="0" w:color="auto"/>
              <w:right w:val="single" w:sz="4" w:space="0" w:color="auto"/>
            </w:tcBorders>
            <w:vAlign w:val="center"/>
            <w:hideMark/>
          </w:tcPr>
          <w:p w14:paraId="18EC59A6" w14:textId="77777777" w:rsidR="0000484F" w:rsidRPr="00E25EBA" w:rsidRDefault="0000484F" w:rsidP="0000484F">
            <w:pPr>
              <w:widowControl/>
              <w:autoSpaceDE/>
              <w:autoSpaceDN/>
              <w:ind w:left="144"/>
              <w:rPr>
                <w:rFonts w:asciiTheme="minorHAnsi" w:eastAsia="Times New Roman" w:hAnsiTheme="minorHAnsi"/>
                <w:color w:val="000000"/>
                <w:szCs w:val="24"/>
              </w:rPr>
            </w:pPr>
            <w:r w:rsidRPr="00E25EBA">
              <w:rPr>
                <w:rFonts w:asciiTheme="minorHAnsi" w:eastAsia="Times New Roman" w:hAnsiTheme="minorHAnsi"/>
                <w:color w:val="000000"/>
                <w:szCs w:val="24"/>
              </w:rPr>
              <w:t>Medicaid</w:t>
            </w:r>
          </w:p>
        </w:tc>
        <w:tc>
          <w:tcPr>
            <w:tcW w:w="0" w:type="auto"/>
            <w:tcBorders>
              <w:top w:val="nil"/>
              <w:left w:val="nil"/>
              <w:bottom w:val="single" w:sz="4" w:space="0" w:color="auto"/>
              <w:right w:val="single" w:sz="4" w:space="0" w:color="auto"/>
            </w:tcBorders>
          </w:tcPr>
          <w:p w14:paraId="3E37F6B8" w14:textId="1E5F106B" w:rsidR="0000484F" w:rsidRPr="00E25EBA" w:rsidRDefault="0000484F" w:rsidP="0000484F">
            <w:pPr>
              <w:widowControl/>
              <w:autoSpaceDE/>
              <w:autoSpaceDN/>
              <w:jc w:val="center"/>
              <w:rPr>
                <w:rFonts w:asciiTheme="minorHAnsi" w:eastAsia="Times New Roman" w:hAnsiTheme="minorHAnsi"/>
                <w:color w:val="000000"/>
                <w:szCs w:val="24"/>
              </w:rPr>
            </w:pPr>
            <w:r w:rsidRPr="009918AC">
              <w:t>8.2%</w:t>
            </w:r>
          </w:p>
        </w:tc>
        <w:tc>
          <w:tcPr>
            <w:tcW w:w="0" w:type="auto"/>
            <w:tcBorders>
              <w:top w:val="nil"/>
              <w:left w:val="nil"/>
              <w:bottom w:val="single" w:sz="4" w:space="0" w:color="auto"/>
              <w:right w:val="single" w:sz="4" w:space="0" w:color="auto"/>
            </w:tcBorders>
          </w:tcPr>
          <w:p w14:paraId="0400BA47" w14:textId="3138449A" w:rsidR="0000484F" w:rsidRPr="00E25EBA" w:rsidRDefault="0000484F" w:rsidP="0000484F">
            <w:pPr>
              <w:widowControl/>
              <w:autoSpaceDE/>
              <w:autoSpaceDN/>
              <w:jc w:val="center"/>
              <w:rPr>
                <w:rFonts w:asciiTheme="minorHAnsi" w:eastAsia="Times New Roman" w:hAnsiTheme="minorHAnsi"/>
                <w:color w:val="000000"/>
                <w:szCs w:val="24"/>
              </w:rPr>
            </w:pPr>
            <w:r w:rsidRPr="000B788A">
              <w:t>5.7%</w:t>
            </w:r>
          </w:p>
        </w:tc>
        <w:tc>
          <w:tcPr>
            <w:tcW w:w="0" w:type="auto"/>
            <w:tcBorders>
              <w:top w:val="nil"/>
              <w:left w:val="nil"/>
              <w:bottom w:val="single" w:sz="4" w:space="0" w:color="auto"/>
              <w:right w:val="single" w:sz="4" w:space="0" w:color="auto"/>
            </w:tcBorders>
          </w:tcPr>
          <w:p w14:paraId="2AF6E992" w14:textId="08005835" w:rsidR="0000484F" w:rsidRPr="00E25EBA" w:rsidRDefault="0000484F" w:rsidP="0000484F">
            <w:pPr>
              <w:widowControl/>
              <w:autoSpaceDE/>
              <w:autoSpaceDN/>
              <w:jc w:val="center"/>
              <w:rPr>
                <w:rFonts w:asciiTheme="minorHAnsi" w:eastAsia="Times New Roman" w:hAnsiTheme="minorHAnsi"/>
                <w:color w:val="000000"/>
                <w:szCs w:val="24"/>
              </w:rPr>
            </w:pPr>
            <w:r w:rsidRPr="00DB6BD6">
              <w:t>5.5%</w:t>
            </w:r>
          </w:p>
        </w:tc>
      </w:tr>
      <w:tr w:rsidR="0000484F" w:rsidRPr="00F37701" w14:paraId="14A3E09B" w14:textId="77777777" w:rsidTr="004B37F1">
        <w:trPr>
          <w:cantSplit/>
          <w:trHeight w:val="50"/>
        </w:trPr>
        <w:tc>
          <w:tcPr>
            <w:tcW w:w="0" w:type="auto"/>
            <w:tcBorders>
              <w:top w:val="nil"/>
              <w:left w:val="single" w:sz="4" w:space="0" w:color="auto"/>
              <w:bottom w:val="single" w:sz="4" w:space="0" w:color="auto"/>
              <w:right w:val="single" w:sz="4" w:space="0" w:color="auto"/>
            </w:tcBorders>
            <w:vAlign w:val="center"/>
            <w:hideMark/>
          </w:tcPr>
          <w:p w14:paraId="787E4C9C" w14:textId="77777777" w:rsidR="0000484F" w:rsidRPr="00E25EBA" w:rsidRDefault="0000484F" w:rsidP="0000484F">
            <w:pPr>
              <w:widowControl/>
              <w:autoSpaceDE/>
              <w:autoSpaceDN/>
              <w:ind w:left="144"/>
              <w:rPr>
                <w:rFonts w:asciiTheme="minorHAnsi" w:eastAsia="Times New Roman" w:hAnsiTheme="minorHAnsi"/>
                <w:color w:val="000000"/>
                <w:szCs w:val="24"/>
              </w:rPr>
            </w:pPr>
            <w:r w:rsidRPr="00E25EBA">
              <w:rPr>
                <w:rFonts w:asciiTheme="minorHAnsi" w:eastAsia="Times New Roman" w:hAnsiTheme="minorHAnsi"/>
                <w:color w:val="000000"/>
                <w:szCs w:val="24"/>
              </w:rPr>
              <w:t>Medicaid Managed Care</w:t>
            </w:r>
          </w:p>
        </w:tc>
        <w:tc>
          <w:tcPr>
            <w:tcW w:w="0" w:type="auto"/>
            <w:tcBorders>
              <w:top w:val="nil"/>
              <w:left w:val="nil"/>
              <w:bottom w:val="single" w:sz="4" w:space="0" w:color="auto"/>
              <w:right w:val="single" w:sz="4" w:space="0" w:color="auto"/>
            </w:tcBorders>
          </w:tcPr>
          <w:p w14:paraId="204DF2C3" w14:textId="40058980" w:rsidR="0000484F" w:rsidRPr="00E25EBA" w:rsidRDefault="0000484F" w:rsidP="0000484F">
            <w:pPr>
              <w:widowControl/>
              <w:autoSpaceDE/>
              <w:autoSpaceDN/>
              <w:jc w:val="center"/>
              <w:rPr>
                <w:rFonts w:asciiTheme="minorHAnsi" w:eastAsia="Times New Roman" w:hAnsiTheme="minorHAnsi"/>
                <w:color w:val="000000"/>
                <w:szCs w:val="24"/>
              </w:rPr>
            </w:pPr>
            <w:r w:rsidRPr="009918AC">
              <w:t>3.0%</w:t>
            </w:r>
          </w:p>
        </w:tc>
        <w:tc>
          <w:tcPr>
            <w:tcW w:w="0" w:type="auto"/>
            <w:tcBorders>
              <w:top w:val="nil"/>
              <w:left w:val="nil"/>
              <w:bottom w:val="single" w:sz="4" w:space="0" w:color="auto"/>
              <w:right w:val="single" w:sz="4" w:space="0" w:color="auto"/>
            </w:tcBorders>
          </w:tcPr>
          <w:p w14:paraId="6966E081" w14:textId="56AC9665" w:rsidR="0000484F" w:rsidRPr="00E25EBA" w:rsidRDefault="0000484F" w:rsidP="0000484F">
            <w:pPr>
              <w:widowControl/>
              <w:autoSpaceDE/>
              <w:autoSpaceDN/>
              <w:jc w:val="center"/>
              <w:rPr>
                <w:rFonts w:asciiTheme="minorHAnsi" w:eastAsia="Times New Roman" w:hAnsiTheme="minorHAnsi"/>
                <w:color w:val="000000"/>
                <w:szCs w:val="24"/>
              </w:rPr>
            </w:pPr>
            <w:r w:rsidRPr="000B788A">
              <w:t>5.3%</w:t>
            </w:r>
          </w:p>
        </w:tc>
        <w:tc>
          <w:tcPr>
            <w:tcW w:w="0" w:type="auto"/>
            <w:tcBorders>
              <w:top w:val="nil"/>
              <w:left w:val="nil"/>
              <w:bottom w:val="single" w:sz="4" w:space="0" w:color="auto"/>
              <w:right w:val="single" w:sz="4" w:space="0" w:color="auto"/>
            </w:tcBorders>
          </w:tcPr>
          <w:p w14:paraId="2ABFA183" w14:textId="10448D39" w:rsidR="0000484F" w:rsidRPr="00E25EBA" w:rsidRDefault="0000484F" w:rsidP="0000484F">
            <w:pPr>
              <w:widowControl/>
              <w:autoSpaceDE/>
              <w:autoSpaceDN/>
              <w:jc w:val="center"/>
              <w:rPr>
                <w:rFonts w:asciiTheme="minorHAnsi" w:eastAsia="Times New Roman" w:hAnsiTheme="minorHAnsi"/>
                <w:color w:val="000000"/>
                <w:szCs w:val="24"/>
              </w:rPr>
            </w:pPr>
            <w:r w:rsidRPr="00DB6BD6">
              <w:t>5.2%</w:t>
            </w:r>
          </w:p>
        </w:tc>
      </w:tr>
      <w:tr w:rsidR="0000484F" w:rsidRPr="00F37701" w14:paraId="2B9D087C" w14:textId="77777777" w:rsidTr="004B37F1">
        <w:trPr>
          <w:cantSplit/>
          <w:trHeight w:val="50"/>
        </w:trPr>
        <w:tc>
          <w:tcPr>
            <w:tcW w:w="0" w:type="auto"/>
            <w:tcBorders>
              <w:top w:val="nil"/>
              <w:left w:val="single" w:sz="4" w:space="0" w:color="auto"/>
              <w:bottom w:val="single" w:sz="4" w:space="0" w:color="auto"/>
              <w:right w:val="single" w:sz="4" w:space="0" w:color="auto"/>
            </w:tcBorders>
            <w:vAlign w:val="center"/>
            <w:hideMark/>
          </w:tcPr>
          <w:p w14:paraId="6DEC4EC2" w14:textId="6393A0EA" w:rsidR="0000484F" w:rsidRPr="00E25EBA" w:rsidRDefault="0000484F" w:rsidP="0000484F">
            <w:pPr>
              <w:widowControl/>
              <w:autoSpaceDE/>
              <w:autoSpaceDN/>
              <w:ind w:left="144"/>
              <w:rPr>
                <w:rFonts w:asciiTheme="minorHAnsi" w:eastAsia="Times New Roman" w:hAnsiTheme="minorHAnsi"/>
                <w:szCs w:val="24"/>
              </w:rPr>
            </w:pPr>
            <w:proofErr w:type="gramStart"/>
            <w:r w:rsidRPr="00F37701">
              <w:rPr>
                <w:rFonts w:asciiTheme="minorHAnsi" w:eastAsia="Times New Roman" w:hAnsiTheme="minorHAnsi"/>
                <w:szCs w:val="24"/>
              </w:rPr>
              <w:t>Other</w:t>
            </w:r>
            <w:proofErr w:type="gramEnd"/>
            <w:r>
              <w:rPr>
                <w:rStyle w:val="FootnoteReference"/>
                <w:rFonts w:asciiTheme="minorHAnsi" w:eastAsia="Times New Roman" w:hAnsiTheme="minorHAnsi"/>
                <w:szCs w:val="24"/>
              </w:rPr>
              <w:footnoteReference w:id="9"/>
            </w:r>
            <w:r w:rsidR="003A5C0B">
              <w:rPr>
                <w:rFonts w:asciiTheme="minorHAnsi" w:eastAsia="Times New Roman" w:hAnsiTheme="minorHAnsi"/>
                <w:szCs w:val="24"/>
              </w:rPr>
              <w:t>/Unknown</w:t>
            </w:r>
          </w:p>
        </w:tc>
        <w:tc>
          <w:tcPr>
            <w:tcW w:w="0" w:type="auto"/>
            <w:tcBorders>
              <w:top w:val="nil"/>
              <w:left w:val="nil"/>
              <w:bottom w:val="single" w:sz="4" w:space="0" w:color="auto"/>
              <w:right w:val="single" w:sz="4" w:space="0" w:color="auto"/>
            </w:tcBorders>
          </w:tcPr>
          <w:p w14:paraId="1D964803" w14:textId="2F78C8EB" w:rsidR="0000484F" w:rsidRPr="00E25EBA" w:rsidRDefault="0000484F" w:rsidP="0000484F">
            <w:pPr>
              <w:widowControl/>
              <w:autoSpaceDE/>
              <w:autoSpaceDN/>
              <w:jc w:val="center"/>
              <w:rPr>
                <w:rFonts w:asciiTheme="minorHAnsi" w:eastAsia="Times New Roman" w:hAnsiTheme="minorHAnsi"/>
                <w:color w:val="000000"/>
                <w:szCs w:val="24"/>
              </w:rPr>
            </w:pPr>
            <w:r w:rsidRPr="009918AC">
              <w:t>3.2%</w:t>
            </w:r>
          </w:p>
        </w:tc>
        <w:tc>
          <w:tcPr>
            <w:tcW w:w="0" w:type="auto"/>
            <w:tcBorders>
              <w:top w:val="nil"/>
              <w:left w:val="nil"/>
              <w:bottom w:val="single" w:sz="4" w:space="0" w:color="auto"/>
              <w:right w:val="single" w:sz="4" w:space="0" w:color="auto"/>
            </w:tcBorders>
          </w:tcPr>
          <w:p w14:paraId="29556558" w14:textId="3612815A" w:rsidR="0000484F" w:rsidRPr="00E25EBA" w:rsidRDefault="0000484F" w:rsidP="0000484F">
            <w:pPr>
              <w:widowControl/>
              <w:autoSpaceDE/>
              <w:autoSpaceDN/>
              <w:jc w:val="center"/>
              <w:rPr>
                <w:rFonts w:asciiTheme="minorHAnsi" w:eastAsia="Times New Roman" w:hAnsiTheme="minorHAnsi"/>
                <w:color w:val="000000"/>
                <w:szCs w:val="24"/>
              </w:rPr>
            </w:pPr>
            <w:r w:rsidRPr="000B788A">
              <w:t>3.8%</w:t>
            </w:r>
          </w:p>
        </w:tc>
        <w:tc>
          <w:tcPr>
            <w:tcW w:w="0" w:type="auto"/>
            <w:tcBorders>
              <w:top w:val="nil"/>
              <w:left w:val="nil"/>
              <w:bottom w:val="single" w:sz="4" w:space="0" w:color="auto"/>
              <w:right w:val="single" w:sz="4" w:space="0" w:color="auto"/>
            </w:tcBorders>
          </w:tcPr>
          <w:p w14:paraId="4C1DBB08" w14:textId="30EA7E61" w:rsidR="0000484F" w:rsidRPr="00E25EBA" w:rsidRDefault="0000484F" w:rsidP="0000484F">
            <w:pPr>
              <w:widowControl/>
              <w:autoSpaceDE/>
              <w:autoSpaceDN/>
              <w:jc w:val="center"/>
              <w:rPr>
                <w:rFonts w:asciiTheme="minorHAnsi" w:eastAsia="Times New Roman" w:hAnsiTheme="minorHAnsi"/>
                <w:color w:val="000000"/>
                <w:szCs w:val="24"/>
              </w:rPr>
            </w:pPr>
            <w:r w:rsidRPr="00DB6BD6">
              <w:t>3.7%</w:t>
            </w:r>
          </w:p>
        </w:tc>
      </w:tr>
      <w:tr w:rsidR="00E72D4F" w:rsidRPr="00F37701" w14:paraId="354BB700" w14:textId="77777777" w:rsidTr="004B37F1">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425B4A13" w14:textId="77777777" w:rsidR="00E72D4F" w:rsidRPr="00E25EBA" w:rsidRDefault="00E72D4F" w:rsidP="00DE3967">
            <w:pPr>
              <w:widowControl/>
              <w:autoSpaceDE/>
              <w:autoSpaceDN/>
              <w:ind w:left="144"/>
              <w:rPr>
                <w:rFonts w:asciiTheme="minorHAnsi" w:eastAsia="Times New Roman" w:hAnsiTheme="minorHAnsi"/>
                <w:color w:val="000000"/>
                <w:szCs w:val="24"/>
              </w:rPr>
            </w:pPr>
            <w:r>
              <w:rPr>
                <w:rFonts w:asciiTheme="minorHAnsi" w:eastAsia="Times New Roman" w:hAnsiTheme="minorHAnsi"/>
                <w:color w:val="000000"/>
                <w:szCs w:val="24"/>
              </w:rPr>
              <w:t xml:space="preserve">Total </w:t>
            </w:r>
          </w:p>
        </w:tc>
        <w:tc>
          <w:tcPr>
            <w:tcW w:w="0" w:type="auto"/>
            <w:tcBorders>
              <w:top w:val="nil"/>
              <w:left w:val="nil"/>
              <w:bottom w:val="single" w:sz="4" w:space="0" w:color="auto"/>
              <w:right w:val="single" w:sz="4" w:space="0" w:color="auto"/>
            </w:tcBorders>
            <w:vAlign w:val="center"/>
          </w:tcPr>
          <w:p w14:paraId="43358A40" w14:textId="77777777" w:rsidR="00E72D4F" w:rsidRPr="00E25EBA" w:rsidRDefault="00E72D4F" w:rsidP="00DE3967">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fldChar w:fldCharType="begin"/>
            </w:r>
            <w:r>
              <w:rPr>
                <w:rFonts w:asciiTheme="minorHAnsi" w:eastAsia="Times New Roman" w:hAnsiTheme="minorHAnsi"/>
                <w:color w:val="000000"/>
                <w:szCs w:val="24"/>
              </w:rPr>
              <w:instrText xml:space="preserve"> =SUM(ABOVE)*100 \# "0.00%" </w:instrText>
            </w:r>
            <w:r>
              <w:rPr>
                <w:rFonts w:asciiTheme="minorHAnsi" w:eastAsia="Times New Roman" w:hAnsiTheme="minorHAnsi"/>
                <w:color w:val="000000"/>
                <w:szCs w:val="24"/>
              </w:rPr>
              <w:fldChar w:fldCharType="separate"/>
            </w:r>
            <w:r>
              <w:rPr>
                <w:rFonts w:asciiTheme="minorHAnsi" w:eastAsia="Times New Roman" w:hAnsiTheme="minorHAnsi"/>
                <w:noProof/>
                <w:color w:val="000000"/>
                <w:szCs w:val="24"/>
              </w:rPr>
              <w:t>100%</w:t>
            </w:r>
            <w:r>
              <w:rPr>
                <w:rFonts w:asciiTheme="minorHAnsi" w:eastAsia="Times New Roman" w:hAnsiTheme="minorHAnsi"/>
                <w:color w:val="000000"/>
                <w:szCs w:val="24"/>
              </w:rPr>
              <w:fldChar w:fldCharType="end"/>
            </w:r>
          </w:p>
        </w:tc>
        <w:tc>
          <w:tcPr>
            <w:tcW w:w="0" w:type="auto"/>
            <w:tcBorders>
              <w:top w:val="nil"/>
              <w:left w:val="nil"/>
              <w:bottom w:val="single" w:sz="4" w:space="0" w:color="auto"/>
              <w:right w:val="single" w:sz="4" w:space="0" w:color="auto"/>
            </w:tcBorders>
            <w:vAlign w:val="center"/>
          </w:tcPr>
          <w:p w14:paraId="7805A0CC" w14:textId="77777777" w:rsidR="00E72D4F" w:rsidRPr="00E25EBA" w:rsidRDefault="00E72D4F" w:rsidP="00DE3967">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fldChar w:fldCharType="begin"/>
            </w:r>
            <w:r>
              <w:rPr>
                <w:rFonts w:asciiTheme="minorHAnsi" w:eastAsia="Times New Roman" w:hAnsiTheme="minorHAnsi"/>
                <w:color w:val="000000"/>
                <w:szCs w:val="24"/>
              </w:rPr>
              <w:instrText xml:space="preserve"> =SUM(ABOVE)*100 \# "0.00%" </w:instrText>
            </w:r>
            <w:r>
              <w:rPr>
                <w:rFonts w:asciiTheme="minorHAnsi" w:eastAsia="Times New Roman" w:hAnsiTheme="minorHAnsi"/>
                <w:color w:val="000000"/>
                <w:szCs w:val="24"/>
              </w:rPr>
              <w:fldChar w:fldCharType="separate"/>
            </w:r>
            <w:r>
              <w:rPr>
                <w:rFonts w:asciiTheme="minorHAnsi" w:eastAsia="Times New Roman" w:hAnsiTheme="minorHAnsi"/>
                <w:noProof/>
                <w:color w:val="000000"/>
                <w:szCs w:val="24"/>
              </w:rPr>
              <w:t>100%</w:t>
            </w:r>
            <w:r>
              <w:rPr>
                <w:rFonts w:asciiTheme="minorHAnsi" w:eastAsia="Times New Roman" w:hAnsiTheme="minorHAnsi"/>
                <w:color w:val="000000"/>
                <w:szCs w:val="24"/>
              </w:rPr>
              <w:fldChar w:fldCharType="end"/>
            </w:r>
          </w:p>
        </w:tc>
        <w:tc>
          <w:tcPr>
            <w:tcW w:w="0" w:type="auto"/>
            <w:tcBorders>
              <w:top w:val="nil"/>
              <w:left w:val="nil"/>
              <w:bottom w:val="single" w:sz="4" w:space="0" w:color="auto"/>
              <w:right w:val="single" w:sz="4" w:space="0" w:color="auto"/>
            </w:tcBorders>
            <w:vAlign w:val="center"/>
          </w:tcPr>
          <w:p w14:paraId="0AF6B35D" w14:textId="77777777" w:rsidR="00E72D4F" w:rsidRPr="00E25EBA" w:rsidRDefault="00E72D4F" w:rsidP="00DE3967">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fldChar w:fldCharType="begin"/>
            </w:r>
            <w:r>
              <w:rPr>
                <w:rFonts w:asciiTheme="minorHAnsi" w:eastAsia="Times New Roman" w:hAnsiTheme="minorHAnsi"/>
                <w:color w:val="000000"/>
                <w:szCs w:val="24"/>
              </w:rPr>
              <w:instrText xml:space="preserve"> =SUM(ABOVE)*100 \# "0.00%" </w:instrText>
            </w:r>
            <w:r>
              <w:rPr>
                <w:rFonts w:asciiTheme="minorHAnsi" w:eastAsia="Times New Roman" w:hAnsiTheme="minorHAnsi"/>
                <w:color w:val="000000"/>
                <w:szCs w:val="24"/>
              </w:rPr>
              <w:fldChar w:fldCharType="separate"/>
            </w:r>
            <w:r>
              <w:rPr>
                <w:rFonts w:asciiTheme="minorHAnsi" w:eastAsia="Times New Roman" w:hAnsiTheme="minorHAnsi"/>
                <w:noProof/>
                <w:color w:val="000000"/>
                <w:szCs w:val="24"/>
              </w:rPr>
              <w:t>100%</w:t>
            </w:r>
            <w:r>
              <w:rPr>
                <w:rFonts w:asciiTheme="minorHAnsi" w:eastAsia="Times New Roman" w:hAnsiTheme="minorHAnsi"/>
                <w:color w:val="000000"/>
                <w:szCs w:val="24"/>
              </w:rPr>
              <w:fldChar w:fldCharType="end"/>
            </w:r>
          </w:p>
        </w:tc>
      </w:tr>
    </w:tbl>
    <w:p w14:paraId="007C9809" w14:textId="77777777" w:rsidR="00D260B2" w:rsidRDefault="00D260B2" w:rsidP="00F25405">
      <w:pPr>
        <w:rPr>
          <w:b/>
          <w:bCs/>
          <w:u w:val="single"/>
        </w:rPr>
      </w:pPr>
    </w:p>
    <w:p w14:paraId="66FB349B" w14:textId="136CDAC5" w:rsidR="00F25405" w:rsidRPr="007F367D" w:rsidRDefault="00F25405" w:rsidP="00F25405">
      <w:pPr>
        <w:rPr>
          <w:b/>
          <w:bCs/>
        </w:rPr>
      </w:pPr>
      <w:r w:rsidRPr="1916EAF1">
        <w:rPr>
          <w:b/>
          <w:bCs/>
          <w:u w:val="single"/>
        </w:rPr>
        <w:t xml:space="preserve">Table </w:t>
      </w:r>
      <w:r w:rsidR="00460BA1">
        <w:rPr>
          <w:b/>
          <w:bCs/>
          <w:u w:val="single"/>
        </w:rPr>
        <w:t>9</w:t>
      </w:r>
      <w:r w:rsidRPr="1916EAF1">
        <w:rPr>
          <w:b/>
          <w:bCs/>
        </w:rPr>
        <w:t xml:space="preserve">: </w:t>
      </w:r>
      <w:r w:rsidR="00C81C5E">
        <w:rPr>
          <w:b/>
          <w:bCs/>
        </w:rPr>
        <w:t>Winchester Hospital</w:t>
      </w:r>
      <w:r w:rsidR="00460BA1">
        <w:rPr>
          <w:b/>
          <w:bCs/>
        </w:rPr>
        <w:t xml:space="preserve"> - </w:t>
      </w:r>
      <w:r w:rsidR="00D01E7D">
        <w:rPr>
          <w:b/>
          <w:bCs/>
        </w:rPr>
        <w:t xml:space="preserve">Main Campus Endoscopy </w:t>
      </w:r>
      <w:r w:rsidR="00C81C5E">
        <w:rPr>
          <w:b/>
          <w:bCs/>
        </w:rPr>
        <w:t xml:space="preserve">Payer Mix, FY23 to FY25 </w:t>
      </w:r>
    </w:p>
    <w:tbl>
      <w:tblPr>
        <w:tblW w:w="0" w:type="auto"/>
        <w:tblLook w:val="04A0" w:firstRow="1" w:lastRow="0" w:firstColumn="1" w:lastColumn="0" w:noHBand="0" w:noVBand="1"/>
        <w:tblCaption w:val="Winchester Hospital - Main Campus Endoscopy Payer Mix, FY23 to FY25"/>
      </w:tblPr>
      <w:tblGrid>
        <w:gridCol w:w="3361"/>
        <w:gridCol w:w="814"/>
        <w:gridCol w:w="814"/>
        <w:gridCol w:w="753"/>
      </w:tblGrid>
      <w:tr w:rsidR="0063766F" w:rsidRPr="00F37701" w14:paraId="1A71E15D" w14:textId="77777777" w:rsidTr="00BA2DE6">
        <w:trPr>
          <w:cantSplit/>
          <w:trHeight w:val="50"/>
          <w:tblHeader/>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12F181" w14:textId="77777777" w:rsidR="0063766F" w:rsidRPr="00F37701" w:rsidRDefault="0063766F" w:rsidP="00DE3967">
            <w:pPr>
              <w:widowControl/>
              <w:autoSpaceDE/>
              <w:autoSpaceDN/>
              <w:rPr>
                <w:rFonts w:asciiTheme="minorHAnsi" w:eastAsia="Times New Roman" w:hAnsiTheme="minorHAnsi"/>
                <w:b/>
                <w:bCs/>
                <w:color w:val="000000"/>
                <w:szCs w:val="24"/>
              </w:rPr>
            </w:pPr>
            <w:r w:rsidRPr="00F37701">
              <w:rPr>
                <w:rFonts w:asciiTheme="minorHAnsi" w:eastAsia="Times New Roman" w:hAnsiTheme="minorHAnsi"/>
                <w:b/>
                <w:bCs/>
                <w:color w:val="000000"/>
                <w:szCs w:val="24"/>
              </w:rPr>
              <w:t>Payer</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tcPr>
          <w:p w14:paraId="7AC7AE36" w14:textId="77777777" w:rsidR="0063766F" w:rsidRPr="00F37701" w:rsidRDefault="0063766F" w:rsidP="00DE3967">
            <w:pPr>
              <w:widowControl/>
              <w:autoSpaceDE/>
              <w:autoSpaceDN/>
              <w:jc w:val="center"/>
              <w:rPr>
                <w:rFonts w:asciiTheme="minorHAnsi" w:eastAsia="Times New Roman" w:hAnsiTheme="minorHAnsi"/>
                <w:b/>
                <w:bCs/>
                <w:color w:val="000000"/>
                <w:szCs w:val="24"/>
              </w:rPr>
            </w:pPr>
            <w:r w:rsidRPr="00F37701">
              <w:rPr>
                <w:rFonts w:asciiTheme="minorHAnsi" w:eastAsia="Times New Roman" w:hAnsiTheme="minorHAns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tcPr>
          <w:p w14:paraId="59735157" w14:textId="77777777" w:rsidR="0063766F" w:rsidRPr="00F37701" w:rsidRDefault="0063766F" w:rsidP="00DE3967">
            <w:pPr>
              <w:widowControl/>
              <w:autoSpaceDE/>
              <w:autoSpaceDN/>
              <w:jc w:val="center"/>
              <w:rPr>
                <w:rFonts w:asciiTheme="minorHAnsi" w:eastAsia="Times New Roman" w:hAnsiTheme="minorHAnsi"/>
                <w:b/>
                <w:bCs/>
                <w:color w:val="000000"/>
                <w:szCs w:val="24"/>
              </w:rPr>
            </w:pPr>
            <w:r w:rsidRPr="00F37701">
              <w:rPr>
                <w:rFonts w:asciiTheme="minorHAnsi" w:eastAsia="Times New Roman" w:hAnsiTheme="minorHAnsi"/>
                <w:b/>
                <w:bCs/>
                <w:color w:val="000000"/>
                <w:szCs w:val="24"/>
              </w:rPr>
              <w:t>FY24</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tcPr>
          <w:p w14:paraId="38045D09" w14:textId="77777777" w:rsidR="0063766F" w:rsidRPr="00F37701" w:rsidRDefault="0063766F" w:rsidP="00DE3967">
            <w:pPr>
              <w:widowControl/>
              <w:autoSpaceDE/>
              <w:autoSpaceDN/>
              <w:jc w:val="center"/>
              <w:rPr>
                <w:rFonts w:asciiTheme="minorHAnsi" w:eastAsia="Times New Roman" w:hAnsiTheme="minorHAnsi"/>
                <w:b/>
                <w:bCs/>
                <w:color w:val="000000"/>
                <w:szCs w:val="24"/>
              </w:rPr>
            </w:pPr>
            <w:r w:rsidRPr="00F37701">
              <w:rPr>
                <w:rFonts w:asciiTheme="minorHAnsi" w:eastAsia="Times New Roman" w:hAnsiTheme="minorHAnsi"/>
                <w:b/>
                <w:bCs/>
                <w:color w:val="000000"/>
                <w:szCs w:val="24"/>
              </w:rPr>
              <w:t>FY25</w:t>
            </w:r>
          </w:p>
        </w:tc>
      </w:tr>
      <w:tr w:rsidR="007275A3" w:rsidRPr="00F37701" w14:paraId="0E739D55" w14:textId="77777777" w:rsidTr="00BA2DE6">
        <w:trPr>
          <w:cantSplit/>
          <w:trHeight w:val="173"/>
        </w:trPr>
        <w:tc>
          <w:tcPr>
            <w:tcW w:w="0" w:type="auto"/>
            <w:tcBorders>
              <w:top w:val="single" w:sz="4" w:space="0" w:color="auto"/>
              <w:left w:val="single" w:sz="4" w:space="0" w:color="auto"/>
              <w:bottom w:val="single" w:sz="4" w:space="0" w:color="auto"/>
              <w:right w:val="single" w:sz="4" w:space="0" w:color="auto"/>
            </w:tcBorders>
            <w:vAlign w:val="center"/>
            <w:hideMark/>
          </w:tcPr>
          <w:p w14:paraId="1DDF5E04" w14:textId="77777777" w:rsidR="007275A3" w:rsidRPr="00E25EBA" w:rsidRDefault="007275A3" w:rsidP="007275A3">
            <w:pPr>
              <w:widowControl/>
              <w:autoSpaceDE/>
              <w:autoSpaceDN/>
              <w:ind w:left="144"/>
              <w:rPr>
                <w:rFonts w:asciiTheme="minorHAnsi" w:eastAsia="Times New Roman" w:hAnsiTheme="minorHAnsi"/>
                <w:color w:val="000000"/>
                <w:szCs w:val="24"/>
              </w:rPr>
            </w:pPr>
            <w:r w:rsidRPr="00E25EBA">
              <w:rPr>
                <w:rFonts w:asciiTheme="minorHAnsi" w:eastAsia="Times New Roman" w:hAnsiTheme="minorHAnsi"/>
                <w:color w:val="000000"/>
                <w:szCs w:val="24"/>
              </w:rPr>
              <w:t>Commercial</w:t>
            </w:r>
          </w:p>
        </w:tc>
        <w:tc>
          <w:tcPr>
            <w:tcW w:w="0" w:type="auto"/>
            <w:tcBorders>
              <w:top w:val="single" w:sz="4" w:space="0" w:color="auto"/>
              <w:left w:val="nil"/>
              <w:bottom w:val="single" w:sz="4" w:space="0" w:color="auto"/>
              <w:right w:val="single" w:sz="4" w:space="0" w:color="auto"/>
            </w:tcBorders>
            <w:hideMark/>
          </w:tcPr>
          <w:p w14:paraId="1D267FE5" w14:textId="0A05C58E" w:rsidR="007275A3" w:rsidRPr="00E25EBA" w:rsidRDefault="007275A3" w:rsidP="007275A3">
            <w:pPr>
              <w:widowControl/>
              <w:autoSpaceDE/>
              <w:autoSpaceDN/>
              <w:jc w:val="center"/>
              <w:rPr>
                <w:rFonts w:asciiTheme="minorHAnsi" w:eastAsia="Times New Roman" w:hAnsiTheme="minorHAnsi"/>
                <w:color w:val="000000"/>
                <w:szCs w:val="24"/>
              </w:rPr>
            </w:pPr>
            <w:r w:rsidRPr="002D0BCB">
              <w:t>40.0%</w:t>
            </w:r>
          </w:p>
        </w:tc>
        <w:tc>
          <w:tcPr>
            <w:tcW w:w="0" w:type="auto"/>
            <w:tcBorders>
              <w:top w:val="single" w:sz="4" w:space="0" w:color="auto"/>
              <w:left w:val="nil"/>
              <w:bottom w:val="single" w:sz="4" w:space="0" w:color="auto"/>
              <w:right w:val="single" w:sz="4" w:space="0" w:color="auto"/>
            </w:tcBorders>
            <w:hideMark/>
          </w:tcPr>
          <w:p w14:paraId="69052FC2" w14:textId="737C3C1A" w:rsidR="007275A3" w:rsidRPr="00E25EBA" w:rsidRDefault="007275A3" w:rsidP="007275A3">
            <w:pPr>
              <w:widowControl/>
              <w:autoSpaceDE/>
              <w:autoSpaceDN/>
              <w:jc w:val="center"/>
              <w:rPr>
                <w:rFonts w:asciiTheme="minorHAnsi" w:eastAsia="Times New Roman" w:hAnsiTheme="minorHAnsi"/>
                <w:color w:val="000000"/>
                <w:szCs w:val="24"/>
              </w:rPr>
            </w:pPr>
            <w:r w:rsidRPr="00AF6696">
              <w:t>39.6%</w:t>
            </w:r>
          </w:p>
        </w:tc>
        <w:tc>
          <w:tcPr>
            <w:tcW w:w="0" w:type="auto"/>
            <w:tcBorders>
              <w:top w:val="single" w:sz="4" w:space="0" w:color="auto"/>
              <w:left w:val="nil"/>
              <w:bottom w:val="single" w:sz="4" w:space="0" w:color="auto"/>
              <w:right w:val="single" w:sz="4" w:space="0" w:color="auto"/>
            </w:tcBorders>
            <w:hideMark/>
          </w:tcPr>
          <w:p w14:paraId="07060ED4" w14:textId="306C4006" w:rsidR="007275A3" w:rsidRPr="00E25EBA" w:rsidRDefault="007275A3" w:rsidP="007275A3">
            <w:pPr>
              <w:widowControl/>
              <w:autoSpaceDE/>
              <w:autoSpaceDN/>
              <w:jc w:val="center"/>
              <w:rPr>
                <w:rFonts w:asciiTheme="minorHAnsi" w:eastAsia="Times New Roman" w:hAnsiTheme="minorHAnsi"/>
                <w:color w:val="000000"/>
                <w:szCs w:val="24"/>
              </w:rPr>
            </w:pPr>
            <w:r w:rsidRPr="00983AD7">
              <w:t>36%</w:t>
            </w:r>
          </w:p>
        </w:tc>
      </w:tr>
      <w:tr w:rsidR="007275A3" w:rsidRPr="00F37701" w14:paraId="71B72720" w14:textId="77777777" w:rsidTr="00BA2DE6">
        <w:trPr>
          <w:cantSplit/>
          <w:trHeight w:val="137"/>
        </w:trPr>
        <w:tc>
          <w:tcPr>
            <w:tcW w:w="0" w:type="auto"/>
            <w:tcBorders>
              <w:top w:val="nil"/>
              <w:left w:val="single" w:sz="4" w:space="0" w:color="auto"/>
              <w:bottom w:val="single" w:sz="4" w:space="0" w:color="auto"/>
              <w:right w:val="single" w:sz="4" w:space="0" w:color="auto"/>
            </w:tcBorders>
            <w:vAlign w:val="center"/>
            <w:hideMark/>
          </w:tcPr>
          <w:p w14:paraId="04676FD8" w14:textId="77777777" w:rsidR="007275A3" w:rsidRPr="00E25EBA" w:rsidRDefault="007275A3" w:rsidP="007275A3">
            <w:pPr>
              <w:widowControl/>
              <w:autoSpaceDE/>
              <w:autoSpaceDN/>
              <w:ind w:left="144"/>
              <w:rPr>
                <w:rFonts w:asciiTheme="minorHAnsi" w:eastAsia="Times New Roman" w:hAnsiTheme="minorHAnsi"/>
                <w:color w:val="000000"/>
                <w:szCs w:val="24"/>
              </w:rPr>
            </w:pPr>
            <w:r w:rsidRPr="00E25EBA">
              <w:rPr>
                <w:rFonts w:asciiTheme="minorHAnsi" w:eastAsia="Times New Roman" w:hAnsiTheme="minorHAnsi"/>
                <w:color w:val="000000"/>
                <w:szCs w:val="24"/>
              </w:rPr>
              <w:lastRenderedPageBreak/>
              <w:t>Medicare</w:t>
            </w:r>
          </w:p>
        </w:tc>
        <w:tc>
          <w:tcPr>
            <w:tcW w:w="0" w:type="auto"/>
            <w:tcBorders>
              <w:top w:val="nil"/>
              <w:left w:val="nil"/>
              <w:bottom w:val="single" w:sz="4" w:space="0" w:color="auto"/>
              <w:right w:val="single" w:sz="4" w:space="0" w:color="auto"/>
            </w:tcBorders>
            <w:hideMark/>
          </w:tcPr>
          <w:p w14:paraId="0F3A5A28" w14:textId="1B660D39" w:rsidR="007275A3" w:rsidRPr="00E25EBA" w:rsidRDefault="007275A3" w:rsidP="007275A3">
            <w:pPr>
              <w:widowControl/>
              <w:autoSpaceDE/>
              <w:autoSpaceDN/>
              <w:jc w:val="center"/>
              <w:rPr>
                <w:rFonts w:asciiTheme="minorHAnsi" w:eastAsia="Times New Roman" w:hAnsiTheme="minorHAnsi"/>
                <w:color w:val="000000"/>
                <w:szCs w:val="24"/>
              </w:rPr>
            </w:pPr>
            <w:r w:rsidRPr="002D0BCB">
              <w:t>29.6%</w:t>
            </w:r>
          </w:p>
        </w:tc>
        <w:tc>
          <w:tcPr>
            <w:tcW w:w="0" w:type="auto"/>
            <w:tcBorders>
              <w:top w:val="nil"/>
              <w:left w:val="nil"/>
              <w:bottom w:val="single" w:sz="4" w:space="0" w:color="auto"/>
              <w:right w:val="single" w:sz="4" w:space="0" w:color="auto"/>
            </w:tcBorders>
            <w:hideMark/>
          </w:tcPr>
          <w:p w14:paraId="4CA17C35" w14:textId="184C7F71" w:rsidR="007275A3" w:rsidRPr="00E25EBA" w:rsidRDefault="007275A3" w:rsidP="007275A3">
            <w:pPr>
              <w:widowControl/>
              <w:autoSpaceDE/>
              <w:autoSpaceDN/>
              <w:jc w:val="center"/>
              <w:rPr>
                <w:rFonts w:asciiTheme="minorHAnsi" w:eastAsia="Times New Roman" w:hAnsiTheme="minorHAnsi"/>
                <w:color w:val="000000"/>
                <w:szCs w:val="24"/>
              </w:rPr>
            </w:pPr>
            <w:r w:rsidRPr="00AF6696">
              <w:t>32.8%</w:t>
            </w:r>
          </w:p>
        </w:tc>
        <w:tc>
          <w:tcPr>
            <w:tcW w:w="0" w:type="auto"/>
            <w:tcBorders>
              <w:top w:val="nil"/>
              <w:left w:val="nil"/>
              <w:bottom w:val="single" w:sz="4" w:space="0" w:color="auto"/>
              <w:right w:val="single" w:sz="4" w:space="0" w:color="auto"/>
            </w:tcBorders>
            <w:hideMark/>
          </w:tcPr>
          <w:p w14:paraId="6A26E8A0" w14:textId="25CE1F67" w:rsidR="007275A3" w:rsidRPr="00E25EBA" w:rsidRDefault="007275A3" w:rsidP="007275A3">
            <w:pPr>
              <w:widowControl/>
              <w:autoSpaceDE/>
              <w:autoSpaceDN/>
              <w:jc w:val="center"/>
              <w:rPr>
                <w:rFonts w:asciiTheme="minorHAnsi" w:eastAsia="Times New Roman" w:hAnsiTheme="minorHAnsi"/>
                <w:color w:val="000000"/>
                <w:szCs w:val="24"/>
              </w:rPr>
            </w:pPr>
            <w:r w:rsidRPr="00983AD7">
              <w:t>38%</w:t>
            </w:r>
          </w:p>
        </w:tc>
      </w:tr>
      <w:tr w:rsidR="007275A3" w:rsidRPr="00F37701" w14:paraId="7C1D7DEF" w14:textId="77777777" w:rsidTr="00BA2DE6">
        <w:trPr>
          <w:cantSplit/>
          <w:trHeight w:val="191"/>
        </w:trPr>
        <w:tc>
          <w:tcPr>
            <w:tcW w:w="0" w:type="auto"/>
            <w:tcBorders>
              <w:top w:val="nil"/>
              <w:left w:val="single" w:sz="4" w:space="0" w:color="auto"/>
              <w:bottom w:val="single" w:sz="4" w:space="0" w:color="auto"/>
              <w:right w:val="single" w:sz="4" w:space="0" w:color="auto"/>
            </w:tcBorders>
            <w:vAlign w:val="center"/>
            <w:hideMark/>
          </w:tcPr>
          <w:p w14:paraId="1A64F123" w14:textId="77777777" w:rsidR="007275A3" w:rsidRPr="00E25EBA" w:rsidRDefault="007275A3" w:rsidP="007275A3">
            <w:pPr>
              <w:widowControl/>
              <w:autoSpaceDE/>
              <w:autoSpaceDN/>
              <w:ind w:left="144"/>
              <w:rPr>
                <w:rFonts w:asciiTheme="minorHAnsi" w:eastAsia="Times New Roman" w:hAnsiTheme="minorHAnsi"/>
                <w:color w:val="000000"/>
                <w:szCs w:val="24"/>
              </w:rPr>
            </w:pPr>
            <w:r w:rsidRPr="00E25EBA">
              <w:rPr>
                <w:rFonts w:asciiTheme="minorHAnsi" w:eastAsia="Times New Roman" w:hAnsiTheme="minorHAnsi"/>
                <w:color w:val="000000"/>
                <w:szCs w:val="24"/>
              </w:rPr>
              <w:t>Medicare Managed Care</w:t>
            </w:r>
          </w:p>
        </w:tc>
        <w:tc>
          <w:tcPr>
            <w:tcW w:w="0" w:type="auto"/>
            <w:tcBorders>
              <w:top w:val="nil"/>
              <w:left w:val="nil"/>
              <w:bottom w:val="single" w:sz="4" w:space="0" w:color="auto"/>
              <w:right w:val="single" w:sz="4" w:space="0" w:color="auto"/>
            </w:tcBorders>
            <w:hideMark/>
          </w:tcPr>
          <w:p w14:paraId="2D837E98" w14:textId="28D21F90" w:rsidR="007275A3" w:rsidRPr="00E25EBA" w:rsidRDefault="007275A3" w:rsidP="007275A3">
            <w:pPr>
              <w:widowControl/>
              <w:autoSpaceDE/>
              <w:autoSpaceDN/>
              <w:jc w:val="center"/>
              <w:rPr>
                <w:rFonts w:asciiTheme="minorHAnsi" w:eastAsia="Times New Roman" w:hAnsiTheme="minorHAnsi"/>
                <w:color w:val="000000"/>
                <w:szCs w:val="24"/>
              </w:rPr>
            </w:pPr>
            <w:r w:rsidRPr="002D0BCB">
              <w:t>16.2%</w:t>
            </w:r>
          </w:p>
        </w:tc>
        <w:tc>
          <w:tcPr>
            <w:tcW w:w="0" w:type="auto"/>
            <w:tcBorders>
              <w:top w:val="nil"/>
              <w:left w:val="nil"/>
              <w:bottom w:val="single" w:sz="4" w:space="0" w:color="auto"/>
              <w:right w:val="single" w:sz="4" w:space="0" w:color="auto"/>
            </w:tcBorders>
            <w:hideMark/>
          </w:tcPr>
          <w:p w14:paraId="289C4D82" w14:textId="297BCF51" w:rsidR="007275A3" w:rsidRPr="00E25EBA" w:rsidRDefault="007275A3" w:rsidP="007275A3">
            <w:pPr>
              <w:widowControl/>
              <w:autoSpaceDE/>
              <w:autoSpaceDN/>
              <w:jc w:val="center"/>
              <w:rPr>
                <w:rFonts w:asciiTheme="minorHAnsi" w:eastAsia="Times New Roman" w:hAnsiTheme="minorHAnsi"/>
                <w:color w:val="000000"/>
                <w:szCs w:val="24"/>
              </w:rPr>
            </w:pPr>
            <w:r w:rsidRPr="00AF6696">
              <w:t>14.8%</w:t>
            </w:r>
          </w:p>
        </w:tc>
        <w:tc>
          <w:tcPr>
            <w:tcW w:w="0" w:type="auto"/>
            <w:tcBorders>
              <w:top w:val="nil"/>
              <w:left w:val="nil"/>
              <w:bottom w:val="single" w:sz="4" w:space="0" w:color="auto"/>
              <w:right w:val="single" w:sz="4" w:space="0" w:color="auto"/>
            </w:tcBorders>
            <w:hideMark/>
          </w:tcPr>
          <w:p w14:paraId="0F564839" w14:textId="1EE1EBB8" w:rsidR="007275A3" w:rsidRPr="00E25EBA" w:rsidRDefault="007275A3" w:rsidP="007275A3">
            <w:pPr>
              <w:widowControl/>
              <w:autoSpaceDE/>
              <w:autoSpaceDN/>
              <w:jc w:val="center"/>
              <w:rPr>
                <w:rFonts w:asciiTheme="minorHAnsi" w:eastAsia="Times New Roman" w:hAnsiTheme="minorHAnsi"/>
                <w:color w:val="000000"/>
                <w:szCs w:val="24"/>
              </w:rPr>
            </w:pPr>
            <w:r w:rsidRPr="00983AD7">
              <w:t>17%</w:t>
            </w:r>
          </w:p>
        </w:tc>
      </w:tr>
      <w:tr w:rsidR="007275A3" w:rsidRPr="00F37701" w14:paraId="687D3C0F" w14:textId="77777777" w:rsidTr="00BA2DE6">
        <w:trPr>
          <w:cantSplit/>
          <w:trHeight w:val="50"/>
        </w:trPr>
        <w:tc>
          <w:tcPr>
            <w:tcW w:w="0" w:type="auto"/>
            <w:tcBorders>
              <w:top w:val="nil"/>
              <w:left w:val="single" w:sz="4" w:space="0" w:color="auto"/>
              <w:bottom w:val="single" w:sz="4" w:space="0" w:color="auto"/>
              <w:right w:val="single" w:sz="4" w:space="0" w:color="auto"/>
            </w:tcBorders>
            <w:vAlign w:val="center"/>
            <w:hideMark/>
          </w:tcPr>
          <w:p w14:paraId="127521C1" w14:textId="77777777" w:rsidR="007275A3" w:rsidRPr="00E25EBA" w:rsidRDefault="007275A3" w:rsidP="007275A3">
            <w:pPr>
              <w:widowControl/>
              <w:autoSpaceDE/>
              <w:autoSpaceDN/>
              <w:ind w:left="144"/>
              <w:rPr>
                <w:rFonts w:asciiTheme="minorHAnsi" w:eastAsia="Times New Roman" w:hAnsiTheme="minorHAnsi"/>
                <w:color w:val="000000"/>
                <w:szCs w:val="24"/>
              </w:rPr>
            </w:pPr>
            <w:r w:rsidRPr="00E25EBA">
              <w:rPr>
                <w:rFonts w:asciiTheme="minorHAnsi" w:eastAsia="Times New Roman" w:hAnsiTheme="minorHAnsi"/>
                <w:color w:val="000000"/>
                <w:szCs w:val="24"/>
              </w:rPr>
              <w:t>Medicaid</w:t>
            </w:r>
          </w:p>
        </w:tc>
        <w:tc>
          <w:tcPr>
            <w:tcW w:w="0" w:type="auto"/>
            <w:tcBorders>
              <w:top w:val="nil"/>
              <w:left w:val="nil"/>
              <w:bottom w:val="single" w:sz="4" w:space="0" w:color="auto"/>
              <w:right w:val="single" w:sz="4" w:space="0" w:color="auto"/>
            </w:tcBorders>
            <w:hideMark/>
          </w:tcPr>
          <w:p w14:paraId="329C9A31" w14:textId="61335D6F" w:rsidR="007275A3" w:rsidRPr="00E25EBA" w:rsidRDefault="007275A3" w:rsidP="007275A3">
            <w:pPr>
              <w:widowControl/>
              <w:autoSpaceDE/>
              <w:autoSpaceDN/>
              <w:jc w:val="center"/>
              <w:rPr>
                <w:rFonts w:asciiTheme="minorHAnsi" w:eastAsia="Times New Roman" w:hAnsiTheme="minorHAnsi"/>
                <w:color w:val="000000"/>
                <w:szCs w:val="24"/>
              </w:rPr>
            </w:pPr>
            <w:r w:rsidRPr="002D0BCB">
              <w:t>1.5%</w:t>
            </w:r>
          </w:p>
        </w:tc>
        <w:tc>
          <w:tcPr>
            <w:tcW w:w="0" w:type="auto"/>
            <w:tcBorders>
              <w:top w:val="nil"/>
              <w:left w:val="nil"/>
              <w:bottom w:val="single" w:sz="4" w:space="0" w:color="auto"/>
              <w:right w:val="single" w:sz="4" w:space="0" w:color="auto"/>
            </w:tcBorders>
            <w:hideMark/>
          </w:tcPr>
          <w:p w14:paraId="3CD422AB" w14:textId="125742AC" w:rsidR="007275A3" w:rsidRPr="00E25EBA" w:rsidRDefault="007275A3" w:rsidP="007275A3">
            <w:pPr>
              <w:widowControl/>
              <w:autoSpaceDE/>
              <w:autoSpaceDN/>
              <w:jc w:val="center"/>
              <w:rPr>
                <w:rFonts w:asciiTheme="minorHAnsi" w:eastAsia="Times New Roman" w:hAnsiTheme="minorHAnsi"/>
                <w:color w:val="000000"/>
                <w:szCs w:val="24"/>
              </w:rPr>
            </w:pPr>
            <w:r w:rsidRPr="00AF6696">
              <w:t>1.5%</w:t>
            </w:r>
          </w:p>
        </w:tc>
        <w:tc>
          <w:tcPr>
            <w:tcW w:w="0" w:type="auto"/>
            <w:tcBorders>
              <w:top w:val="nil"/>
              <w:left w:val="nil"/>
              <w:bottom w:val="single" w:sz="4" w:space="0" w:color="auto"/>
              <w:right w:val="single" w:sz="4" w:space="0" w:color="auto"/>
            </w:tcBorders>
            <w:hideMark/>
          </w:tcPr>
          <w:p w14:paraId="3142BDEF" w14:textId="5346BDB8" w:rsidR="007275A3" w:rsidRPr="00E25EBA" w:rsidRDefault="007275A3" w:rsidP="007275A3">
            <w:pPr>
              <w:widowControl/>
              <w:autoSpaceDE/>
              <w:autoSpaceDN/>
              <w:jc w:val="center"/>
              <w:rPr>
                <w:rFonts w:asciiTheme="minorHAnsi" w:eastAsia="Times New Roman" w:hAnsiTheme="minorHAnsi"/>
                <w:color w:val="000000"/>
                <w:szCs w:val="24"/>
              </w:rPr>
            </w:pPr>
            <w:r w:rsidRPr="00983AD7">
              <w:t>1%</w:t>
            </w:r>
          </w:p>
        </w:tc>
      </w:tr>
      <w:tr w:rsidR="007275A3" w:rsidRPr="00F37701" w14:paraId="148DCDBB" w14:textId="77777777" w:rsidTr="00BA2DE6">
        <w:trPr>
          <w:cantSplit/>
          <w:trHeight w:val="50"/>
        </w:trPr>
        <w:tc>
          <w:tcPr>
            <w:tcW w:w="0" w:type="auto"/>
            <w:tcBorders>
              <w:top w:val="nil"/>
              <w:left w:val="single" w:sz="4" w:space="0" w:color="auto"/>
              <w:bottom w:val="single" w:sz="4" w:space="0" w:color="auto"/>
              <w:right w:val="single" w:sz="4" w:space="0" w:color="auto"/>
            </w:tcBorders>
            <w:vAlign w:val="center"/>
            <w:hideMark/>
          </w:tcPr>
          <w:p w14:paraId="2775FB2B" w14:textId="77777777" w:rsidR="007275A3" w:rsidRPr="00E25EBA" w:rsidRDefault="007275A3" w:rsidP="007275A3">
            <w:pPr>
              <w:widowControl/>
              <w:autoSpaceDE/>
              <w:autoSpaceDN/>
              <w:ind w:left="144"/>
              <w:rPr>
                <w:rFonts w:asciiTheme="minorHAnsi" w:eastAsia="Times New Roman" w:hAnsiTheme="minorHAnsi"/>
                <w:color w:val="000000"/>
                <w:szCs w:val="24"/>
              </w:rPr>
            </w:pPr>
            <w:r w:rsidRPr="00E25EBA">
              <w:rPr>
                <w:rFonts w:asciiTheme="minorHAnsi" w:eastAsia="Times New Roman" w:hAnsiTheme="minorHAnsi"/>
                <w:color w:val="000000"/>
                <w:szCs w:val="24"/>
              </w:rPr>
              <w:t>Medicaid Managed Care</w:t>
            </w:r>
          </w:p>
        </w:tc>
        <w:tc>
          <w:tcPr>
            <w:tcW w:w="0" w:type="auto"/>
            <w:tcBorders>
              <w:top w:val="nil"/>
              <w:left w:val="nil"/>
              <w:bottom w:val="single" w:sz="4" w:space="0" w:color="auto"/>
              <w:right w:val="single" w:sz="4" w:space="0" w:color="auto"/>
            </w:tcBorders>
            <w:hideMark/>
          </w:tcPr>
          <w:p w14:paraId="743173CA" w14:textId="77DD2F05" w:rsidR="007275A3" w:rsidRPr="00E25EBA" w:rsidRDefault="007275A3" w:rsidP="007275A3">
            <w:pPr>
              <w:widowControl/>
              <w:autoSpaceDE/>
              <w:autoSpaceDN/>
              <w:jc w:val="center"/>
              <w:rPr>
                <w:rFonts w:asciiTheme="minorHAnsi" w:eastAsia="Times New Roman" w:hAnsiTheme="minorHAnsi"/>
                <w:color w:val="000000"/>
                <w:szCs w:val="24"/>
              </w:rPr>
            </w:pPr>
            <w:r w:rsidRPr="002D0BCB">
              <w:t>6.3%</w:t>
            </w:r>
          </w:p>
        </w:tc>
        <w:tc>
          <w:tcPr>
            <w:tcW w:w="0" w:type="auto"/>
            <w:tcBorders>
              <w:top w:val="nil"/>
              <w:left w:val="nil"/>
              <w:bottom w:val="single" w:sz="4" w:space="0" w:color="auto"/>
              <w:right w:val="single" w:sz="4" w:space="0" w:color="auto"/>
            </w:tcBorders>
            <w:hideMark/>
          </w:tcPr>
          <w:p w14:paraId="2833FE0D" w14:textId="4160D361" w:rsidR="007275A3" w:rsidRPr="00E25EBA" w:rsidRDefault="007275A3" w:rsidP="007275A3">
            <w:pPr>
              <w:widowControl/>
              <w:autoSpaceDE/>
              <w:autoSpaceDN/>
              <w:jc w:val="center"/>
              <w:rPr>
                <w:rFonts w:asciiTheme="minorHAnsi" w:eastAsia="Times New Roman" w:hAnsiTheme="minorHAnsi"/>
                <w:color w:val="000000"/>
                <w:szCs w:val="24"/>
              </w:rPr>
            </w:pPr>
            <w:r w:rsidRPr="00AF6696">
              <w:t>6.4%</w:t>
            </w:r>
          </w:p>
        </w:tc>
        <w:tc>
          <w:tcPr>
            <w:tcW w:w="0" w:type="auto"/>
            <w:tcBorders>
              <w:top w:val="nil"/>
              <w:left w:val="nil"/>
              <w:bottom w:val="single" w:sz="4" w:space="0" w:color="auto"/>
              <w:right w:val="single" w:sz="4" w:space="0" w:color="auto"/>
            </w:tcBorders>
            <w:hideMark/>
          </w:tcPr>
          <w:p w14:paraId="6DA60153" w14:textId="16763D52" w:rsidR="007275A3" w:rsidRPr="00E25EBA" w:rsidRDefault="007275A3" w:rsidP="007275A3">
            <w:pPr>
              <w:widowControl/>
              <w:autoSpaceDE/>
              <w:autoSpaceDN/>
              <w:jc w:val="center"/>
              <w:rPr>
                <w:rFonts w:asciiTheme="minorHAnsi" w:eastAsia="Times New Roman" w:hAnsiTheme="minorHAnsi"/>
                <w:color w:val="000000"/>
                <w:szCs w:val="24"/>
              </w:rPr>
            </w:pPr>
            <w:r w:rsidRPr="00983AD7">
              <w:t>5%</w:t>
            </w:r>
          </w:p>
        </w:tc>
      </w:tr>
      <w:tr w:rsidR="007275A3" w:rsidRPr="00F37701" w14:paraId="204B34C9" w14:textId="77777777" w:rsidTr="00BA2DE6">
        <w:trPr>
          <w:cantSplit/>
          <w:trHeight w:val="50"/>
        </w:trPr>
        <w:tc>
          <w:tcPr>
            <w:tcW w:w="0" w:type="auto"/>
            <w:tcBorders>
              <w:top w:val="nil"/>
              <w:left w:val="single" w:sz="4" w:space="0" w:color="auto"/>
              <w:bottom w:val="single" w:sz="4" w:space="0" w:color="auto"/>
              <w:right w:val="single" w:sz="4" w:space="0" w:color="auto"/>
            </w:tcBorders>
            <w:vAlign w:val="center"/>
            <w:hideMark/>
          </w:tcPr>
          <w:p w14:paraId="59F19604" w14:textId="77777777" w:rsidR="00721488" w:rsidRDefault="0032164D" w:rsidP="00721488">
            <w:pPr>
              <w:widowControl/>
              <w:autoSpaceDE/>
              <w:autoSpaceDN/>
              <w:ind w:left="144"/>
              <w:rPr>
                <w:rFonts w:asciiTheme="minorHAnsi" w:eastAsia="Times New Roman" w:hAnsiTheme="minorHAnsi"/>
                <w:szCs w:val="24"/>
              </w:rPr>
            </w:pPr>
            <w:r w:rsidRPr="0032164D">
              <w:rPr>
                <w:rFonts w:asciiTheme="minorHAnsi" w:eastAsia="Times New Roman" w:hAnsiTheme="minorHAnsi"/>
                <w:szCs w:val="24"/>
              </w:rPr>
              <w:t xml:space="preserve">Connector Care, HSN, Self-Pay, </w:t>
            </w:r>
          </w:p>
          <w:p w14:paraId="1F1A4D16" w14:textId="1D79850A" w:rsidR="007275A3" w:rsidRPr="00E25EBA" w:rsidRDefault="0032164D" w:rsidP="00721488">
            <w:pPr>
              <w:widowControl/>
              <w:autoSpaceDE/>
              <w:autoSpaceDN/>
              <w:ind w:left="144"/>
              <w:rPr>
                <w:rFonts w:asciiTheme="minorHAnsi" w:eastAsia="Times New Roman" w:hAnsiTheme="minorHAnsi"/>
                <w:szCs w:val="24"/>
              </w:rPr>
            </w:pPr>
            <w:r w:rsidRPr="0032164D">
              <w:rPr>
                <w:rFonts w:asciiTheme="minorHAnsi" w:eastAsia="Times New Roman" w:hAnsiTheme="minorHAnsi"/>
                <w:szCs w:val="24"/>
              </w:rPr>
              <w:t>Other Government Payer</w:t>
            </w:r>
          </w:p>
        </w:tc>
        <w:tc>
          <w:tcPr>
            <w:tcW w:w="0" w:type="auto"/>
            <w:tcBorders>
              <w:top w:val="nil"/>
              <w:left w:val="nil"/>
              <w:bottom w:val="single" w:sz="4" w:space="0" w:color="auto"/>
              <w:right w:val="single" w:sz="4" w:space="0" w:color="auto"/>
            </w:tcBorders>
            <w:hideMark/>
          </w:tcPr>
          <w:p w14:paraId="4F0C09C7" w14:textId="6EF845E1" w:rsidR="007275A3" w:rsidRPr="00E25EBA" w:rsidRDefault="007275A3" w:rsidP="007275A3">
            <w:pPr>
              <w:widowControl/>
              <w:autoSpaceDE/>
              <w:autoSpaceDN/>
              <w:jc w:val="center"/>
              <w:rPr>
                <w:rFonts w:asciiTheme="minorHAnsi" w:eastAsia="Times New Roman" w:hAnsiTheme="minorHAnsi"/>
                <w:color w:val="000000"/>
                <w:szCs w:val="24"/>
              </w:rPr>
            </w:pPr>
            <w:r w:rsidRPr="002D0BCB">
              <w:t>6.4%</w:t>
            </w:r>
          </w:p>
        </w:tc>
        <w:tc>
          <w:tcPr>
            <w:tcW w:w="0" w:type="auto"/>
            <w:tcBorders>
              <w:top w:val="nil"/>
              <w:left w:val="nil"/>
              <w:bottom w:val="single" w:sz="4" w:space="0" w:color="auto"/>
              <w:right w:val="single" w:sz="4" w:space="0" w:color="auto"/>
            </w:tcBorders>
            <w:hideMark/>
          </w:tcPr>
          <w:p w14:paraId="1BDFE765" w14:textId="43A6A5BF" w:rsidR="007275A3" w:rsidRPr="00E25EBA" w:rsidRDefault="007275A3" w:rsidP="007275A3">
            <w:pPr>
              <w:widowControl/>
              <w:autoSpaceDE/>
              <w:autoSpaceDN/>
              <w:jc w:val="center"/>
              <w:rPr>
                <w:rFonts w:asciiTheme="minorHAnsi" w:eastAsia="Times New Roman" w:hAnsiTheme="minorHAnsi"/>
                <w:color w:val="000000"/>
                <w:szCs w:val="24"/>
              </w:rPr>
            </w:pPr>
            <w:r w:rsidRPr="00AF6696">
              <w:t>4.8%</w:t>
            </w:r>
          </w:p>
        </w:tc>
        <w:tc>
          <w:tcPr>
            <w:tcW w:w="0" w:type="auto"/>
            <w:tcBorders>
              <w:top w:val="nil"/>
              <w:left w:val="nil"/>
              <w:bottom w:val="single" w:sz="4" w:space="0" w:color="auto"/>
              <w:right w:val="single" w:sz="4" w:space="0" w:color="auto"/>
            </w:tcBorders>
            <w:hideMark/>
          </w:tcPr>
          <w:p w14:paraId="77BCC7D5" w14:textId="1A8F0541" w:rsidR="007275A3" w:rsidRPr="00E25EBA" w:rsidRDefault="007275A3" w:rsidP="007275A3">
            <w:pPr>
              <w:widowControl/>
              <w:autoSpaceDE/>
              <w:autoSpaceDN/>
              <w:jc w:val="center"/>
              <w:rPr>
                <w:rFonts w:asciiTheme="minorHAnsi" w:eastAsia="Times New Roman" w:hAnsiTheme="minorHAnsi"/>
                <w:color w:val="000000"/>
                <w:szCs w:val="24"/>
              </w:rPr>
            </w:pPr>
            <w:r w:rsidRPr="00983AD7">
              <w:t>4%</w:t>
            </w:r>
          </w:p>
        </w:tc>
      </w:tr>
      <w:tr w:rsidR="0063766F" w:rsidRPr="00F37701" w14:paraId="2C8AD7CA" w14:textId="77777777" w:rsidTr="00BA2DE6">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0034C6FC" w14:textId="77777777" w:rsidR="0063766F" w:rsidRPr="00E25EBA" w:rsidRDefault="0063766F" w:rsidP="00DE3967">
            <w:pPr>
              <w:widowControl/>
              <w:autoSpaceDE/>
              <w:autoSpaceDN/>
              <w:ind w:left="144"/>
              <w:rPr>
                <w:rFonts w:asciiTheme="minorHAnsi" w:eastAsia="Times New Roman" w:hAnsiTheme="minorHAnsi"/>
                <w:color w:val="000000"/>
                <w:szCs w:val="24"/>
              </w:rPr>
            </w:pPr>
            <w:r>
              <w:rPr>
                <w:rFonts w:asciiTheme="minorHAnsi" w:eastAsia="Times New Roman" w:hAnsiTheme="minorHAnsi"/>
                <w:color w:val="000000"/>
                <w:szCs w:val="24"/>
              </w:rPr>
              <w:t xml:space="preserve">Total </w:t>
            </w:r>
          </w:p>
        </w:tc>
        <w:tc>
          <w:tcPr>
            <w:tcW w:w="0" w:type="auto"/>
            <w:tcBorders>
              <w:top w:val="nil"/>
              <w:left w:val="nil"/>
              <w:bottom w:val="single" w:sz="4" w:space="0" w:color="auto"/>
              <w:right w:val="single" w:sz="4" w:space="0" w:color="auto"/>
            </w:tcBorders>
            <w:vAlign w:val="center"/>
          </w:tcPr>
          <w:p w14:paraId="03C25B5C" w14:textId="00000CAA" w:rsidR="0063766F" w:rsidRPr="00E25EBA" w:rsidRDefault="00ED442A" w:rsidP="00DE3967">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fldChar w:fldCharType="begin"/>
            </w:r>
            <w:r>
              <w:rPr>
                <w:rFonts w:asciiTheme="minorHAnsi" w:eastAsia="Times New Roman" w:hAnsiTheme="minorHAnsi"/>
                <w:color w:val="000000"/>
                <w:szCs w:val="24"/>
              </w:rPr>
              <w:instrText xml:space="preserve"> =SUM(ABOVE)*100 \# "0.00%" </w:instrText>
            </w:r>
            <w:r>
              <w:rPr>
                <w:rFonts w:asciiTheme="minorHAnsi" w:eastAsia="Times New Roman" w:hAnsiTheme="minorHAnsi"/>
                <w:color w:val="000000"/>
                <w:szCs w:val="24"/>
              </w:rPr>
              <w:fldChar w:fldCharType="separate"/>
            </w:r>
            <w:r>
              <w:rPr>
                <w:rFonts w:asciiTheme="minorHAnsi" w:eastAsia="Times New Roman" w:hAnsiTheme="minorHAnsi"/>
                <w:noProof/>
                <w:color w:val="000000"/>
                <w:szCs w:val="24"/>
              </w:rPr>
              <w:t>100%</w:t>
            </w:r>
            <w:r>
              <w:rPr>
                <w:rFonts w:asciiTheme="minorHAnsi" w:eastAsia="Times New Roman" w:hAnsiTheme="minorHAnsi"/>
                <w:color w:val="000000"/>
                <w:szCs w:val="24"/>
              </w:rPr>
              <w:fldChar w:fldCharType="end"/>
            </w:r>
          </w:p>
        </w:tc>
        <w:tc>
          <w:tcPr>
            <w:tcW w:w="0" w:type="auto"/>
            <w:tcBorders>
              <w:top w:val="nil"/>
              <w:left w:val="nil"/>
              <w:bottom w:val="single" w:sz="4" w:space="0" w:color="auto"/>
              <w:right w:val="single" w:sz="4" w:space="0" w:color="auto"/>
            </w:tcBorders>
            <w:vAlign w:val="center"/>
          </w:tcPr>
          <w:p w14:paraId="52379989" w14:textId="4974706D" w:rsidR="0063766F" w:rsidRPr="00E25EBA" w:rsidRDefault="00ED442A" w:rsidP="00DE3967">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fldChar w:fldCharType="begin"/>
            </w:r>
            <w:r>
              <w:rPr>
                <w:rFonts w:asciiTheme="minorHAnsi" w:eastAsia="Times New Roman" w:hAnsiTheme="minorHAnsi"/>
                <w:color w:val="000000"/>
                <w:szCs w:val="24"/>
              </w:rPr>
              <w:instrText xml:space="preserve"> =SUM(ABOVE)*100 \# "0.00%" </w:instrText>
            </w:r>
            <w:r>
              <w:rPr>
                <w:rFonts w:asciiTheme="minorHAnsi" w:eastAsia="Times New Roman" w:hAnsiTheme="minorHAnsi"/>
                <w:color w:val="000000"/>
                <w:szCs w:val="24"/>
              </w:rPr>
              <w:fldChar w:fldCharType="separate"/>
            </w:r>
            <w:r>
              <w:rPr>
                <w:rFonts w:asciiTheme="minorHAnsi" w:eastAsia="Times New Roman" w:hAnsiTheme="minorHAnsi"/>
                <w:noProof/>
                <w:color w:val="000000"/>
                <w:szCs w:val="24"/>
              </w:rPr>
              <w:t>100%</w:t>
            </w:r>
            <w:r>
              <w:rPr>
                <w:rFonts w:asciiTheme="minorHAnsi" w:eastAsia="Times New Roman" w:hAnsiTheme="minorHAnsi"/>
                <w:color w:val="000000"/>
                <w:szCs w:val="24"/>
              </w:rPr>
              <w:fldChar w:fldCharType="end"/>
            </w:r>
          </w:p>
        </w:tc>
        <w:tc>
          <w:tcPr>
            <w:tcW w:w="0" w:type="auto"/>
            <w:tcBorders>
              <w:top w:val="nil"/>
              <w:left w:val="nil"/>
              <w:bottom w:val="single" w:sz="4" w:space="0" w:color="auto"/>
              <w:right w:val="single" w:sz="4" w:space="0" w:color="auto"/>
            </w:tcBorders>
            <w:vAlign w:val="center"/>
          </w:tcPr>
          <w:p w14:paraId="3A09FF10" w14:textId="4B2E3FE2" w:rsidR="0063766F" w:rsidRPr="00E25EBA" w:rsidRDefault="00ED442A" w:rsidP="00DE3967">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fldChar w:fldCharType="begin"/>
            </w:r>
            <w:r>
              <w:rPr>
                <w:rFonts w:asciiTheme="minorHAnsi" w:eastAsia="Times New Roman" w:hAnsiTheme="minorHAnsi"/>
                <w:color w:val="000000"/>
                <w:szCs w:val="24"/>
              </w:rPr>
              <w:instrText xml:space="preserve"> =SUM(ABOVE)*100 \# "0.00%" </w:instrText>
            </w:r>
            <w:r>
              <w:rPr>
                <w:rFonts w:asciiTheme="minorHAnsi" w:eastAsia="Times New Roman" w:hAnsiTheme="minorHAnsi"/>
                <w:color w:val="000000"/>
                <w:szCs w:val="24"/>
              </w:rPr>
              <w:fldChar w:fldCharType="separate"/>
            </w:r>
            <w:r>
              <w:rPr>
                <w:rFonts w:asciiTheme="minorHAnsi" w:eastAsia="Times New Roman" w:hAnsiTheme="minorHAnsi"/>
                <w:noProof/>
                <w:color w:val="000000"/>
                <w:szCs w:val="24"/>
              </w:rPr>
              <w:t>100%</w:t>
            </w:r>
            <w:r>
              <w:rPr>
                <w:rFonts w:asciiTheme="minorHAnsi" w:eastAsia="Times New Roman" w:hAnsiTheme="minorHAnsi"/>
                <w:color w:val="000000"/>
                <w:szCs w:val="24"/>
              </w:rPr>
              <w:fldChar w:fldCharType="end"/>
            </w:r>
          </w:p>
        </w:tc>
      </w:tr>
    </w:tbl>
    <w:p w14:paraId="7668B75D" w14:textId="77777777" w:rsidR="00D073DF" w:rsidRDefault="00D073DF" w:rsidP="00F25405">
      <w:pPr>
        <w:rPr>
          <w:b/>
          <w:bCs/>
          <w:u w:val="single"/>
        </w:rPr>
      </w:pPr>
    </w:p>
    <w:p w14:paraId="19E72B84" w14:textId="242C5302" w:rsidR="004B13DF" w:rsidRPr="007F367D" w:rsidRDefault="00F25405" w:rsidP="00F25405">
      <w:pPr>
        <w:rPr>
          <w:b/>
          <w:bCs/>
        </w:rPr>
      </w:pPr>
      <w:r w:rsidRPr="1916EAF1">
        <w:rPr>
          <w:b/>
          <w:bCs/>
          <w:u w:val="single"/>
        </w:rPr>
        <w:t xml:space="preserve">Table </w:t>
      </w:r>
      <w:r w:rsidR="00460BA1">
        <w:rPr>
          <w:b/>
          <w:bCs/>
          <w:u w:val="single"/>
        </w:rPr>
        <w:t>10</w:t>
      </w:r>
      <w:r w:rsidRPr="1916EAF1">
        <w:rPr>
          <w:b/>
          <w:bCs/>
        </w:rPr>
        <w:t xml:space="preserve">: </w:t>
      </w:r>
      <w:r w:rsidR="0063766F">
        <w:rPr>
          <w:b/>
          <w:bCs/>
        </w:rPr>
        <w:t>The Center’s</w:t>
      </w:r>
      <w:r w:rsidR="00C81C5E">
        <w:rPr>
          <w:b/>
          <w:bCs/>
        </w:rPr>
        <w:t xml:space="preserve"> Payer Mix, FY23 to FY25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e Center’s Payer Mix, FY23 to FY25"/>
      </w:tblPr>
      <w:tblGrid>
        <w:gridCol w:w="3361"/>
        <w:gridCol w:w="814"/>
        <w:gridCol w:w="814"/>
        <w:gridCol w:w="814"/>
      </w:tblGrid>
      <w:tr w:rsidR="004B13DF" w:rsidRPr="006D2ACD" w14:paraId="0484C053" w14:textId="77777777" w:rsidTr="00BA2DE6">
        <w:trPr>
          <w:cantSplit/>
          <w:trHeight w:val="56"/>
          <w:tblHeader/>
        </w:trPr>
        <w:tc>
          <w:tcPr>
            <w:tcW w:w="0" w:type="auto"/>
            <w:shd w:val="clear" w:color="auto" w:fill="DBE5F1" w:themeFill="accent1" w:themeFillTint="33"/>
            <w:vAlign w:val="center"/>
          </w:tcPr>
          <w:p w14:paraId="7CE3F75C" w14:textId="6BD01E2B" w:rsidR="004B13DF" w:rsidRPr="006D2ACD" w:rsidRDefault="006D2ACD" w:rsidP="004B13DF">
            <w:pPr>
              <w:widowControl/>
              <w:autoSpaceDE/>
              <w:autoSpaceDN/>
              <w:rPr>
                <w:rFonts w:asciiTheme="minorHAnsi" w:eastAsia="Times New Roman" w:hAnsiTheme="minorHAnsi"/>
                <w:b/>
                <w:bCs/>
                <w:color w:val="000000"/>
                <w:szCs w:val="24"/>
              </w:rPr>
            </w:pPr>
            <w:r w:rsidRPr="006D2ACD">
              <w:rPr>
                <w:rFonts w:asciiTheme="minorHAnsi" w:eastAsia="Times New Roman" w:hAnsiTheme="minorHAnsi"/>
                <w:b/>
                <w:bCs/>
                <w:color w:val="000000"/>
                <w:szCs w:val="24"/>
              </w:rPr>
              <w:t>Payer</w:t>
            </w:r>
          </w:p>
        </w:tc>
        <w:tc>
          <w:tcPr>
            <w:tcW w:w="0" w:type="auto"/>
            <w:shd w:val="clear" w:color="auto" w:fill="DBE5F1" w:themeFill="accent1" w:themeFillTint="33"/>
            <w:vAlign w:val="center"/>
          </w:tcPr>
          <w:p w14:paraId="132A7E95" w14:textId="2DFEC3FB" w:rsidR="004B13DF" w:rsidRPr="006D2ACD" w:rsidRDefault="004B13DF" w:rsidP="004B13DF">
            <w:pPr>
              <w:widowControl/>
              <w:autoSpaceDE/>
              <w:autoSpaceDN/>
              <w:jc w:val="center"/>
              <w:rPr>
                <w:rFonts w:asciiTheme="minorHAnsi" w:eastAsia="Times New Roman" w:hAnsiTheme="minorHAnsi"/>
                <w:b/>
                <w:bCs/>
                <w:color w:val="000000"/>
                <w:szCs w:val="24"/>
              </w:rPr>
            </w:pPr>
            <w:r w:rsidRPr="006D2ACD">
              <w:rPr>
                <w:rFonts w:asciiTheme="minorHAnsi" w:eastAsia="Times New Roman" w:hAnsiTheme="minorHAnsi"/>
                <w:b/>
                <w:bCs/>
                <w:color w:val="000000"/>
                <w:szCs w:val="24"/>
              </w:rPr>
              <w:t>FY23</w:t>
            </w:r>
          </w:p>
        </w:tc>
        <w:tc>
          <w:tcPr>
            <w:tcW w:w="0" w:type="auto"/>
            <w:shd w:val="clear" w:color="auto" w:fill="DBE5F1" w:themeFill="accent1" w:themeFillTint="33"/>
            <w:vAlign w:val="center"/>
          </w:tcPr>
          <w:p w14:paraId="17D75EA5" w14:textId="1CC18AC5" w:rsidR="004B13DF" w:rsidRPr="006D2ACD" w:rsidRDefault="004B13DF" w:rsidP="004B13DF">
            <w:pPr>
              <w:widowControl/>
              <w:autoSpaceDE/>
              <w:autoSpaceDN/>
              <w:jc w:val="center"/>
              <w:rPr>
                <w:rFonts w:asciiTheme="minorHAnsi" w:eastAsia="Times New Roman" w:hAnsiTheme="minorHAnsi"/>
                <w:b/>
                <w:bCs/>
                <w:color w:val="000000"/>
                <w:szCs w:val="24"/>
              </w:rPr>
            </w:pPr>
            <w:r w:rsidRPr="006D2ACD">
              <w:rPr>
                <w:rFonts w:asciiTheme="minorHAnsi" w:eastAsia="Times New Roman" w:hAnsiTheme="minorHAnsi"/>
                <w:b/>
                <w:bCs/>
                <w:color w:val="000000"/>
                <w:szCs w:val="24"/>
              </w:rPr>
              <w:t>FY24</w:t>
            </w:r>
          </w:p>
        </w:tc>
        <w:tc>
          <w:tcPr>
            <w:tcW w:w="0" w:type="auto"/>
            <w:shd w:val="clear" w:color="auto" w:fill="DBE5F1" w:themeFill="accent1" w:themeFillTint="33"/>
            <w:vAlign w:val="center"/>
          </w:tcPr>
          <w:p w14:paraId="648CB190" w14:textId="32CAC921" w:rsidR="004B13DF" w:rsidRPr="006D2ACD" w:rsidRDefault="004B13DF" w:rsidP="004B13DF">
            <w:pPr>
              <w:widowControl/>
              <w:autoSpaceDE/>
              <w:autoSpaceDN/>
              <w:jc w:val="center"/>
              <w:rPr>
                <w:rFonts w:asciiTheme="minorHAnsi" w:eastAsia="Times New Roman" w:hAnsiTheme="minorHAnsi"/>
                <w:b/>
                <w:bCs/>
                <w:color w:val="000000"/>
                <w:szCs w:val="24"/>
              </w:rPr>
            </w:pPr>
            <w:r w:rsidRPr="006D2ACD">
              <w:rPr>
                <w:rFonts w:asciiTheme="minorHAnsi" w:eastAsia="Times New Roman" w:hAnsiTheme="minorHAnsi"/>
                <w:b/>
                <w:bCs/>
                <w:color w:val="000000"/>
                <w:szCs w:val="24"/>
              </w:rPr>
              <w:t>FY25</w:t>
            </w:r>
          </w:p>
        </w:tc>
      </w:tr>
      <w:tr w:rsidR="00F01DDD" w:rsidRPr="006D2ACD" w14:paraId="79FFD680" w14:textId="77777777" w:rsidTr="00BA2DE6">
        <w:trPr>
          <w:cantSplit/>
          <w:trHeight w:val="50"/>
        </w:trPr>
        <w:tc>
          <w:tcPr>
            <w:tcW w:w="0" w:type="auto"/>
            <w:hideMark/>
          </w:tcPr>
          <w:p w14:paraId="385E7F4C" w14:textId="245CBD0B" w:rsidR="00F01DDD" w:rsidRPr="004B13DF" w:rsidRDefault="00F01DDD" w:rsidP="00F01DDD">
            <w:pPr>
              <w:widowControl/>
              <w:autoSpaceDE/>
              <w:autoSpaceDN/>
              <w:ind w:left="144"/>
              <w:rPr>
                <w:rFonts w:asciiTheme="minorHAnsi" w:eastAsia="Times New Roman" w:hAnsiTheme="minorHAnsi"/>
                <w:color w:val="000000"/>
                <w:szCs w:val="24"/>
              </w:rPr>
            </w:pPr>
            <w:r w:rsidRPr="00B74467">
              <w:t>Commercial</w:t>
            </w:r>
          </w:p>
        </w:tc>
        <w:tc>
          <w:tcPr>
            <w:tcW w:w="0" w:type="auto"/>
            <w:hideMark/>
          </w:tcPr>
          <w:p w14:paraId="51FD7850" w14:textId="7E30EBA7" w:rsidR="00F01DDD" w:rsidRPr="004B13DF" w:rsidRDefault="00F01DDD" w:rsidP="00F01DDD">
            <w:pPr>
              <w:widowControl/>
              <w:autoSpaceDE/>
              <w:autoSpaceDN/>
              <w:jc w:val="center"/>
              <w:rPr>
                <w:rFonts w:asciiTheme="minorHAnsi" w:eastAsia="Times New Roman" w:hAnsiTheme="minorHAnsi"/>
                <w:color w:val="000000"/>
                <w:szCs w:val="24"/>
              </w:rPr>
            </w:pPr>
            <w:r w:rsidRPr="007E2ABF">
              <w:t>68.7%</w:t>
            </w:r>
          </w:p>
        </w:tc>
        <w:tc>
          <w:tcPr>
            <w:tcW w:w="0" w:type="auto"/>
            <w:hideMark/>
          </w:tcPr>
          <w:p w14:paraId="2CA5A4D1" w14:textId="6E728799" w:rsidR="00F01DDD" w:rsidRPr="004B13DF" w:rsidRDefault="00F01DDD" w:rsidP="00F01DDD">
            <w:pPr>
              <w:widowControl/>
              <w:autoSpaceDE/>
              <w:autoSpaceDN/>
              <w:jc w:val="center"/>
              <w:rPr>
                <w:rFonts w:asciiTheme="minorHAnsi" w:eastAsia="Times New Roman" w:hAnsiTheme="minorHAnsi"/>
                <w:color w:val="000000"/>
                <w:szCs w:val="24"/>
              </w:rPr>
            </w:pPr>
            <w:r w:rsidRPr="0014042E">
              <w:t>67.5%</w:t>
            </w:r>
          </w:p>
        </w:tc>
        <w:tc>
          <w:tcPr>
            <w:tcW w:w="0" w:type="auto"/>
            <w:hideMark/>
          </w:tcPr>
          <w:p w14:paraId="38F3BF54" w14:textId="154AC63B" w:rsidR="00F01DDD" w:rsidRPr="004B13DF" w:rsidRDefault="00F01DDD" w:rsidP="00F01DDD">
            <w:pPr>
              <w:widowControl/>
              <w:autoSpaceDE/>
              <w:autoSpaceDN/>
              <w:jc w:val="center"/>
              <w:rPr>
                <w:rFonts w:asciiTheme="minorHAnsi" w:eastAsia="Times New Roman" w:hAnsiTheme="minorHAnsi"/>
                <w:color w:val="000000"/>
                <w:szCs w:val="24"/>
              </w:rPr>
            </w:pPr>
            <w:r w:rsidRPr="0044395F">
              <w:t>69.6%</w:t>
            </w:r>
          </w:p>
        </w:tc>
      </w:tr>
      <w:tr w:rsidR="00F01DDD" w:rsidRPr="006D2ACD" w14:paraId="01242C51" w14:textId="77777777" w:rsidTr="00BA2DE6">
        <w:trPr>
          <w:cantSplit/>
          <w:trHeight w:val="50"/>
        </w:trPr>
        <w:tc>
          <w:tcPr>
            <w:tcW w:w="0" w:type="auto"/>
            <w:hideMark/>
          </w:tcPr>
          <w:p w14:paraId="66D4D64C" w14:textId="1B17E8C6" w:rsidR="00F01DDD" w:rsidRPr="004B13DF" w:rsidRDefault="00F01DDD" w:rsidP="00F01DDD">
            <w:pPr>
              <w:widowControl/>
              <w:autoSpaceDE/>
              <w:autoSpaceDN/>
              <w:ind w:left="144"/>
              <w:rPr>
                <w:rFonts w:asciiTheme="minorHAnsi" w:eastAsia="Times New Roman" w:hAnsiTheme="minorHAnsi"/>
                <w:color w:val="000000"/>
                <w:szCs w:val="24"/>
              </w:rPr>
            </w:pPr>
            <w:r w:rsidRPr="00B74467">
              <w:t>Medicare</w:t>
            </w:r>
          </w:p>
        </w:tc>
        <w:tc>
          <w:tcPr>
            <w:tcW w:w="0" w:type="auto"/>
            <w:hideMark/>
          </w:tcPr>
          <w:p w14:paraId="17D19CE5" w14:textId="22E6D7E7" w:rsidR="00F01DDD" w:rsidRPr="004B13DF" w:rsidRDefault="00F01DDD" w:rsidP="00F01DDD">
            <w:pPr>
              <w:widowControl/>
              <w:autoSpaceDE/>
              <w:autoSpaceDN/>
              <w:jc w:val="center"/>
              <w:rPr>
                <w:rFonts w:asciiTheme="minorHAnsi" w:eastAsia="Times New Roman" w:hAnsiTheme="minorHAnsi"/>
                <w:color w:val="000000"/>
                <w:szCs w:val="24"/>
              </w:rPr>
            </w:pPr>
            <w:r w:rsidRPr="007E2ABF">
              <w:t>12.8%</w:t>
            </w:r>
          </w:p>
        </w:tc>
        <w:tc>
          <w:tcPr>
            <w:tcW w:w="0" w:type="auto"/>
            <w:hideMark/>
          </w:tcPr>
          <w:p w14:paraId="520A6E52" w14:textId="4A61CFC0" w:rsidR="00F01DDD" w:rsidRPr="004B13DF" w:rsidRDefault="00F01DDD" w:rsidP="00F01DDD">
            <w:pPr>
              <w:widowControl/>
              <w:autoSpaceDE/>
              <w:autoSpaceDN/>
              <w:jc w:val="center"/>
              <w:rPr>
                <w:rFonts w:asciiTheme="minorHAnsi" w:eastAsia="Times New Roman" w:hAnsiTheme="minorHAnsi"/>
                <w:color w:val="000000"/>
                <w:szCs w:val="24"/>
              </w:rPr>
            </w:pPr>
            <w:r w:rsidRPr="0014042E">
              <w:t>14.0%</w:t>
            </w:r>
          </w:p>
        </w:tc>
        <w:tc>
          <w:tcPr>
            <w:tcW w:w="0" w:type="auto"/>
            <w:hideMark/>
          </w:tcPr>
          <w:p w14:paraId="5F37F7A4" w14:textId="4C875B9D" w:rsidR="00F01DDD" w:rsidRPr="004B13DF" w:rsidRDefault="00F01DDD" w:rsidP="00F01DDD">
            <w:pPr>
              <w:widowControl/>
              <w:autoSpaceDE/>
              <w:autoSpaceDN/>
              <w:jc w:val="center"/>
              <w:rPr>
                <w:rFonts w:asciiTheme="minorHAnsi" w:eastAsia="Times New Roman" w:hAnsiTheme="minorHAnsi"/>
                <w:color w:val="000000"/>
                <w:szCs w:val="24"/>
              </w:rPr>
            </w:pPr>
            <w:r w:rsidRPr="0044395F">
              <w:t>13.5%</w:t>
            </w:r>
          </w:p>
        </w:tc>
      </w:tr>
      <w:tr w:rsidR="00F01DDD" w:rsidRPr="006D2ACD" w14:paraId="621221E3" w14:textId="77777777" w:rsidTr="00BA2DE6">
        <w:trPr>
          <w:cantSplit/>
          <w:trHeight w:val="50"/>
        </w:trPr>
        <w:tc>
          <w:tcPr>
            <w:tcW w:w="0" w:type="auto"/>
            <w:hideMark/>
          </w:tcPr>
          <w:p w14:paraId="63C4DBD1" w14:textId="49CD19C0" w:rsidR="00F01DDD" w:rsidRPr="004B13DF" w:rsidRDefault="00F01DDD" w:rsidP="00F01DDD">
            <w:pPr>
              <w:widowControl/>
              <w:autoSpaceDE/>
              <w:autoSpaceDN/>
              <w:ind w:left="144"/>
              <w:rPr>
                <w:rFonts w:asciiTheme="minorHAnsi" w:eastAsia="Times New Roman" w:hAnsiTheme="minorHAnsi"/>
                <w:color w:val="000000"/>
                <w:szCs w:val="24"/>
              </w:rPr>
            </w:pPr>
            <w:r w:rsidRPr="00B74467">
              <w:t>Medicare Managed Care</w:t>
            </w:r>
          </w:p>
        </w:tc>
        <w:tc>
          <w:tcPr>
            <w:tcW w:w="0" w:type="auto"/>
            <w:hideMark/>
          </w:tcPr>
          <w:p w14:paraId="1B26F3B3" w14:textId="4106B0F0" w:rsidR="00F01DDD" w:rsidRPr="004B13DF" w:rsidRDefault="00F01DDD" w:rsidP="00F01DDD">
            <w:pPr>
              <w:widowControl/>
              <w:autoSpaceDE/>
              <w:autoSpaceDN/>
              <w:jc w:val="center"/>
              <w:rPr>
                <w:rFonts w:asciiTheme="minorHAnsi" w:eastAsia="Times New Roman" w:hAnsiTheme="minorHAnsi"/>
                <w:color w:val="000000"/>
                <w:szCs w:val="24"/>
              </w:rPr>
            </w:pPr>
            <w:r w:rsidRPr="007E2ABF">
              <w:t>7.7%</w:t>
            </w:r>
          </w:p>
        </w:tc>
        <w:tc>
          <w:tcPr>
            <w:tcW w:w="0" w:type="auto"/>
            <w:hideMark/>
          </w:tcPr>
          <w:p w14:paraId="3A18D478" w14:textId="344F9E78" w:rsidR="00F01DDD" w:rsidRPr="004B13DF" w:rsidRDefault="00F01DDD" w:rsidP="00F01DDD">
            <w:pPr>
              <w:widowControl/>
              <w:autoSpaceDE/>
              <w:autoSpaceDN/>
              <w:jc w:val="center"/>
              <w:rPr>
                <w:rFonts w:asciiTheme="minorHAnsi" w:eastAsia="Times New Roman" w:hAnsiTheme="minorHAnsi"/>
                <w:color w:val="000000"/>
                <w:szCs w:val="24"/>
              </w:rPr>
            </w:pPr>
            <w:r w:rsidRPr="0014042E">
              <w:t>7.8%</w:t>
            </w:r>
          </w:p>
        </w:tc>
        <w:tc>
          <w:tcPr>
            <w:tcW w:w="0" w:type="auto"/>
            <w:hideMark/>
          </w:tcPr>
          <w:p w14:paraId="28305AA5" w14:textId="49D256C0" w:rsidR="00F01DDD" w:rsidRPr="004B13DF" w:rsidRDefault="00F01DDD" w:rsidP="00F01DDD">
            <w:pPr>
              <w:widowControl/>
              <w:autoSpaceDE/>
              <w:autoSpaceDN/>
              <w:jc w:val="center"/>
              <w:rPr>
                <w:rFonts w:asciiTheme="minorHAnsi" w:eastAsia="Times New Roman" w:hAnsiTheme="minorHAnsi"/>
                <w:color w:val="000000"/>
                <w:szCs w:val="24"/>
              </w:rPr>
            </w:pPr>
            <w:r w:rsidRPr="0044395F">
              <w:t>7.6%</w:t>
            </w:r>
          </w:p>
        </w:tc>
      </w:tr>
      <w:tr w:rsidR="00F01DDD" w:rsidRPr="006D2ACD" w14:paraId="04460758" w14:textId="77777777" w:rsidTr="00BA2DE6">
        <w:trPr>
          <w:cantSplit/>
          <w:trHeight w:val="50"/>
        </w:trPr>
        <w:tc>
          <w:tcPr>
            <w:tcW w:w="0" w:type="auto"/>
            <w:hideMark/>
          </w:tcPr>
          <w:p w14:paraId="6CAAF946" w14:textId="2E11773B" w:rsidR="00F01DDD" w:rsidRPr="004B13DF" w:rsidRDefault="00F01DDD" w:rsidP="00F01DDD">
            <w:pPr>
              <w:widowControl/>
              <w:autoSpaceDE/>
              <w:autoSpaceDN/>
              <w:ind w:left="144"/>
              <w:rPr>
                <w:rFonts w:asciiTheme="minorHAnsi" w:eastAsia="Times New Roman" w:hAnsiTheme="minorHAnsi"/>
                <w:szCs w:val="24"/>
              </w:rPr>
            </w:pPr>
            <w:r w:rsidRPr="00B74467">
              <w:t>Medicaid</w:t>
            </w:r>
          </w:p>
        </w:tc>
        <w:tc>
          <w:tcPr>
            <w:tcW w:w="0" w:type="auto"/>
            <w:hideMark/>
          </w:tcPr>
          <w:p w14:paraId="3F1AC788" w14:textId="085662D9" w:rsidR="00F01DDD" w:rsidRPr="004B13DF" w:rsidRDefault="00F01DDD" w:rsidP="00F01DDD">
            <w:pPr>
              <w:widowControl/>
              <w:autoSpaceDE/>
              <w:autoSpaceDN/>
              <w:jc w:val="center"/>
              <w:rPr>
                <w:rFonts w:asciiTheme="minorHAnsi" w:eastAsia="Times New Roman" w:hAnsiTheme="minorHAnsi"/>
                <w:color w:val="000000"/>
                <w:szCs w:val="24"/>
              </w:rPr>
            </w:pPr>
            <w:r w:rsidRPr="007E2ABF">
              <w:t>1.0%</w:t>
            </w:r>
          </w:p>
        </w:tc>
        <w:tc>
          <w:tcPr>
            <w:tcW w:w="0" w:type="auto"/>
            <w:hideMark/>
          </w:tcPr>
          <w:p w14:paraId="2EADF2A1" w14:textId="42CA9D82" w:rsidR="00F01DDD" w:rsidRPr="004B13DF" w:rsidRDefault="00F01DDD" w:rsidP="00F01DDD">
            <w:pPr>
              <w:widowControl/>
              <w:autoSpaceDE/>
              <w:autoSpaceDN/>
              <w:jc w:val="center"/>
              <w:rPr>
                <w:rFonts w:asciiTheme="minorHAnsi" w:eastAsia="Times New Roman" w:hAnsiTheme="minorHAnsi"/>
                <w:color w:val="000000"/>
                <w:szCs w:val="24"/>
              </w:rPr>
            </w:pPr>
            <w:r w:rsidRPr="0014042E">
              <w:t>0.3%</w:t>
            </w:r>
          </w:p>
        </w:tc>
        <w:tc>
          <w:tcPr>
            <w:tcW w:w="0" w:type="auto"/>
            <w:hideMark/>
          </w:tcPr>
          <w:p w14:paraId="13321B17" w14:textId="10743C0C" w:rsidR="00F01DDD" w:rsidRPr="004B13DF" w:rsidRDefault="00F01DDD" w:rsidP="00F01DDD">
            <w:pPr>
              <w:widowControl/>
              <w:autoSpaceDE/>
              <w:autoSpaceDN/>
              <w:jc w:val="center"/>
              <w:rPr>
                <w:rFonts w:asciiTheme="minorHAnsi" w:eastAsia="Times New Roman" w:hAnsiTheme="minorHAnsi"/>
                <w:color w:val="000000"/>
                <w:szCs w:val="24"/>
              </w:rPr>
            </w:pPr>
            <w:r w:rsidRPr="0044395F">
              <w:t>0.3%</w:t>
            </w:r>
          </w:p>
        </w:tc>
      </w:tr>
      <w:tr w:rsidR="00F01DDD" w:rsidRPr="006D2ACD" w14:paraId="0F4C2E73" w14:textId="77777777" w:rsidTr="00BA2DE6">
        <w:trPr>
          <w:cantSplit/>
          <w:trHeight w:val="83"/>
        </w:trPr>
        <w:tc>
          <w:tcPr>
            <w:tcW w:w="0" w:type="auto"/>
            <w:hideMark/>
          </w:tcPr>
          <w:p w14:paraId="0D94611C" w14:textId="03C48B9F" w:rsidR="00F01DDD" w:rsidRPr="004B13DF" w:rsidRDefault="00F01DDD" w:rsidP="00F01DDD">
            <w:pPr>
              <w:widowControl/>
              <w:autoSpaceDE/>
              <w:autoSpaceDN/>
              <w:ind w:left="144"/>
              <w:rPr>
                <w:rFonts w:asciiTheme="minorHAnsi" w:eastAsia="Times New Roman" w:hAnsiTheme="minorHAnsi"/>
                <w:szCs w:val="24"/>
              </w:rPr>
            </w:pPr>
            <w:r w:rsidRPr="00B74467">
              <w:t>Medicaid Managed Care</w:t>
            </w:r>
          </w:p>
        </w:tc>
        <w:tc>
          <w:tcPr>
            <w:tcW w:w="0" w:type="auto"/>
            <w:hideMark/>
          </w:tcPr>
          <w:p w14:paraId="0901CDD9" w14:textId="22E2FCC7" w:rsidR="00F01DDD" w:rsidRPr="004B13DF" w:rsidRDefault="00F01DDD" w:rsidP="00F01DDD">
            <w:pPr>
              <w:widowControl/>
              <w:autoSpaceDE/>
              <w:autoSpaceDN/>
              <w:jc w:val="center"/>
              <w:rPr>
                <w:rFonts w:asciiTheme="minorHAnsi" w:eastAsia="Times New Roman" w:hAnsiTheme="minorHAnsi"/>
                <w:color w:val="000000"/>
                <w:szCs w:val="24"/>
              </w:rPr>
            </w:pPr>
            <w:r w:rsidRPr="007E2ABF">
              <w:t>5.1%</w:t>
            </w:r>
          </w:p>
        </w:tc>
        <w:tc>
          <w:tcPr>
            <w:tcW w:w="0" w:type="auto"/>
            <w:hideMark/>
          </w:tcPr>
          <w:p w14:paraId="0A5C9817" w14:textId="6C7BC312" w:rsidR="00F01DDD" w:rsidRPr="004B13DF" w:rsidRDefault="00F01DDD" w:rsidP="00F01DDD">
            <w:pPr>
              <w:widowControl/>
              <w:autoSpaceDE/>
              <w:autoSpaceDN/>
              <w:jc w:val="center"/>
              <w:rPr>
                <w:rFonts w:asciiTheme="minorHAnsi" w:eastAsia="Times New Roman" w:hAnsiTheme="minorHAnsi"/>
                <w:color w:val="000000"/>
                <w:szCs w:val="24"/>
              </w:rPr>
            </w:pPr>
            <w:r w:rsidRPr="0014042E">
              <w:t>5.1%</w:t>
            </w:r>
          </w:p>
        </w:tc>
        <w:tc>
          <w:tcPr>
            <w:tcW w:w="0" w:type="auto"/>
            <w:hideMark/>
          </w:tcPr>
          <w:p w14:paraId="3DDAD5E3" w14:textId="184146BE" w:rsidR="00F01DDD" w:rsidRPr="004B13DF" w:rsidRDefault="00F01DDD" w:rsidP="00F01DDD">
            <w:pPr>
              <w:widowControl/>
              <w:autoSpaceDE/>
              <w:autoSpaceDN/>
              <w:jc w:val="center"/>
              <w:rPr>
                <w:rFonts w:asciiTheme="minorHAnsi" w:eastAsia="Times New Roman" w:hAnsiTheme="minorHAnsi"/>
                <w:color w:val="000000"/>
                <w:szCs w:val="24"/>
              </w:rPr>
            </w:pPr>
            <w:r w:rsidRPr="0044395F">
              <w:t>4.6%</w:t>
            </w:r>
          </w:p>
        </w:tc>
      </w:tr>
      <w:tr w:rsidR="00F01DDD" w:rsidRPr="006D2ACD" w14:paraId="77E6AC85" w14:textId="77777777" w:rsidTr="00BA2DE6">
        <w:trPr>
          <w:cantSplit/>
          <w:trHeight w:val="300"/>
        </w:trPr>
        <w:tc>
          <w:tcPr>
            <w:tcW w:w="0" w:type="auto"/>
            <w:noWrap/>
          </w:tcPr>
          <w:p w14:paraId="539ECEBA" w14:textId="77777777" w:rsidR="00721488" w:rsidRDefault="000771E6" w:rsidP="00F01DDD">
            <w:pPr>
              <w:widowControl/>
              <w:autoSpaceDE/>
              <w:autoSpaceDN/>
              <w:ind w:left="144"/>
              <w:rPr>
                <w:rFonts w:asciiTheme="minorHAnsi" w:eastAsia="Times New Roman" w:hAnsiTheme="minorHAnsi"/>
                <w:color w:val="000000"/>
                <w:szCs w:val="24"/>
              </w:rPr>
            </w:pPr>
            <w:r w:rsidRPr="000771E6">
              <w:rPr>
                <w:rFonts w:asciiTheme="minorHAnsi" w:eastAsia="Times New Roman" w:hAnsiTheme="minorHAnsi"/>
                <w:color w:val="000000"/>
                <w:szCs w:val="24"/>
              </w:rPr>
              <w:t xml:space="preserve">Connector Care, HSN, Self-Pay, </w:t>
            </w:r>
          </w:p>
          <w:p w14:paraId="410B6E8A" w14:textId="2414F8F0" w:rsidR="00F01DDD" w:rsidRDefault="000771E6" w:rsidP="00F01DDD">
            <w:pPr>
              <w:widowControl/>
              <w:autoSpaceDE/>
              <w:autoSpaceDN/>
              <w:ind w:left="144"/>
              <w:rPr>
                <w:rFonts w:asciiTheme="minorHAnsi" w:eastAsia="Times New Roman" w:hAnsiTheme="minorHAnsi"/>
                <w:color w:val="000000"/>
                <w:szCs w:val="24"/>
              </w:rPr>
            </w:pPr>
            <w:r w:rsidRPr="000771E6">
              <w:rPr>
                <w:rFonts w:asciiTheme="minorHAnsi" w:eastAsia="Times New Roman" w:hAnsiTheme="minorHAnsi"/>
                <w:color w:val="000000"/>
                <w:szCs w:val="24"/>
              </w:rPr>
              <w:t>Other Government Payer</w:t>
            </w:r>
          </w:p>
        </w:tc>
        <w:tc>
          <w:tcPr>
            <w:tcW w:w="0" w:type="auto"/>
          </w:tcPr>
          <w:p w14:paraId="6E9C8503" w14:textId="45E940E0" w:rsidR="00F01DDD" w:rsidRPr="004B13DF" w:rsidRDefault="00F01DDD" w:rsidP="00F01DDD">
            <w:pPr>
              <w:widowControl/>
              <w:autoSpaceDE/>
              <w:autoSpaceDN/>
              <w:jc w:val="center"/>
              <w:rPr>
                <w:rFonts w:asciiTheme="minorHAnsi" w:eastAsia="Times New Roman" w:hAnsiTheme="minorHAnsi"/>
                <w:color w:val="000000"/>
                <w:szCs w:val="24"/>
              </w:rPr>
            </w:pPr>
            <w:r w:rsidRPr="007E2ABF">
              <w:t>4.7%</w:t>
            </w:r>
          </w:p>
        </w:tc>
        <w:tc>
          <w:tcPr>
            <w:tcW w:w="0" w:type="auto"/>
            <w:noWrap/>
          </w:tcPr>
          <w:p w14:paraId="05A7BEFA" w14:textId="49A63B39" w:rsidR="00F01DDD" w:rsidRPr="004B13DF" w:rsidRDefault="00F01DDD" w:rsidP="00F01DDD">
            <w:pPr>
              <w:widowControl/>
              <w:autoSpaceDE/>
              <w:autoSpaceDN/>
              <w:jc w:val="center"/>
              <w:rPr>
                <w:rFonts w:asciiTheme="minorHAnsi" w:eastAsia="Times New Roman" w:hAnsiTheme="minorHAnsi"/>
                <w:color w:val="000000"/>
                <w:szCs w:val="24"/>
              </w:rPr>
            </w:pPr>
            <w:r w:rsidRPr="0014042E">
              <w:t>5.3%</w:t>
            </w:r>
          </w:p>
        </w:tc>
        <w:tc>
          <w:tcPr>
            <w:tcW w:w="0" w:type="auto"/>
          </w:tcPr>
          <w:p w14:paraId="0F562C1A" w14:textId="0B8AF22D" w:rsidR="00F01DDD" w:rsidRPr="004B13DF" w:rsidRDefault="00F01DDD" w:rsidP="00F01DDD">
            <w:pPr>
              <w:widowControl/>
              <w:autoSpaceDE/>
              <w:autoSpaceDN/>
              <w:jc w:val="center"/>
              <w:rPr>
                <w:rFonts w:asciiTheme="minorHAnsi" w:eastAsia="Times New Roman" w:hAnsiTheme="minorHAnsi"/>
                <w:color w:val="000000"/>
                <w:szCs w:val="24"/>
              </w:rPr>
            </w:pPr>
            <w:r w:rsidRPr="0044395F">
              <w:t>4.4%</w:t>
            </w:r>
          </w:p>
        </w:tc>
      </w:tr>
      <w:tr w:rsidR="004B13DF" w:rsidRPr="006D2ACD" w14:paraId="73814355" w14:textId="77777777" w:rsidTr="00BA2DE6">
        <w:trPr>
          <w:cantSplit/>
          <w:trHeight w:val="300"/>
        </w:trPr>
        <w:tc>
          <w:tcPr>
            <w:tcW w:w="0" w:type="auto"/>
            <w:noWrap/>
            <w:vAlign w:val="bottom"/>
            <w:hideMark/>
          </w:tcPr>
          <w:p w14:paraId="789EA21A" w14:textId="5B609945" w:rsidR="004B13DF" w:rsidRPr="004B13DF" w:rsidRDefault="006D2ACD" w:rsidP="006D2ACD">
            <w:pPr>
              <w:widowControl/>
              <w:autoSpaceDE/>
              <w:autoSpaceDN/>
              <w:ind w:left="144"/>
              <w:rPr>
                <w:rFonts w:asciiTheme="minorHAnsi" w:eastAsia="Times New Roman" w:hAnsiTheme="minorHAnsi"/>
                <w:color w:val="000000"/>
                <w:szCs w:val="24"/>
              </w:rPr>
            </w:pPr>
            <w:r>
              <w:rPr>
                <w:rFonts w:asciiTheme="minorHAnsi" w:eastAsia="Times New Roman" w:hAnsiTheme="minorHAnsi"/>
                <w:color w:val="000000"/>
                <w:szCs w:val="24"/>
              </w:rPr>
              <w:t xml:space="preserve">Total </w:t>
            </w:r>
          </w:p>
        </w:tc>
        <w:tc>
          <w:tcPr>
            <w:tcW w:w="0" w:type="auto"/>
            <w:vAlign w:val="center"/>
            <w:hideMark/>
          </w:tcPr>
          <w:p w14:paraId="2356EA81" w14:textId="1C517EC0" w:rsidR="004B13DF" w:rsidRPr="004B13DF" w:rsidRDefault="004B13DF" w:rsidP="004B13DF">
            <w:pPr>
              <w:widowControl/>
              <w:autoSpaceDE/>
              <w:autoSpaceDN/>
              <w:jc w:val="center"/>
              <w:rPr>
                <w:rFonts w:asciiTheme="minorHAnsi" w:eastAsia="Times New Roman" w:hAnsiTheme="minorHAnsi"/>
                <w:color w:val="000000"/>
                <w:szCs w:val="24"/>
              </w:rPr>
            </w:pPr>
            <w:r w:rsidRPr="004B13DF">
              <w:rPr>
                <w:rFonts w:asciiTheme="minorHAnsi" w:eastAsia="Times New Roman" w:hAnsiTheme="minorHAnsi"/>
                <w:color w:val="000000"/>
                <w:szCs w:val="24"/>
              </w:rPr>
              <w:t>100%</w:t>
            </w:r>
          </w:p>
        </w:tc>
        <w:tc>
          <w:tcPr>
            <w:tcW w:w="0" w:type="auto"/>
            <w:noWrap/>
            <w:vAlign w:val="bottom"/>
            <w:hideMark/>
          </w:tcPr>
          <w:p w14:paraId="3895EA23" w14:textId="0AAB13E6" w:rsidR="004B13DF" w:rsidRPr="004B13DF" w:rsidRDefault="004B13DF" w:rsidP="004B13DF">
            <w:pPr>
              <w:widowControl/>
              <w:autoSpaceDE/>
              <w:autoSpaceDN/>
              <w:jc w:val="right"/>
              <w:rPr>
                <w:rFonts w:asciiTheme="minorHAnsi" w:eastAsia="Times New Roman" w:hAnsiTheme="minorHAnsi"/>
                <w:color w:val="000000"/>
                <w:szCs w:val="24"/>
              </w:rPr>
            </w:pPr>
            <w:r w:rsidRPr="004B13DF">
              <w:rPr>
                <w:rFonts w:asciiTheme="minorHAnsi" w:eastAsia="Times New Roman" w:hAnsiTheme="minorHAnsi"/>
                <w:color w:val="000000"/>
                <w:szCs w:val="24"/>
              </w:rPr>
              <w:t>100%</w:t>
            </w:r>
          </w:p>
        </w:tc>
        <w:tc>
          <w:tcPr>
            <w:tcW w:w="0" w:type="auto"/>
            <w:vAlign w:val="center"/>
            <w:hideMark/>
          </w:tcPr>
          <w:p w14:paraId="523FC54F" w14:textId="56DD03B7" w:rsidR="004B13DF" w:rsidRPr="004B13DF" w:rsidRDefault="004B13DF" w:rsidP="004B13DF">
            <w:pPr>
              <w:widowControl/>
              <w:autoSpaceDE/>
              <w:autoSpaceDN/>
              <w:jc w:val="center"/>
              <w:rPr>
                <w:rFonts w:asciiTheme="minorHAnsi" w:eastAsia="Times New Roman" w:hAnsiTheme="minorHAnsi"/>
                <w:color w:val="000000"/>
                <w:szCs w:val="24"/>
              </w:rPr>
            </w:pPr>
            <w:r w:rsidRPr="004B13DF">
              <w:rPr>
                <w:rFonts w:asciiTheme="minorHAnsi" w:eastAsia="Times New Roman" w:hAnsiTheme="minorHAnsi"/>
                <w:color w:val="000000"/>
                <w:szCs w:val="24"/>
              </w:rPr>
              <w:t>100%</w:t>
            </w:r>
          </w:p>
        </w:tc>
      </w:tr>
    </w:tbl>
    <w:p w14:paraId="78444292" w14:textId="77777777" w:rsidR="00E70E1B" w:rsidRDefault="00E70E1B" w:rsidP="00F50B7B"/>
    <w:p w14:paraId="3DCC61E9" w14:textId="6041365D" w:rsidR="000771E6" w:rsidRDefault="00921F30" w:rsidP="00F50B7B">
      <w:r w:rsidRPr="00921F30">
        <w:t>Tables 11a-11d shows Patient Population information for BILH, Winchester Hospital, Winchester Hospital- Main Campus Endoscopy, and the Center, for the most recent year available, FY25.</w:t>
      </w:r>
    </w:p>
    <w:p w14:paraId="7308DCC1" w14:textId="77777777" w:rsidR="00921F30" w:rsidRDefault="00921F30" w:rsidP="00F50B7B"/>
    <w:p w14:paraId="33465582" w14:textId="7C0773F1" w:rsidR="00364B50" w:rsidRDefault="00364B50" w:rsidP="00F50B7B">
      <w:pPr>
        <w:rPr>
          <w:b/>
          <w:bCs/>
        </w:rPr>
      </w:pPr>
      <w:r w:rsidRPr="00364B50">
        <w:rPr>
          <w:b/>
          <w:bCs/>
          <w:u w:val="single"/>
        </w:rPr>
        <w:t xml:space="preserve">Table </w:t>
      </w:r>
      <w:r w:rsidR="0063046A">
        <w:rPr>
          <w:b/>
          <w:bCs/>
          <w:u w:val="single"/>
        </w:rPr>
        <w:t>1</w:t>
      </w:r>
      <w:r w:rsidR="000771E6">
        <w:rPr>
          <w:b/>
          <w:bCs/>
          <w:u w:val="single"/>
        </w:rPr>
        <w:t>1</w:t>
      </w:r>
      <w:r w:rsidR="00E224ED">
        <w:rPr>
          <w:b/>
          <w:bCs/>
          <w:u w:val="single"/>
        </w:rPr>
        <w:t>a</w:t>
      </w:r>
      <w:r w:rsidRPr="00364B50">
        <w:rPr>
          <w:b/>
          <w:bCs/>
        </w:rPr>
        <w:t xml:space="preserve">: BILH, Winchester Hospital, </w:t>
      </w:r>
      <w:r w:rsidR="00A30D94">
        <w:rPr>
          <w:b/>
          <w:bCs/>
        </w:rPr>
        <w:t>Winchester Hospital</w:t>
      </w:r>
      <w:r w:rsidR="00786AB1">
        <w:rPr>
          <w:b/>
          <w:bCs/>
        </w:rPr>
        <w:t>-Main Campus Endoscopy</w:t>
      </w:r>
      <w:r w:rsidR="00A30D94">
        <w:rPr>
          <w:b/>
          <w:bCs/>
        </w:rPr>
        <w:t xml:space="preserve">, </w:t>
      </w:r>
      <w:r w:rsidRPr="00364B50">
        <w:rPr>
          <w:b/>
          <w:bCs/>
        </w:rPr>
        <w:t xml:space="preserve">and </w:t>
      </w:r>
      <w:r w:rsidR="00A30D94">
        <w:rPr>
          <w:b/>
          <w:bCs/>
        </w:rPr>
        <w:t>t</w:t>
      </w:r>
      <w:r w:rsidR="00C37FFE">
        <w:rPr>
          <w:b/>
          <w:bCs/>
        </w:rPr>
        <w:t>he Center’s</w:t>
      </w:r>
      <w:r w:rsidRPr="00364B50">
        <w:rPr>
          <w:b/>
          <w:bCs/>
        </w:rPr>
        <w:t xml:space="preserve"> Patient Populations</w:t>
      </w:r>
      <w:r>
        <w:rPr>
          <w:b/>
          <w:bCs/>
        </w:rPr>
        <w:t>, FY25</w:t>
      </w:r>
      <w:r w:rsidR="00E224ED">
        <w:rPr>
          <w:b/>
          <w:bCs/>
        </w:rPr>
        <w:t>: Unique Patients</w:t>
      </w:r>
      <w:r>
        <w:rPr>
          <w:b/>
          <w:bCs/>
        </w:rPr>
        <w:t xml:space="preserve"> </w:t>
      </w:r>
    </w:p>
    <w:tbl>
      <w:tblPr>
        <w:tblStyle w:val="TableGrid"/>
        <w:tblW w:w="0" w:type="auto"/>
        <w:tblLayout w:type="fixed"/>
        <w:tblLook w:val="04A0" w:firstRow="1" w:lastRow="0" w:firstColumn="1" w:lastColumn="0" w:noHBand="0" w:noVBand="1"/>
        <w:tblCaption w:val="BILH, Winchester Hospital, Winchester Hospital-Main Campus Endoscopy, and the Center’s Patient Populations, FY25: Unique Patients"/>
      </w:tblPr>
      <w:tblGrid>
        <w:gridCol w:w="3235"/>
        <w:gridCol w:w="1863"/>
        <w:gridCol w:w="1357"/>
        <w:gridCol w:w="2078"/>
        <w:gridCol w:w="1277"/>
      </w:tblGrid>
      <w:tr w:rsidR="008B4D95" w14:paraId="62D01EC0" w14:textId="77777777" w:rsidTr="0090436C">
        <w:trPr>
          <w:cantSplit/>
          <w:tblHeader/>
        </w:trPr>
        <w:tc>
          <w:tcPr>
            <w:tcW w:w="3235" w:type="dxa"/>
          </w:tcPr>
          <w:p w14:paraId="2729C807" w14:textId="33121123" w:rsidR="006E348C" w:rsidRDefault="00E224ED" w:rsidP="00F50B7B">
            <w:pPr>
              <w:rPr>
                <w:b/>
                <w:bCs/>
              </w:rPr>
            </w:pPr>
            <w:r>
              <w:rPr>
                <w:b/>
                <w:bCs/>
              </w:rPr>
              <w:t>Patients</w:t>
            </w:r>
          </w:p>
        </w:tc>
        <w:tc>
          <w:tcPr>
            <w:tcW w:w="1863" w:type="dxa"/>
            <w:shd w:val="clear" w:color="auto" w:fill="DBE5F1" w:themeFill="accent1" w:themeFillTint="33"/>
          </w:tcPr>
          <w:p w14:paraId="08EB718A" w14:textId="18452EDB" w:rsidR="006E348C" w:rsidRDefault="006E348C" w:rsidP="003F345C">
            <w:pPr>
              <w:jc w:val="center"/>
              <w:rPr>
                <w:b/>
                <w:bCs/>
              </w:rPr>
            </w:pPr>
            <w:r>
              <w:rPr>
                <w:b/>
                <w:bCs/>
              </w:rPr>
              <w:t>BILH</w:t>
            </w:r>
          </w:p>
        </w:tc>
        <w:tc>
          <w:tcPr>
            <w:tcW w:w="1357" w:type="dxa"/>
            <w:shd w:val="clear" w:color="auto" w:fill="DBE5F1" w:themeFill="accent1" w:themeFillTint="33"/>
          </w:tcPr>
          <w:p w14:paraId="2F6C71F3" w14:textId="0E4EAC1D" w:rsidR="006E348C" w:rsidRDefault="006E348C" w:rsidP="003F345C">
            <w:pPr>
              <w:jc w:val="center"/>
              <w:rPr>
                <w:b/>
                <w:bCs/>
              </w:rPr>
            </w:pPr>
            <w:r>
              <w:rPr>
                <w:b/>
                <w:bCs/>
              </w:rPr>
              <w:t>Winchester</w:t>
            </w:r>
          </w:p>
          <w:p w14:paraId="4B6F6910" w14:textId="77B32A58" w:rsidR="006E348C" w:rsidRDefault="006E348C" w:rsidP="003F345C">
            <w:pPr>
              <w:jc w:val="center"/>
              <w:rPr>
                <w:b/>
                <w:bCs/>
              </w:rPr>
            </w:pPr>
            <w:r>
              <w:rPr>
                <w:b/>
                <w:bCs/>
              </w:rPr>
              <w:t>Hospital</w:t>
            </w:r>
          </w:p>
        </w:tc>
        <w:tc>
          <w:tcPr>
            <w:tcW w:w="2078" w:type="dxa"/>
            <w:shd w:val="clear" w:color="auto" w:fill="DBE5F1" w:themeFill="accent1" w:themeFillTint="33"/>
          </w:tcPr>
          <w:p w14:paraId="63F1DB61" w14:textId="77777777" w:rsidR="000A5E1C" w:rsidRDefault="006E348C" w:rsidP="00F50B7B">
            <w:pPr>
              <w:rPr>
                <w:b/>
                <w:bCs/>
              </w:rPr>
            </w:pPr>
            <w:r>
              <w:rPr>
                <w:b/>
                <w:bCs/>
              </w:rPr>
              <w:t xml:space="preserve">Winchester </w:t>
            </w:r>
          </w:p>
          <w:p w14:paraId="541C7702" w14:textId="77777777" w:rsidR="00721A05" w:rsidRDefault="006E348C" w:rsidP="00F50B7B">
            <w:pPr>
              <w:rPr>
                <w:b/>
                <w:bCs/>
              </w:rPr>
            </w:pPr>
            <w:r>
              <w:rPr>
                <w:b/>
                <w:bCs/>
              </w:rPr>
              <w:t>Hospital</w:t>
            </w:r>
            <w:r w:rsidR="000771E6">
              <w:rPr>
                <w:b/>
                <w:bCs/>
              </w:rPr>
              <w:t xml:space="preserve">- Main </w:t>
            </w:r>
          </w:p>
          <w:p w14:paraId="607B8765" w14:textId="3B3AA6C4" w:rsidR="006E348C" w:rsidRDefault="000771E6" w:rsidP="00F50B7B">
            <w:pPr>
              <w:rPr>
                <w:b/>
                <w:bCs/>
              </w:rPr>
            </w:pPr>
            <w:r>
              <w:rPr>
                <w:b/>
                <w:bCs/>
              </w:rPr>
              <w:t xml:space="preserve">Campus </w:t>
            </w:r>
            <w:r w:rsidR="006E348C">
              <w:rPr>
                <w:b/>
                <w:bCs/>
              </w:rPr>
              <w:t>Endoscopy</w:t>
            </w:r>
          </w:p>
        </w:tc>
        <w:tc>
          <w:tcPr>
            <w:tcW w:w="1277" w:type="dxa"/>
            <w:shd w:val="clear" w:color="auto" w:fill="DBE5F1" w:themeFill="accent1" w:themeFillTint="33"/>
          </w:tcPr>
          <w:p w14:paraId="0C1E71EB" w14:textId="25D1713C" w:rsidR="006E348C" w:rsidRDefault="00721A05" w:rsidP="00F50B7B">
            <w:pPr>
              <w:rPr>
                <w:b/>
                <w:bCs/>
              </w:rPr>
            </w:pPr>
            <w:r>
              <w:rPr>
                <w:b/>
                <w:bCs/>
              </w:rPr>
              <w:t>The Center</w:t>
            </w:r>
          </w:p>
        </w:tc>
      </w:tr>
      <w:tr w:rsidR="006E348C" w14:paraId="6D4DA26B" w14:textId="77777777" w:rsidTr="0090436C">
        <w:trPr>
          <w:cantSplit/>
        </w:trPr>
        <w:tc>
          <w:tcPr>
            <w:tcW w:w="3235" w:type="dxa"/>
          </w:tcPr>
          <w:p w14:paraId="65389459" w14:textId="20FC914C" w:rsidR="006E348C" w:rsidRDefault="006E348C" w:rsidP="00F50B7B">
            <w:pPr>
              <w:rPr>
                <w:b/>
                <w:bCs/>
              </w:rPr>
            </w:pPr>
            <w:r>
              <w:rPr>
                <w:b/>
                <w:bCs/>
              </w:rPr>
              <w:t>Unique Patients</w:t>
            </w:r>
          </w:p>
        </w:tc>
        <w:tc>
          <w:tcPr>
            <w:tcW w:w="1863" w:type="dxa"/>
          </w:tcPr>
          <w:p w14:paraId="46A00A0D" w14:textId="75F1AD8E" w:rsidR="006E348C" w:rsidRDefault="005036C8" w:rsidP="003F345C">
            <w:pPr>
              <w:jc w:val="center"/>
              <w:rPr>
                <w:b/>
                <w:bCs/>
              </w:rPr>
            </w:pPr>
            <w:r>
              <w:rPr>
                <w:b/>
                <w:bCs/>
              </w:rPr>
              <w:t>1,251,</w:t>
            </w:r>
            <w:r w:rsidR="004432B9">
              <w:rPr>
                <w:b/>
                <w:bCs/>
              </w:rPr>
              <w:t>3</w:t>
            </w:r>
            <w:r>
              <w:rPr>
                <w:b/>
                <w:bCs/>
              </w:rPr>
              <w:t>64</w:t>
            </w:r>
          </w:p>
        </w:tc>
        <w:tc>
          <w:tcPr>
            <w:tcW w:w="1357" w:type="dxa"/>
          </w:tcPr>
          <w:p w14:paraId="04AE67E6" w14:textId="7903C199" w:rsidR="006E348C" w:rsidRDefault="006E348C" w:rsidP="003F345C">
            <w:pPr>
              <w:jc w:val="center"/>
              <w:rPr>
                <w:b/>
                <w:bCs/>
              </w:rPr>
            </w:pPr>
            <w:r>
              <w:rPr>
                <w:b/>
                <w:bCs/>
              </w:rPr>
              <w:t>16</w:t>
            </w:r>
            <w:r w:rsidR="005036C8">
              <w:rPr>
                <w:b/>
                <w:bCs/>
              </w:rPr>
              <w:t>3</w:t>
            </w:r>
            <w:r>
              <w:rPr>
                <w:b/>
                <w:bCs/>
              </w:rPr>
              <w:t>,7</w:t>
            </w:r>
            <w:r w:rsidR="005036C8">
              <w:rPr>
                <w:b/>
                <w:bCs/>
              </w:rPr>
              <w:t>40</w:t>
            </w:r>
          </w:p>
        </w:tc>
        <w:tc>
          <w:tcPr>
            <w:tcW w:w="2078" w:type="dxa"/>
          </w:tcPr>
          <w:p w14:paraId="52A344E8" w14:textId="2AF97C18" w:rsidR="006E348C" w:rsidRDefault="00E97F97" w:rsidP="003F345C">
            <w:pPr>
              <w:jc w:val="center"/>
              <w:rPr>
                <w:b/>
                <w:bCs/>
              </w:rPr>
            </w:pPr>
            <w:r>
              <w:rPr>
                <w:b/>
                <w:bCs/>
              </w:rPr>
              <w:t>1,916</w:t>
            </w:r>
          </w:p>
        </w:tc>
        <w:tc>
          <w:tcPr>
            <w:tcW w:w="1277" w:type="dxa"/>
          </w:tcPr>
          <w:p w14:paraId="31D4877F" w14:textId="72A2B37E" w:rsidR="006E348C" w:rsidRDefault="00D43868" w:rsidP="003F345C">
            <w:pPr>
              <w:jc w:val="center"/>
              <w:rPr>
                <w:b/>
                <w:bCs/>
              </w:rPr>
            </w:pPr>
            <w:r>
              <w:rPr>
                <w:b/>
                <w:bCs/>
              </w:rPr>
              <w:t>9</w:t>
            </w:r>
            <w:r w:rsidR="0063046A">
              <w:rPr>
                <w:b/>
                <w:bCs/>
              </w:rPr>
              <w:t>,</w:t>
            </w:r>
            <w:r>
              <w:rPr>
                <w:b/>
                <w:bCs/>
              </w:rPr>
              <w:t>028</w:t>
            </w:r>
          </w:p>
        </w:tc>
      </w:tr>
    </w:tbl>
    <w:p w14:paraId="4C65A4D7" w14:textId="77777777" w:rsidR="00673B71" w:rsidRDefault="00673B71">
      <w:pPr>
        <w:rPr>
          <w:b/>
          <w:bCs/>
          <w:u w:val="single"/>
        </w:rPr>
      </w:pPr>
    </w:p>
    <w:p w14:paraId="4B87642D" w14:textId="652B0D49" w:rsidR="00E224ED" w:rsidRPr="00673B71" w:rsidRDefault="00673B71">
      <w:pPr>
        <w:rPr>
          <w:b/>
          <w:bCs/>
        </w:rPr>
      </w:pPr>
      <w:r w:rsidRPr="00364B50">
        <w:rPr>
          <w:b/>
          <w:bCs/>
          <w:u w:val="single"/>
        </w:rPr>
        <w:t xml:space="preserve">Table </w:t>
      </w:r>
      <w:r>
        <w:rPr>
          <w:b/>
          <w:bCs/>
          <w:u w:val="single"/>
        </w:rPr>
        <w:t>11b</w:t>
      </w:r>
      <w:r w:rsidRPr="00364B50">
        <w:rPr>
          <w:b/>
          <w:bCs/>
        </w:rPr>
        <w:t xml:space="preserve">: BILH, Winchester Hospital, </w:t>
      </w:r>
      <w:r>
        <w:rPr>
          <w:b/>
          <w:bCs/>
        </w:rPr>
        <w:t xml:space="preserve">Winchester Hospital-Main Campus Endoscopy, </w:t>
      </w:r>
      <w:r w:rsidRPr="00364B50">
        <w:rPr>
          <w:b/>
          <w:bCs/>
        </w:rPr>
        <w:t xml:space="preserve">and </w:t>
      </w:r>
      <w:r>
        <w:rPr>
          <w:b/>
          <w:bCs/>
        </w:rPr>
        <w:t>the Center’s</w:t>
      </w:r>
      <w:r w:rsidRPr="00364B50">
        <w:rPr>
          <w:b/>
          <w:bCs/>
        </w:rPr>
        <w:t xml:space="preserve"> Patient Populations</w:t>
      </w:r>
      <w:r>
        <w:rPr>
          <w:b/>
          <w:bCs/>
        </w:rPr>
        <w:t>, FY25: Age</w:t>
      </w:r>
    </w:p>
    <w:tbl>
      <w:tblPr>
        <w:tblStyle w:val="TableGrid"/>
        <w:tblW w:w="0" w:type="auto"/>
        <w:tblLayout w:type="fixed"/>
        <w:tblLook w:val="04A0" w:firstRow="1" w:lastRow="0" w:firstColumn="1" w:lastColumn="0" w:noHBand="0" w:noVBand="1"/>
        <w:tblCaption w:val="BILH, Winchester Hospital, Winchester Hospital-Main Campus Endoscopy, and the Center’s Patient Populations, FY25: Age"/>
      </w:tblPr>
      <w:tblGrid>
        <w:gridCol w:w="3235"/>
        <w:gridCol w:w="1863"/>
        <w:gridCol w:w="1357"/>
        <w:gridCol w:w="2078"/>
        <w:gridCol w:w="1277"/>
      </w:tblGrid>
      <w:tr w:rsidR="00E224ED" w14:paraId="6DA4BC24" w14:textId="77777777" w:rsidTr="00664120">
        <w:trPr>
          <w:cantSplit/>
          <w:tblHeader/>
        </w:trPr>
        <w:tc>
          <w:tcPr>
            <w:tcW w:w="3235" w:type="dxa"/>
          </w:tcPr>
          <w:p w14:paraId="565CCDCB" w14:textId="1F91AB48" w:rsidR="00E224ED" w:rsidRDefault="00E224ED" w:rsidP="00E224ED">
            <w:pPr>
              <w:rPr>
                <w:b/>
                <w:bCs/>
              </w:rPr>
            </w:pPr>
            <w:r>
              <w:rPr>
                <w:b/>
                <w:bCs/>
              </w:rPr>
              <w:t>Age</w:t>
            </w:r>
            <w:r>
              <w:rPr>
                <w:rStyle w:val="FootnoteReference"/>
                <w:b/>
                <w:bCs/>
              </w:rPr>
              <w:footnoteReference w:id="10"/>
            </w:r>
            <w:r>
              <w:rPr>
                <w:b/>
                <w:bCs/>
              </w:rPr>
              <w:t xml:space="preserve"> </w:t>
            </w:r>
          </w:p>
        </w:tc>
        <w:tc>
          <w:tcPr>
            <w:tcW w:w="1863" w:type="dxa"/>
            <w:shd w:val="clear" w:color="auto" w:fill="DBE5F1" w:themeFill="accent1" w:themeFillTint="33"/>
          </w:tcPr>
          <w:p w14:paraId="414FC661" w14:textId="700E8324" w:rsidR="00E224ED" w:rsidRPr="00B33DC6" w:rsidRDefault="00E224ED" w:rsidP="00E224ED">
            <w:pPr>
              <w:jc w:val="center"/>
            </w:pPr>
            <w:r>
              <w:rPr>
                <w:b/>
                <w:bCs/>
              </w:rPr>
              <w:t>BILH</w:t>
            </w:r>
          </w:p>
        </w:tc>
        <w:tc>
          <w:tcPr>
            <w:tcW w:w="1357" w:type="dxa"/>
            <w:shd w:val="clear" w:color="auto" w:fill="DBE5F1" w:themeFill="accent1" w:themeFillTint="33"/>
          </w:tcPr>
          <w:p w14:paraId="77C9FBE7" w14:textId="77777777" w:rsidR="00E224ED" w:rsidRDefault="00E224ED" w:rsidP="00E224ED">
            <w:pPr>
              <w:jc w:val="center"/>
              <w:rPr>
                <w:b/>
                <w:bCs/>
              </w:rPr>
            </w:pPr>
            <w:r>
              <w:rPr>
                <w:b/>
                <w:bCs/>
              </w:rPr>
              <w:t>Winchester</w:t>
            </w:r>
          </w:p>
          <w:p w14:paraId="2C7A44B7" w14:textId="1AD1C8A1" w:rsidR="00E224ED" w:rsidRDefault="00E224ED" w:rsidP="00E224ED">
            <w:pPr>
              <w:jc w:val="center"/>
              <w:rPr>
                <w:b/>
                <w:bCs/>
              </w:rPr>
            </w:pPr>
            <w:r>
              <w:rPr>
                <w:b/>
                <w:bCs/>
              </w:rPr>
              <w:t>Hospital</w:t>
            </w:r>
          </w:p>
        </w:tc>
        <w:tc>
          <w:tcPr>
            <w:tcW w:w="2078" w:type="dxa"/>
            <w:shd w:val="clear" w:color="auto" w:fill="DBE5F1" w:themeFill="accent1" w:themeFillTint="33"/>
          </w:tcPr>
          <w:p w14:paraId="7D0A77C4" w14:textId="77777777" w:rsidR="00E224ED" w:rsidRDefault="00E224ED" w:rsidP="00E224ED">
            <w:pPr>
              <w:rPr>
                <w:b/>
                <w:bCs/>
              </w:rPr>
            </w:pPr>
            <w:r>
              <w:rPr>
                <w:b/>
                <w:bCs/>
              </w:rPr>
              <w:t xml:space="preserve">Winchester </w:t>
            </w:r>
          </w:p>
          <w:p w14:paraId="15A18BA6" w14:textId="77777777" w:rsidR="00E224ED" w:rsidRDefault="00E224ED" w:rsidP="00E224ED">
            <w:pPr>
              <w:rPr>
                <w:b/>
                <w:bCs/>
              </w:rPr>
            </w:pPr>
            <w:r>
              <w:rPr>
                <w:b/>
                <w:bCs/>
              </w:rPr>
              <w:t xml:space="preserve">Hospital- Main </w:t>
            </w:r>
          </w:p>
          <w:p w14:paraId="5FDBEC2D" w14:textId="71771314" w:rsidR="00E224ED" w:rsidRDefault="00E224ED" w:rsidP="00E224ED">
            <w:pPr>
              <w:jc w:val="center"/>
              <w:rPr>
                <w:b/>
                <w:bCs/>
              </w:rPr>
            </w:pPr>
            <w:r>
              <w:rPr>
                <w:b/>
                <w:bCs/>
              </w:rPr>
              <w:t>Campus Endoscopy</w:t>
            </w:r>
          </w:p>
        </w:tc>
        <w:tc>
          <w:tcPr>
            <w:tcW w:w="1277" w:type="dxa"/>
            <w:shd w:val="clear" w:color="auto" w:fill="DBE5F1" w:themeFill="accent1" w:themeFillTint="33"/>
          </w:tcPr>
          <w:p w14:paraId="69AAF346" w14:textId="0023D3D1" w:rsidR="00E224ED" w:rsidRDefault="00E224ED" w:rsidP="00E224ED">
            <w:pPr>
              <w:jc w:val="center"/>
              <w:rPr>
                <w:b/>
                <w:bCs/>
              </w:rPr>
            </w:pPr>
            <w:r>
              <w:rPr>
                <w:b/>
                <w:bCs/>
              </w:rPr>
              <w:t>The Center</w:t>
            </w:r>
          </w:p>
        </w:tc>
      </w:tr>
      <w:tr w:rsidR="00E224ED" w14:paraId="21A1208B" w14:textId="77777777" w:rsidTr="00664120">
        <w:trPr>
          <w:cantSplit/>
        </w:trPr>
        <w:tc>
          <w:tcPr>
            <w:tcW w:w="3235" w:type="dxa"/>
          </w:tcPr>
          <w:p w14:paraId="63D294F5" w14:textId="49810A45" w:rsidR="00E224ED" w:rsidRPr="00A40159" w:rsidRDefault="00E224ED" w:rsidP="00E224ED">
            <w:pPr>
              <w:ind w:left="144"/>
            </w:pPr>
            <w:r w:rsidRPr="00A40159">
              <w:t>0-27</w:t>
            </w:r>
          </w:p>
        </w:tc>
        <w:tc>
          <w:tcPr>
            <w:tcW w:w="1863" w:type="dxa"/>
          </w:tcPr>
          <w:p w14:paraId="20A959CA" w14:textId="1C24943A" w:rsidR="00E224ED" w:rsidRPr="00B33DC6" w:rsidRDefault="00E224ED" w:rsidP="00E224ED">
            <w:pPr>
              <w:jc w:val="center"/>
            </w:pPr>
            <w:r w:rsidRPr="00D06A29">
              <w:t>15.5%</w:t>
            </w:r>
          </w:p>
        </w:tc>
        <w:tc>
          <w:tcPr>
            <w:tcW w:w="1357" w:type="dxa"/>
          </w:tcPr>
          <w:p w14:paraId="1BE66B9C" w14:textId="279B3E23" w:rsidR="00E224ED" w:rsidRPr="00B75BE8" w:rsidRDefault="00E224ED" w:rsidP="00E224ED">
            <w:pPr>
              <w:jc w:val="center"/>
            </w:pPr>
            <w:r w:rsidRPr="004F1DD2">
              <w:t>23.1%</w:t>
            </w:r>
          </w:p>
        </w:tc>
        <w:tc>
          <w:tcPr>
            <w:tcW w:w="2078" w:type="dxa"/>
          </w:tcPr>
          <w:p w14:paraId="3C94B9B8" w14:textId="3A6644F6" w:rsidR="00E224ED" w:rsidRPr="00C6088E" w:rsidRDefault="00E224ED" w:rsidP="00E224ED">
            <w:pPr>
              <w:jc w:val="center"/>
            </w:pPr>
            <w:r w:rsidRPr="00A515E9">
              <w:t>2.3%</w:t>
            </w:r>
          </w:p>
        </w:tc>
        <w:tc>
          <w:tcPr>
            <w:tcW w:w="1277" w:type="dxa"/>
          </w:tcPr>
          <w:p w14:paraId="71BAEF40" w14:textId="465888D5" w:rsidR="00E224ED" w:rsidRDefault="00E224ED" w:rsidP="00E224ED">
            <w:pPr>
              <w:jc w:val="center"/>
              <w:rPr>
                <w:b/>
                <w:bCs/>
              </w:rPr>
            </w:pPr>
            <w:r w:rsidRPr="007B566A">
              <w:t>4.0%</w:t>
            </w:r>
          </w:p>
        </w:tc>
      </w:tr>
      <w:tr w:rsidR="00E224ED" w14:paraId="2FF590B8" w14:textId="77777777" w:rsidTr="00664120">
        <w:trPr>
          <w:cantSplit/>
        </w:trPr>
        <w:tc>
          <w:tcPr>
            <w:tcW w:w="3235" w:type="dxa"/>
          </w:tcPr>
          <w:p w14:paraId="16D8527F" w14:textId="0F9DFF1A" w:rsidR="00E224ED" w:rsidRPr="00A40159" w:rsidRDefault="00E224ED" w:rsidP="00E224ED">
            <w:pPr>
              <w:ind w:left="144"/>
            </w:pPr>
            <w:r w:rsidRPr="00A40159">
              <w:t>28-45</w:t>
            </w:r>
          </w:p>
        </w:tc>
        <w:tc>
          <w:tcPr>
            <w:tcW w:w="1863" w:type="dxa"/>
          </w:tcPr>
          <w:p w14:paraId="03E191D4" w14:textId="23F4FD75" w:rsidR="00E224ED" w:rsidRPr="00B33DC6" w:rsidRDefault="00E224ED" w:rsidP="00E224ED">
            <w:pPr>
              <w:jc w:val="center"/>
            </w:pPr>
            <w:r w:rsidRPr="00D06A29">
              <w:t>22.5%</w:t>
            </w:r>
          </w:p>
        </w:tc>
        <w:tc>
          <w:tcPr>
            <w:tcW w:w="1357" w:type="dxa"/>
          </w:tcPr>
          <w:p w14:paraId="7FA434A0" w14:textId="151A1FDA" w:rsidR="00E224ED" w:rsidRPr="00B75BE8" w:rsidRDefault="00E224ED" w:rsidP="00E224ED">
            <w:pPr>
              <w:jc w:val="center"/>
            </w:pPr>
            <w:r w:rsidRPr="004F1DD2">
              <w:t>21.6%</w:t>
            </w:r>
          </w:p>
        </w:tc>
        <w:tc>
          <w:tcPr>
            <w:tcW w:w="2078" w:type="dxa"/>
          </w:tcPr>
          <w:p w14:paraId="7A3661A8" w14:textId="00705375" w:rsidR="00E224ED" w:rsidRPr="00C6088E" w:rsidRDefault="00E224ED" w:rsidP="00E224ED">
            <w:pPr>
              <w:jc w:val="center"/>
            </w:pPr>
            <w:r w:rsidRPr="00A515E9">
              <w:t>9.8%</w:t>
            </w:r>
          </w:p>
        </w:tc>
        <w:tc>
          <w:tcPr>
            <w:tcW w:w="1277" w:type="dxa"/>
          </w:tcPr>
          <w:p w14:paraId="5983CA52" w14:textId="30EE9E98" w:rsidR="00E224ED" w:rsidRDefault="00E224ED" w:rsidP="00E224ED">
            <w:pPr>
              <w:jc w:val="center"/>
              <w:rPr>
                <w:b/>
                <w:bCs/>
              </w:rPr>
            </w:pPr>
            <w:r w:rsidRPr="007B566A">
              <w:t>22.7%</w:t>
            </w:r>
          </w:p>
        </w:tc>
      </w:tr>
      <w:tr w:rsidR="00E224ED" w14:paraId="39F9CEB3" w14:textId="77777777" w:rsidTr="00664120">
        <w:trPr>
          <w:cantSplit/>
        </w:trPr>
        <w:tc>
          <w:tcPr>
            <w:tcW w:w="3235" w:type="dxa"/>
          </w:tcPr>
          <w:p w14:paraId="3D6A2F51" w14:textId="4DF68C7A" w:rsidR="00E224ED" w:rsidRPr="00A40159" w:rsidRDefault="00E224ED" w:rsidP="00E224ED">
            <w:pPr>
              <w:ind w:left="144"/>
            </w:pPr>
            <w:r w:rsidRPr="00A40159">
              <w:t>46-54</w:t>
            </w:r>
          </w:p>
        </w:tc>
        <w:tc>
          <w:tcPr>
            <w:tcW w:w="1863" w:type="dxa"/>
          </w:tcPr>
          <w:p w14:paraId="2DA60075" w14:textId="5160C858" w:rsidR="00E224ED" w:rsidRPr="00FF7681" w:rsidRDefault="00E224ED" w:rsidP="00E224ED">
            <w:pPr>
              <w:jc w:val="center"/>
            </w:pPr>
            <w:r w:rsidRPr="00D06A29">
              <w:t>12.2%</w:t>
            </w:r>
          </w:p>
        </w:tc>
        <w:tc>
          <w:tcPr>
            <w:tcW w:w="1357" w:type="dxa"/>
          </w:tcPr>
          <w:p w14:paraId="546C4DA9" w14:textId="32515147" w:rsidR="00E224ED" w:rsidRPr="00B75BE8" w:rsidRDefault="00E224ED" w:rsidP="00E224ED">
            <w:pPr>
              <w:jc w:val="center"/>
            </w:pPr>
            <w:r w:rsidRPr="004F1DD2">
              <w:t>12.2%</w:t>
            </w:r>
          </w:p>
        </w:tc>
        <w:tc>
          <w:tcPr>
            <w:tcW w:w="2078" w:type="dxa"/>
          </w:tcPr>
          <w:p w14:paraId="233C0BA7" w14:textId="703E6AEB" w:rsidR="00E224ED" w:rsidRPr="00C6088E" w:rsidRDefault="00E224ED" w:rsidP="00E224ED">
            <w:pPr>
              <w:jc w:val="center"/>
            </w:pPr>
            <w:r w:rsidRPr="00A515E9">
              <w:t>10.7%</w:t>
            </w:r>
          </w:p>
        </w:tc>
        <w:tc>
          <w:tcPr>
            <w:tcW w:w="1277" w:type="dxa"/>
          </w:tcPr>
          <w:p w14:paraId="59EC3F55" w14:textId="3523A772" w:rsidR="00E224ED" w:rsidRDefault="00E224ED" w:rsidP="00E224ED">
            <w:pPr>
              <w:jc w:val="center"/>
              <w:rPr>
                <w:b/>
                <w:bCs/>
              </w:rPr>
            </w:pPr>
            <w:r w:rsidRPr="007B566A">
              <w:t>25.5%</w:t>
            </w:r>
          </w:p>
        </w:tc>
      </w:tr>
      <w:tr w:rsidR="00E224ED" w14:paraId="4A9B6681" w14:textId="77777777" w:rsidTr="00664120">
        <w:trPr>
          <w:cantSplit/>
        </w:trPr>
        <w:tc>
          <w:tcPr>
            <w:tcW w:w="3235" w:type="dxa"/>
          </w:tcPr>
          <w:p w14:paraId="3F7B7E4C" w14:textId="4F30D539" w:rsidR="00E224ED" w:rsidRPr="00A40159" w:rsidRDefault="00E224ED" w:rsidP="00E224ED">
            <w:pPr>
              <w:ind w:left="144"/>
            </w:pPr>
            <w:r w:rsidRPr="00A40159">
              <w:lastRenderedPageBreak/>
              <w:t>55-64</w:t>
            </w:r>
          </w:p>
        </w:tc>
        <w:tc>
          <w:tcPr>
            <w:tcW w:w="1863" w:type="dxa"/>
          </w:tcPr>
          <w:p w14:paraId="7FA8F835" w14:textId="616B4611" w:rsidR="00E224ED" w:rsidRPr="00FF7681" w:rsidRDefault="00E224ED" w:rsidP="00E224ED">
            <w:pPr>
              <w:jc w:val="center"/>
            </w:pPr>
            <w:r w:rsidRPr="00D06A29">
              <w:t>17.8%</w:t>
            </w:r>
          </w:p>
        </w:tc>
        <w:tc>
          <w:tcPr>
            <w:tcW w:w="1357" w:type="dxa"/>
          </w:tcPr>
          <w:p w14:paraId="1046F7DA" w14:textId="67882A0A" w:rsidR="00E224ED" w:rsidRPr="00B75BE8" w:rsidRDefault="00E224ED" w:rsidP="00E224ED">
            <w:pPr>
              <w:jc w:val="center"/>
            </w:pPr>
            <w:r w:rsidRPr="004F1DD2">
              <w:t>16.6%</w:t>
            </w:r>
          </w:p>
        </w:tc>
        <w:tc>
          <w:tcPr>
            <w:tcW w:w="2078" w:type="dxa"/>
          </w:tcPr>
          <w:p w14:paraId="73DB83C1" w14:textId="2598BB26" w:rsidR="00E224ED" w:rsidRPr="00C6088E" w:rsidRDefault="00E224ED" w:rsidP="00E224ED">
            <w:pPr>
              <w:jc w:val="center"/>
            </w:pPr>
            <w:r w:rsidRPr="00A515E9">
              <w:t>21.6%</w:t>
            </w:r>
          </w:p>
        </w:tc>
        <w:tc>
          <w:tcPr>
            <w:tcW w:w="1277" w:type="dxa"/>
          </w:tcPr>
          <w:p w14:paraId="0D9F1D92" w14:textId="0A9422F8" w:rsidR="00E224ED" w:rsidRDefault="00E224ED" w:rsidP="00E224ED">
            <w:pPr>
              <w:jc w:val="center"/>
              <w:rPr>
                <w:b/>
                <w:bCs/>
              </w:rPr>
            </w:pPr>
            <w:r w:rsidRPr="007B566A">
              <w:t>23.2%</w:t>
            </w:r>
          </w:p>
        </w:tc>
      </w:tr>
      <w:tr w:rsidR="00E224ED" w14:paraId="54D00AED" w14:textId="77777777" w:rsidTr="00664120">
        <w:trPr>
          <w:cantSplit/>
        </w:trPr>
        <w:tc>
          <w:tcPr>
            <w:tcW w:w="3235" w:type="dxa"/>
          </w:tcPr>
          <w:p w14:paraId="3A6DB06C" w14:textId="0845FE45" w:rsidR="00E224ED" w:rsidRPr="00A40159" w:rsidRDefault="00E224ED" w:rsidP="00E224ED">
            <w:pPr>
              <w:ind w:left="144"/>
            </w:pPr>
            <w:r w:rsidRPr="00A40159">
              <w:t>65+</w:t>
            </w:r>
          </w:p>
        </w:tc>
        <w:tc>
          <w:tcPr>
            <w:tcW w:w="1863" w:type="dxa"/>
          </w:tcPr>
          <w:p w14:paraId="1D15EAFD" w14:textId="27601933" w:rsidR="00E224ED" w:rsidRPr="00FF7681" w:rsidRDefault="00E224ED" w:rsidP="00E224ED">
            <w:pPr>
              <w:jc w:val="center"/>
            </w:pPr>
            <w:r w:rsidRPr="00D06A29">
              <w:t>32.0%</w:t>
            </w:r>
          </w:p>
        </w:tc>
        <w:tc>
          <w:tcPr>
            <w:tcW w:w="1357" w:type="dxa"/>
          </w:tcPr>
          <w:p w14:paraId="6CE4B7E3" w14:textId="3C89882D" w:rsidR="00E224ED" w:rsidRPr="00B75BE8" w:rsidRDefault="00E224ED" w:rsidP="00E224ED">
            <w:pPr>
              <w:jc w:val="center"/>
            </w:pPr>
            <w:r w:rsidRPr="004F1DD2">
              <w:t>26.4%</w:t>
            </w:r>
          </w:p>
        </w:tc>
        <w:tc>
          <w:tcPr>
            <w:tcW w:w="2078" w:type="dxa"/>
          </w:tcPr>
          <w:p w14:paraId="50074D8F" w14:textId="6F5076E5" w:rsidR="00E224ED" w:rsidRPr="00C6088E" w:rsidRDefault="00E224ED" w:rsidP="00E224ED">
            <w:pPr>
              <w:jc w:val="center"/>
            </w:pPr>
            <w:r w:rsidRPr="00A515E9">
              <w:t>55.6%</w:t>
            </w:r>
          </w:p>
        </w:tc>
        <w:tc>
          <w:tcPr>
            <w:tcW w:w="1277" w:type="dxa"/>
          </w:tcPr>
          <w:p w14:paraId="1D6F6059" w14:textId="6EACF43B" w:rsidR="00E224ED" w:rsidRDefault="00E224ED" w:rsidP="00E224ED">
            <w:pPr>
              <w:jc w:val="center"/>
              <w:rPr>
                <w:b/>
                <w:bCs/>
              </w:rPr>
            </w:pPr>
            <w:r w:rsidRPr="007B566A">
              <w:t>24.6%</w:t>
            </w:r>
          </w:p>
        </w:tc>
      </w:tr>
      <w:tr w:rsidR="00E224ED" w14:paraId="45E81E4F" w14:textId="77777777" w:rsidTr="00664120">
        <w:trPr>
          <w:cantSplit/>
        </w:trPr>
        <w:tc>
          <w:tcPr>
            <w:tcW w:w="3235" w:type="dxa"/>
          </w:tcPr>
          <w:p w14:paraId="7E473AAB" w14:textId="4FED4356" w:rsidR="00E224ED" w:rsidRPr="00A40159" w:rsidRDefault="00E224ED" w:rsidP="00E224ED">
            <w:pPr>
              <w:ind w:left="144"/>
            </w:pPr>
            <w:r>
              <w:t xml:space="preserve">Total </w:t>
            </w:r>
          </w:p>
        </w:tc>
        <w:tc>
          <w:tcPr>
            <w:tcW w:w="1863" w:type="dxa"/>
          </w:tcPr>
          <w:p w14:paraId="0DA29C99" w14:textId="7704A86B" w:rsidR="00E224ED" w:rsidRPr="003F345C" w:rsidRDefault="00E224ED" w:rsidP="00E224ED">
            <w:pPr>
              <w:jc w:val="center"/>
            </w:pPr>
            <w:r w:rsidRPr="003F345C">
              <w:t>100%</w:t>
            </w:r>
          </w:p>
        </w:tc>
        <w:tc>
          <w:tcPr>
            <w:tcW w:w="1357" w:type="dxa"/>
          </w:tcPr>
          <w:p w14:paraId="325E5168" w14:textId="299166FE" w:rsidR="00E224ED" w:rsidRDefault="00E224ED" w:rsidP="00E224ED">
            <w:pPr>
              <w:jc w:val="center"/>
              <w:rPr>
                <w:b/>
                <w:bCs/>
              </w:rPr>
            </w:pPr>
            <w:r w:rsidRPr="007D1C81">
              <w:t>100%</w:t>
            </w:r>
          </w:p>
        </w:tc>
        <w:tc>
          <w:tcPr>
            <w:tcW w:w="2078" w:type="dxa"/>
          </w:tcPr>
          <w:p w14:paraId="6E074365" w14:textId="0C76C295" w:rsidR="00E224ED" w:rsidRPr="007D1C81" w:rsidRDefault="00E224ED" w:rsidP="00E224ED">
            <w:pPr>
              <w:jc w:val="center"/>
            </w:pPr>
            <w:r w:rsidRPr="00A515E9">
              <w:t>100%</w:t>
            </w:r>
          </w:p>
        </w:tc>
        <w:tc>
          <w:tcPr>
            <w:tcW w:w="1277" w:type="dxa"/>
          </w:tcPr>
          <w:p w14:paraId="6765C29E" w14:textId="5D96B208" w:rsidR="00E224ED" w:rsidRDefault="00E224ED" w:rsidP="00E224ED">
            <w:pPr>
              <w:jc w:val="center"/>
              <w:rPr>
                <w:b/>
                <w:bCs/>
              </w:rPr>
            </w:pPr>
            <w:r w:rsidRPr="007B566A">
              <w:t>100%</w:t>
            </w:r>
          </w:p>
        </w:tc>
      </w:tr>
    </w:tbl>
    <w:p w14:paraId="12987BCF" w14:textId="77777777" w:rsidR="00673B71" w:rsidRDefault="00673B71" w:rsidP="00673B71">
      <w:pPr>
        <w:rPr>
          <w:b/>
          <w:bCs/>
          <w:u w:val="single"/>
        </w:rPr>
      </w:pPr>
    </w:p>
    <w:p w14:paraId="16D171E2" w14:textId="70008E8C" w:rsidR="00673B71" w:rsidRPr="00673B71" w:rsidRDefault="00673B71">
      <w:pPr>
        <w:rPr>
          <w:b/>
          <w:bCs/>
        </w:rPr>
      </w:pPr>
      <w:r w:rsidRPr="00364B50">
        <w:rPr>
          <w:b/>
          <w:bCs/>
          <w:u w:val="single"/>
        </w:rPr>
        <w:t xml:space="preserve">Table </w:t>
      </w:r>
      <w:r>
        <w:rPr>
          <w:b/>
          <w:bCs/>
          <w:u w:val="single"/>
        </w:rPr>
        <w:t>11c</w:t>
      </w:r>
      <w:r w:rsidRPr="00364B50">
        <w:rPr>
          <w:b/>
          <w:bCs/>
        </w:rPr>
        <w:t xml:space="preserve">: BILH, Winchester Hospital, </w:t>
      </w:r>
      <w:r>
        <w:rPr>
          <w:b/>
          <w:bCs/>
        </w:rPr>
        <w:t xml:space="preserve">Winchester Hospital-Main Campus Endoscopy, </w:t>
      </w:r>
      <w:r w:rsidRPr="00364B50">
        <w:rPr>
          <w:b/>
          <w:bCs/>
        </w:rPr>
        <w:t xml:space="preserve">and </w:t>
      </w:r>
      <w:r>
        <w:rPr>
          <w:b/>
          <w:bCs/>
        </w:rPr>
        <w:t>the Center’s</w:t>
      </w:r>
      <w:r w:rsidRPr="00364B50">
        <w:rPr>
          <w:b/>
          <w:bCs/>
        </w:rPr>
        <w:t xml:space="preserve"> Patient Populations</w:t>
      </w:r>
      <w:r>
        <w:rPr>
          <w:b/>
          <w:bCs/>
        </w:rPr>
        <w:t>, FY25: Gender</w:t>
      </w:r>
    </w:p>
    <w:tbl>
      <w:tblPr>
        <w:tblStyle w:val="TableGrid"/>
        <w:tblW w:w="0" w:type="auto"/>
        <w:tblLayout w:type="fixed"/>
        <w:tblLook w:val="04A0" w:firstRow="1" w:lastRow="0" w:firstColumn="1" w:lastColumn="0" w:noHBand="0" w:noVBand="1"/>
        <w:tblCaption w:val="BILH, Winchester Hospital, Winchester Hospital-Main Campus Endoscopy, and the Center’s Patient Populations, FY25: Gender"/>
      </w:tblPr>
      <w:tblGrid>
        <w:gridCol w:w="3235"/>
        <w:gridCol w:w="1863"/>
        <w:gridCol w:w="1357"/>
        <w:gridCol w:w="2078"/>
        <w:gridCol w:w="1277"/>
      </w:tblGrid>
      <w:tr w:rsidR="00673B71" w14:paraId="45A37DFB" w14:textId="77777777" w:rsidTr="00664120">
        <w:trPr>
          <w:cantSplit/>
          <w:tblHeader/>
        </w:trPr>
        <w:tc>
          <w:tcPr>
            <w:tcW w:w="3235" w:type="dxa"/>
          </w:tcPr>
          <w:p w14:paraId="61DF8BCD" w14:textId="1FE38CD8" w:rsidR="00673B71" w:rsidRPr="006F7DBD" w:rsidRDefault="00673B71" w:rsidP="00673B71">
            <w:pPr>
              <w:rPr>
                <w:b/>
                <w:bCs/>
              </w:rPr>
            </w:pPr>
            <w:r w:rsidRPr="006F7DBD">
              <w:rPr>
                <w:b/>
                <w:bCs/>
              </w:rPr>
              <w:t>Gender</w:t>
            </w:r>
          </w:p>
        </w:tc>
        <w:tc>
          <w:tcPr>
            <w:tcW w:w="1863" w:type="dxa"/>
            <w:shd w:val="clear" w:color="auto" w:fill="DBE5F1" w:themeFill="accent1" w:themeFillTint="33"/>
          </w:tcPr>
          <w:p w14:paraId="5803276A" w14:textId="74710AFB" w:rsidR="00673B71" w:rsidRDefault="00673B71" w:rsidP="00673B71">
            <w:pPr>
              <w:jc w:val="center"/>
              <w:rPr>
                <w:b/>
                <w:bCs/>
              </w:rPr>
            </w:pPr>
            <w:r>
              <w:rPr>
                <w:b/>
                <w:bCs/>
              </w:rPr>
              <w:t>BILH</w:t>
            </w:r>
          </w:p>
        </w:tc>
        <w:tc>
          <w:tcPr>
            <w:tcW w:w="1357" w:type="dxa"/>
            <w:shd w:val="clear" w:color="auto" w:fill="DBE5F1" w:themeFill="accent1" w:themeFillTint="33"/>
          </w:tcPr>
          <w:p w14:paraId="2FBF2C48" w14:textId="77777777" w:rsidR="00673B71" w:rsidRDefault="00673B71" w:rsidP="00673B71">
            <w:pPr>
              <w:jc w:val="center"/>
              <w:rPr>
                <w:b/>
                <w:bCs/>
              </w:rPr>
            </w:pPr>
            <w:r>
              <w:rPr>
                <w:b/>
                <w:bCs/>
              </w:rPr>
              <w:t>Winchester</w:t>
            </w:r>
          </w:p>
          <w:p w14:paraId="0C0BF596" w14:textId="54128B9D" w:rsidR="00673B71" w:rsidRDefault="00673B71" w:rsidP="00673B71">
            <w:pPr>
              <w:jc w:val="center"/>
              <w:rPr>
                <w:b/>
                <w:bCs/>
              </w:rPr>
            </w:pPr>
            <w:r>
              <w:rPr>
                <w:b/>
                <w:bCs/>
              </w:rPr>
              <w:t>Hospital</w:t>
            </w:r>
          </w:p>
        </w:tc>
        <w:tc>
          <w:tcPr>
            <w:tcW w:w="2078" w:type="dxa"/>
            <w:shd w:val="clear" w:color="auto" w:fill="DBE5F1" w:themeFill="accent1" w:themeFillTint="33"/>
          </w:tcPr>
          <w:p w14:paraId="6682EE7C" w14:textId="77777777" w:rsidR="00673B71" w:rsidRDefault="00673B71" w:rsidP="00673B71">
            <w:pPr>
              <w:rPr>
                <w:b/>
                <w:bCs/>
              </w:rPr>
            </w:pPr>
            <w:r>
              <w:rPr>
                <w:b/>
                <w:bCs/>
              </w:rPr>
              <w:t xml:space="preserve">Winchester </w:t>
            </w:r>
          </w:p>
          <w:p w14:paraId="4803ECD4" w14:textId="77777777" w:rsidR="00673B71" w:rsidRDefault="00673B71" w:rsidP="00673B71">
            <w:pPr>
              <w:rPr>
                <w:b/>
                <w:bCs/>
              </w:rPr>
            </w:pPr>
            <w:r>
              <w:rPr>
                <w:b/>
                <w:bCs/>
              </w:rPr>
              <w:t xml:space="preserve">Hospital- Main </w:t>
            </w:r>
          </w:p>
          <w:p w14:paraId="182D7D4D" w14:textId="59A15C6D" w:rsidR="00673B71" w:rsidRDefault="00673B71" w:rsidP="00673B71">
            <w:pPr>
              <w:jc w:val="center"/>
              <w:rPr>
                <w:b/>
                <w:bCs/>
              </w:rPr>
            </w:pPr>
            <w:r>
              <w:rPr>
                <w:b/>
                <w:bCs/>
              </w:rPr>
              <w:t>Campus Endoscopy</w:t>
            </w:r>
          </w:p>
        </w:tc>
        <w:tc>
          <w:tcPr>
            <w:tcW w:w="1277" w:type="dxa"/>
            <w:shd w:val="clear" w:color="auto" w:fill="DBE5F1" w:themeFill="accent1" w:themeFillTint="33"/>
          </w:tcPr>
          <w:p w14:paraId="41D93A6F" w14:textId="1E63B284" w:rsidR="00673B71" w:rsidRDefault="00673B71" w:rsidP="00673B71">
            <w:pPr>
              <w:jc w:val="center"/>
              <w:rPr>
                <w:b/>
                <w:bCs/>
              </w:rPr>
            </w:pPr>
            <w:r>
              <w:rPr>
                <w:b/>
                <w:bCs/>
              </w:rPr>
              <w:t>The Center</w:t>
            </w:r>
          </w:p>
        </w:tc>
      </w:tr>
      <w:tr w:rsidR="00E224ED" w14:paraId="25D5C8E8" w14:textId="77777777" w:rsidTr="00664120">
        <w:trPr>
          <w:cantSplit/>
        </w:trPr>
        <w:tc>
          <w:tcPr>
            <w:tcW w:w="3235" w:type="dxa"/>
          </w:tcPr>
          <w:p w14:paraId="2670F619" w14:textId="6559A9BE" w:rsidR="00E224ED" w:rsidRDefault="00E224ED" w:rsidP="00E224ED">
            <w:pPr>
              <w:ind w:left="144"/>
            </w:pPr>
            <w:r>
              <w:t>Male</w:t>
            </w:r>
          </w:p>
        </w:tc>
        <w:tc>
          <w:tcPr>
            <w:tcW w:w="1863" w:type="dxa"/>
          </w:tcPr>
          <w:p w14:paraId="569DE922" w14:textId="443C74B7" w:rsidR="00E224ED" w:rsidRDefault="00E224ED" w:rsidP="00E224ED">
            <w:pPr>
              <w:jc w:val="center"/>
              <w:rPr>
                <w:b/>
                <w:bCs/>
              </w:rPr>
            </w:pPr>
            <w:r w:rsidRPr="004258BA">
              <w:t>42.1%</w:t>
            </w:r>
          </w:p>
        </w:tc>
        <w:tc>
          <w:tcPr>
            <w:tcW w:w="1357" w:type="dxa"/>
          </w:tcPr>
          <w:p w14:paraId="0305A535" w14:textId="3CFAA868" w:rsidR="00E224ED" w:rsidRDefault="00E224ED" w:rsidP="00E224ED">
            <w:pPr>
              <w:jc w:val="center"/>
              <w:rPr>
                <w:b/>
                <w:bCs/>
              </w:rPr>
            </w:pPr>
            <w:r w:rsidRPr="00854CDD">
              <w:t>42.3%</w:t>
            </w:r>
          </w:p>
        </w:tc>
        <w:tc>
          <w:tcPr>
            <w:tcW w:w="2078" w:type="dxa"/>
          </w:tcPr>
          <w:p w14:paraId="2F054AA7" w14:textId="095D6D7D" w:rsidR="00E224ED" w:rsidRPr="00E378F6" w:rsidRDefault="00E224ED" w:rsidP="00E224ED">
            <w:pPr>
              <w:jc w:val="center"/>
            </w:pPr>
            <w:r w:rsidRPr="002E3B4A">
              <w:t>50.9%</w:t>
            </w:r>
          </w:p>
        </w:tc>
        <w:tc>
          <w:tcPr>
            <w:tcW w:w="1277" w:type="dxa"/>
          </w:tcPr>
          <w:p w14:paraId="0A9F8C4B" w14:textId="5D0E22F7" w:rsidR="00E224ED" w:rsidRDefault="00E224ED" w:rsidP="00E224ED">
            <w:pPr>
              <w:jc w:val="center"/>
              <w:rPr>
                <w:b/>
                <w:bCs/>
              </w:rPr>
            </w:pPr>
            <w:r w:rsidRPr="001A58FF">
              <w:t>46.4%</w:t>
            </w:r>
          </w:p>
        </w:tc>
      </w:tr>
      <w:tr w:rsidR="00E224ED" w14:paraId="0A7848D3" w14:textId="77777777" w:rsidTr="00664120">
        <w:trPr>
          <w:cantSplit/>
        </w:trPr>
        <w:tc>
          <w:tcPr>
            <w:tcW w:w="3235" w:type="dxa"/>
          </w:tcPr>
          <w:p w14:paraId="7B7A295D" w14:textId="77E743D5" w:rsidR="00E224ED" w:rsidRDefault="00E224ED" w:rsidP="00E224ED">
            <w:pPr>
              <w:ind w:left="144"/>
            </w:pPr>
            <w:r>
              <w:t>Female</w:t>
            </w:r>
          </w:p>
        </w:tc>
        <w:tc>
          <w:tcPr>
            <w:tcW w:w="1863" w:type="dxa"/>
          </w:tcPr>
          <w:p w14:paraId="1891D238" w14:textId="5E567B1A" w:rsidR="00E224ED" w:rsidRDefault="00E224ED" w:rsidP="00E224ED">
            <w:pPr>
              <w:jc w:val="center"/>
              <w:rPr>
                <w:b/>
                <w:bCs/>
              </w:rPr>
            </w:pPr>
            <w:r w:rsidRPr="004258BA">
              <w:t>57.8%</w:t>
            </w:r>
          </w:p>
        </w:tc>
        <w:tc>
          <w:tcPr>
            <w:tcW w:w="1357" w:type="dxa"/>
          </w:tcPr>
          <w:p w14:paraId="2D3A6485" w14:textId="771B6DCD" w:rsidR="00E224ED" w:rsidRDefault="00E224ED" w:rsidP="00E224ED">
            <w:pPr>
              <w:jc w:val="center"/>
              <w:rPr>
                <w:b/>
                <w:bCs/>
              </w:rPr>
            </w:pPr>
            <w:r w:rsidRPr="00854CDD">
              <w:t>57.7%</w:t>
            </w:r>
          </w:p>
        </w:tc>
        <w:tc>
          <w:tcPr>
            <w:tcW w:w="2078" w:type="dxa"/>
          </w:tcPr>
          <w:p w14:paraId="13FEB3AE" w14:textId="603E0EB4" w:rsidR="00E224ED" w:rsidRPr="00E378F6" w:rsidRDefault="00E224ED" w:rsidP="00E224ED">
            <w:pPr>
              <w:jc w:val="center"/>
            </w:pPr>
            <w:r w:rsidRPr="002E3B4A">
              <w:t>49.1%</w:t>
            </w:r>
          </w:p>
        </w:tc>
        <w:tc>
          <w:tcPr>
            <w:tcW w:w="1277" w:type="dxa"/>
          </w:tcPr>
          <w:p w14:paraId="342F024E" w14:textId="02603C25" w:rsidR="00E224ED" w:rsidRDefault="00E224ED" w:rsidP="00E224ED">
            <w:pPr>
              <w:jc w:val="center"/>
              <w:rPr>
                <w:b/>
                <w:bCs/>
              </w:rPr>
            </w:pPr>
            <w:r w:rsidRPr="001A58FF">
              <w:t>53.6%</w:t>
            </w:r>
          </w:p>
        </w:tc>
      </w:tr>
      <w:tr w:rsidR="00E224ED" w14:paraId="177059FA" w14:textId="77777777" w:rsidTr="00664120">
        <w:trPr>
          <w:cantSplit/>
        </w:trPr>
        <w:tc>
          <w:tcPr>
            <w:tcW w:w="3235" w:type="dxa"/>
          </w:tcPr>
          <w:p w14:paraId="68EBFD56" w14:textId="2CCE5EE5" w:rsidR="00E224ED" w:rsidRDefault="00E224ED" w:rsidP="00E224ED">
            <w:pPr>
              <w:ind w:left="144"/>
            </w:pPr>
            <w:r>
              <w:t>Other</w:t>
            </w:r>
            <w:r>
              <w:rPr>
                <w:rStyle w:val="FootnoteReference"/>
              </w:rPr>
              <w:footnoteReference w:id="11"/>
            </w:r>
          </w:p>
        </w:tc>
        <w:tc>
          <w:tcPr>
            <w:tcW w:w="1863" w:type="dxa"/>
          </w:tcPr>
          <w:p w14:paraId="4062BAC3" w14:textId="64BBC9C0" w:rsidR="00E224ED" w:rsidRPr="003F345C" w:rsidRDefault="00E224ED" w:rsidP="00E224ED">
            <w:pPr>
              <w:jc w:val="center"/>
            </w:pPr>
            <w:r w:rsidRPr="003F345C">
              <w:t>0.1%</w:t>
            </w:r>
          </w:p>
        </w:tc>
        <w:tc>
          <w:tcPr>
            <w:tcW w:w="1357" w:type="dxa"/>
          </w:tcPr>
          <w:p w14:paraId="26A3A19C" w14:textId="7250515F" w:rsidR="00E224ED" w:rsidRDefault="00E224ED" w:rsidP="00E224ED">
            <w:pPr>
              <w:jc w:val="center"/>
              <w:rPr>
                <w:b/>
                <w:bCs/>
              </w:rPr>
            </w:pPr>
            <w:r w:rsidRPr="00854CDD">
              <w:t>0.0%</w:t>
            </w:r>
          </w:p>
        </w:tc>
        <w:tc>
          <w:tcPr>
            <w:tcW w:w="2078" w:type="dxa"/>
          </w:tcPr>
          <w:p w14:paraId="26BE63C3" w14:textId="47C6F55E" w:rsidR="00E224ED" w:rsidRDefault="00E224ED" w:rsidP="00E224ED">
            <w:pPr>
              <w:jc w:val="center"/>
              <w:rPr>
                <w:b/>
                <w:bCs/>
              </w:rPr>
            </w:pPr>
            <w:r w:rsidRPr="002E3B4A">
              <w:t>0.0%</w:t>
            </w:r>
          </w:p>
        </w:tc>
        <w:tc>
          <w:tcPr>
            <w:tcW w:w="1277" w:type="dxa"/>
          </w:tcPr>
          <w:p w14:paraId="6E7B9E2F" w14:textId="40F005D3" w:rsidR="00E224ED" w:rsidRDefault="00E224ED" w:rsidP="00E224ED">
            <w:pPr>
              <w:jc w:val="center"/>
              <w:rPr>
                <w:b/>
                <w:bCs/>
              </w:rPr>
            </w:pPr>
            <w:r w:rsidRPr="001A58FF">
              <w:t>0.0%</w:t>
            </w:r>
          </w:p>
        </w:tc>
      </w:tr>
      <w:tr w:rsidR="00E224ED" w14:paraId="7BABC44F" w14:textId="77777777" w:rsidTr="00664120">
        <w:trPr>
          <w:cantSplit/>
        </w:trPr>
        <w:tc>
          <w:tcPr>
            <w:tcW w:w="3235" w:type="dxa"/>
          </w:tcPr>
          <w:p w14:paraId="41939D3A" w14:textId="31BE6078" w:rsidR="00E224ED" w:rsidRDefault="00E224ED" w:rsidP="00E224ED">
            <w:pPr>
              <w:ind w:left="144"/>
            </w:pPr>
            <w:r>
              <w:t xml:space="preserve">Total </w:t>
            </w:r>
          </w:p>
        </w:tc>
        <w:tc>
          <w:tcPr>
            <w:tcW w:w="1863" w:type="dxa"/>
          </w:tcPr>
          <w:p w14:paraId="570392DC" w14:textId="486A59DB" w:rsidR="00E224ED" w:rsidRDefault="00E224ED" w:rsidP="00E224ED">
            <w:pPr>
              <w:jc w:val="center"/>
              <w:rPr>
                <w:b/>
                <w:bCs/>
              </w:rPr>
            </w:pPr>
            <w:r w:rsidRPr="00DE0CD4">
              <w:t>100%</w:t>
            </w:r>
          </w:p>
        </w:tc>
        <w:tc>
          <w:tcPr>
            <w:tcW w:w="1357" w:type="dxa"/>
          </w:tcPr>
          <w:p w14:paraId="3F25E521" w14:textId="3305F935" w:rsidR="00E224ED" w:rsidRDefault="00E224ED" w:rsidP="00E224ED">
            <w:pPr>
              <w:jc w:val="center"/>
              <w:rPr>
                <w:b/>
                <w:bCs/>
              </w:rPr>
            </w:pPr>
            <w:r w:rsidRPr="00DE0CD4">
              <w:t>100%</w:t>
            </w:r>
          </w:p>
        </w:tc>
        <w:tc>
          <w:tcPr>
            <w:tcW w:w="2078" w:type="dxa"/>
          </w:tcPr>
          <w:p w14:paraId="3718F929" w14:textId="2F85826B" w:rsidR="00E224ED" w:rsidRPr="00DE0CD4" w:rsidRDefault="00E224ED" w:rsidP="00E224ED">
            <w:pPr>
              <w:jc w:val="center"/>
            </w:pPr>
            <w:r w:rsidRPr="002E3B4A">
              <w:t>100%</w:t>
            </w:r>
          </w:p>
        </w:tc>
        <w:tc>
          <w:tcPr>
            <w:tcW w:w="1277" w:type="dxa"/>
          </w:tcPr>
          <w:p w14:paraId="2BD3E959" w14:textId="1AD76820" w:rsidR="00E224ED" w:rsidRDefault="00E224ED" w:rsidP="00E224ED">
            <w:pPr>
              <w:jc w:val="center"/>
              <w:rPr>
                <w:b/>
                <w:bCs/>
              </w:rPr>
            </w:pPr>
            <w:r w:rsidRPr="001A58FF">
              <w:t>100%</w:t>
            </w:r>
          </w:p>
        </w:tc>
      </w:tr>
    </w:tbl>
    <w:p w14:paraId="2CD146EF" w14:textId="77777777" w:rsidR="00673B71" w:rsidRDefault="00673B71" w:rsidP="00673B71">
      <w:pPr>
        <w:rPr>
          <w:b/>
          <w:bCs/>
          <w:u w:val="single"/>
        </w:rPr>
      </w:pPr>
    </w:p>
    <w:p w14:paraId="606989B8" w14:textId="6B36D179" w:rsidR="00673B71" w:rsidRDefault="00673B71" w:rsidP="00673B71">
      <w:pPr>
        <w:rPr>
          <w:b/>
          <w:bCs/>
        </w:rPr>
      </w:pPr>
      <w:r w:rsidRPr="00364B50">
        <w:rPr>
          <w:b/>
          <w:bCs/>
          <w:u w:val="single"/>
        </w:rPr>
        <w:t xml:space="preserve">Table </w:t>
      </w:r>
      <w:r>
        <w:rPr>
          <w:b/>
          <w:bCs/>
          <w:u w:val="single"/>
        </w:rPr>
        <w:t>11d</w:t>
      </w:r>
      <w:r w:rsidRPr="00364B50">
        <w:rPr>
          <w:b/>
          <w:bCs/>
        </w:rPr>
        <w:t xml:space="preserve">: BILH, Winchester Hospital, </w:t>
      </w:r>
      <w:r>
        <w:rPr>
          <w:b/>
          <w:bCs/>
        </w:rPr>
        <w:t xml:space="preserve">Winchester Hospital-Main Campus Endoscopy, </w:t>
      </w:r>
      <w:r w:rsidRPr="00364B50">
        <w:rPr>
          <w:b/>
          <w:bCs/>
        </w:rPr>
        <w:t xml:space="preserve">and </w:t>
      </w:r>
      <w:r>
        <w:rPr>
          <w:b/>
          <w:bCs/>
        </w:rPr>
        <w:t>the Center’s</w:t>
      </w:r>
      <w:r w:rsidRPr="00364B50">
        <w:rPr>
          <w:b/>
          <w:bCs/>
        </w:rPr>
        <w:t xml:space="preserve"> Patient Populations</w:t>
      </w:r>
      <w:r>
        <w:rPr>
          <w:b/>
          <w:bCs/>
        </w:rPr>
        <w:t>, FY25: Race/Ethnicity</w:t>
      </w:r>
    </w:p>
    <w:p w14:paraId="7C0AB2E1" w14:textId="77777777" w:rsidR="00673B71" w:rsidRDefault="00673B71"/>
    <w:tbl>
      <w:tblPr>
        <w:tblStyle w:val="TableGrid"/>
        <w:tblW w:w="0" w:type="auto"/>
        <w:tblLayout w:type="fixed"/>
        <w:tblLook w:val="04A0" w:firstRow="1" w:lastRow="0" w:firstColumn="1" w:lastColumn="0" w:noHBand="0" w:noVBand="1"/>
        <w:tblCaption w:val="BILH, Winchester Hospital, Winchester Hospital-Main Campus Endoscopy, and the Center’s Patient Populations, FY25: Race/Ethnicity"/>
      </w:tblPr>
      <w:tblGrid>
        <w:gridCol w:w="3235"/>
        <w:gridCol w:w="1863"/>
        <w:gridCol w:w="1357"/>
        <w:gridCol w:w="2078"/>
        <w:gridCol w:w="1277"/>
      </w:tblGrid>
      <w:tr w:rsidR="00673B71" w14:paraId="22A2EB02" w14:textId="77777777" w:rsidTr="00664120">
        <w:trPr>
          <w:cantSplit/>
          <w:tblHeader/>
        </w:trPr>
        <w:tc>
          <w:tcPr>
            <w:tcW w:w="3235" w:type="dxa"/>
          </w:tcPr>
          <w:p w14:paraId="7D5020FD" w14:textId="164ED3AE" w:rsidR="00673B71" w:rsidRPr="006B40A0" w:rsidRDefault="00673B71" w:rsidP="00673B71">
            <w:pPr>
              <w:rPr>
                <w:b/>
                <w:bCs/>
              </w:rPr>
            </w:pPr>
            <w:r w:rsidRPr="006B40A0">
              <w:rPr>
                <w:b/>
                <w:bCs/>
              </w:rPr>
              <w:t>Race</w:t>
            </w:r>
            <w:r>
              <w:rPr>
                <w:b/>
                <w:bCs/>
              </w:rPr>
              <w:t>/Ethnicity</w:t>
            </w:r>
          </w:p>
        </w:tc>
        <w:tc>
          <w:tcPr>
            <w:tcW w:w="1863" w:type="dxa"/>
            <w:shd w:val="clear" w:color="auto" w:fill="DBE5F1" w:themeFill="accent1" w:themeFillTint="33"/>
          </w:tcPr>
          <w:p w14:paraId="060E8E2A" w14:textId="28813CFC" w:rsidR="00673B71" w:rsidRDefault="00673B71" w:rsidP="00673B71">
            <w:pPr>
              <w:jc w:val="center"/>
              <w:rPr>
                <w:b/>
                <w:bCs/>
              </w:rPr>
            </w:pPr>
            <w:r>
              <w:rPr>
                <w:b/>
                <w:bCs/>
              </w:rPr>
              <w:t>BILH</w:t>
            </w:r>
          </w:p>
        </w:tc>
        <w:tc>
          <w:tcPr>
            <w:tcW w:w="1357" w:type="dxa"/>
            <w:shd w:val="clear" w:color="auto" w:fill="DBE5F1" w:themeFill="accent1" w:themeFillTint="33"/>
          </w:tcPr>
          <w:p w14:paraId="010D6AAA" w14:textId="77777777" w:rsidR="00673B71" w:rsidRDefault="00673B71" w:rsidP="00673B71">
            <w:pPr>
              <w:jc w:val="center"/>
              <w:rPr>
                <w:b/>
                <w:bCs/>
              </w:rPr>
            </w:pPr>
            <w:r>
              <w:rPr>
                <w:b/>
                <w:bCs/>
              </w:rPr>
              <w:t>Winchester</w:t>
            </w:r>
          </w:p>
          <w:p w14:paraId="7770854C" w14:textId="7AC1AA6F" w:rsidR="00673B71" w:rsidRDefault="00673B71" w:rsidP="00673B71">
            <w:pPr>
              <w:jc w:val="center"/>
              <w:rPr>
                <w:b/>
                <w:bCs/>
              </w:rPr>
            </w:pPr>
            <w:r>
              <w:rPr>
                <w:b/>
                <w:bCs/>
              </w:rPr>
              <w:t>Hospital</w:t>
            </w:r>
          </w:p>
        </w:tc>
        <w:tc>
          <w:tcPr>
            <w:tcW w:w="2078" w:type="dxa"/>
            <w:shd w:val="clear" w:color="auto" w:fill="DBE5F1" w:themeFill="accent1" w:themeFillTint="33"/>
          </w:tcPr>
          <w:p w14:paraId="72B46ABE" w14:textId="77777777" w:rsidR="00673B71" w:rsidRDefault="00673B71" w:rsidP="00673B71">
            <w:pPr>
              <w:rPr>
                <w:b/>
                <w:bCs/>
              </w:rPr>
            </w:pPr>
            <w:r>
              <w:rPr>
                <w:b/>
                <w:bCs/>
              </w:rPr>
              <w:t xml:space="preserve">Winchester </w:t>
            </w:r>
          </w:p>
          <w:p w14:paraId="0E700186" w14:textId="77777777" w:rsidR="00673B71" w:rsidRDefault="00673B71" w:rsidP="00673B71">
            <w:pPr>
              <w:rPr>
                <w:b/>
                <w:bCs/>
              </w:rPr>
            </w:pPr>
            <w:r>
              <w:rPr>
                <w:b/>
                <w:bCs/>
              </w:rPr>
              <w:t xml:space="preserve">Hospital- Main </w:t>
            </w:r>
          </w:p>
          <w:p w14:paraId="169035C2" w14:textId="79F726F3" w:rsidR="00673B71" w:rsidRDefault="00673B71" w:rsidP="00673B71">
            <w:pPr>
              <w:jc w:val="center"/>
              <w:rPr>
                <w:b/>
                <w:bCs/>
              </w:rPr>
            </w:pPr>
            <w:r>
              <w:rPr>
                <w:b/>
                <w:bCs/>
              </w:rPr>
              <w:t>Campus Endoscopy</w:t>
            </w:r>
          </w:p>
        </w:tc>
        <w:tc>
          <w:tcPr>
            <w:tcW w:w="1277" w:type="dxa"/>
            <w:shd w:val="clear" w:color="auto" w:fill="DBE5F1" w:themeFill="accent1" w:themeFillTint="33"/>
          </w:tcPr>
          <w:p w14:paraId="32B69C9C" w14:textId="199E3E1A" w:rsidR="00673B71" w:rsidRDefault="00673B71" w:rsidP="00673B71">
            <w:pPr>
              <w:jc w:val="center"/>
              <w:rPr>
                <w:b/>
                <w:bCs/>
              </w:rPr>
            </w:pPr>
            <w:r>
              <w:rPr>
                <w:b/>
                <w:bCs/>
              </w:rPr>
              <w:t>The Center</w:t>
            </w:r>
          </w:p>
        </w:tc>
      </w:tr>
      <w:tr w:rsidR="00E224ED" w14:paraId="599C346C" w14:textId="77777777" w:rsidTr="00664120">
        <w:trPr>
          <w:cantSplit/>
        </w:trPr>
        <w:tc>
          <w:tcPr>
            <w:tcW w:w="3235" w:type="dxa"/>
          </w:tcPr>
          <w:p w14:paraId="64C4DE04" w14:textId="517CE725" w:rsidR="00E224ED" w:rsidRDefault="00E224ED" w:rsidP="00E224ED">
            <w:pPr>
              <w:ind w:left="144"/>
            </w:pPr>
            <w:r>
              <w:t>White</w:t>
            </w:r>
          </w:p>
        </w:tc>
        <w:tc>
          <w:tcPr>
            <w:tcW w:w="1863" w:type="dxa"/>
          </w:tcPr>
          <w:p w14:paraId="6F862BF2" w14:textId="73EBC2D9" w:rsidR="00E224ED" w:rsidRPr="003F345C" w:rsidRDefault="00E224ED" w:rsidP="00E224ED">
            <w:pPr>
              <w:jc w:val="center"/>
            </w:pPr>
            <w:r w:rsidRPr="003F345C">
              <w:t>73.0%</w:t>
            </w:r>
          </w:p>
        </w:tc>
        <w:tc>
          <w:tcPr>
            <w:tcW w:w="1357" w:type="dxa"/>
          </w:tcPr>
          <w:p w14:paraId="0950E3B8" w14:textId="1F7B6A87" w:rsidR="00E224ED" w:rsidRPr="003F345C" w:rsidRDefault="00E224ED" w:rsidP="00E224ED">
            <w:pPr>
              <w:jc w:val="center"/>
            </w:pPr>
            <w:r>
              <w:t>84.9</w:t>
            </w:r>
            <w:r w:rsidRPr="00C56FA2">
              <w:t>%</w:t>
            </w:r>
          </w:p>
        </w:tc>
        <w:tc>
          <w:tcPr>
            <w:tcW w:w="2078" w:type="dxa"/>
          </w:tcPr>
          <w:p w14:paraId="6255510E" w14:textId="0FBD8033" w:rsidR="00E224ED" w:rsidRPr="00D55553" w:rsidRDefault="00E224ED" w:rsidP="00E224ED">
            <w:pPr>
              <w:jc w:val="center"/>
            </w:pPr>
            <w:r>
              <w:t>93.0%</w:t>
            </w:r>
          </w:p>
        </w:tc>
        <w:tc>
          <w:tcPr>
            <w:tcW w:w="1277" w:type="dxa"/>
          </w:tcPr>
          <w:p w14:paraId="7F3CC69B" w14:textId="2C832027" w:rsidR="00E224ED" w:rsidRPr="00D55553" w:rsidRDefault="00E224ED" w:rsidP="00E224ED">
            <w:pPr>
              <w:jc w:val="center"/>
            </w:pPr>
            <w:r>
              <w:t>83%</w:t>
            </w:r>
          </w:p>
        </w:tc>
      </w:tr>
      <w:tr w:rsidR="00E224ED" w14:paraId="77429BDD" w14:textId="77777777" w:rsidTr="00664120">
        <w:trPr>
          <w:cantSplit/>
        </w:trPr>
        <w:tc>
          <w:tcPr>
            <w:tcW w:w="3235" w:type="dxa"/>
          </w:tcPr>
          <w:p w14:paraId="2D1E52DE" w14:textId="2F8EE4B6" w:rsidR="00E224ED" w:rsidRDefault="00E224ED" w:rsidP="00E224ED">
            <w:pPr>
              <w:ind w:left="144"/>
            </w:pPr>
            <w:r>
              <w:t>Black or African American</w:t>
            </w:r>
          </w:p>
        </w:tc>
        <w:tc>
          <w:tcPr>
            <w:tcW w:w="1863" w:type="dxa"/>
          </w:tcPr>
          <w:p w14:paraId="7F5DCA37" w14:textId="38EF07A2" w:rsidR="00E224ED" w:rsidRPr="003F345C" w:rsidRDefault="00E224ED" w:rsidP="00E224ED">
            <w:pPr>
              <w:jc w:val="center"/>
            </w:pPr>
            <w:r w:rsidRPr="003F345C">
              <w:t>6.3%</w:t>
            </w:r>
          </w:p>
        </w:tc>
        <w:tc>
          <w:tcPr>
            <w:tcW w:w="1357" w:type="dxa"/>
          </w:tcPr>
          <w:p w14:paraId="4C238954" w14:textId="757CC5E9" w:rsidR="00E224ED" w:rsidRPr="003F345C" w:rsidRDefault="00E224ED" w:rsidP="00E224ED">
            <w:pPr>
              <w:jc w:val="center"/>
            </w:pPr>
            <w:r>
              <w:t>3</w:t>
            </w:r>
            <w:r w:rsidRPr="00C56FA2">
              <w:t>.</w:t>
            </w:r>
            <w:r>
              <w:t>1</w:t>
            </w:r>
            <w:r w:rsidRPr="00C56FA2">
              <w:t>%</w:t>
            </w:r>
          </w:p>
        </w:tc>
        <w:tc>
          <w:tcPr>
            <w:tcW w:w="2078" w:type="dxa"/>
          </w:tcPr>
          <w:p w14:paraId="24CA4A59" w14:textId="055A2B07" w:rsidR="00E224ED" w:rsidRPr="00D55553" w:rsidRDefault="00E224ED" w:rsidP="00E224ED">
            <w:pPr>
              <w:jc w:val="center"/>
            </w:pPr>
            <w:r>
              <w:t>2.1%</w:t>
            </w:r>
          </w:p>
        </w:tc>
        <w:tc>
          <w:tcPr>
            <w:tcW w:w="1277" w:type="dxa"/>
          </w:tcPr>
          <w:p w14:paraId="0A584458" w14:textId="37E5FB62" w:rsidR="00E224ED" w:rsidRPr="00D55553" w:rsidRDefault="00E224ED" w:rsidP="00E224ED">
            <w:pPr>
              <w:jc w:val="center"/>
            </w:pPr>
            <w:r>
              <w:t>3.0%</w:t>
            </w:r>
          </w:p>
        </w:tc>
      </w:tr>
      <w:tr w:rsidR="00E224ED" w14:paraId="3E1E8D9B" w14:textId="77777777" w:rsidTr="00664120">
        <w:trPr>
          <w:cantSplit/>
        </w:trPr>
        <w:tc>
          <w:tcPr>
            <w:tcW w:w="3235" w:type="dxa"/>
          </w:tcPr>
          <w:p w14:paraId="7D05036B" w14:textId="49489E9F" w:rsidR="00E224ED" w:rsidRDefault="00E224ED" w:rsidP="00E224ED">
            <w:pPr>
              <w:ind w:left="144"/>
            </w:pPr>
            <w:r>
              <w:t>Asian</w:t>
            </w:r>
          </w:p>
        </w:tc>
        <w:tc>
          <w:tcPr>
            <w:tcW w:w="1863" w:type="dxa"/>
          </w:tcPr>
          <w:p w14:paraId="44610E3E" w14:textId="317A732F" w:rsidR="00E224ED" w:rsidRPr="003F345C" w:rsidRDefault="00E224ED" w:rsidP="00E224ED">
            <w:pPr>
              <w:jc w:val="center"/>
            </w:pPr>
            <w:r>
              <w:t>7.8</w:t>
            </w:r>
            <w:r w:rsidRPr="003F345C">
              <w:t>%</w:t>
            </w:r>
          </w:p>
        </w:tc>
        <w:tc>
          <w:tcPr>
            <w:tcW w:w="1357" w:type="dxa"/>
          </w:tcPr>
          <w:p w14:paraId="5A6C296D" w14:textId="5AC52F40" w:rsidR="00E224ED" w:rsidRPr="003F345C" w:rsidRDefault="00E224ED" w:rsidP="00E224ED">
            <w:pPr>
              <w:jc w:val="center"/>
            </w:pPr>
            <w:r>
              <w:t>6.1</w:t>
            </w:r>
            <w:r w:rsidRPr="00C56FA2">
              <w:t>%</w:t>
            </w:r>
          </w:p>
        </w:tc>
        <w:tc>
          <w:tcPr>
            <w:tcW w:w="2078" w:type="dxa"/>
          </w:tcPr>
          <w:p w14:paraId="6499D9BD" w14:textId="07223CD2" w:rsidR="00E224ED" w:rsidRPr="00D55553" w:rsidRDefault="00E224ED" w:rsidP="00E224ED">
            <w:pPr>
              <w:jc w:val="center"/>
            </w:pPr>
            <w:r>
              <w:t>2.5%</w:t>
            </w:r>
          </w:p>
        </w:tc>
        <w:tc>
          <w:tcPr>
            <w:tcW w:w="1277" w:type="dxa"/>
          </w:tcPr>
          <w:p w14:paraId="027E30B0" w14:textId="7C0C95C5" w:rsidR="00E224ED" w:rsidRPr="00D55553" w:rsidRDefault="00E224ED" w:rsidP="00E224ED">
            <w:pPr>
              <w:jc w:val="center"/>
            </w:pPr>
            <w:r>
              <w:t>6.7%</w:t>
            </w:r>
          </w:p>
        </w:tc>
      </w:tr>
      <w:tr w:rsidR="00E224ED" w14:paraId="58A7A8D8" w14:textId="77777777" w:rsidTr="00664120">
        <w:trPr>
          <w:cantSplit/>
        </w:trPr>
        <w:tc>
          <w:tcPr>
            <w:tcW w:w="3235" w:type="dxa"/>
          </w:tcPr>
          <w:p w14:paraId="2560C665" w14:textId="77777777" w:rsidR="00E224ED" w:rsidRDefault="00E224ED" w:rsidP="00E224ED">
            <w:pPr>
              <w:ind w:left="144"/>
            </w:pPr>
            <w:r>
              <w:t xml:space="preserve">American Indian or </w:t>
            </w:r>
          </w:p>
          <w:p w14:paraId="2B88227F" w14:textId="3A9947B5" w:rsidR="00E224ED" w:rsidRDefault="00E224ED" w:rsidP="00E224ED">
            <w:pPr>
              <w:ind w:left="144"/>
            </w:pPr>
            <w:r>
              <w:t>Alaska Native</w:t>
            </w:r>
          </w:p>
        </w:tc>
        <w:tc>
          <w:tcPr>
            <w:tcW w:w="1863" w:type="dxa"/>
          </w:tcPr>
          <w:p w14:paraId="20A02ABF" w14:textId="4A6FBC78" w:rsidR="00E224ED" w:rsidRPr="003F345C" w:rsidRDefault="00E224ED" w:rsidP="00E224ED">
            <w:pPr>
              <w:jc w:val="center"/>
            </w:pPr>
            <w:r w:rsidRPr="003F345C">
              <w:t>0.</w:t>
            </w:r>
            <w:r>
              <w:t>1</w:t>
            </w:r>
            <w:r w:rsidRPr="003F345C">
              <w:t>%</w:t>
            </w:r>
          </w:p>
        </w:tc>
        <w:tc>
          <w:tcPr>
            <w:tcW w:w="1357" w:type="dxa"/>
          </w:tcPr>
          <w:p w14:paraId="3B94953D" w14:textId="126DE978" w:rsidR="00E224ED" w:rsidRPr="003F345C" w:rsidRDefault="00E224ED" w:rsidP="00E224ED">
            <w:pPr>
              <w:jc w:val="center"/>
            </w:pPr>
            <w:r w:rsidRPr="00C56FA2">
              <w:t>0</w:t>
            </w:r>
            <w:r>
              <w:t>.2</w:t>
            </w:r>
            <w:r w:rsidRPr="00C56FA2">
              <w:t>%</w:t>
            </w:r>
          </w:p>
        </w:tc>
        <w:tc>
          <w:tcPr>
            <w:tcW w:w="2078" w:type="dxa"/>
          </w:tcPr>
          <w:p w14:paraId="327CBFE5" w14:textId="330E0D3D" w:rsidR="00E224ED" w:rsidRPr="0013720F" w:rsidRDefault="00E224ED" w:rsidP="00E224ED">
            <w:pPr>
              <w:jc w:val="center"/>
            </w:pPr>
            <w:r>
              <w:t>&lt;11</w:t>
            </w:r>
          </w:p>
        </w:tc>
        <w:tc>
          <w:tcPr>
            <w:tcW w:w="1277" w:type="dxa"/>
          </w:tcPr>
          <w:p w14:paraId="4E2E134F" w14:textId="36FF1FD5" w:rsidR="00E224ED" w:rsidRPr="0013720F" w:rsidRDefault="00E224ED" w:rsidP="00E224ED">
            <w:pPr>
              <w:jc w:val="center"/>
            </w:pPr>
            <w:r>
              <w:t>0.1%</w:t>
            </w:r>
          </w:p>
        </w:tc>
      </w:tr>
      <w:tr w:rsidR="00E224ED" w14:paraId="6B2F824B" w14:textId="77777777" w:rsidTr="00664120">
        <w:trPr>
          <w:cantSplit/>
        </w:trPr>
        <w:tc>
          <w:tcPr>
            <w:tcW w:w="3235" w:type="dxa"/>
          </w:tcPr>
          <w:p w14:paraId="5BED2606" w14:textId="38AEB94E" w:rsidR="00E224ED" w:rsidRDefault="00E224ED" w:rsidP="00E224ED">
            <w:pPr>
              <w:ind w:left="144"/>
            </w:pPr>
            <w:r w:rsidRPr="00ED5385">
              <w:t xml:space="preserve">Native Hawaiian or </w:t>
            </w:r>
          </w:p>
          <w:p w14:paraId="6C44EBD3" w14:textId="37D75BE5" w:rsidR="00E224ED" w:rsidRDefault="00E224ED" w:rsidP="00E224ED">
            <w:pPr>
              <w:ind w:left="144"/>
            </w:pPr>
            <w:r w:rsidRPr="00ED5385">
              <w:t>Other Pacific Islander</w:t>
            </w:r>
          </w:p>
        </w:tc>
        <w:tc>
          <w:tcPr>
            <w:tcW w:w="1863" w:type="dxa"/>
          </w:tcPr>
          <w:p w14:paraId="2B17DDDD" w14:textId="50229A0F" w:rsidR="00E224ED" w:rsidRPr="003F345C" w:rsidRDefault="00E224ED" w:rsidP="00E224ED">
            <w:pPr>
              <w:jc w:val="center"/>
            </w:pPr>
            <w:r w:rsidRPr="003F345C">
              <w:t>0.1%</w:t>
            </w:r>
          </w:p>
        </w:tc>
        <w:tc>
          <w:tcPr>
            <w:tcW w:w="1357" w:type="dxa"/>
          </w:tcPr>
          <w:p w14:paraId="4DA72374" w14:textId="2E0DBD55" w:rsidR="00E224ED" w:rsidRPr="003F345C" w:rsidRDefault="00E224ED" w:rsidP="00E224ED">
            <w:pPr>
              <w:jc w:val="center"/>
            </w:pPr>
            <w:r>
              <w:t>0</w:t>
            </w:r>
            <w:r w:rsidRPr="00C56FA2">
              <w:t>%</w:t>
            </w:r>
          </w:p>
        </w:tc>
        <w:tc>
          <w:tcPr>
            <w:tcW w:w="2078" w:type="dxa"/>
          </w:tcPr>
          <w:p w14:paraId="37361822" w14:textId="306879AF" w:rsidR="00E224ED" w:rsidRPr="00D66430" w:rsidRDefault="00E224ED" w:rsidP="00E224ED">
            <w:pPr>
              <w:jc w:val="center"/>
            </w:pPr>
            <w:r>
              <w:t>0.0%</w:t>
            </w:r>
          </w:p>
        </w:tc>
        <w:tc>
          <w:tcPr>
            <w:tcW w:w="1277" w:type="dxa"/>
          </w:tcPr>
          <w:p w14:paraId="2007ED83" w14:textId="12D7EA41" w:rsidR="00E224ED" w:rsidRPr="00D66430" w:rsidRDefault="00E224ED" w:rsidP="00E224ED">
            <w:pPr>
              <w:jc w:val="center"/>
            </w:pPr>
            <w:r>
              <w:t>&lt;11</w:t>
            </w:r>
          </w:p>
        </w:tc>
      </w:tr>
      <w:tr w:rsidR="00E224ED" w14:paraId="7C5D2A09" w14:textId="77777777" w:rsidTr="00664120">
        <w:trPr>
          <w:cantSplit/>
        </w:trPr>
        <w:tc>
          <w:tcPr>
            <w:tcW w:w="3235" w:type="dxa"/>
          </w:tcPr>
          <w:p w14:paraId="13421DB1" w14:textId="13B46BB5" w:rsidR="00E224ED" w:rsidRDefault="00E224ED" w:rsidP="00E224ED">
            <w:pPr>
              <w:ind w:left="144"/>
            </w:pPr>
            <w:r>
              <w:t>Other</w:t>
            </w:r>
          </w:p>
        </w:tc>
        <w:tc>
          <w:tcPr>
            <w:tcW w:w="1863" w:type="dxa"/>
          </w:tcPr>
          <w:p w14:paraId="6A79D1C3" w14:textId="02D4B5B9" w:rsidR="00E224ED" w:rsidRPr="003F345C" w:rsidRDefault="00E224ED" w:rsidP="00E224ED">
            <w:pPr>
              <w:jc w:val="center"/>
            </w:pPr>
            <w:r w:rsidRPr="003F345C">
              <w:t>7.2%</w:t>
            </w:r>
          </w:p>
        </w:tc>
        <w:tc>
          <w:tcPr>
            <w:tcW w:w="1357" w:type="dxa"/>
          </w:tcPr>
          <w:p w14:paraId="5E710419" w14:textId="59B448C1" w:rsidR="00E224ED" w:rsidRPr="003F345C" w:rsidRDefault="00E224ED" w:rsidP="00E224ED">
            <w:pPr>
              <w:jc w:val="center"/>
            </w:pPr>
            <w:r>
              <w:t>3.9</w:t>
            </w:r>
            <w:r w:rsidRPr="00C56FA2">
              <w:t>%</w:t>
            </w:r>
          </w:p>
        </w:tc>
        <w:tc>
          <w:tcPr>
            <w:tcW w:w="2078" w:type="dxa"/>
          </w:tcPr>
          <w:p w14:paraId="18010591" w14:textId="77D48D1D" w:rsidR="00E224ED" w:rsidRPr="00FE7611" w:rsidRDefault="00E224ED" w:rsidP="00E224ED">
            <w:pPr>
              <w:jc w:val="center"/>
            </w:pPr>
            <w:r>
              <w:t>1.9%</w:t>
            </w:r>
          </w:p>
        </w:tc>
        <w:tc>
          <w:tcPr>
            <w:tcW w:w="1277" w:type="dxa"/>
          </w:tcPr>
          <w:p w14:paraId="30B72041" w14:textId="427AC471" w:rsidR="00E224ED" w:rsidRPr="00FE7611" w:rsidRDefault="00E224ED" w:rsidP="00E224ED">
            <w:pPr>
              <w:jc w:val="center"/>
            </w:pPr>
            <w:r>
              <w:t>3.1%</w:t>
            </w:r>
          </w:p>
        </w:tc>
      </w:tr>
      <w:tr w:rsidR="00E224ED" w14:paraId="6B090CCB" w14:textId="77777777" w:rsidTr="00664120">
        <w:trPr>
          <w:cantSplit/>
        </w:trPr>
        <w:tc>
          <w:tcPr>
            <w:tcW w:w="3235" w:type="dxa"/>
          </w:tcPr>
          <w:p w14:paraId="301C6731" w14:textId="26B2CFC2" w:rsidR="00E224ED" w:rsidRDefault="00E224ED" w:rsidP="00E224ED">
            <w:pPr>
              <w:ind w:left="144"/>
            </w:pPr>
            <w:r>
              <w:t>Unknown/Patient Declined</w:t>
            </w:r>
          </w:p>
        </w:tc>
        <w:tc>
          <w:tcPr>
            <w:tcW w:w="1863" w:type="dxa"/>
          </w:tcPr>
          <w:p w14:paraId="4CAF918D" w14:textId="07570654" w:rsidR="00E224ED" w:rsidRDefault="00E224ED" w:rsidP="00E224ED">
            <w:pPr>
              <w:jc w:val="center"/>
              <w:rPr>
                <w:b/>
                <w:bCs/>
              </w:rPr>
            </w:pPr>
            <w:r>
              <w:t>5</w:t>
            </w:r>
            <w:r w:rsidRPr="004E33A4">
              <w:t>.6%</w:t>
            </w:r>
          </w:p>
        </w:tc>
        <w:tc>
          <w:tcPr>
            <w:tcW w:w="1357" w:type="dxa"/>
          </w:tcPr>
          <w:p w14:paraId="066FA465" w14:textId="66242B0E" w:rsidR="00E224ED" w:rsidRPr="003F345C" w:rsidRDefault="00E224ED" w:rsidP="00E224ED">
            <w:pPr>
              <w:jc w:val="center"/>
            </w:pPr>
            <w:r w:rsidRPr="00C56FA2">
              <w:t>1</w:t>
            </w:r>
            <w:r>
              <w:t>.7</w:t>
            </w:r>
            <w:r w:rsidRPr="00C56FA2">
              <w:t>%</w:t>
            </w:r>
          </w:p>
        </w:tc>
        <w:tc>
          <w:tcPr>
            <w:tcW w:w="2078" w:type="dxa"/>
          </w:tcPr>
          <w:p w14:paraId="7C119EE1" w14:textId="036578B9" w:rsidR="00E224ED" w:rsidRPr="00145F72" w:rsidRDefault="00E224ED" w:rsidP="00E224ED">
            <w:pPr>
              <w:jc w:val="center"/>
            </w:pPr>
            <w:r>
              <w:t>0.5%</w:t>
            </w:r>
          </w:p>
        </w:tc>
        <w:tc>
          <w:tcPr>
            <w:tcW w:w="1277" w:type="dxa"/>
          </w:tcPr>
          <w:p w14:paraId="040265D3" w14:textId="6CC86DDF" w:rsidR="00E224ED" w:rsidRPr="00145F72" w:rsidRDefault="00E224ED" w:rsidP="00E224ED">
            <w:pPr>
              <w:jc w:val="center"/>
            </w:pPr>
            <w:r>
              <w:t>3.7%</w:t>
            </w:r>
          </w:p>
        </w:tc>
      </w:tr>
      <w:tr w:rsidR="00E224ED" w14:paraId="07F35951" w14:textId="77777777" w:rsidTr="00664120">
        <w:trPr>
          <w:cantSplit/>
        </w:trPr>
        <w:tc>
          <w:tcPr>
            <w:tcW w:w="3235" w:type="dxa"/>
          </w:tcPr>
          <w:p w14:paraId="40ACF686" w14:textId="410B99D3" w:rsidR="00E224ED" w:rsidRDefault="00E224ED" w:rsidP="00E224ED">
            <w:pPr>
              <w:ind w:left="144"/>
            </w:pPr>
            <w:r>
              <w:t>Hispanic or Latino</w:t>
            </w:r>
          </w:p>
        </w:tc>
        <w:tc>
          <w:tcPr>
            <w:tcW w:w="1863" w:type="dxa"/>
          </w:tcPr>
          <w:p w14:paraId="467A550F" w14:textId="4165CEDF" w:rsidR="00E224ED" w:rsidRDefault="00E224ED" w:rsidP="00E224ED">
            <w:pPr>
              <w:jc w:val="center"/>
              <w:rPr>
                <w:b/>
                <w:bCs/>
              </w:rPr>
            </w:pPr>
            <w:r w:rsidRPr="00A732EC">
              <w:t>7.3%</w:t>
            </w:r>
          </w:p>
        </w:tc>
        <w:tc>
          <w:tcPr>
            <w:tcW w:w="1357" w:type="dxa"/>
          </w:tcPr>
          <w:p w14:paraId="5E1E0D3E" w14:textId="54BD0639" w:rsidR="00E224ED" w:rsidRPr="003F345C" w:rsidRDefault="00E224ED" w:rsidP="00E224ED">
            <w:pPr>
              <w:jc w:val="center"/>
            </w:pPr>
            <w:r>
              <w:t>5.0%</w:t>
            </w:r>
          </w:p>
        </w:tc>
        <w:tc>
          <w:tcPr>
            <w:tcW w:w="2078" w:type="dxa"/>
          </w:tcPr>
          <w:p w14:paraId="48E2EADE" w14:textId="61F19426" w:rsidR="00E224ED" w:rsidRPr="0085599D" w:rsidRDefault="00E224ED" w:rsidP="00E224ED">
            <w:pPr>
              <w:jc w:val="center"/>
            </w:pPr>
            <w:r w:rsidRPr="0085599D">
              <w:t>&lt;11</w:t>
            </w:r>
          </w:p>
        </w:tc>
        <w:tc>
          <w:tcPr>
            <w:tcW w:w="1277" w:type="dxa"/>
          </w:tcPr>
          <w:p w14:paraId="41EEF9D6" w14:textId="1F346B45" w:rsidR="00E224ED" w:rsidRPr="00D43868" w:rsidRDefault="00E224ED" w:rsidP="00E224ED">
            <w:pPr>
              <w:jc w:val="center"/>
            </w:pPr>
            <w:r w:rsidRPr="00D43868">
              <w:t>0.3%</w:t>
            </w:r>
          </w:p>
        </w:tc>
      </w:tr>
    </w:tbl>
    <w:p w14:paraId="40A7E156" w14:textId="77777777" w:rsidR="00364B50" w:rsidRPr="00364B50" w:rsidRDefault="00364B50" w:rsidP="00F50B7B">
      <w:pPr>
        <w:rPr>
          <w:b/>
          <w:bCs/>
        </w:rPr>
      </w:pPr>
    </w:p>
    <w:p w14:paraId="38ABB9CB" w14:textId="5AB58B7A" w:rsidR="009761C2" w:rsidRDefault="009761C2" w:rsidP="00F50B7B">
      <w:r>
        <w:t>Staff notes the following observations:</w:t>
      </w:r>
    </w:p>
    <w:p w14:paraId="4DDD871B" w14:textId="00966AA6" w:rsidR="009761C2" w:rsidRDefault="009761C2" w:rsidP="00C9571B">
      <w:pPr>
        <w:pStyle w:val="ListParagraph"/>
        <w:numPr>
          <w:ilvl w:val="0"/>
          <w:numId w:val="4"/>
        </w:numPr>
      </w:pPr>
      <w:r w:rsidRPr="76986DFC">
        <w:rPr>
          <w:b/>
          <w:bCs/>
        </w:rPr>
        <w:t>Age</w:t>
      </w:r>
      <w:r>
        <w:t>:</w:t>
      </w:r>
      <w:r w:rsidR="00D55553">
        <w:t xml:space="preserve"> The age 65 and older population </w:t>
      </w:r>
      <w:r w:rsidR="006C7951">
        <w:t xml:space="preserve">comprised 32% of </w:t>
      </w:r>
      <w:r w:rsidR="00D55553">
        <w:t>BILH</w:t>
      </w:r>
      <w:r w:rsidR="006C7951">
        <w:t xml:space="preserve"> patients</w:t>
      </w:r>
      <w:r w:rsidR="00D55553">
        <w:t>,</w:t>
      </w:r>
      <w:r w:rsidR="006C7951">
        <w:t xml:space="preserve"> 26% of</w:t>
      </w:r>
      <w:r w:rsidR="00D55553">
        <w:t xml:space="preserve"> Winchester Hospital</w:t>
      </w:r>
      <w:r w:rsidR="006C7951">
        <w:t xml:space="preserve"> patients</w:t>
      </w:r>
      <w:r w:rsidR="00D55553">
        <w:t xml:space="preserve">, and </w:t>
      </w:r>
      <w:r w:rsidR="00EB7A3D">
        <w:t xml:space="preserve">24% of </w:t>
      </w:r>
      <w:r w:rsidR="00D55553">
        <w:t>the Center’s patients</w:t>
      </w:r>
      <w:r w:rsidR="001272B8">
        <w:t xml:space="preserve">, but </w:t>
      </w:r>
      <w:r w:rsidR="00E41BB2">
        <w:t>approximately 5</w:t>
      </w:r>
      <w:r w:rsidR="009B30CD">
        <w:t>6</w:t>
      </w:r>
      <w:r w:rsidR="00E41BB2">
        <w:t xml:space="preserve">% </w:t>
      </w:r>
      <w:r w:rsidR="00EB7A3D">
        <w:t>of</w:t>
      </w:r>
      <w:r w:rsidR="00E41BB2">
        <w:t xml:space="preserve"> Winchester Hospital</w:t>
      </w:r>
      <w:r w:rsidR="00BB01DF">
        <w:t xml:space="preserve"> – Main Campus Endoscopy </w:t>
      </w:r>
      <w:r w:rsidR="00E41BB2">
        <w:t xml:space="preserve">patients. </w:t>
      </w:r>
      <w:r w:rsidR="00D55553">
        <w:t xml:space="preserve"> </w:t>
      </w:r>
    </w:p>
    <w:p w14:paraId="7D4C2803" w14:textId="160416F0" w:rsidR="009761C2" w:rsidRDefault="009761C2" w:rsidP="00C9571B">
      <w:pPr>
        <w:pStyle w:val="ListParagraph"/>
        <w:numPr>
          <w:ilvl w:val="0"/>
          <w:numId w:val="4"/>
        </w:numPr>
      </w:pPr>
      <w:r w:rsidRPr="009761C2">
        <w:rPr>
          <w:b/>
          <w:bCs/>
        </w:rPr>
        <w:lastRenderedPageBreak/>
        <w:t>Race/Ethnicity</w:t>
      </w:r>
      <w:r>
        <w:t>:</w:t>
      </w:r>
      <w:r w:rsidR="00D55553">
        <w:t xml:space="preserve"> </w:t>
      </w:r>
      <w:r w:rsidR="00173B2E">
        <w:t>73</w:t>
      </w:r>
      <w:r w:rsidR="00D55553">
        <w:t xml:space="preserve">% of the BILH patients identified as </w:t>
      </w:r>
      <w:r w:rsidR="008367F0">
        <w:t>W</w:t>
      </w:r>
      <w:r w:rsidR="00D55553">
        <w:t xml:space="preserve">hite, compared to </w:t>
      </w:r>
      <w:r w:rsidR="00173B2E">
        <w:t>83</w:t>
      </w:r>
      <w:r w:rsidR="002565AB">
        <w:t>%</w:t>
      </w:r>
      <w:r w:rsidR="00D55553">
        <w:t xml:space="preserve"> of the Winchester Hospital and the Center’s patients</w:t>
      </w:r>
      <w:r w:rsidR="00197EB5">
        <w:t xml:space="preserve"> and</w:t>
      </w:r>
      <w:r w:rsidR="0084157C">
        <w:t xml:space="preserve"> </w:t>
      </w:r>
      <w:r w:rsidR="00197EB5">
        <w:t>93</w:t>
      </w:r>
      <w:r w:rsidR="002565AB">
        <w:t>% of Winchester Hospital</w:t>
      </w:r>
      <w:r w:rsidR="002C7BAA">
        <w:t xml:space="preserve"> – Main Campus Endoscopy </w:t>
      </w:r>
      <w:r w:rsidR="002565AB">
        <w:t xml:space="preserve">patients identified as </w:t>
      </w:r>
      <w:r w:rsidR="008367F0">
        <w:t>W</w:t>
      </w:r>
      <w:r w:rsidR="002565AB">
        <w:t>hite.</w:t>
      </w:r>
    </w:p>
    <w:p w14:paraId="5EA284D5" w14:textId="16D7B779" w:rsidR="00F57D11" w:rsidRDefault="00F57D11" w:rsidP="00F57D11">
      <w:pPr>
        <w:pStyle w:val="ListParagraph"/>
        <w:numPr>
          <w:ilvl w:val="0"/>
          <w:numId w:val="4"/>
        </w:numPr>
      </w:pPr>
      <w:r>
        <w:rPr>
          <w:b/>
          <w:bCs/>
        </w:rPr>
        <w:t>Payer Mi</w:t>
      </w:r>
      <w:r w:rsidR="005F252F">
        <w:rPr>
          <w:b/>
          <w:bCs/>
        </w:rPr>
        <w:t>x</w:t>
      </w:r>
      <w:r w:rsidRPr="00255FC7">
        <w:t>:</w:t>
      </w:r>
      <w:r>
        <w:t xml:space="preserve"> </w:t>
      </w:r>
      <w:r w:rsidRPr="00F57D11">
        <w:t xml:space="preserve">Making up approximately 50% or more of the payer categories, Commercial payers were the predominant </w:t>
      </w:r>
      <w:proofErr w:type="gramStart"/>
      <w:r w:rsidRPr="00F57D11">
        <w:t>payer</w:t>
      </w:r>
      <w:proofErr w:type="gramEnd"/>
      <w:r w:rsidRPr="00F57D11">
        <w:t xml:space="preserve"> for BILH, Winchester Hospital, and the Center. Medicaid’s percentage of the </w:t>
      </w:r>
      <w:r w:rsidR="00F32AFC">
        <w:t>Winchester Hospital’s</w:t>
      </w:r>
      <w:r w:rsidRPr="00F57D11">
        <w:t xml:space="preserve"> payer mix decreased from FY23 to FY25, </w:t>
      </w:r>
      <w:r w:rsidR="00500554">
        <w:t xml:space="preserve">which the Applicant states </w:t>
      </w:r>
      <w:proofErr w:type="gramStart"/>
      <w:r w:rsidR="00500554" w:rsidRPr="00500554">
        <w:t>reflects</w:t>
      </w:r>
      <w:proofErr w:type="gramEnd"/>
      <w:r w:rsidR="00500554" w:rsidRPr="00500554">
        <w:t xml:space="preserve"> overall trends in Massachusetts Health Insurance enrollment from March 2023 to March 2025</w:t>
      </w:r>
      <w:r w:rsidR="005F252F">
        <w:t xml:space="preserve"> at the state level</w:t>
      </w:r>
      <w:r w:rsidR="00500554" w:rsidRPr="00500554">
        <w:t xml:space="preserve"> as reported by the Center for Health Information and Analysis (CHIA). Per </w:t>
      </w:r>
      <w:r w:rsidR="0084157C">
        <w:t>data</w:t>
      </w:r>
      <w:r w:rsidR="00500554" w:rsidRPr="00500554">
        <w:t xml:space="preserve"> from CHIA, </w:t>
      </w:r>
      <w:r w:rsidR="794392BC" w:rsidRPr="00500554">
        <w:t>statewide</w:t>
      </w:r>
      <w:r w:rsidR="00500554" w:rsidRPr="00500554">
        <w:t xml:space="preserve"> enrollment in MassHealth primary coverage decreased by 20% between March 2023 and March 2025</w:t>
      </w:r>
      <w:r w:rsidR="159283FF" w:rsidRPr="00500554">
        <w:t xml:space="preserve"> (enrollment trends specific to Winchester Hospital’s PSA are not available in the dataset)</w:t>
      </w:r>
      <w:r w:rsidR="00500554" w:rsidRPr="00500554">
        <w:t>.</w:t>
      </w:r>
      <w:r w:rsidR="00500554" w:rsidRPr="00500554">
        <w:rPr>
          <w:vertAlign w:val="superscript"/>
        </w:rPr>
        <w:endnoteReference w:id="3"/>
      </w:r>
      <w:r w:rsidR="00500554">
        <w:t xml:space="preserve"> The Applicant notes that t</w:t>
      </w:r>
      <w:r w:rsidRPr="00F57D11">
        <w:t>he absolute number of patients insured through Medicaid</w:t>
      </w:r>
      <w:r w:rsidR="005F252F">
        <w:t xml:space="preserve"> at the Center</w:t>
      </w:r>
      <w:r w:rsidRPr="00F57D11">
        <w:t>, inclusive of Managed Medicaid, increased from 298 covered patients in FY23 to 442 covered patients in FY25, which the Applicant states indicates increased access to endoscopy services for patients insured through Medicaid.</w:t>
      </w:r>
    </w:p>
    <w:p w14:paraId="014A5AD7" w14:textId="77777777" w:rsidR="008879F5" w:rsidRDefault="008879F5" w:rsidP="008879F5">
      <w:pPr>
        <w:pStyle w:val="ListParagraph"/>
        <w:ind w:left="720" w:firstLine="0"/>
      </w:pPr>
    </w:p>
    <w:p w14:paraId="4DCEC9EA" w14:textId="23D4926A" w:rsidR="00FD0171" w:rsidRPr="003436F0" w:rsidRDefault="00FD0171" w:rsidP="008879F5">
      <w:pPr>
        <w:pStyle w:val="Heading2"/>
      </w:pPr>
      <w:bookmarkStart w:id="3" w:name="Factor_1a:_Patient_Panel_Need"/>
      <w:bookmarkStart w:id="4" w:name="_Toc226541450"/>
      <w:bookmarkEnd w:id="3"/>
      <w:r>
        <w:t>F</w:t>
      </w:r>
      <w:r w:rsidRPr="003436F0">
        <w:t>actor 1</w:t>
      </w:r>
      <w:r w:rsidR="00460BAC">
        <w:t xml:space="preserve">: </w:t>
      </w:r>
      <w:r w:rsidRPr="003436F0">
        <w:t>a</w:t>
      </w:r>
      <w:r w:rsidR="00460BAC">
        <w:t>)</w:t>
      </w:r>
      <w:r w:rsidRPr="003436F0">
        <w:t xml:space="preserve"> Patient Panel Need</w:t>
      </w:r>
      <w:bookmarkEnd w:id="4"/>
    </w:p>
    <w:p w14:paraId="3F979AE8" w14:textId="77777777" w:rsidR="00FD0171" w:rsidRPr="002760B1" w:rsidRDefault="00FD0171" w:rsidP="002760B1">
      <w:pPr>
        <w:pStyle w:val="BodyText"/>
        <w:spacing w:line="269" w:lineRule="exact"/>
        <w:rPr>
          <w:rFonts w:asciiTheme="minorHAnsi" w:hAnsiTheme="minorHAnsi"/>
        </w:rPr>
      </w:pPr>
      <w:r w:rsidRPr="002760B1">
        <w:rPr>
          <w:rFonts w:asciiTheme="minorHAnsi" w:hAnsiTheme="minorHAnsi"/>
        </w:rPr>
        <w:t>In this section, staff assesses if the Applicant has sufficiently demonstrated need for the Proposed</w:t>
      </w:r>
    </w:p>
    <w:p w14:paraId="2418FFD0" w14:textId="1A08569C" w:rsidR="00FD0171" w:rsidRDefault="00FD0171" w:rsidP="002760B1">
      <w:pPr>
        <w:pStyle w:val="BodyText"/>
        <w:spacing w:line="269" w:lineRule="exact"/>
        <w:rPr>
          <w:rFonts w:asciiTheme="minorHAnsi" w:hAnsiTheme="minorHAnsi"/>
        </w:rPr>
      </w:pPr>
      <w:r w:rsidRPr="002760B1">
        <w:rPr>
          <w:rFonts w:asciiTheme="minorHAnsi" w:hAnsiTheme="minorHAnsi"/>
        </w:rPr>
        <w:t>Project components by the Applicant’s Patient Panel.</w:t>
      </w:r>
      <w:r>
        <w:rPr>
          <w:rFonts w:asciiTheme="minorHAnsi" w:hAnsiTheme="minorHAnsi"/>
        </w:rPr>
        <w:t xml:space="preserve"> </w:t>
      </w:r>
      <w:r w:rsidRPr="005925D5">
        <w:rPr>
          <w:rFonts w:asciiTheme="minorHAnsi" w:hAnsiTheme="minorHAnsi"/>
        </w:rPr>
        <w:t xml:space="preserve">The Applicant attributes Patient Panel need for </w:t>
      </w:r>
      <w:r w:rsidR="00591FCD">
        <w:rPr>
          <w:rFonts w:asciiTheme="minorHAnsi" w:hAnsiTheme="minorHAnsi"/>
        </w:rPr>
        <w:t>three</w:t>
      </w:r>
      <w:r>
        <w:rPr>
          <w:rFonts w:asciiTheme="minorHAnsi" w:hAnsiTheme="minorHAnsi"/>
        </w:rPr>
        <w:t xml:space="preserve"> additional procedure room</w:t>
      </w:r>
      <w:r w:rsidR="00591FCD">
        <w:rPr>
          <w:rFonts w:asciiTheme="minorHAnsi" w:hAnsiTheme="minorHAnsi"/>
        </w:rPr>
        <w:t>s</w:t>
      </w:r>
      <w:r>
        <w:rPr>
          <w:rFonts w:asciiTheme="minorHAnsi" w:hAnsiTheme="minorHAnsi"/>
        </w:rPr>
        <w:t xml:space="preserve"> and </w:t>
      </w:r>
      <w:r w:rsidR="00591FCD">
        <w:rPr>
          <w:rFonts w:asciiTheme="minorHAnsi" w:hAnsiTheme="minorHAnsi"/>
        </w:rPr>
        <w:t xml:space="preserve">seven </w:t>
      </w:r>
      <w:r>
        <w:rPr>
          <w:rFonts w:asciiTheme="minorHAnsi" w:hAnsiTheme="minorHAnsi"/>
        </w:rPr>
        <w:t xml:space="preserve">pre/post </w:t>
      </w:r>
      <w:r w:rsidR="00CB6268">
        <w:rPr>
          <w:rFonts w:asciiTheme="minorHAnsi" w:hAnsiTheme="minorHAnsi"/>
        </w:rPr>
        <w:t>procedure</w:t>
      </w:r>
      <w:r>
        <w:rPr>
          <w:rFonts w:asciiTheme="minorHAnsi" w:hAnsiTheme="minorHAnsi"/>
        </w:rPr>
        <w:t xml:space="preserve"> bays</w:t>
      </w:r>
      <w:r w:rsidRPr="005925D5">
        <w:rPr>
          <w:rFonts w:asciiTheme="minorHAnsi" w:hAnsiTheme="minorHAnsi"/>
        </w:rPr>
        <w:t xml:space="preserve"> </w:t>
      </w:r>
      <w:r w:rsidR="00FC4668">
        <w:rPr>
          <w:rFonts w:asciiTheme="minorHAnsi" w:hAnsiTheme="minorHAnsi"/>
        </w:rPr>
        <w:t xml:space="preserve">at the Center </w:t>
      </w:r>
      <w:r w:rsidRPr="005925D5">
        <w:rPr>
          <w:rFonts w:asciiTheme="minorHAnsi" w:hAnsiTheme="minorHAnsi"/>
        </w:rPr>
        <w:t>to the following factors:</w:t>
      </w:r>
    </w:p>
    <w:p w14:paraId="329A1FBC" w14:textId="32D3A693" w:rsidR="00951C0E" w:rsidRDefault="00AE3162" w:rsidP="00C9571B">
      <w:pPr>
        <w:pStyle w:val="BodyText"/>
        <w:numPr>
          <w:ilvl w:val="0"/>
          <w:numId w:val="5"/>
        </w:numPr>
        <w:spacing w:line="269" w:lineRule="exact"/>
        <w:rPr>
          <w:rFonts w:asciiTheme="minorHAnsi" w:hAnsiTheme="minorHAnsi"/>
        </w:rPr>
      </w:pPr>
      <w:r>
        <w:rPr>
          <w:rFonts w:asciiTheme="minorHAnsi" w:hAnsiTheme="minorHAnsi"/>
        </w:rPr>
        <w:t xml:space="preserve">Need to reduce wait times </w:t>
      </w:r>
      <w:r w:rsidR="004C54FB">
        <w:rPr>
          <w:rFonts w:asciiTheme="minorHAnsi" w:hAnsiTheme="minorHAnsi"/>
        </w:rPr>
        <w:t xml:space="preserve">at the Center </w:t>
      </w:r>
      <w:r>
        <w:rPr>
          <w:rFonts w:asciiTheme="minorHAnsi" w:hAnsiTheme="minorHAnsi"/>
        </w:rPr>
        <w:t>due to large increases in endoscopy procedure volume;</w:t>
      </w:r>
      <w:r w:rsidR="004462AA">
        <w:rPr>
          <w:rFonts w:asciiTheme="minorHAnsi" w:hAnsiTheme="minorHAnsi"/>
        </w:rPr>
        <w:t xml:space="preserve"> and</w:t>
      </w:r>
    </w:p>
    <w:p w14:paraId="20A77085" w14:textId="5C82CAE4" w:rsidR="00C96DE7" w:rsidRPr="00951C0E" w:rsidRDefault="00E031A6" w:rsidP="00C9571B">
      <w:pPr>
        <w:pStyle w:val="BodyText"/>
        <w:numPr>
          <w:ilvl w:val="0"/>
          <w:numId w:val="5"/>
        </w:numPr>
        <w:spacing w:line="269" w:lineRule="exact"/>
        <w:rPr>
          <w:rFonts w:asciiTheme="minorHAnsi" w:hAnsiTheme="minorHAnsi"/>
        </w:rPr>
      </w:pPr>
      <w:r>
        <w:rPr>
          <w:rFonts w:asciiTheme="minorHAnsi" w:hAnsiTheme="minorHAnsi"/>
        </w:rPr>
        <w:t>Need to reduce l</w:t>
      </w:r>
      <w:r w:rsidR="00591FCD">
        <w:rPr>
          <w:rFonts w:asciiTheme="minorHAnsi" w:hAnsiTheme="minorHAnsi"/>
        </w:rPr>
        <w:t>ong wait time</w:t>
      </w:r>
      <w:r w:rsidR="00515D19">
        <w:rPr>
          <w:rFonts w:asciiTheme="minorHAnsi" w:hAnsiTheme="minorHAnsi"/>
        </w:rPr>
        <w:t>s</w:t>
      </w:r>
      <w:r w:rsidR="00591FCD">
        <w:rPr>
          <w:rFonts w:asciiTheme="minorHAnsi" w:hAnsiTheme="minorHAnsi"/>
        </w:rPr>
        <w:t xml:space="preserve"> for endoscopy services</w:t>
      </w:r>
      <w:r w:rsidR="00951C0E">
        <w:rPr>
          <w:rFonts w:asciiTheme="minorHAnsi" w:hAnsiTheme="minorHAnsi"/>
        </w:rPr>
        <w:t xml:space="preserve"> across the BILH System</w:t>
      </w:r>
      <w:r w:rsidR="00AE3162">
        <w:rPr>
          <w:rFonts w:asciiTheme="minorHAnsi" w:hAnsiTheme="minorHAnsi"/>
        </w:rPr>
        <w:t>.</w:t>
      </w:r>
    </w:p>
    <w:p w14:paraId="795862D8" w14:textId="77777777" w:rsidR="00FD0171" w:rsidRDefault="00FD0171" w:rsidP="000B63C8">
      <w:pPr>
        <w:pStyle w:val="BodyText"/>
        <w:spacing w:line="269" w:lineRule="exact"/>
        <w:rPr>
          <w:rFonts w:asciiTheme="minorHAnsi" w:hAnsiTheme="minorHAnsi"/>
        </w:rPr>
      </w:pPr>
    </w:p>
    <w:p w14:paraId="7A6F7DC5" w14:textId="21D16824" w:rsidR="00FD0171" w:rsidRPr="002C01E2" w:rsidRDefault="009064F8" w:rsidP="00E82000">
      <w:pPr>
        <w:pStyle w:val="Heading3"/>
      </w:pPr>
      <w:r w:rsidRPr="002C01E2">
        <w:t>B</w:t>
      </w:r>
      <w:r w:rsidR="00FD0171" w:rsidRPr="002C01E2">
        <w:t xml:space="preserve">ackground: </w:t>
      </w:r>
      <w:r w:rsidR="007C6412" w:rsidRPr="002C01E2">
        <w:t>Colorectal Cancer</w:t>
      </w:r>
    </w:p>
    <w:p w14:paraId="59E12E7D" w14:textId="0A58208D" w:rsidR="007A0B1F" w:rsidRDefault="0074262D" w:rsidP="76986DFC">
      <w:pPr>
        <w:pStyle w:val="BodyText"/>
        <w:spacing w:line="269" w:lineRule="exact"/>
        <w:rPr>
          <w:rFonts w:asciiTheme="minorHAnsi" w:hAnsiTheme="minorHAnsi"/>
        </w:rPr>
      </w:pPr>
      <w:r w:rsidRPr="76986DFC">
        <w:rPr>
          <w:rFonts w:asciiTheme="minorHAnsi" w:hAnsiTheme="minorHAnsi"/>
        </w:rPr>
        <w:t xml:space="preserve">Cancers of the colon and rectum, known as </w:t>
      </w:r>
      <w:r w:rsidR="00967893" w:rsidRPr="76986DFC">
        <w:rPr>
          <w:rFonts w:asciiTheme="minorHAnsi" w:hAnsiTheme="minorHAnsi"/>
        </w:rPr>
        <w:t>c</w:t>
      </w:r>
      <w:r w:rsidR="00EF2457" w:rsidRPr="76986DFC">
        <w:rPr>
          <w:rFonts w:asciiTheme="minorHAnsi" w:hAnsiTheme="minorHAnsi"/>
        </w:rPr>
        <w:t>olorectal cancer</w:t>
      </w:r>
      <w:r w:rsidRPr="76986DFC">
        <w:rPr>
          <w:rFonts w:asciiTheme="minorHAnsi" w:hAnsiTheme="minorHAnsi"/>
        </w:rPr>
        <w:t xml:space="preserve"> (CRC),</w:t>
      </w:r>
      <w:r w:rsidR="00EF2457" w:rsidRPr="76986DFC">
        <w:rPr>
          <w:rFonts w:asciiTheme="minorHAnsi" w:hAnsiTheme="minorHAnsi"/>
        </w:rPr>
        <w:t xml:space="preserve"> </w:t>
      </w:r>
      <w:r w:rsidR="00E41A11" w:rsidRPr="76986DFC">
        <w:rPr>
          <w:rFonts w:asciiTheme="minorHAnsi" w:hAnsiTheme="minorHAnsi"/>
        </w:rPr>
        <w:t xml:space="preserve">are </w:t>
      </w:r>
      <w:r w:rsidR="00EF2457" w:rsidRPr="76986DFC">
        <w:rPr>
          <w:rFonts w:asciiTheme="minorHAnsi" w:hAnsiTheme="minorHAnsi"/>
        </w:rPr>
        <w:t xml:space="preserve">the fourth most common </w:t>
      </w:r>
      <w:r w:rsidR="001D369B" w:rsidRPr="76986DFC">
        <w:rPr>
          <w:rFonts w:asciiTheme="minorHAnsi" w:hAnsiTheme="minorHAnsi"/>
        </w:rPr>
        <w:t xml:space="preserve">type of cancer with 154,270 estimated cases and 52,900 estimated deaths </w:t>
      </w:r>
      <w:r w:rsidR="00F13EE3" w:rsidRPr="76986DFC">
        <w:rPr>
          <w:rFonts w:asciiTheme="minorHAnsi" w:hAnsiTheme="minorHAnsi"/>
        </w:rPr>
        <w:t xml:space="preserve">in </w:t>
      </w:r>
      <w:r w:rsidR="00967893" w:rsidRPr="76986DFC">
        <w:rPr>
          <w:rFonts w:asciiTheme="minorHAnsi" w:hAnsiTheme="minorHAnsi"/>
        </w:rPr>
        <w:t>the United States</w:t>
      </w:r>
      <w:r w:rsidR="00F13EE3" w:rsidRPr="76986DFC">
        <w:rPr>
          <w:rFonts w:asciiTheme="minorHAnsi" w:hAnsiTheme="minorHAnsi"/>
        </w:rPr>
        <w:t xml:space="preserve"> (US) in 2025</w:t>
      </w:r>
      <w:r w:rsidR="001D369B" w:rsidRPr="76986DFC">
        <w:rPr>
          <w:rFonts w:asciiTheme="minorHAnsi" w:hAnsiTheme="minorHAnsi"/>
        </w:rPr>
        <w:t>.</w:t>
      </w:r>
      <w:r w:rsidR="00EA5B99" w:rsidRPr="76986DFC">
        <w:rPr>
          <w:rStyle w:val="EndnoteReference"/>
          <w:rFonts w:asciiTheme="minorHAnsi" w:hAnsiTheme="minorHAnsi"/>
        </w:rPr>
        <w:endnoteReference w:id="4"/>
      </w:r>
      <w:r w:rsidR="00EF2457" w:rsidRPr="76986DFC">
        <w:rPr>
          <w:rFonts w:asciiTheme="minorHAnsi" w:hAnsiTheme="minorHAnsi"/>
        </w:rPr>
        <w:t xml:space="preserve"> </w:t>
      </w:r>
      <w:r w:rsidR="00F25729" w:rsidRPr="76986DFC">
        <w:rPr>
          <w:rFonts w:asciiTheme="minorHAnsi" w:hAnsiTheme="minorHAnsi"/>
        </w:rPr>
        <w:t xml:space="preserve">CRC is </w:t>
      </w:r>
      <w:r w:rsidR="00F0476C" w:rsidRPr="76986DFC">
        <w:rPr>
          <w:rFonts w:asciiTheme="minorHAnsi" w:hAnsiTheme="minorHAnsi"/>
        </w:rPr>
        <w:t xml:space="preserve">the </w:t>
      </w:r>
      <w:r w:rsidR="00E75E31" w:rsidRPr="76986DFC">
        <w:rPr>
          <w:rFonts w:asciiTheme="minorHAnsi" w:hAnsiTheme="minorHAnsi"/>
        </w:rPr>
        <w:t xml:space="preserve">leading cause of cancer death </w:t>
      </w:r>
      <w:r w:rsidR="001E013C" w:rsidRPr="76986DFC">
        <w:rPr>
          <w:rFonts w:asciiTheme="minorHAnsi" w:hAnsiTheme="minorHAnsi"/>
        </w:rPr>
        <w:t>in adults</w:t>
      </w:r>
      <w:r w:rsidR="009C1774" w:rsidRPr="76986DFC">
        <w:rPr>
          <w:rFonts w:asciiTheme="minorHAnsi" w:hAnsiTheme="minorHAnsi"/>
        </w:rPr>
        <w:t xml:space="preserve"> younger than </w:t>
      </w:r>
      <w:r w:rsidR="006B3E2B">
        <w:rPr>
          <w:rFonts w:asciiTheme="minorHAnsi" w:hAnsiTheme="minorHAnsi"/>
        </w:rPr>
        <w:t xml:space="preserve">age </w:t>
      </w:r>
      <w:r w:rsidR="009C1774" w:rsidRPr="76986DFC">
        <w:rPr>
          <w:rFonts w:asciiTheme="minorHAnsi" w:hAnsiTheme="minorHAnsi"/>
        </w:rPr>
        <w:t>50 in the US</w:t>
      </w:r>
      <w:r w:rsidR="00E75E31" w:rsidRPr="76986DFC">
        <w:rPr>
          <w:rFonts w:asciiTheme="minorHAnsi" w:hAnsiTheme="minorHAnsi"/>
        </w:rPr>
        <w:t>.</w:t>
      </w:r>
      <w:r w:rsidR="00477107" w:rsidRPr="76986DFC">
        <w:rPr>
          <w:rStyle w:val="EndnoteReference"/>
          <w:rFonts w:asciiTheme="minorHAnsi" w:hAnsiTheme="minorHAnsi"/>
        </w:rPr>
        <w:endnoteReference w:id="5"/>
      </w:r>
      <w:r w:rsidR="00D56232" w:rsidRPr="76986DFC">
        <w:rPr>
          <w:rFonts w:asciiTheme="minorHAnsi" w:hAnsiTheme="minorHAnsi"/>
        </w:rPr>
        <w:t xml:space="preserve"> </w:t>
      </w:r>
      <w:r w:rsidR="00464A07" w:rsidRPr="76986DFC">
        <w:rPr>
          <w:rFonts w:asciiTheme="minorHAnsi" w:hAnsiTheme="minorHAnsi"/>
        </w:rPr>
        <w:t>The risk of CRC increases with age, and w</w:t>
      </w:r>
      <w:r w:rsidR="00FE7984" w:rsidRPr="76986DFC">
        <w:rPr>
          <w:rFonts w:asciiTheme="minorHAnsi" w:hAnsiTheme="minorHAnsi"/>
        </w:rPr>
        <w:t xml:space="preserve">hile incidence rates have decreased in </w:t>
      </w:r>
      <w:r w:rsidR="00D526EF" w:rsidRPr="76986DFC">
        <w:rPr>
          <w:rFonts w:asciiTheme="minorHAnsi" w:hAnsiTheme="minorHAnsi"/>
        </w:rPr>
        <w:t>adults</w:t>
      </w:r>
      <w:r w:rsidR="00FE7984" w:rsidRPr="76986DFC">
        <w:rPr>
          <w:rFonts w:asciiTheme="minorHAnsi" w:hAnsiTheme="minorHAnsi"/>
        </w:rPr>
        <w:t xml:space="preserve"> age 65 and older s</w:t>
      </w:r>
      <w:r w:rsidR="00B1753C" w:rsidRPr="76986DFC">
        <w:rPr>
          <w:rFonts w:asciiTheme="minorHAnsi" w:hAnsiTheme="minorHAnsi"/>
        </w:rPr>
        <w:t>ince 20</w:t>
      </w:r>
      <w:r w:rsidR="00177638" w:rsidRPr="76986DFC">
        <w:rPr>
          <w:rFonts w:asciiTheme="minorHAnsi" w:hAnsiTheme="minorHAnsi"/>
        </w:rPr>
        <w:t xml:space="preserve">11, CRC rates have been increasing by 2% per year </w:t>
      </w:r>
      <w:r w:rsidR="006C033B" w:rsidRPr="76986DFC">
        <w:rPr>
          <w:rFonts w:asciiTheme="minorHAnsi" w:hAnsiTheme="minorHAnsi"/>
        </w:rPr>
        <w:t xml:space="preserve">in people younger than </w:t>
      </w:r>
      <w:r w:rsidR="00AF672E">
        <w:rPr>
          <w:rFonts w:asciiTheme="minorHAnsi" w:hAnsiTheme="minorHAnsi"/>
        </w:rPr>
        <w:t xml:space="preserve">age </w:t>
      </w:r>
      <w:r w:rsidR="006C033B" w:rsidRPr="76986DFC">
        <w:rPr>
          <w:rFonts w:asciiTheme="minorHAnsi" w:hAnsiTheme="minorHAnsi"/>
        </w:rPr>
        <w:t>50, and in people age</w:t>
      </w:r>
      <w:r w:rsidR="00AF672E">
        <w:rPr>
          <w:rFonts w:asciiTheme="minorHAnsi" w:hAnsiTheme="minorHAnsi"/>
        </w:rPr>
        <w:t>s</w:t>
      </w:r>
      <w:r w:rsidR="006C033B" w:rsidRPr="76986DFC">
        <w:rPr>
          <w:rFonts w:asciiTheme="minorHAnsi" w:hAnsiTheme="minorHAnsi"/>
        </w:rPr>
        <w:t xml:space="preserve"> 50 to 54.</w:t>
      </w:r>
      <w:r w:rsidR="006C033B" w:rsidRPr="76986DFC">
        <w:rPr>
          <w:rFonts w:asciiTheme="minorHAnsi" w:hAnsiTheme="minorHAnsi"/>
          <w:vertAlign w:val="superscript"/>
        </w:rPr>
        <w:endnoteReference w:id="6"/>
      </w:r>
      <w:r w:rsidR="007A0B1F" w:rsidRPr="76986DFC">
        <w:rPr>
          <w:rFonts w:asciiTheme="minorHAnsi" w:hAnsiTheme="minorHAnsi"/>
        </w:rPr>
        <w:t xml:space="preserve"> </w:t>
      </w:r>
      <w:r w:rsidR="003B1800">
        <w:rPr>
          <w:rFonts w:asciiTheme="minorHAnsi" w:hAnsiTheme="minorHAnsi"/>
        </w:rPr>
        <w:t xml:space="preserve">According to the American Cancer Society, </w:t>
      </w:r>
      <w:r w:rsidR="009F6339">
        <w:rPr>
          <w:rFonts w:asciiTheme="minorHAnsi" w:hAnsiTheme="minorHAnsi"/>
        </w:rPr>
        <w:t>CRC incidence is increasing by 3% per year in adults ages 20 to 49</w:t>
      </w:r>
      <w:r w:rsidR="004519A1">
        <w:rPr>
          <w:rFonts w:asciiTheme="minorHAnsi" w:hAnsiTheme="minorHAnsi"/>
        </w:rPr>
        <w:t xml:space="preserve"> since the 1990’s</w:t>
      </w:r>
      <w:r w:rsidR="009F6339">
        <w:rPr>
          <w:rFonts w:asciiTheme="minorHAnsi" w:hAnsiTheme="minorHAnsi"/>
        </w:rPr>
        <w:t>.</w:t>
      </w:r>
      <w:r w:rsidR="009F6339">
        <w:rPr>
          <w:rStyle w:val="EndnoteReference"/>
          <w:rFonts w:asciiTheme="minorHAnsi" w:hAnsiTheme="minorHAnsi"/>
        </w:rPr>
        <w:endnoteReference w:id="7"/>
      </w:r>
      <w:r w:rsidR="004519A1" w:rsidRPr="00997420">
        <w:rPr>
          <w:rFonts w:asciiTheme="minorHAnsi" w:hAnsiTheme="minorHAnsi"/>
          <w:vertAlign w:val="superscript"/>
        </w:rPr>
        <w:t>,</w:t>
      </w:r>
      <w:r w:rsidR="004519A1">
        <w:rPr>
          <w:rStyle w:val="EndnoteReference"/>
          <w:rFonts w:asciiTheme="minorHAnsi" w:hAnsiTheme="minorHAnsi"/>
        </w:rPr>
        <w:endnoteReference w:id="8"/>
      </w:r>
      <w:r w:rsidR="004519A1">
        <w:rPr>
          <w:rFonts w:asciiTheme="minorHAnsi" w:hAnsiTheme="minorHAnsi"/>
        </w:rPr>
        <w:t xml:space="preserve"> </w:t>
      </w:r>
      <w:r w:rsidR="00173148" w:rsidRPr="76986DFC">
        <w:rPr>
          <w:rFonts w:asciiTheme="minorHAnsi" w:hAnsiTheme="minorHAnsi"/>
        </w:rPr>
        <w:t xml:space="preserve">A study examining US Centers for </w:t>
      </w:r>
      <w:r w:rsidR="00E4630F" w:rsidRPr="76986DFC">
        <w:rPr>
          <w:rFonts w:asciiTheme="minorHAnsi" w:hAnsiTheme="minorHAnsi"/>
        </w:rPr>
        <w:t>Disease</w:t>
      </w:r>
      <w:r w:rsidR="00173148" w:rsidRPr="76986DFC">
        <w:rPr>
          <w:rFonts w:asciiTheme="minorHAnsi" w:hAnsiTheme="minorHAnsi"/>
        </w:rPr>
        <w:t xml:space="preserve"> and Control and Prevent</w:t>
      </w:r>
      <w:r w:rsidR="00D526EF" w:rsidRPr="76986DFC">
        <w:rPr>
          <w:rFonts w:asciiTheme="minorHAnsi" w:hAnsiTheme="minorHAnsi"/>
        </w:rPr>
        <w:t>ion (CDC)</w:t>
      </w:r>
      <w:r w:rsidR="00173148" w:rsidRPr="76986DFC">
        <w:rPr>
          <w:rFonts w:asciiTheme="minorHAnsi" w:hAnsiTheme="minorHAnsi"/>
        </w:rPr>
        <w:t xml:space="preserve"> data from 1999 to 2020 found that “the rate of colorectal cancers grew 500% among children ages 10 to 14, 333% among teens aged 15 to 19, and 185% among young adults ages 20 to 24.”</w:t>
      </w:r>
      <w:r w:rsidR="00173148" w:rsidRPr="76986DFC">
        <w:rPr>
          <w:rStyle w:val="EndnoteReference"/>
          <w:rFonts w:asciiTheme="minorHAnsi" w:hAnsiTheme="minorHAnsi"/>
        </w:rPr>
        <w:endnoteReference w:id="9"/>
      </w:r>
      <w:r w:rsidR="00173148" w:rsidRPr="76986DFC">
        <w:rPr>
          <w:rFonts w:asciiTheme="minorHAnsi" w:hAnsiTheme="minorHAnsi"/>
        </w:rPr>
        <w:t xml:space="preserve"> </w:t>
      </w:r>
      <w:r w:rsidR="00C52575" w:rsidRPr="76986DFC">
        <w:rPr>
          <w:rFonts w:asciiTheme="minorHAnsi" w:hAnsiTheme="minorHAnsi"/>
        </w:rPr>
        <w:t>The Applicant states that w</w:t>
      </w:r>
      <w:r w:rsidR="00E4630F" w:rsidRPr="76986DFC">
        <w:rPr>
          <w:rFonts w:asciiTheme="minorHAnsi" w:hAnsiTheme="minorHAnsi"/>
        </w:rPr>
        <w:t xml:space="preserve">hile early screening is not recommended for </w:t>
      </w:r>
      <w:r w:rsidR="007E3FBF">
        <w:rPr>
          <w:rFonts w:asciiTheme="minorHAnsi" w:hAnsiTheme="minorHAnsi"/>
        </w:rPr>
        <w:t>younger adults</w:t>
      </w:r>
      <w:r w:rsidR="00E4630F" w:rsidRPr="76986DFC">
        <w:rPr>
          <w:rFonts w:asciiTheme="minorHAnsi" w:hAnsiTheme="minorHAnsi"/>
        </w:rPr>
        <w:t>, endoscopic procedures are instrumental in the diagnosis and management of symptoms once they arise.</w:t>
      </w:r>
      <w:r w:rsidR="0056331A" w:rsidRPr="76986DFC">
        <w:rPr>
          <w:rFonts w:asciiTheme="minorHAnsi" w:hAnsiTheme="minorHAnsi"/>
        </w:rPr>
        <w:t xml:space="preserve"> </w:t>
      </w:r>
      <w:r w:rsidR="00B14CE0">
        <w:rPr>
          <w:rFonts w:asciiTheme="minorHAnsi" w:hAnsiTheme="minorHAnsi"/>
        </w:rPr>
        <w:t xml:space="preserve">The Center accepts patients as young as </w:t>
      </w:r>
      <w:r w:rsidR="006A782F">
        <w:rPr>
          <w:rFonts w:asciiTheme="minorHAnsi" w:hAnsiTheme="minorHAnsi"/>
        </w:rPr>
        <w:t xml:space="preserve">age </w:t>
      </w:r>
      <w:r w:rsidR="00B14CE0">
        <w:rPr>
          <w:rFonts w:asciiTheme="minorHAnsi" w:hAnsiTheme="minorHAnsi"/>
        </w:rPr>
        <w:t>16</w:t>
      </w:r>
      <w:r w:rsidR="00A355ED">
        <w:rPr>
          <w:rFonts w:asciiTheme="minorHAnsi" w:hAnsiTheme="minorHAnsi"/>
        </w:rPr>
        <w:t>. P</w:t>
      </w:r>
      <w:r w:rsidR="00B14CE0">
        <w:rPr>
          <w:rFonts w:asciiTheme="minorHAnsi" w:hAnsiTheme="minorHAnsi"/>
        </w:rPr>
        <w:t xml:space="preserve">atients under age </w:t>
      </w:r>
      <w:proofErr w:type="gramStart"/>
      <w:r w:rsidR="00B14CE0">
        <w:rPr>
          <w:rFonts w:asciiTheme="minorHAnsi" w:hAnsiTheme="minorHAnsi"/>
        </w:rPr>
        <w:t>16,</w:t>
      </w:r>
      <w:proofErr w:type="gramEnd"/>
      <w:r w:rsidR="00B14CE0">
        <w:rPr>
          <w:rFonts w:asciiTheme="minorHAnsi" w:hAnsiTheme="minorHAnsi"/>
        </w:rPr>
        <w:t xml:space="preserve"> are required to be seen at Winchester Hospital’s Main Campus. The Applicant states that less than 1% of the Center’s patients were </w:t>
      </w:r>
      <w:r w:rsidR="00FE2C20">
        <w:rPr>
          <w:rFonts w:asciiTheme="minorHAnsi" w:hAnsiTheme="minorHAnsi"/>
        </w:rPr>
        <w:t>aged</w:t>
      </w:r>
      <w:r w:rsidR="00B14CE0">
        <w:rPr>
          <w:rFonts w:asciiTheme="minorHAnsi" w:hAnsiTheme="minorHAnsi"/>
        </w:rPr>
        <w:t xml:space="preserve"> 18 and younger in FY25. </w:t>
      </w:r>
      <w:r w:rsidR="00810A8A" w:rsidRPr="76986DFC">
        <w:rPr>
          <w:rFonts w:asciiTheme="minorHAnsi" w:hAnsiTheme="minorHAnsi"/>
        </w:rPr>
        <w:t xml:space="preserve">Estimated number of new cases of colon and rectum cancer in Massachusetts in 2025 is </w:t>
      </w:r>
      <w:r w:rsidR="00F4360D" w:rsidRPr="76986DFC">
        <w:rPr>
          <w:rFonts w:asciiTheme="minorHAnsi" w:hAnsiTheme="minorHAnsi"/>
        </w:rPr>
        <w:t>2,770</w:t>
      </w:r>
      <w:r w:rsidR="00A534EF" w:rsidRPr="76986DFC">
        <w:rPr>
          <w:rFonts w:asciiTheme="minorHAnsi" w:hAnsiTheme="minorHAnsi"/>
        </w:rPr>
        <w:t>.</w:t>
      </w:r>
    </w:p>
    <w:p w14:paraId="0B53818C" w14:textId="77777777" w:rsidR="007A0B1F" w:rsidRDefault="007A0B1F" w:rsidP="000B63C8">
      <w:pPr>
        <w:pStyle w:val="BodyText"/>
        <w:spacing w:line="269" w:lineRule="exact"/>
        <w:rPr>
          <w:rFonts w:asciiTheme="minorHAnsi" w:hAnsiTheme="minorHAnsi"/>
        </w:rPr>
      </w:pPr>
    </w:p>
    <w:p w14:paraId="642BE312" w14:textId="6E6DCDBE" w:rsidR="007C6412" w:rsidRPr="00B76143" w:rsidRDefault="00226035" w:rsidP="76986DFC">
      <w:pPr>
        <w:pStyle w:val="BodyText"/>
        <w:shd w:val="clear" w:color="auto" w:fill="FFFFFF" w:themeFill="background1"/>
        <w:spacing w:line="269" w:lineRule="exact"/>
        <w:rPr>
          <w:rFonts w:asciiTheme="minorHAnsi" w:hAnsiTheme="minorHAnsi"/>
        </w:rPr>
      </w:pPr>
      <w:r w:rsidRPr="76986DFC">
        <w:rPr>
          <w:rFonts w:asciiTheme="minorHAnsi" w:hAnsiTheme="minorHAnsi"/>
        </w:rPr>
        <w:t xml:space="preserve">The American Cancer Society’s </w:t>
      </w:r>
      <w:r w:rsidR="00E12F88" w:rsidRPr="76986DFC">
        <w:rPr>
          <w:rFonts w:asciiTheme="minorHAnsi" w:hAnsiTheme="minorHAnsi"/>
        </w:rPr>
        <w:t xml:space="preserve">Report, </w:t>
      </w:r>
      <w:r w:rsidR="00E12F88" w:rsidRPr="76986DFC">
        <w:rPr>
          <w:rFonts w:asciiTheme="minorHAnsi" w:hAnsiTheme="minorHAnsi"/>
          <w:i/>
          <w:iCs/>
        </w:rPr>
        <w:t>Colorectal Cancer, Facts and Figures, 2023 – 2025</w:t>
      </w:r>
      <w:r w:rsidR="00E12F88" w:rsidRPr="76986DFC">
        <w:rPr>
          <w:rFonts w:asciiTheme="minorHAnsi" w:hAnsiTheme="minorHAnsi"/>
        </w:rPr>
        <w:t xml:space="preserve">, </w:t>
      </w:r>
      <w:r w:rsidR="005C7DE6" w:rsidRPr="76986DFC">
        <w:rPr>
          <w:rFonts w:asciiTheme="minorHAnsi" w:hAnsiTheme="minorHAnsi"/>
        </w:rPr>
        <w:t>states that “</w:t>
      </w:r>
      <w:r w:rsidR="007C456F" w:rsidRPr="76986DFC">
        <w:rPr>
          <w:rFonts w:asciiTheme="minorHAnsi" w:hAnsiTheme="minorHAnsi"/>
        </w:rPr>
        <w:t>a large proportion of CRC incidence and mortality is preventable through the receipt of regular screening, surveillance, and high-quality treatment.”</w:t>
      </w:r>
      <w:r w:rsidR="007C456F" w:rsidRPr="76986DFC">
        <w:rPr>
          <w:rFonts w:asciiTheme="minorHAnsi" w:hAnsiTheme="minorHAnsi"/>
          <w:vertAlign w:val="superscript"/>
        </w:rPr>
        <w:endnoteReference w:id="10"/>
      </w:r>
      <w:r w:rsidR="007C456F" w:rsidRPr="76986DFC">
        <w:rPr>
          <w:rFonts w:asciiTheme="minorHAnsi" w:hAnsiTheme="minorHAnsi"/>
        </w:rPr>
        <w:t xml:space="preserve"> </w:t>
      </w:r>
      <w:r w:rsidR="002C2891" w:rsidRPr="76986DFC">
        <w:rPr>
          <w:rFonts w:asciiTheme="minorHAnsi" w:hAnsiTheme="minorHAnsi"/>
        </w:rPr>
        <w:t xml:space="preserve">CRC often starts as a growth or polyp </w:t>
      </w:r>
      <w:r w:rsidR="002144AC" w:rsidRPr="76986DFC">
        <w:rPr>
          <w:rFonts w:asciiTheme="minorHAnsi" w:hAnsiTheme="minorHAnsi"/>
        </w:rPr>
        <w:t>on the inner lining of the colon or rectum.</w:t>
      </w:r>
      <w:r w:rsidR="002144AC" w:rsidRPr="76986DFC">
        <w:rPr>
          <w:rStyle w:val="EndnoteReference"/>
          <w:rFonts w:asciiTheme="minorHAnsi" w:hAnsiTheme="minorHAnsi"/>
        </w:rPr>
        <w:endnoteReference w:id="11"/>
      </w:r>
      <w:r w:rsidR="00927023" w:rsidRPr="76986DFC">
        <w:rPr>
          <w:rFonts w:asciiTheme="minorHAnsi" w:hAnsiTheme="minorHAnsi"/>
        </w:rPr>
        <w:t xml:space="preserve"> Many polyps are benign, but some may develop into </w:t>
      </w:r>
      <w:r w:rsidR="00580300" w:rsidRPr="76986DFC">
        <w:rPr>
          <w:rFonts w:asciiTheme="minorHAnsi" w:hAnsiTheme="minorHAnsi"/>
        </w:rPr>
        <w:t xml:space="preserve">cancer over </w:t>
      </w:r>
      <w:r w:rsidR="00580300" w:rsidRPr="76986DFC">
        <w:rPr>
          <w:rFonts w:asciiTheme="minorHAnsi" w:hAnsiTheme="minorHAnsi"/>
        </w:rPr>
        <w:lastRenderedPageBreak/>
        <w:t>time.</w:t>
      </w:r>
      <w:r w:rsidR="00580300" w:rsidRPr="76986DFC">
        <w:rPr>
          <w:rFonts w:asciiTheme="minorHAnsi" w:hAnsiTheme="minorHAnsi"/>
          <w:vertAlign w:val="superscript"/>
        </w:rPr>
        <w:endnoteReference w:id="12"/>
      </w:r>
      <w:r w:rsidR="00580300" w:rsidRPr="76986DFC">
        <w:rPr>
          <w:rFonts w:asciiTheme="minorHAnsi" w:hAnsiTheme="minorHAnsi"/>
        </w:rPr>
        <w:t xml:space="preserve"> </w:t>
      </w:r>
      <w:r w:rsidR="00754302" w:rsidRPr="76986DFC">
        <w:rPr>
          <w:rFonts w:asciiTheme="minorHAnsi" w:hAnsiTheme="minorHAnsi"/>
        </w:rPr>
        <w:t>Detecting and r</w:t>
      </w:r>
      <w:r w:rsidR="009E5714" w:rsidRPr="76986DFC">
        <w:rPr>
          <w:rFonts w:asciiTheme="minorHAnsi" w:hAnsiTheme="minorHAnsi"/>
        </w:rPr>
        <w:t xml:space="preserve">emoving polyps </w:t>
      </w:r>
      <w:r w:rsidR="00E06EE8" w:rsidRPr="76986DFC">
        <w:rPr>
          <w:rFonts w:asciiTheme="minorHAnsi" w:hAnsiTheme="minorHAnsi"/>
        </w:rPr>
        <w:t xml:space="preserve">during CRC screening </w:t>
      </w:r>
      <w:r w:rsidR="00FF1D01" w:rsidRPr="76986DFC">
        <w:rPr>
          <w:rFonts w:asciiTheme="minorHAnsi" w:hAnsiTheme="minorHAnsi"/>
        </w:rPr>
        <w:t>can reduce the risk of developing C</w:t>
      </w:r>
      <w:r w:rsidR="000060A6" w:rsidRPr="76986DFC">
        <w:rPr>
          <w:rFonts w:asciiTheme="minorHAnsi" w:hAnsiTheme="minorHAnsi"/>
        </w:rPr>
        <w:t>RC</w:t>
      </w:r>
      <w:r w:rsidR="00AD4D78" w:rsidRPr="76986DFC">
        <w:rPr>
          <w:rFonts w:asciiTheme="minorHAnsi" w:hAnsiTheme="minorHAnsi"/>
        </w:rPr>
        <w:t>.</w:t>
      </w:r>
      <w:r w:rsidR="00FF1D01" w:rsidRPr="76986DFC">
        <w:rPr>
          <w:rFonts w:asciiTheme="minorHAnsi" w:hAnsiTheme="minorHAnsi"/>
        </w:rPr>
        <w:t xml:space="preserve"> </w:t>
      </w:r>
      <w:r w:rsidR="007C622B" w:rsidRPr="76986DFC">
        <w:rPr>
          <w:rFonts w:asciiTheme="minorHAnsi" w:hAnsiTheme="minorHAnsi"/>
        </w:rPr>
        <w:t>The American Cancer Society and US Preventive Services Task Force recommend CRC screening begin at age 45</w:t>
      </w:r>
      <w:r w:rsidR="001D149A">
        <w:rPr>
          <w:rFonts w:asciiTheme="minorHAnsi" w:hAnsiTheme="minorHAnsi"/>
        </w:rPr>
        <w:t xml:space="preserve"> for individuals at average risk</w:t>
      </w:r>
      <w:r w:rsidR="007C622B" w:rsidRPr="76986DFC">
        <w:rPr>
          <w:rFonts w:asciiTheme="minorHAnsi" w:hAnsiTheme="minorHAnsi"/>
        </w:rPr>
        <w:t>.</w:t>
      </w:r>
      <w:r w:rsidR="00A534EF" w:rsidRPr="76986DFC">
        <w:rPr>
          <w:rStyle w:val="EndnoteReference"/>
          <w:rFonts w:asciiTheme="minorHAnsi" w:hAnsiTheme="minorHAnsi"/>
        </w:rPr>
        <w:endnoteReference w:id="13"/>
      </w:r>
      <w:r w:rsidR="007C622B" w:rsidRPr="76986DFC">
        <w:rPr>
          <w:rFonts w:asciiTheme="minorHAnsi" w:hAnsiTheme="minorHAnsi"/>
        </w:rPr>
        <w:t xml:space="preserve"> </w:t>
      </w:r>
      <w:r w:rsidR="00A87115" w:rsidRPr="76986DFC">
        <w:rPr>
          <w:rFonts w:asciiTheme="minorHAnsi" w:hAnsiTheme="minorHAnsi"/>
        </w:rPr>
        <w:t>The three main types of screening for CRC are stool-based test</w:t>
      </w:r>
      <w:r w:rsidR="006E2A26" w:rsidRPr="76986DFC">
        <w:rPr>
          <w:rFonts w:asciiTheme="minorHAnsi" w:hAnsiTheme="minorHAnsi"/>
        </w:rPr>
        <w:t xml:space="preserve"> (Fecal immunochemical test (FIT) or</w:t>
      </w:r>
      <w:r w:rsidR="009F45C3" w:rsidRPr="001B2003">
        <w:rPr>
          <w:rFonts w:ascii="Poppins" w:eastAsia="Times New Roman" w:hAnsi="Poppins" w:cs="Poppins"/>
          <w:color w:val="1A1A1A"/>
          <w:sz w:val="27"/>
          <w:szCs w:val="27"/>
        </w:rPr>
        <w:t xml:space="preserve"> </w:t>
      </w:r>
      <w:r w:rsidR="009F45C3" w:rsidRPr="76986DFC">
        <w:rPr>
          <w:rFonts w:asciiTheme="minorHAnsi" w:hAnsiTheme="minorHAnsi"/>
        </w:rPr>
        <w:t>Guaiac-based fecal occult blood test (</w:t>
      </w:r>
      <w:proofErr w:type="spellStart"/>
      <w:r w:rsidR="009F45C3" w:rsidRPr="76986DFC">
        <w:rPr>
          <w:rFonts w:asciiTheme="minorHAnsi" w:hAnsiTheme="minorHAnsi"/>
        </w:rPr>
        <w:t>gFOBT</w:t>
      </w:r>
      <w:proofErr w:type="spellEnd"/>
      <w:r w:rsidR="009F45C3" w:rsidRPr="76986DFC">
        <w:rPr>
          <w:rFonts w:asciiTheme="minorHAnsi" w:hAnsiTheme="minorHAnsi"/>
        </w:rPr>
        <w:t>)</w:t>
      </w:r>
      <w:r w:rsidR="5D2691FE" w:rsidRPr="76986DFC">
        <w:rPr>
          <w:rFonts w:asciiTheme="minorHAnsi" w:hAnsiTheme="minorHAnsi"/>
        </w:rPr>
        <w:t>)</w:t>
      </w:r>
      <w:r w:rsidR="00A87115" w:rsidRPr="76986DFC">
        <w:rPr>
          <w:rFonts w:asciiTheme="minorHAnsi" w:hAnsiTheme="minorHAnsi"/>
        </w:rPr>
        <w:t xml:space="preserve">, </w:t>
      </w:r>
      <w:r w:rsidR="000D7297" w:rsidRPr="76986DFC">
        <w:rPr>
          <w:rFonts w:asciiTheme="minorHAnsi" w:hAnsiTheme="minorHAnsi"/>
        </w:rPr>
        <w:t>visual exams</w:t>
      </w:r>
      <w:r w:rsidR="009F45C3" w:rsidRPr="76986DFC">
        <w:rPr>
          <w:rFonts w:asciiTheme="minorHAnsi" w:hAnsiTheme="minorHAnsi"/>
        </w:rPr>
        <w:t xml:space="preserve"> (colonoscopy or sigmoidoscopy)</w:t>
      </w:r>
      <w:r w:rsidR="000D7297" w:rsidRPr="76986DFC">
        <w:rPr>
          <w:rFonts w:asciiTheme="minorHAnsi" w:hAnsiTheme="minorHAnsi"/>
        </w:rPr>
        <w:t>, and blood-based tests</w:t>
      </w:r>
      <w:r w:rsidR="009F45C3" w:rsidRPr="76986DFC">
        <w:rPr>
          <w:rFonts w:asciiTheme="minorHAnsi" w:hAnsiTheme="minorHAnsi"/>
        </w:rPr>
        <w:t xml:space="preserve"> (</w:t>
      </w:r>
      <w:r w:rsidR="001B2003" w:rsidRPr="76986DFC">
        <w:rPr>
          <w:rFonts w:asciiTheme="minorHAnsi" w:hAnsiTheme="minorHAnsi"/>
        </w:rPr>
        <w:t>Shield or Colo-Health)</w:t>
      </w:r>
      <w:r w:rsidR="000D7297" w:rsidRPr="76986DFC">
        <w:rPr>
          <w:rFonts w:asciiTheme="minorHAnsi" w:hAnsiTheme="minorHAnsi"/>
        </w:rPr>
        <w:t>.</w:t>
      </w:r>
      <w:r w:rsidR="000D7297" w:rsidRPr="76986DFC">
        <w:rPr>
          <w:rStyle w:val="EndnoteReference"/>
          <w:rFonts w:asciiTheme="minorHAnsi" w:hAnsiTheme="minorHAnsi"/>
        </w:rPr>
        <w:endnoteReference w:id="14"/>
      </w:r>
      <w:r w:rsidR="000D7297" w:rsidRPr="76986DFC">
        <w:rPr>
          <w:rFonts w:asciiTheme="minorHAnsi" w:hAnsiTheme="minorHAnsi"/>
        </w:rPr>
        <w:t xml:space="preserve"> </w:t>
      </w:r>
      <w:r w:rsidR="00F9636B" w:rsidRPr="76986DFC">
        <w:rPr>
          <w:rFonts w:asciiTheme="minorHAnsi" w:hAnsiTheme="minorHAnsi"/>
        </w:rPr>
        <w:t xml:space="preserve">While fecal and blood tests may miss polyps, and sigmoidoscopy does not examine the entire colon, </w:t>
      </w:r>
      <w:r w:rsidR="005827A3" w:rsidRPr="76986DFC">
        <w:rPr>
          <w:rFonts w:asciiTheme="minorHAnsi" w:hAnsiTheme="minorHAnsi"/>
        </w:rPr>
        <w:t>colonoscopy</w:t>
      </w:r>
      <w:r w:rsidR="000C3411" w:rsidRPr="76986DFC">
        <w:rPr>
          <w:rFonts w:asciiTheme="minorHAnsi" w:hAnsiTheme="minorHAnsi"/>
        </w:rPr>
        <w:t>, which can look at the entire colon, and can biopsy and remove polyps,</w:t>
      </w:r>
      <w:r w:rsidR="00A17379" w:rsidRPr="76986DFC">
        <w:rPr>
          <w:rFonts w:asciiTheme="minorHAnsi" w:hAnsiTheme="minorHAnsi"/>
        </w:rPr>
        <w:t xml:space="preserve"> is the “Gold Standard” screening test for CRC</w:t>
      </w:r>
      <w:r w:rsidR="001C660A" w:rsidRPr="76986DFC">
        <w:rPr>
          <w:rFonts w:asciiTheme="minorHAnsi" w:hAnsiTheme="minorHAnsi"/>
        </w:rPr>
        <w:t>.</w:t>
      </w:r>
      <w:r w:rsidR="00F9636B" w:rsidRPr="76986DFC">
        <w:rPr>
          <w:rFonts w:asciiTheme="minorHAnsi" w:hAnsiTheme="minorHAnsi"/>
          <w:vertAlign w:val="superscript"/>
        </w:rPr>
        <w:endnoteReference w:id="15"/>
      </w:r>
      <w:r w:rsidR="00F9636B" w:rsidRPr="76986DFC">
        <w:rPr>
          <w:rFonts w:asciiTheme="minorHAnsi" w:hAnsiTheme="minorHAnsi"/>
        </w:rPr>
        <w:t xml:space="preserve"> </w:t>
      </w:r>
      <w:r w:rsidR="00984180" w:rsidRPr="76986DFC">
        <w:rPr>
          <w:rFonts w:asciiTheme="minorHAnsi" w:hAnsiTheme="minorHAnsi"/>
        </w:rPr>
        <w:t>In a large prospective cohort study, c</w:t>
      </w:r>
      <w:r w:rsidR="001C660A" w:rsidRPr="76986DFC">
        <w:rPr>
          <w:rFonts w:asciiTheme="minorHAnsi" w:hAnsiTheme="minorHAnsi"/>
        </w:rPr>
        <w:t xml:space="preserve">olonoscopy </w:t>
      </w:r>
      <w:r w:rsidR="00984180" w:rsidRPr="76986DFC">
        <w:rPr>
          <w:rFonts w:asciiTheme="minorHAnsi" w:hAnsiTheme="minorHAnsi"/>
        </w:rPr>
        <w:t>was</w:t>
      </w:r>
      <w:r w:rsidR="001C660A" w:rsidRPr="76986DFC">
        <w:rPr>
          <w:rFonts w:asciiTheme="minorHAnsi" w:hAnsiTheme="minorHAnsi"/>
        </w:rPr>
        <w:t xml:space="preserve"> </w:t>
      </w:r>
      <w:r w:rsidR="00EF35F5" w:rsidRPr="76986DFC">
        <w:rPr>
          <w:rFonts w:asciiTheme="minorHAnsi" w:hAnsiTheme="minorHAnsi"/>
        </w:rPr>
        <w:t>associated with a 69% decrease in</w:t>
      </w:r>
      <w:r w:rsidR="00CC6F47" w:rsidRPr="76986DFC">
        <w:rPr>
          <w:rFonts w:asciiTheme="minorHAnsi" w:hAnsiTheme="minorHAnsi"/>
        </w:rPr>
        <w:t xml:space="preserve"> CRC-specific mortality compared with no exposure to colonoscopy</w:t>
      </w:r>
      <w:r w:rsidR="00731678" w:rsidRPr="76986DFC">
        <w:rPr>
          <w:rStyle w:val="EndnoteReference"/>
          <w:rFonts w:asciiTheme="minorHAnsi" w:hAnsiTheme="minorHAnsi"/>
        </w:rPr>
        <w:endnoteReference w:id="16"/>
      </w:r>
      <w:r w:rsidR="00CC6F47" w:rsidRPr="76986DFC">
        <w:rPr>
          <w:rFonts w:asciiTheme="minorHAnsi" w:hAnsiTheme="minorHAnsi"/>
        </w:rPr>
        <w:t xml:space="preserve">, </w:t>
      </w:r>
      <w:r w:rsidR="00EF35F5" w:rsidRPr="76986DFC">
        <w:rPr>
          <w:rFonts w:asciiTheme="minorHAnsi" w:hAnsiTheme="minorHAnsi"/>
        </w:rPr>
        <w:t xml:space="preserve">and </w:t>
      </w:r>
      <w:r w:rsidR="00E63A79" w:rsidRPr="76986DFC">
        <w:rPr>
          <w:rFonts w:asciiTheme="minorHAnsi" w:hAnsiTheme="minorHAnsi"/>
        </w:rPr>
        <w:t xml:space="preserve">a </w:t>
      </w:r>
      <w:r w:rsidR="00EB5A50" w:rsidRPr="76986DFC">
        <w:rPr>
          <w:rFonts w:asciiTheme="minorHAnsi" w:hAnsiTheme="minorHAnsi"/>
        </w:rPr>
        <w:t xml:space="preserve">large </w:t>
      </w:r>
      <w:r w:rsidR="00E63A79" w:rsidRPr="76986DFC">
        <w:rPr>
          <w:rFonts w:asciiTheme="minorHAnsi" w:hAnsiTheme="minorHAnsi"/>
        </w:rPr>
        <w:t xml:space="preserve">community study examining </w:t>
      </w:r>
      <w:r w:rsidR="00EB5A50" w:rsidRPr="76986DFC">
        <w:rPr>
          <w:rFonts w:asciiTheme="minorHAnsi" w:hAnsiTheme="minorHAnsi"/>
        </w:rPr>
        <w:t xml:space="preserve">long-term risk of colon cancer and related deaths found </w:t>
      </w:r>
      <w:r w:rsidR="0067660A" w:rsidRPr="76986DFC">
        <w:rPr>
          <w:rFonts w:asciiTheme="minorHAnsi" w:hAnsiTheme="minorHAnsi"/>
        </w:rPr>
        <w:t>that those with a negative colonoscopy screening ha</w:t>
      </w:r>
      <w:r w:rsidR="00500B4B" w:rsidRPr="76986DFC">
        <w:rPr>
          <w:rFonts w:asciiTheme="minorHAnsi" w:hAnsiTheme="minorHAnsi"/>
        </w:rPr>
        <w:t>d</w:t>
      </w:r>
      <w:r w:rsidR="0067660A" w:rsidRPr="76986DFC">
        <w:rPr>
          <w:rFonts w:asciiTheme="minorHAnsi" w:hAnsiTheme="minorHAnsi"/>
        </w:rPr>
        <w:t xml:space="preserve"> a</w:t>
      </w:r>
      <w:r w:rsidR="00851A7A" w:rsidRPr="76986DFC">
        <w:rPr>
          <w:rFonts w:asciiTheme="minorHAnsi" w:hAnsiTheme="minorHAnsi"/>
        </w:rPr>
        <w:t xml:space="preserve"> 46% </w:t>
      </w:r>
      <w:r w:rsidR="00383310" w:rsidRPr="76986DFC">
        <w:rPr>
          <w:rFonts w:asciiTheme="minorHAnsi" w:hAnsiTheme="minorHAnsi"/>
        </w:rPr>
        <w:t>lower risk of</w:t>
      </w:r>
      <w:r w:rsidR="00FC432F" w:rsidRPr="76986DFC">
        <w:rPr>
          <w:rFonts w:asciiTheme="minorHAnsi" w:hAnsiTheme="minorHAnsi"/>
        </w:rPr>
        <w:t xml:space="preserve"> colorectal cancer and </w:t>
      </w:r>
      <w:r w:rsidR="00383310" w:rsidRPr="76986DFC">
        <w:rPr>
          <w:rFonts w:asciiTheme="minorHAnsi" w:hAnsiTheme="minorHAnsi"/>
        </w:rPr>
        <w:t xml:space="preserve">88% lower risk of </w:t>
      </w:r>
      <w:r w:rsidR="00FC432F" w:rsidRPr="76986DFC">
        <w:rPr>
          <w:rFonts w:asciiTheme="minorHAnsi" w:hAnsiTheme="minorHAnsi"/>
        </w:rPr>
        <w:t>related deaths</w:t>
      </w:r>
      <w:r w:rsidR="0067660A" w:rsidRPr="76986DFC">
        <w:rPr>
          <w:rFonts w:asciiTheme="minorHAnsi" w:hAnsiTheme="minorHAnsi"/>
        </w:rPr>
        <w:t xml:space="preserve"> than those who were unscreened,</w:t>
      </w:r>
      <w:r w:rsidR="00383310" w:rsidRPr="76986DFC">
        <w:rPr>
          <w:rFonts w:asciiTheme="minorHAnsi" w:hAnsiTheme="minorHAnsi"/>
        </w:rPr>
        <w:t xml:space="preserve"> in </w:t>
      </w:r>
      <w:r w:rsidR="00C76878" w:rsidRPr="76986DFC">
        <w:rPr>
          <w:rFonts w:asciiTheme="minorHAnsi" w:hAnsiTheme="minorHAnsi"/>
        </w:rPr>
        <w:t>the 12-year follow-up period</w:t>
      </w:r>
      <w:r w:rsidR="0067660A" w:rsidRPr="76986DFC">
        <w:rPr>
          <w:rFonts w:asciiTheme="minorHAnsi" w:hAnsiTheme="minorHAnsi"/>
        </w:rPr>
        <w:t xml:space="preserve"> under examination</w:t>
      </w:r>
      <w:r w:rsidR="003F0A3A" w:rsidRPr="76986DFC">
        <w:rPr>
          <w:rFonts w:asciiTheme="minorHAnsi" w:hAnsiTheme="minorHAnsi"/>
        </w:rPr>
        <w:t>.</w:t>
      </w:r>
      <w:r w:rsidR="0067660A" w:rsidRPr="76986DFC">
        <w:rPr>
          <w:rStyle w:val="EndnoteReference"/>
          <w:rFonts w:asciiTheme="minorHAnsi" w:hAnsiTheme="minorHAnsi"/>
        </w:rPr>
        <w:endnoteReference w:id="17"/>
      </w:r>
      <w:r w:rsidR="00332238" w:rsidRPr="76986DFC">
        <w:rPr>
          <w:rFonts w:asciiTheme="minorHAnsi" w:hAnsiTheme="minorHAnsi"/>
        </w:rPr>
        <w:t xml:space="preserve"> Of the new cases of </w:t>
      </w:r>
      <w:r w:rsidR="0067660A" w:rsidRPr="76986DFC">
        <w:rPr>
          <w:rFonts w:asciiTheme="minorHAnsi" w:hAnsiTheme="minorHAnsi"/>
        </w:rPr>
        <w:t>CRC</w:t>
      </w:r>
      <w:r w:rsidR="00332238" w:rsidRPr="76986DFC">
        <w:rPr>
          <w:rFonts w:asciiTheme="minorHAnsi" w:hAnsiTheme="minorHAnsi"/>
        </w:rPr>
        <w:t xml:space="preserve"> diagnoses </w:t>
      </w:r>
      <w:r w:rsidR="00531505" w:rsidRPr="76986DFC">
        <w:rPr>
          <w:rFonts w:asciiTheme="minorHAnsi" w:hAnsiTheme="minorHAnsi"/>
        </w:rPr>
        <w:t xml:space="preserve">in the United States </w:t>
      </w:r>
      <w:r w:rsidR="00332238" w:rsidRPr="76986DFC">
        <w:rPr>
          <w:rFonts w:asciiTheme="minorHAnsi" w:hAnsiTheme="minorHAnsi"/>
        </w:rPr>
        <w:t xml:space="preserve">between 2018 and 2022, 32.9% </w:t>
      </w:r>
      <w:r w:rsidR="00364841" w:rsidRPr="76986DFC">
        <w:rPr>
          <w:rFonts w:asciiTheme="minorHAnsi" w:hAnsiTheme="minorHAnsi"/>
        </w:rPr>
        <w:t xml:space="preserve">were localized, meaning </w:t>
      </w:r>
      <w:r w:rsidR="00955A04" w:rsidRPr="76986DFC">
        <w:rPr>
          <w:rFonts w:asciiTheme="minorHAnsi" w:hAnsiTheme="minorHAnsi"/>
        </w:rPr>
        <w:t>the cancer was confined to the primary site.</w:t>
      </w:r>
      <w:r w:rsidR="00364841" w:rsidRPr="76986DFC">
        <w:rPr>
          <w:rStyle w:val="FootnoteReference"/>
          <w:rFonts w:asciiTheme="minorHAnsi" w:hAnsiTheme="minorHAnsi"/>
        </w:rPr>
        <w:footnoteReference w:id="12"/>
      </w:r>
      <w:r w:rsidR="00955A04" w:rsidRPr="76986DFC">
        <w:rPr>
          <w:rFonts w:asciiTheme="minorHAnsi" w:hAnsiTheme="minorHAnsi"/>
          <w:vertAlign w:val="superscript"/>
        </w:rPr>
        <w:t>,</w:t>
      </w:r>
      <w:r w:rsidR="00955A04" w:rsidRPr="76986DFC">
        <w:rPr>
          <w:rStyle w:val="EndnoteReference"/>
          <w:rFonts w:asciiTheme="minorHAnsi" w:hAnsiTheme="minorHAnsi"/>
        </w:rPr>
        <w:endnoteReference w:id="18"/>
      </w:r>
      <w:r w:rsidR="00347D1F" w:rsidRPr="76986DFC">
        <w:rPr>
          <w:rFonts w:asciiTheme="minorHAnsi" w:hAnsiTheme="minorHAnsi"/>
          <w:vertAlign w:val="superscript"/>
        </w:rPr>
        <w:t xml:space="preserve"> </w:t>
      </w:r>
      <w:r w:rsidR="00EA39EC" w:rsidRPr="76986DFC">
        <w:rPr>
          <w:rFonts w:asciiTheme="minorHAnsi" w:hAnsiTheme="minorHAnsi"/>
        </w:rPr>
        <w:t>CRC s</w:t>
      </w:r>
      <w:r w:rsidR="00286524" w:rsidRPr="76986DFC">
        <w:rPr>
          <w:rFonts w:asciiTheme="minorHAnsi" w:hAnsiTheme="minorHAnsi"/>
        </w:rPr>
        <w:t xml:space="preserve">urvival rates vary based on the </w:t>
      </w:r>
      <w:r w:rsidR="00EA39EC" w:rsidRPr="76986DFC">
        <w:rPr>
          <w:rFonts w:asciiTheme="minorHAnsi" w:hAnsiTheme="minorHAnsi"/>
        </w:rPr>
        <w:t xml:space="preserve">cancer </w:t>
      </w:r>
      <w:r w:rsidR="00286524" w:rsidRPr="76986DFC">
        <w:rPr>
          <w:rFonts w:asciiTheme="minorHAnsi" w:hAnsiTheme="minorHAnsi"/>
        </w:rPr>
        <w:t>stage of diagnosis: t</w:t>
      </w:r>
      <w:r w:rsidR="006B79E2" w:rsidRPr="76986DFC">
        <w:rPr>
          <w:rFonts w:asciiTheme="minorHAnsi" w:hAnsiTheme="minorHAnsi"/>
        </w:rPr>
        <w:t xml:space="preserve">he 5-year </w:t>
      </w:r>
      <w:r w:rsidR="003F6C81" w:rsidRPr="76986DFC">
        <w:rPr>
          <w:rFonts w:asciiTheme="minorHAnsi" w:hAnsiTheme="minorHAnsi"/>
        </w:rPr>
        <w:t>relative survival rate</w:t>
      </w:r>
      <w:r w:rsidR="000908C8" w:rsidRPr="76986DFC">
        <w:rPr>
          <w:rStyle w:val="FootnoteReference"/>
          <w:rFonts w:asciiTheme="minorHAnsi" w:hAnsiTheme="minorHAnsi"/>
        </w:rPr>
        <w:footnoteReference w:id="13"/>
      </w:r>
      <w:r w:rsidR="003F6C81" w:rsidRPr="76986DFC">
        <w:rPr>
          <w:rFonts w:asciiTheme="minorHAnsi" w:hAnsiTheme="minorHAnsi"/>
        </w:rPr>
        <w:t xml:space="preserve"> for localized CRC is 91% compared to 13% for CRC</w:t>
      </w:r>
      <w:r w:rsidR="00D05E1E" w:rsidRPr="76986DFC">
        <w:rPr>
          <w:rFonts w:asciiTheme="minorHAnsi" w:hAnsiTheme="minorHAnsi"/>
        </w:rPr>
        <w:t xml:space="preserve"> that has spread to</w:t>
      </w:r>
      <w:r w:rsidR="00BE6AE9" w:rsidRPr="76986DFC">
        <w:rPr>
          <w:rFonts w:asciiTheme="minorHAnsi" w:hAnsiTheme="minorHAnsi"/>
        </w:rPr>
        <w:t xml:space="preserve"> distant</w:t>
      </w:r>
      <w:r w:rsidR="00D05E1E" w:rsidRPr="76986DFC">
        <w:rPr>
          <w:rFonts w:asciiTheme="minorHAnsi" w:hAnsiTheme="minorHAnsi"/>
        </w:rPr>
        <w:t xml:space="preserve"> parts of the body</w:t>
      </w:r>
      <w:r w:rsidR="00BE6AE9" w:rsidRPr="76986DFC">
        <w:rPr>
          <w:rFonts w:asciiTheme="minorHAnsi" w:hAnsiTheme="minorHAnsi"/>
        </w:rPr>
        <w:t xml:space="preserve"> such as other organs and tissue</w:t>
      </w:r>
      <w:r w:rsidR="008256E6" w:rsidRPr="76986DFC">
        <w:rPr>
          <w:rFonts w:asciiTheme="minorHAnsi" w:hAnsiTheme="minorHAnsi"/>
        </w:rPr>
        <w:t>.</w:t>
      </w:r>
      <w:r w:rsidR="008256E6" w:rsidRPr="76986DFC">
        <w:rPr>
          <w:rStyle w:val="EndnoteReference"/>
          <w:rFonts w:asciiTheme="minorHAnsi" w:hAnsiTheme="minorHAnsi"/>
        </w:rPr>
        <w:endnoteReference w:id="19"/>
      </w:r>
    </w:p>
    <w:p w14:paraId="31DA2BDC" w14:textId="5EB21F24" w:rsidR="00F44509" w:rsidRDefault="00F44509" w:rsidP="00A81E6C">
      <w:pPr>
        <w:pStyle w:val="BodyText"/>
        <w:spacing w:line="269" w:lineRule="exact"/>
        <w:rPr>
          <w:rFonts w:asciiTheme="minorHAnsi" w:hAnsiTheme="minorHAnsi"/>
        </w:rPr>
      </w:pPr>
      <w:r>
        <w:rPr>
          <w:rFonts w:asciiTheme="minorHAnsi" w:hAnsiTheme="minorHAnsi"/>
        </w:rPr>
        <w:t xml:space="preserve"> </w:t>
      </w:r>
    </w:p>
    <w:p w14:paraId="6A719574" w14:textId="58887E07" w:rsidR="00971DF9" w:rsidRDefault="004C54FB" w:rsidP="00BD2F0B">
      <w:pPr>
        <w:pStyle w:val="Heading4"/>
      </w:pPr>
      <w:r>
        <w:t>Need to Reduce Wait Times at The Center</w:t>
      </w:r>
    </w:p>
    <w:p w14:paraId="6A4FFD3B" w14:textId="36FDE971" w:rsidR="00146D02" w:rsidRDefault="00487FB3" w:rsidP="056EC8E4">
      <w:pPr>
        <w:pStyle w:val="BodyText"/>
        <w:spacing w:line="269" w:lineRule="exact"/>
        <w:rPr>
          <w:rFonts w:asciiTheme="minorHAnsi" w:hAnsiTheme="minorHAnsi"/>
        </w:rPr>
      </w:pPr>
      <w:r w:rsidRPr="056EC8E4">
        <w:rPr>
          <w:rFonts w:asciiTheme="minorHAnsi" w:hAnsiTheme="minorHAnsi"/>
        </w:rPr>
        <w:t xml:space="preserve">The Applicant states that the </w:t>
      </w:r>
      <w:r w:rsidR="003F764F" w:rsidRPr="056EC8E4">
        <w:rPr>
          <w:rFonts w:asciiTheme="minorHAnsi" w:hAnsiTheme="minorHAnsi"/>
        </w:rPr>
        <w:t xml:space="preserve">Center’s </w:t>
      </w:r>
      <w:r w:rsidRPr="056EC8E4">
        <w:rPr>
          <w:rFonts w:asciiTheme="minorHAnsi" w:hAnsiTheme="minorHAnsi"/>
        </w:rPr>
        <w:t xml:space="preserve">need for additional </w:t>
      </w:r>
      <w:r w:rsidR="005827A3" w:rsidRPr="056EC8E4">
        <w:rPr>
          <w:rFonts w:asciiTheme="minorHAnsi" w:hAnsiTheme="minorHAnsi"/>
        </w:rPr>
        <w:t xml:space="preserve">endoscopy </w:t>
      </w:r>
      <w:r w:rsidRPr="056EC8E4">
        <w:rPr>
          <w:rFonts w:asciiTheme="minorHAnsi" w:hAnsiTheme="minorHAnsi"/>
        </w:rPr>
        <w:t xml:space="preserve">procedure rooms is demonstrated in </w:t>
      </w:r>
      <w:r w:rsidR="00A9089B">
        <w:rPr>
          <w:rFonts w:asciiTheme="minorHAnsi" w:hAnsiTheme="minorHAnsi"/>
        </w:rPr>
        <w:t>t</w:t>
      </w:r>
      <w:r w:rsidR="00C37FFE" w:rsidRPr="056EC8E4">
        <w:rPr>
          <w:rFonts w:asciiTheme="minorHAnsi" w:hAnsiTheme="minorHAnsi"/>
        </w:rPr>
        <w:t>he Center’s</w:t>
      </w:r>
      <w:r w:rsidRPr="056EC8E4">
        <w:rPr>
          <w:rFonts w:asciiTheme="minorHAnsi" w:hAnsiTheme="minorHAnsi"/>
        </w:rPr>
        <w:t xml:space="preserve"> </w:t>
      </w:r>
      <w:r w:rsidR="00146D02" w:rsidRPr="056EC8E4">
        <w:rPr>
          <w:rFonts w:asciiTheme="minorHAnsi" w:hAnsiTheme="minorHAnsi"/>
        </w:rPr>
        <w:t>historical utilization</w:t>
      </w:r>
      <w:r w:rsidR="0024380D" w:rsidRPr="056EC8E4">
        <w:rPr>
          <w:rFonts w:asciiTheme="minorHAnsi" w:hAnsiTheme="minorHAnsi"/>
        </w:rPr>
        <w:t xml:space="preserve">, which is shown in Table </w:t>
      </w:r>
      <w:r w:rsidR="00A15FBE" w:rsidRPr="056EC8E4">
        <w:rPr>
          <w:rFonts w:asciiTheme="minorHAnsi" w:hAnsiTheme="minorHAnsi"/>
        </w:rPr>
        <w:t>1</w:t>
      </w:r>
      <w:r w:rsidR="00432CBD" w:rsidRPr="056EC8E4">
        <w:rPr>
          <w:rFonts w:asciiTheme="minorHAnsi" w:hAnsiTheme="minorHAnsi"/>
        </w:rPr>
        <w:t>2</w:t>
      </w:r>
      <w:r w:rsidR="0024380D" w:rsidRPr="056EC8E4">
        <w:rPr>
          <w:rFonts w:asciiTheme="minorHAnsi" w:hAnsiTheme="minorHAnsi"/>
        </w:rPr>
        <w:t xml:space="preserve">. </w:t>
      </w:r>
      <w:r w:rsidR="007822D0">
        <w:rPr>
          <w:rFonts w:asciiTheme="minorHAnsi" w:hAnsiTheme="minorHAnsi"/>
        </w:rPr>
        <w:t xml:space="preserve">Staff note that the </w:t>
      </w:r>
      <w:proofErr w:type="spellStart"/>
      <w:r w:rsidR="007822D0">
        <w:rPr>
          <w:rFonts w:asciiTheme="minorHAnsi" w:hAnsiTheme="minorHAnsi"/>
        </w:rPr>
        <w:t>DoN</w:t>
      </w:r>
      <w:proofErr w:type="spellEnd"/>
      <w:r w:rsidR="007822D0">
        <w:rPr>
          <w:rFonts w:asciiTheme="minorHAnsi" w:hAnsiTheme="minorHAnsi"/>
        </w:rPr>
        <w:t xml:space="preserve"> regulations require an Applicant provide 36 months of data on the Applicant’s patients. For the purposes of demonstrating </w:t>
      </w:r>
      <w:r w:rsidR="00B3666F">
        <w:rPr>
          <w:rFonts w:asciiTheme="minorHAnsi" w:hAnsiTheme="minorHAnsi"/>
        </w:rPr>
        <w:t xml:space="preserve">historical </w:t>
      </w:r>
      <w:r w:rsidR="007822D0">
        <w:rPr>
          <w:rFonts w:asciiTheme="minorHAnsi" w:hAnsiTheme="minorHAnsi"/>
        </w:rPr>
        <w:t>utilization at the Center, the Applicant has chosen to</w:t>
      </w:r>
      <w:r w:rsidR="00B3666F">
        <w:rPr>
          <w:rFonts w:asciiTheme="minorHAnsi" w:hAnsiTheme="minorHAnsi"/>
        </w:rPr>
        <w:t xml:space="preserve"> provide data for four fiscal years.</w:t>
      </w:r>
      <w:r w:rsidR="007822D0">
        <w:rPr>
          <w:rFonts w:asciiTheme="minorHAnsi" w:hAnsiTheme="minorHAnsi"/>
        </w:rPr>
        <w:t xml:space="preserve"> </w:t>
      </w:r>
      <w:r w:rsidR="00EC75E1" w:rsidRPr="056EC8E4">
        <w:rPr>
          <w:rFonts w:asciiTheme="minorHAnsi" w:hAnsiTheme="minorHAnsi"/>
        </w:rPr>
        <w:t xml:space="preserve">As shown in Table </w:t>
      </w:r>
      <w:r w:rsidR="00A15FBE" w:rsidRPr="056EC8E4">
        <w:rPr>
          <w:rFonts w:asciiTheme="minorHAnsi" w:hAnsiTheme="minorHAnsi"/>
        </w:rPr>
        <w:t>1</w:t>
      </w:r>
      <w:r w:rsidR="00432CBD" w:rsidRPr="056EC8E4">
        <w:rPr>
          <w:rFonts w:asciiTheme="minorHAnsi" w:hAnsiTheme="minorHAnsi"/>
        </w:rPr>
        <w:t>2</w:t>
      </w:r>
      <w:r w:rsidR="00EC75E1" w:rsidRPr="056EC8E4">
        <w:rPr>
          <w:rFonts w:asciiTheme="minorHAnsi" w:hAnsiTheme="minorHAnsi"/>
        </w:rPr>
        <w:t>, the Center’s volume made up 75% o</w:t>
      </w:r>
      <w:r w:rsidR="00E42873" w:rsidRPr="056EC8E4">
        <w:rPr>
          <w:rFonts w:asciiTheme="minorHAnsi" w:hAnsiTheme="minorHAnsi"/>
        </w:rPr>
        <w:t>r</w:t>
      </w:r>
      <w:r w:rsidR="00EC75E1" w:rsidRPr="056EC8E4">
        <w:rPr>
          <w:rFonts w:asciiTheme="minorHAnsi" w:hAnsiTheme="minorHAnsi"/>
        </w:rPr>
        <w:t xml:space="preserve"> more of </w:t>
      </w:r>
      <w:r w:rsidR="009B536C" w:rsidRPr="056EC8E4">
        <w:rPr>
          <w:rFonts w:asciiTheme="minorHAnsi" w:hAnsiTheme="minorHAnsi"/>
        </w:rPr>
        <w:t xml:space="preserve">Winchester Hospital’s </w:t>
      </w:r>
      <w:r w:rsidR="00EC75E1" w:rsidRPr="056EC8E4">
        <w:rPr>
          <w:rFonts w:asciiTheme="minorHAnsi" w:hAnsiTheme="minorHAnsi"/>
        </w:rPr>
        <w:t>total endoscopy procedure volume from FY22 to FY25. Additionally, the Center’s procedure volume increased by 202%</w:t>
      </w:r>
      <w:r w:rsidR="00E42873" w:rsidRPr="056EC8E4">
        <w:rPr>
          <w:rFonts w:asciiTheme="minorHAnsi" w:hAnsiTheme="minorHAnsi"/>
        </w:rPr>
        <w:t xml:space="preserve"> between FY22 and FY25</w:t>
      </w:r>
      <w:r w:rsidR="007C217E" w:rsidRPr="056EC8E4">
        <w:rPr>
          <w:rFonts w:asciiTheme="minorHAnsi" w:hAnsiTheme="minorHAnsi"/>
        </w:rPr>
        <w:t xml:space="preserve">, representing a more than three-fold increase in the Center’s endoscopy procedure volume. </w:t>
      </w:r>
      <w:r w:rsidR="00E7024B" w:rsidRPr="056EC8E4">
        <w:rPr>
          <w:rFonts w:asciiTheme="minorHAnsi" w:hAnsiTheme="minorHAnsi"/>
        </w:rPr>
        <w:t>The Applicant attributes the increase in procedure volume</w:t>
      </w:r>
      <w:r w:rsidR="00337C24" w:rsidRPr="056EC8E4">
        <w:rPr>
          <w:rFonts w:asciiTheme="minorHAnsi" w:hAnsiTheme="minorHAnsi"/>
        </w:rPr>
        <w:t xml:space="preserve"> at the Center</w:t>
      </w:r>
      <w:r w:rsidR="00E7024B" w:rsidRPr="056EC8E4">
        <w:rPr>
          <w:rFonts w:asciiTheme="minorHAnsi" w:hAnsiTheme="minorHAnsi"/>
        </w:rPr>
        <w:t xml:space="preserve"> to the seven additional providers that started performing procedures in FY22. </w:t>
      </w:r>
      <w:r w:rsidR="00D65B8E">
        <w:rPr>
          <w:rFonts w:asciiTheme="minorHAnsi" w:hAnsiTheme="minorHAnsi"/>
        </w:rPr>
        <w:t xml:space="preserve">As noted above, the Center does not employ </w:t>
      </w:r>
      <w:proofErr w:type="gramStart"/>
      <w:r w:rsidR="00D65B8E">
        <w:rPr>
          <w:rFonts w:asciiTheme="minorHAnsi" w:hAnsiTheme="minorHAnsi"/>
        </w:rPr>
        <w:t>providers, but</w:t>
      </w:r>
      <w:proofErr w:type="gramEnd"/>
      <w:r w:rsidR="00D65B8E">
        <w:rPr>
          <w:rFonts w:asciiTheme="minorHAnsi" w:hAnsiTheme="minorHAnsi"/>
        </w:rPr>
        <w:t xml:space="preserve"> rather grants surgical privileges and block time to eligible Winchester GI, DHA, and Atrius providers to perform procedures </w:t>
      </w:r>
      <w:r w:rsidR="001676D4">
        <w:rPr>
          <w:rFonts w:asciiTheme="minorHAnsi" w:hAnsiTheme="minorHAnsi"/>
        </w:rPr>
        <w:t>for patients they see in their office</w:t>
      </w:r>
      <w:r w:rsidR="00D65B8E">
        <w:rPr>
          <w:rFonts w:asciiTheme="minorHAnsi" w:hAnsiTheme="minorHAnsi"/>
        </w:rPr>
        <w:t xml:space="preserve">. </w:t>
      </w:r>
      <w:r w:rsidR="001106FD">
        <w:rPr>
          <w:rFonts w:asciiTheme="minorHAnsi" w:hAnsiTheme="minorHAnsi"/>
        </w:rPr>
        <w:t>The Applicant states that increased CRC awareness and changes in CRC screening guidelines that lowered the screening age for average</w:t>
      </w:r>
      <w:r w:rsidR="00036312">
        <w:rPr>
          <w:rFonts w:asciiTheme="minorHAnsi" w:hAnsiTheme="minorHAnsi"/>
        </w:rPr>
        <w:t>-</w:t>
      </w:r>
      <w:r w:rsidR="001106FD">
        <w:rPr>
          <w:rFonts w:asciiTheme="minorHAnsi" w:hAnsiTheme="minorHAnsi"/>
        </w:rPr>
        <w:t xml:space="preserve">risk adults from </w:t>
      </w:r>
      <w:r w:rsidR="00036312">
        <w:rPr>
          <w:rFonts w:asciiTheme="minorHAnsi" w:hAnsiTheme="minorHAnsi"/>
        </w:rPr>
        <w:t xml:space="preserve">age </w:t>
      </w:r>
      <w:r w:rsidR="001106FD">
        <w:rPr>
          <w:rFonts w:asciiTheme="minorHAnsi" w:hAnsiTheme="minorHAnsi"/>
        </w:rPr>
        <w:t>50 to 45 drove the expansion of providers at the</w:t>
      </w:r>
      <w:r w:rsidR="00900845">
        <w:rPr>
          <w:rFonts w:asciiTheme="minorHAnsi" w:hAnsiTheme="minorHAnsi"/>
        </w:rPr>
        <w:t>se</w:t>
      </w:r>
      <w:r w:rsidR="001106FD">
        <w:rPr>
          <w:rFonts w:asciiTheme="minorHAnsi" w:hAnsiTheme="minorHAnsi"/>
        </w:rPr>
        <w:t xml:space="preserve"> practices</w:t>
      </w:r>
      <w:r w:rsidR="006C0D8F">
        <w:rPr>
          <w:rFonts w:asciiTheme="minorHAnsi" w:hAnsiTheme="minorHAnsi"/>
        </w:rPr>
        <w:t xml:space="preserve"> as more patients were referred from primary care to Winchester GI, DHA, and Atrius</w:t>
      </w:r>
      <w:r w:rsidR="009D6BBE">
        <w:rPr>
          <w:rFonts w:asciiTheme="minorHAnsi" w:hAnsiTheme="minorHAnsi"/>
        </w:rPr>
        <w:t>. This increase in referrals</w:t>
      </w:r>
      <w:r w:rsidR="009B1348">
        <w:rPr>
          <w:rFonts w:asciiTheme="minorHAnsi" w:hAnsiTheme="minorHAnsi"/>
        </w:rPr>
        <w:t xml:space="preserve"> requir</w:t>
      </w:r>
      <w:r w:rsidR="009D6BBE">
        <w:rPr>
          <w:rFonts w:asciiTheme="minorHAnsi" w:hAnsiTheme="minorHAnsi"/>
        </w:rPr>
        <w:t>ed</w:t>
      </w:r>
      <w:r w:rsidR="009B1348">
        <w:rPr>
          <w:rFonts w:asciiTheme="minorHAnsi" w:hAnsiTheme="minorHAnsi"/>
        </w:rPr>
        <w:t xml:space="preserve"> more endoscopy providers and more procedural block time</w:t>
      </w:r>
      <w:r w:rsidR="006C0D8F">
        <w:rPr>
          <w:rFonts w:asciiTheme="minorHAnsi" w:hAnsiTheme="minorHAnsi"/>
        </w:rPr>
        <w:t xml:space="preserve">. </w:t>
      </w:r>
      <w:r w:rsidR="00E7024B" w:rsidRPr="056EC8E4">
        <w:rPr>
          <w:rFonts w:asciiTheme="minorHAnsi" w:hAnsiTheme="minorHAnsi"/>
        </w:rPr>
        <w:t xml:space="preserve">The Applicant states that the additional providers account for over 5,500 cases at the Center in FY25, which </w:t>
      </w:r>
      <w:r w:rsidR="006F458A" w:rsidRPr="056EC8E4">
        <w:rPr>
          <w:rFonts w:asciiTheme="minorHAnsi" w:hAnsiTheme="minorHAnsi"/>
        </w:rPr>
        <w:t>makes up</w:t>
      </w:r>
      <w:r w:rsidR="00E7024B" w:rsidRPr="056EC8E4">
        <w:rPr>
          <w:rFonts w:asciiTheme="minorHAnsi" w:hAnsiTheme="minorHAnsi"/>
        </w:rPr>
        <w:t xml:space="preserve"> almost 50% of the Center’s procedure volume in FY25. </w:t>
      </w:r>
      <w:r w:rsidR="00C606DC" w:rsidRPr="056EC8E4">
        <w:rPr>
          <w:rFonts w:asciiTheme="minorHAnsi" w:hAnsiTheme="minorHAnsi"/>
        </w:rPr>
        <w:t xml:space="preserve">Staff note that Winchester Hospital’s total procedure volume also increased since FY22, </w:t>
      </w:r>
      <w:r w:rsidR="00E31C85" w:rsidRPr="056EC8E4">
        <w:rPr>
          <w:rFonts w:asciiTheme="minorHAnsi" w:hAnsiTheme="minorHAnsi"/>
        </w:rPr>
        <w:t xml:space="preserve">along </w:t>
      </w:r>
      <w:r w:rsidR="00C606DC" w:rsidRPr="056EC8E4">
        <w:rPr>
          <w:rFonts w:asciiTheme="minorHAnsi" w:hAnsiTheme="minorHAnsi"/>
        </w:rPr>
        <w:t xml:space="preserve">with </w:t>
      </w:r>
      <w:r w:rsidR="00CA41ED" w:rsidRPr="056EC8E4">
        <w:rPr>
          <w:rFonts w:asciiTheme="minorHAnsi" w:hAnsiTheme="minorHAnsi"/>
        </w:rPr>
        <w:t>the share of procedures performed at the Cente</w:t>
      </w:r>
      <w:r w:rsidR="00E31C85" w:rsidRPr="056EC8E4">
        <w:rPr>
          <w:rFonts w:asciiTheme="minorHAnsi" w:hAnsiTheme="minorHAnsi"/>
        </w:rPr>
        <w:t>r as compared to the Main Campus.</w:t>
      </w:r>
      <w:r w:rsidR="00CA41ED" w:rsidRPr="056EC8E4">
        <w:rPr>
          <w:rFonts w:asciiTheme="minorHAnsi" w:hAnsiTheme="minorHAnsi"/>
        </w:rPr>
        <w:t xml:space="preserve"> </w:t>
      </w:r>
      <w:r w:rsidR="00E7024B" w:rsidRPr="056EC8E4">
        <w:rPr>
          <w:rFonts w:asciiTheme="minorHAnsi" w:hAnsiTheme="minorHAnsi"/>
        </w:rPr>
        <w:t xml:space="preserve"> </w:t>
      </w:r>
    </w:p>
    <w:p w14:paraId="26A83AAB" w14:textId="77777777" w:rsidR="009A13E7" w:rsidRPr="00BD751B" w:rsidRDefault="009A13E7" w:rsidP="00BD751B">
      <w:pPr>
        <w:pStyle w:val="BodyText"/>
        <w:spacing w:line="269" w:lineRule="exact"/>
        <w:rPr>
          <w:rFonts w:asciiTheme="minorHAnsi" w:hAnsiTheme="minorHAnsi"/>
        </w:rPr>
      </w:pPr>
    </w:p>
    <w:p w14:paraId="498FAB76" w14:textId="6CCE2BDD" w:rsidR="007C6412" w:rsidRPr="000C0C14" w:rsidRDefault="00244699" w:rsidP="76986DFC">
      <w:pPr>
        <w:pStyle w:val="BodyText"/>
        <w:spacing w:line="269" w:lineRule="exact"/>
        <w:rPr>
          <w:rFonts w:asciiTheme="minorHAnsi" w:hAnsiTheme="minorHAnsi"/>
          <w:b/>
          <w:bCs/>
        </w:rPr>
      </w:pPr>
      <w:r w:rsidRPr="76986DFC">
        <w:rPr>
          <w:rFonts w:asciiTheme="minorHAnsi" w:hAnsiTheme="minorHAnsi"/>
          <w:b/>
          <w:bCs/>
          <w:u w:val="single"/>
        </w:rPr>
        <w:t xml:space="preserve">Table </w:t>
      </w:r>
      <w:r w:rsidR="00A15FBE" w:rsidRPr="76986DFC">
        <w:rPr>
          <w:rFonts w:asciiTheme="minorHAnsi" w:hAnsiTheme="minorHAnsi"/>
          <w:b/>
          <w:bCs/>
          <w:u w:val="single"/>
        </w:rPr>
        <w:t>1</w:t>
      </w:r>
      <w:r w:rsidR="00432CBD" w:rsidRPr="76986DFC">
        <w:rPr>
          <w:rFonts w:asciiTheme="minorHAnsi" w:hAnsiTheme="minorHAnsi"/>
          <w:b/>
          <w:bCs/>
          <w:u w:val="single"/>
        </w:rPr>
        <w:t>2</w:t>
      </w:r>
      <w:r w:rsidRPr="76986DFC">
        <w:rPr>
          <w:rFonts w:asciiTheme="minorHAnsi" w:hAnsiTheme="minorHAnsi"/>
          <w:b/>
          <w:bCs/>
        </w:rPr>
        <w:t xml:space="preserve">: </w:t>
      </w:r>
      <w:r w:rsidR="00267A93" w:rsidRPr="76986DFC">
        <w:rPr>
          <w:rFonts w:asciiTheme="minorHAnsi" w:hAnsiTheme="minorHAnsi"/>
          <w:b/>
          <w:bCs/>
        </w:rPr>
        <w:t xml:space="preserve">Winchester Hospital </w:t>
      </w:r>
      <w:r w:rsidR="00E42873" w:rsidRPr="76986DFC">
        <w:rPr>
          <w:rFonts w:asciiTheme="minorHAnsi" w:hAnsiTheme="minorHAnsi"/>
          <w:b/>
          <w:bCs/>
        </w:rPr>
        <w:t>Endoscopy</w:t>
      </w:r>
      <w:r w:rsidR="00F25A33" w:rsidRPr="76986DFC">
        <w:rPr>
          <w:rFonts w:asciiTheme="minorHAnsi" w:hAnsiTheme="minorHAnsi"/>
          <w:b/>
          <w:bCs/>
        </w:rPr>
        <w:t xml:space="preserve"> Procedures</w:t>
      </w:r>
      <w:r w:rsidRPr="76986DFC">
        <w:rPr>
          <w:rFonts w:asciiTheme="minorHAnsi" w:hAnsiTheme="minorHAnsi"/>
          <w:b/>
          <w:bCs/>
        </w:rPr>
        <w:t xml:space="preserve">, FY22 to FY25  </w:t>
      </w:r>
    </w:p>
    <w:tbl>
      <w:tblPr>
        <w:tblW w:w="101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Winchester Hospital Endoscopy Procedures, FY22 to FY25"/>
      </w:tblPr>
      <w:tblGrid>
        <w:gridCol w:w="2253"/>
        <w:gridCol w:w="672"/>
        <w:gridCol w:w="917"/>
        <w:gridCol w:w="672"/>
        <w:gridCol w:w="917"/>
        <w:gridCol w:w="773"/>
        <w:gridCol w:w="917"/>
        <w:gridCol w:w="773"/>
        <w:gridCol w:w="917"/>
        <w:gridCol w:w="1354"/>
      </w:tblGrid>
      <w:tr w:rsidR="00EC75E1" w:rsidRPr="00B36095" w14:paraId="000DFA52" w14:textId="77777777" w:rsidTr="002E075D">
        <w:trPr>
          <w:cantSplit/>
          <w:trHeight w:val="870"/>
        </w:trPr>
        <w:tc>
          <w:tcPr>
            <w:tcW w:w="0" w:type="auto"/>
            <w:shd w:val="clear" w:color="000000" w:fill="DAE9F8"/>
            <w:noWrap/>
            <w:vAlign w:val="bottom"/>
            <w:hideMark/>
          </w:tcPr>
          <w:p w14:paraId="4CCE822A" w14:textId="77777777" w:rsidR="00B36095" w:rsidRPr="00B36095" w:rsidRDefault="00B36095" w:rsidP="00B36095">
            <w:pPr>
              <w:widowControl/>
              <w:autoSpaceDE/>
              <w:autoSpaceDN/>
              <w:rPr>
                <w:rFonts w:asciiTheme="minorHAnsi" w:eastAsia="Times New Roman" w:hAnsiTheme="minorHAnsi"/>
                <w:b/>
                <w:bCs/>
                <w:color w:val="000000"/>
                <w:sz w:val="20"/>
              </w:rPr>
            </w:pPr>
            <w:r w:rsidRPr="00B36095">
              <w:rPr>
                <w:rFonts w:asciiTheme="minorHAnsi" w:eastAsia="Times New Roman" w:hAnsiTheme="minorHAnsi"/>
                <w:b/>
                <w:bCs/>
                <w:color w:val="000000"/>
                <w:sz w:val="20"/>
              </w:rPr>
              <w:lastRenderedPageBreak/>
              <w:t>Location</w:t>
            </w:r>
          </w:p>
        </w:tc>
        <w:tc>
          <w:tcPr>
            <w:tcW w:w="0" w:type="auto"/>
            <w:shd w:val="clear" w:color="000000" w:fill="DAE9F8"/>
            <w:noWrap/>
            <w:hideMark/>
          </w:tcPr>
          <w:p w14:paraId="2964562F" w14:textId="77777777" w:rsidR="00B36095" w:rsidRPr="00B36095" w:rsidRDefault="00B36095" w:rsidP="00B36095">
            <w:pPr>
              <w:widowControl/>
              <w:autoSpaceDE/>
              <w:autoSpaceDN/>
              <w:jc w:val="center"/>
              <w:rPr>
                <w:rFonts w:asciiTheme="minorHAnsi" w:eastAsia="Times New Roman" w:hAnsiTheme="minorHAnsi"/>
                <w:b/>
                <w:bCs/>
                <w:color w:val="000000"/>
                <w:sz w:val="20"/>
              </w:rPr>
            </w:pPr>
            <w:r w:rsidRPr="00B36095">
              <w:rPr>
                <w:rFonts w:asciiTheme="minorHAnsi" w:eastAsia="Times New Roman" w:hAnsiTheme="minorHAnsi"/>
                <w:b/>
                <w:bCs/>
                <w:color w:val="000000"/>
                <w:sz w:val="20"/>
              </w:rPr>
              <w:t>FY22</w:t>
            </w:r>
          </w:p>
        </w:tc>
        <w:tc>
          <w:tcPr>
            <w:tcW w:w="0" w:type="auto"/>
            <w:shd w:val="clear" w:color="000000" w:fill="DAE9F8"/>
            <w:hideMark/>
          </w:tcPr>
          <w:p w14:paraId="094B0326" w14:textId="77777777" w:rsidR="00B36095" w:rsidRPr="00B36095" w:rsidRDefault="00B36095" w:rsidP="00B36095">
            <w:pPr>
              <w:widowControl/>
              <w:autoSpaceDE/>
              <w:autoSpaceDN/>
              <w:jc w:val="center"/>
              <w:rPr>
                <w:rFonts w:asciiTheme="minorHAnsi" w:eastAsia="Times New Roman" w:hAnsiTheme="minorHAnsi"/>
                <w:b/>
                <w:bCs/>
                <w:color w:val="000000"/>
                <w:sz w:val="20"/>
              </w:rPr>
            </w:pPr>
            <w:r w:rsidRPr="00B36095">
              <w:rPr>
                <w:rFonts w:asciiTheme="minorHAnsi" w:eastAsia="Times New Roman" w:hAnsiTheme="minorHAnsi"/>
                <w:b/>
                <w:bCs/>
                <w:color w:val="000000"/>
                <w:sz w:val="20"/>
              </w:rPr>
              <w:t>% of Total Volume</w:t>
            </w:r>
          </w:p>
        </w:tc>
        <w:tc>
          <w:tcPr>
            <w:tcW w:w="0" w:type="auto"/>
            <w:shd w:val="clear" w:color="000000" w:fill="DAE9F8"/>
            <w:noWrap/>
            <w:hideMark/>
          </w:tcPr>
          <w:p w14:paraId="1DC47384" w14:textId="77777777" w:rsidR="00B36095" w:rsidRPr="00B36095" w:rsidRDefault="00B36095" w:rsidP="00B36095">
            <w:pPr>
              <w:widowControl/>
              <w:autoSpaceDE/>
              <w:autoSpaceDN/>
              <w:jc w:val="center"/>
              <w:rPr>
                <w:rFonts w:asciiTheme="minorHAnsi" w:eastAsia="Times New Roman" w:hAnsiTheme="minorHAnsi"/>
                <w:b/>
                <w:bCs/>
                <w:color w:val="000000"/>
                <w:sz w:val="20"/>
              </w:rPr>
            </w:pPr>
            <w:r w:rsidRPr="00B36095">
              <w:rPr>
                <w:rFonts w:asciiTheme="minorHAnsi" w:eastAsia="Times New Roman" w:hAnsiTheme="minorHAnsi"/>
                <w:b/>
                <w:bCs/>
                <w:color w:val="000000"/>
                <w:sz w:val="20"/>
              </w:rPr>
              <w:t>FY23</w:t>
            </w:r>
          </w:p>
        </w:tc>
        <w:tc>
          <w:tcPr>
            <w:tcW w:w="0" w:type="auto"/>
            <w:shd w:val="clear" w:color="000000" w:fill="DAE9F8"/>
            <w:hideMark/>
          </w:tcPr>
          <w:p w14:paraId="149056F6" w14:textId="77777777" w:rsidR="00B36095" w:rsidRPr="00B36095" w:rsidRDefault="00B36095" w:rsidP="00B36095">
            <w:pPr>
              <w:widowControl/>
              <w:autoSpaceDE/>
              <w:autoSpaceDN/>
              <w:jc w:val="center"/>
              <w:rPr>
                <w:rFonts w:asciiTheme="minorHAnsi" w:eastAsia="Times New Roman" w:hAnsiTheme="minorHAnsi"/>
                <w:b/>
                <w:bCs/>
                <w:color w:val="000000"/>
                <w:sz w:val="20"/>
              </w:rPr>
            </w:pPr>
            <w:r w:rsidRPr="00B36095">
              <w:rPr>
                <w:rFonts w:asciiTheme="minorHAnsi" w:eastAsia="Times New Roman" w:hAnsiTheme="minorHAnsi"/>
                <w:b/>
                <w:bCs/>
                <w:color w:val="000000"/>
                <w:sz w:val="20"/>
              </w:rPr>
              <w:t xml:space="preserve">% of Total Volume </w:t>
            </w:r>
          </w:p>
        </w:tc>
        <w:tc>
          <w:tcPr>
            <w:tcW w:w="0" w:type="auto"/>
            <w:shd w:val="clear" w:color="000000" w:fill="DAE9F8"/>
            <w:noWrap/>
            <w:hideMark/>
          </w:tcPr>
          <w:p w14:paraId="0064E434" w14:textId="77777777" w:rsidR="00B36095" w:rsidRPr="00B36095" w:rsidRDefault="00B36095" w:rsidP="00B36095">
            <w:pPr>
              <w:widowControl/>
              <w:autoSpaceDE/>
              <w:autoSpaceDN/>
              <w:jc w:val="center"/>
              <w:rPr>
                <w:rFonts w:asciiTheme="minorHAnsi" w:eastAsia="Times New Roman" w:hAnsiTheme="minorHAnsi"/>
                <w:b/>
                <w:bCs/>
                <w:color w:val="000000"/>
                <w:sz w:val="20"/>
              </w:rPr>
            </w:pPr>
            <w:r w:rsidRPr="00B36095">
              <w:rPr>
                <w:rFonts w:asciiTheme="minorHAnsi" w:eastAsia="Times New Roman" w:hAnsiTheme="minorHAnsi"/>
                <w:b/>
                <w:bCs/>
                <w:color w:val="000000"/>
                <w:sz w:val="20"/>
              </w:rPr>
              <w:t>FY24</w:t>
            </w:r>
          </w:p>
        </w:tc>
        <w:tc>
          <w:tcPr>
            <w:tcW w:w="0" w:type="auto"/>
            <w:shd w:val="clear" w:color="000000" w:fill="DAE9F8"/>
            <w:hideMark/>
          </w:tcPr>
          <w:p w14:paraId="39934149" w14:textId="77777777" w:rsidR="00B36095" w:rsidRPr="00B36095" w:rsidRDefault="00B36095" w:rsidP="00B36095">
            <w:pPr>
              <w:widowControl/>
              <w:autoSpaceDE/>
              <w:autoSpaceDN/>
              <w:jc w:val="center"/>
              <w:rPr>
                <w:rFonts w:asciiTheme="minorHAnsi" w:eastAsia="Times New Roman" w:hAnsiTheme="minorHAnsi"/>
                <w:b/>
                <w:bCs/>
                <w:color w:val="000000"/>
                <w:sz w:val="20"/>
              </w:rPr>
            </w:pPr>
            <w:r w:rsidRPr="00B36095">
              <w:rPr>
                <w:rFonts w:asciiTheme="minorHAnsi" w:eastAsia="Times New Roman" w:hAnsiTheme="minorHAnsi"/>
                <w:b/>
                <w:bCs/>
                <w:color w:val="000000"/>
                <w:sz w:val="20"/>
              </w:rPr>
              <w:t xml:space="preserve">% of Total Volume </w:t>
            </w:r>
          </w:p>
        </w:tc>
        <w:tc>
          <w:tcPr>
            <w:tcW w:w="0" w:type="auto"/>
            <w:shd w:val="clear" w:color="000000" w:fill="DAE9F8"/>
            <w:noWrap/>
            <w:hideMark/>
          </w:tcPr>
          <w:p w14:paraId="613C4F4E" w14:textId="77777777" w:rsidR="00B36095" w:rsidRPr="00B36095" w:rsidRDefault="00B36095" w:rsidP="00B36095">
            <w:pPr>
              <w:widowControl/>
              <w:autoSpaceDE/>
              <w:autoSpaceDN/>
              <w:jc w:val="center"/>
              <w:rPr>
                <w:rFonts w:asciiTheme="minorHAnsi" w:eastAsia="Times New Roman" w:hAnsiTheme="minorHAnsi"/>
                <w:b/>
                <w:bCs/>
                <w:color w:val="000000"/>
                <w:sz w:val="20"/>
              </w:rPr>
            </w:pPr>
            <w:r w:rsidRPr="00B36095">
              <w:rPr>
                <w:rFonts w:asciiTheme="minorHAnsi" w:eastAsia="Times New Roman" w:hAnsiTheme="minorHAnsi"/>
                <w:b/>
                <w:bCs/>
                <w:color w:val="000000"/>
                <w:sz w:val="20"/>
              </w:rPr>
              <w:t>FY25</w:t>
            </w:r>
          </w:p>
        </w:tc>
        <w:tc>
          <w:tcPr>
            <w:tcW w:w="0" w:type="auto"/>
            <w:shd w:val="clear" w:color="000000" w:fill="DAE9F8"/>
            <w:hideMark/>
          </w:tcPr>
          <w:p w14:paraId="61BB5DFE" w14:textId="77777777" w:rsidR="00B36095" w:rsidRPr="00B36095" w:rsidRDefault="00B36095" w:rsidP="00B36095">
            <w:pPr>
              <w:widowControl/>
              <w:autoSpaceDE/>
              <w:autoSpaceDN/>
              <w:jc w:val="center"/>
              <w:rPr>
                <w:rFonts w:asciiTheme="minorHAnsi" w:eastAsia="Times New Roman" w:hAnsiTheme="minorHAnsi"/>
                <w:b/>
                <w:bCs/>
                <w:color w:val="000000"/>
                <w:sz w:val="20"/>
              </w:rPr>
            </w:pPr>
            <w:r w:rsidRPr="00B36095">
              <w:rPr>
                <w:rFonts w:asciiTheme="minorHAnsi" w:eastAsia="Times New Roman" w:hAnsiTheme="minorHAnsi"/>
                <w:b/>
                <w:bCs/>
                <w:color w:val="000000"/>
                <w:sz w:val="20"/>
              </w:rPr>
              <w:t xml:space="preserve">% of Total Volume </w:t>
            </w:r>
          </w:p>
        </w:tc>
        <w:tc>
          <w:tcPr>
            <w:tcW w:w="1354" w:type="dxa"/>
            <w:shd w:val="clear" w:color="000000" w:fill="DAE9F8"/>
            <w:hideMark/>
          </w:tcPr>
          <w:p w14:paraId="6C11C05F" w14:textId="77777777" w:rsidR="00B36095" w:rsidRPr="00B36095" w:rsidRDefault="00B36095" w:rsidP="00B36095">
            <w:pPr>
              <w:widowControl/>
              <w:autoSpaceDE/>
              <w:autoSpaceDN/>
              <w:jc w:val="center"/>
              <w:rPr>
                <w:rFonts w:asciiTheme="minorHAnsi" w:eastAsia="Times New Roman" w:hAnsiTheme="minorHAnsi"/>
                <w:b/>
                <w:bCs/>
                <w:color w:val="000000"/>
                <w:sz w:val="20"/>
              </w:rPr>
            </w:pPr>
            <w:r w:rsidRPr="00B36095">
              <w:rPr>
                <w:rFonts w:asciiTheme="minorHAnsi" w:eastAsia="Times New Roman" w:hAnsiTheme="minorHAnsi"/>
                <w:b/>
                <w:bCs/>
                <w:color w:val="000000"/>
                <w:sz w:val="20"/>
              </w:rPr>
              <w:t xml:space="preserve">% Change                            FY22 to FY25 </w:t>
            </w:r>
          </w:p>
        </w:tc>
      </w:tr>
      <w:tr w:rsidR="00EC75E1" w:rsidRPr="00B36095" w14:paraId="2A411853" w14:textId="77777777" w:rsidTr="002E075D">
        <w:trPr>
          <w:cantSplit/>
          <w:trHeight w:val="290"/>
        </w:trPr>
        <w:tc>
          <w:tcPr>
            <w:tcW w:w="0" w:type="auto"/>
            <w:noWrap/>
            <w:vAlign w:val="bottom"/>
            <w:hideMark/>
          </w:tcPr>
          <w:p w14:paraId="3348CE5E" w14:textId="1BABB2CA" w:rsidR="00B36095" w:rsidRPr="00B36095" w:rsidRDefault="00EC75E1" w:rsidP="00B36095">
            <w:pPr>
              <w:widowControl/>
              <w:autoSpaceDE/>
              <w:autoSpaceDN/>
              <w:rPr>
                <w:rFonts w:asciiTheme="minorHAnsi" w:eastAsia="Times New Roman" w:hAnsiTheme="minorHAnsi"/>
                <w:color w:val="000000"/>
                <w:sz w:val="20"/>
              </w:rPr>
            </w:pPr>
            <w:r>
              <w:rPr>
                <w:rFonts w:asciiTheme="minorHAnsi" w:eastAsia="Times New Roman" w:hAnsiTheme="minorHAnsi"/>
                <w:color w:val="000000"/>
                <w:sz w:val="20"/>
              </w:rPr>
              <w:t xml:space="preserve">The </w:t>
            </w:r>
            <w:r w:rsidR="00B36095" w:rsidRPr="00B36095">
              <w:rPr>
                <w:rFonts w:asciiTheme="minorHAnsi" w:eastAsia="Times New Roman" w:hAnsiTheme="minorHAnsi"/>
                <w:color w:val="000000"/>
                <w:sz w:val="20"/>
              </w:rPr>
              <w:t>Center</w:t>
            </w:r>
          </w:p>
        </w:tc>
        <w:tc>
          <w:tcPr>
            <w:tcW w:w="0" w:type="auto"/>
            <w:noWrap/>
            <w:vAlign w:val="bottom"/>
            <w:hideMark/>
          </w:tcPr>
          <w:p w14:paraId="0B21B6EF"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3,674</w:t>
            </w:r>
          </w:p>
        </w:tc>
        <w:tc>
          <w:tcPr>
            <w:tcW w:w="0" w:type="auto"/>
            <w:noWrap/>
            <w:vAlign w:val="bottom"/>
            <w:hideMark/>
          </w:tcPr>
          <w:p w14:paraId="27739437"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75%</w:t>
            </w:r>
          </w:p>
        </w:tc>
        <w:tc>
          <w:tcPr>
            <w:tcW w:w="0" w:type="auto"/>
            <w:noWrap/>
            <w:vAlign w:val="bottom"/>
            <w:hideMark/>
          </w:tcPr>
          <w:p w14:paraId="1809CDF6"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6,634</w:t>
            </w:r>
          </w:p>
        </w:tc>
        <w:tc>
          <w:tcPr>
            <w:tcW w:w="0" w:type="auto"/>
            <w:noWrap/>
            <w:vAlign w:val="bottom"/>
            <w:hideMark/>
          </w:tcPr>
          <w:p w14:paraId="4B2F10E3"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80%</w:t>
            </w:r>
          </w:p>
        </w:tc>
        <w:tc>
          <w:tcPr>
            <w:tcW w:w="0" w:type="auto"/>
            <w:noWrap/>
            <w:vAlign w:val="bottom"/>
            <w:hideMark/>
          </w:tcPr>
          <w:p w14:paraId="67A7A8FB"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8,671</w:t>
            </w:r>
          </w:p>
        </w:tc>
        <w:tc>
          <w:tcPr>
            <w:tcW w:w="0" w:type="auto"/>
            <w:noWrap/>
            <w:vAlign w:val="bottom"/>
            <w:hideMark/>
          </w:tcPr>
          <w:p w14:paraId="260AA131"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78%</w:t>
            </w:r>
          </w:p>
        </w:tc>
        <w:tc>
          <w:tcPr>
            <w:tcW w:w="0" w:type="auto"/>
            <w:noWrap/>
            <w:vAlign w:val="bottom"/>
            <w:hideMark/>
          </w:tcPr>
          <w:p w14:paraId="00D69FE2"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11,079</w:t>
            </w:r>
          </w:p>
        </w:tc>
        <w:tc>
          <w:tcPr>
            <w:tcW w:w="0" w:type="auto"/>
            <w:noWrap/>
            <w:vAlign w:val="bottom"/>
            <w:hideMark/>
          </w:tcPr>
          <w:p w14:paraId="44C054BA"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80%</w:t>
            </w:r>
          </w:p>
        </w:tc>
        <w:tc>
          <w:tcPr>
            <w:tcW w:w="1354" w:type="dxa"/>
            <w:noWrap/>
            <w:vAlign w:val="bottom"/>
            <w:hideMark/>
          </w:tcPr>
          <w:p w14:paraId="217F432F"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202%</w:t>
            </w:r>
          </w:p>
        </w:tc>
      </w:tr>
      <w:tr w:rsidR="00EC75E1" w:rsidRPr="00B36095" w14:paraId="3C99DB60" w14:textId="77777777" w:rsidTr="002E075D">
        <w:trPr>
          <w:cantSplit/>
          <w:trHeight w:val="290"/>
        </w:trPr>
        <w:tc>
          <w:tcPr>
            <w:tcW w:w="0" w:type="auto"/>
            <w:noWrap/>
            <w:vAlign w:val="bottom"/>
            <w:hideMark/>
          </w:tcPr>
          <w:p w14:paraId="563E0602" w14:textId="44A4ED62" w:rsidR="00EC75E1" w:rsidRDefault="00EC75E1" w:rsidP="00B36095">
            <w:pPr>
              <w:widowControl/>
              <w:autoSpaceDE/>
              <w:autoSpaceDN/>
              <w:rPr>
                <w:rFonts w:asciiTheme="minorHAnsi" w:eastAsia="Times New Roman" w:hAnsiTheme="minorHAnsi"/>
                <w:color w:val="000000"/>
                <w:sz w:val="20"/>
              </w:rPr>
            </w:pPr>
            <w:r>
              <w:rPr>
                <w:rFonts w:asciiTheme="minorHAnsi" w:eastAsia="Times New Roman" w:hAnsiTheme="minorHAnsi"/>
                <w:color w:val="000000"/>
                <w:sz w:val="20"/>
              </w:rPr>
              <w:t xml:space="preserve">Winchester Hospital </w:t>
            </w:r>
            <w:r w:rsidR="007E219A">
              <w:rPr>
                <w:rFonts w:asciiTheme="minorHAnsi" w:eastAsia="Times New Roman" w:hAnsiTheme="minorHAnsi"/>
                <w:color w:val="000000"/>
                <w:sz w:val="20"/>
              </w:rPr>
              <w:t>-</w:t>
            </w:r>
          </w:p>
          <w:p w14:paraId="1E4EEF1D" w14:textId="2F462A2F" w:rsidR="00B36095" w:rsidRPr="00B36095" w:rsidRDefault="00B36095" w:rsidP="00B36095">
            <w:pPr>
              <w:widowControl/>
              <w:autoSpaceDE/>
              <w:autoSpaceDN/>
              <w:rPr>
                <w:rFonts w:asciiTheme="minorHAnsi" w:eastAsia="Times New Roman" w:hAnsiTheme="minorHAnsi"/>
                <w:color w:val="000000"/>
                <w:sz w:val="20"/>
              </w:rPr>
            </w:pPr>
            <w:r w:rsidRPr="00B36095">
              <w:rPr>
                <w:rFonts w:asciiTheme="minorHAnsi" w:eastAsia="Times New Roman" w:hAnsiTheme="minorHAnsi"/>
                <w:color w:val="000000"/>
                <w:sz w:val="20"/>
              </w:rPr>
              <w:t>Main Campus</w:t>
            </w:r>
            <w:r w:rsidR="007E219A">
              <w:rPr>
                <w:rFonts w:asciiTheme="minorHAnsi" w:eastAsia="Times New Roman" w:hAnsiTheme="minorHAnsi"/>
                <w:color w:val="000000"/>
                <w:sz w:val="20"/>
              </w:rPr>
              <w:t xml:space="preserve"> Endoscopy</w:t>
            </w:r>
          </w:p>
        </w:tc>
        <w:tc>
          <w:tcPr>
            <w:tcW w:w="0" w:type="auto"/>
            <w:noWrap/>
            <w:vAlign w:val="bottom"/>
            <w:hideMark/>
          </w:tcPr>
          <w:p w14:paraId="5537DF89"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1,194</w:t>
            </w:r>
          </w:p>
        </w:tc>
        <w:tc>
          <w:tcPr>
            <w:tcW w:w="0" w:type="auto"/>
            <w:noWrap/>
            <w:vAlign w:val="bottom"/>
            <w:hideMark/>
          </w:tcPr>
          <w:p w14:paraId="5B8766DB"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25%</w:t>
            </w:r>
          </w:p>
        </w:tc>
        <w:tc>
          <w:tcPr>
            <w:tcW w:w="0" w:type="auto"/>
            <w:noWrap/>
            <w:vAlign w:val="bottom"/>
            <w:hideMark/>
          </w:tcPr>
          <w:p w14:paraId="7481C276"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1,622</w:t>
            </w:r>
          </w:p>
        </w:tc>
        <w:tc>
          <w:tcPr>
            <w:tcW w:w="0" w:type="auto"/>
            <w:noWrap/>
            <w:vAlign w:val="bottom"/>
            <w:hideMark/>
          </w:tcPr>
          <w:p w14:paraId="310E2014"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20%</w:t>
            </w:r>
          </w:p>
        </w:tc>
        <w:tc>
          <w:tcPr>
            <w:tcW w:w="0" w:type="auto"/>
            <w:noWrap/>
            <w:vAlign w:val="bottom"/>
            <w:hideMark/>
          </w:tcPr>
          <w:p w14:paraId="05F178CF"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2,456</w:t>
            </w:r>
          </w:p>
        </w:tc>
        <w:tc>
          <w:tcPr>
            <w:tcW w:w="0" w:type="auto"/>
            <w:noWrap/>
            <w:vAlign w:val="bottom"/>
            <w:hideMark/>
          </w:tcPr>
          <w:p w14:paraId="1BB45300"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22%</w:t>
            </w:r>
          </w:p>
        </w:tc>
        <w:tc>
          <w:tcPr>
            <w:tcW w:w="0" w:type="auto"/>
            <w:noWrap/>
            <w:vAlign w:val="bottom"/>
            <w:hideMark/>
          </w:tcPr>
          <w:p w14:paraId="6FE0EA82"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2,720</w:t>
            </w:r>
          </w:p>
        </w:tc>
        <w:tc>
          <w:tcPr>
            <w:tcW w:w="0" w:type="auto"/>
            <w:noWrap/>
            <w:vAlign w:val="bottom"/>
            <w:hideMark/>
          </w:tcPr>
          <w:p w14:paraId="22917052"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20%</w:t>
            </w:r>
          </w:p>
        </w:tc>
        <w:tc>
          <w:tcPr>
            <w:tcW w:w="1354" w:type="dxa"/>
            <w:noWrap/>
            <w:vAlign w:val="bottom"/>
            <w:hideMark/>
          </w:tcPr>
          <w:p w14:paraId="408EAD44" w14:textId="77777777" w:rsidR="00B36095" w:rsidRPr="00B36095" w:rsidRDefault="00B36095" w:rsidP="00B36095">
            <w:pPr>
              <w:widowControl/>
              <w:autoSpaceDE/>
              <w:autoSpaceDN/>
              <w:jc w:val="center"/>
              <w:rPr>
                <w:rFonts w:asciiTheme="minorHAnsi" w:eastAsia="Times New Roman" w:hAnsiTheme="minorHAnsi"/>
                <w:color w:val="000000"/>
                <w:sz w:val="20"/>
              </w:rPr>
            </w:pPr>
            <w:r w:rsidRPr="00B36095">
              <w:rPr>
                <w:rFonts w:asciiTheme="minorHAnsi" w:eastAsia="Times New Roman" w:hAnsiTheme="minorHAnsi"/>
                <w:color w:val="000000"/>
                <w:sz w:val="20"/>
              </w:rPr>
              <w:t>128%</w:t>
            </w:r>
          </w:p>
        </w:tc>
      </w:tr>
      <w:tr w:rsidR="00EC75E1" w:rsidRPr="00B36095" w14:paraId="6618BAC3" w14:textId="77777777" w:rsidTr="002E075D">
        <w:trPr>
          <w:cantSplit/>
          <w:trHeight w:val="290"/>
        </w:trPr>
        <w:tc>
          <w:tcPr>
            <w:tcW w:w="0" w:type="auto"/>
            <w:noWrap/>
            <w:vAlign w:val="bottom"/>
            <w:hideMark/>
          </w:tcPr>
          <w:p w14:paraId="7581CB43" w14:textId="77777777" w:rsidR="00B36095" w:rsidRPr="00A17DFA" w:rsidRDefault="00B36095" w:rsidP="00B36095">
            <w:pPr>
              <w:widowControl/>
              <w:autoSpaceDE/>
              <w:autoSpaceDN/>
              <w:rPr>
                <w:rFonts w:asciiTheme="minorHAnsi" w:eastAsia="Times New Roman" w:hAnsiTheme="minorHAnsi"/>
                <w:color w:val="000000"/>
                <w:sz w:val="20"/>
              </w:rPr>
            </w:pPr>
            <w:r w:rsidRPr="00A17DFA">
              <w:rPr>
                <w:rFonts w:asciiTheme="minorHAnsi" w:eastAsia="Times New Roman" w:hAnsiTheme="minorHAnsi"/>
                <w:color w:val="000000"/>
                <w:sz w:val="20"/>
              </w:rPr>
              <w:t xml:space="preserve">Total Procedure Volume </w:t>
            </w:r>
          </w:p>
        </w:tc>
        <w:tc>
          <w:tcPr>
            <w:tcW w:w="0" w:type="auto"/>
            <w:noWrap/>
            <w:vAlign w:val="bottom"/>
            <w:hideMark/>
          </w:tcPr>
          <w:p w14:paraId="0F5FBDEE" w14:textId="77777777" w:rsidR="00B36095" w:rsidRPr="00A17DFA" w:rsidRDefault="00B36095" w:rsidP="00B36095">
            <w:pPr>
              <w:widowControl/>
              <w:autoSpaceDE/>
              <w:autoSpaceDN/>
              <w:jc w:val="center"/>
              <w:rPr>
                <w:rFonts w:asciiTheme="minorHAnsi" w:eastAsia="Times New Roman" w:hAnsiTheme="minorHAnsi"/>
                <w:color w:val="000000"/>
                <w:sz w:val="20"/>
              </w:rPr>
            </w:pPr>
            <w:r w:rsidRPr="00A17DFA">
              <w:rPr>
                <w:rFonts w:asciiTheme="minorHAnsi" w:eastAsia="Times New Roman" w:hAnsiTheme="minorHAnsi"/>
                <w:color w:val="000000"/>
                <w:sz w:val="20"/>
              </w:rPr>
              <w:t>4,868</w:t>
            </w:r>
          </w:p>
        </w:tc>
        <w:tc>
          <w:tcPr>
            <w:tcW w:w="0" w:type="auto"/>
            <w:noWrap/>
            <w:vAlign w:val="bottom"/>
            <w:hideMark/>
          </w:tcPr>
          <w:p w14:paraId="67061F36" w14:textId="77777777" w:rsidR="00B36095" w:rsidRPr="00A17DFA" w:rsidRDefault="00B36095" w:rsidP="00B36095">
            <w:pPr>
              <w:widowControl/>
              <w:autoSpaceDE/>
              <w:autoSpaceDN/>
              <w:jc w:val="center"/>
              <w:rPr>
                <w:rFonts w:asciiTheme="minorHAnsi" w:eastAsia="Times New Roman" w:hAnsiTheme="minorHAnsi"/>
                <w:color w:val="000000"/>
                <w:sz w:val="20"/>
              </w:rPr>
            </w:pPr>
            <w:r w:rsidRPr="00A17DFA">
              <w:rPr>
                <w:rFonts w:asciiTheme="minorHAnsi" w:eastAsia="Times New Roman" w:hAnsiTheme="minorHAnsi"/>
                <w:color w:val="000000"/>
                <w:sz w:val="20"/>
              </w:rPr>
              <w:t>100%</w:t>
            </w:r>
          </w:p>
        </w:tc>
        <w:tc>
          <w:tcPr>
            <w:tcW w:w="0" w:type="auto"/>
            <w:noWrap/>
            <w:vAlign w:val="bottom"/>
            <w:hideMark/>
          </w:tcPr>
          <w:p w14:paraId="70E84CF5" w14:textId="77777777" w:rsidR="00B36095" w:rsidRPr="00A17DFA" w:rsidRDefault="00B36095" w:rsidP="00B36095">
            <w:pPr>
              <w:widowControl/>
              <w:autoSpaceDE/>
              <w:autoSpaceDN/>
              <w:jc w:val="center"/>
              <w:rPr>
                <w:rFonts w:asciiTheme="minorHAnsi" w:eastAsia="Times New Roman" w:hAnsiTheme="minorHAnsi"/>
                <w:color w:val="000000"/>
                <w:sz w:val="20"/>
              </w:rPr>
            </w:pPr>
            <w:r w:rsidRPr="00A17DFA">
              <w:rPr>
                <w:rFonts w:asciiTheme="minorHAnsi" w:eastAsia="Times New Roman" w:hAnsiTheme="minorHAnsi"/>
                <w:color w:val="000000"/>
                <w:sz w:val="20"/>
              </w:rPr>
              <w:t>8,256</w:t>
            </w:r>
          </w:p>
        </w:tc>
        <w:tc>
          <w:tcPr>
            <w:tcW w:w="0" w:type="auto"/>
            <w:noWrap/>
            <w:vAlign w:val="bottom"/>
            <w:hideMark/>
          </w:tcPr>
          <w:p w14:paraId="1ADD33E4" w14:textId="77777777" w:rsidR="00B36095" w:rsidRPr="00A17DFA" w:rsidRDefault="00B36095" w:rsidP="00B36095">
            <w:pPr>
              <w:widowControl/>
              <w:autoSpaceDE/>
              <w:autoSpaceDN/>
              <w:jc w:val="center"/>
              <w:rPr>
                <w:rFonts w:asciiTheme="minorHAnsi" w:eastAsia="Times New Roman" w:hAnsiTheme="minorHAnsi"/>
                <w:color w:val="000000"/>
                <w:sz w:val="20"/>
              </w:rPr>
            </w:pPr>
            <w:r w:rsidRPr="00A17DFA">
              <w:rPr>
                <w:rFonts w:asciiTheme="minorHAnsi" w:eastAsia="Times New Roman" w:hAnsiTheme="minorHAnsi"/>
                <w:color w:val="000000"/>
                <w:sz w:val="20"/>
              </w:rPr>
              <w:t>100%</w:t>
            </w:r>
          </w:p>
        </w:tc>
        <w:tc>
          <w:tcPr>
            <w:tcW w:w="0" w:type="auto"/>
            <w:noWrap/>
            <w:vAlign w:val="bottom"/>
            <w:hideMark/>
          </w:tcPr>
          <w:p w14:paraId="331C600F" w14:textId="77777777" w:rsidR="00B36095" w:rsidRPr="00A17DFA" w:rsidRDefault="00B36095" w:rsidP="00B36095">
            <w:pPr>
              <w:widowControl/>
              <w:autoSpaceDE/>
              <w:autoSpaceDN/>
              <w:jc w:val="center"/>
              <w:rPr>
                <w:rFonts w:asciiTheme="minorHAnsi" w:eastAsia="Times New Roman" w:hAnsiTheme="minorHAnsi"/>
                <w:color w:val="000000"/>
                <w:sz w:val="20"/>
              </w:rPr>
            </w:pPr>
            <w:r w:rsidRPr="00A17DFA">
              <w:rPr>
                <w:rFonts w:asciiTheme="minorHAnsi" w:eastAsia="Times New Roman" w:hAnsiTheme="minorHAnsi"/>
                <w:color w:val="000000"/>
                <w:sz w:val="20"/>
              </w:rPr>
              <w:t>11,127</w:t>
            </w:r>
          </w:p>
        </w:tc>
        <w:tc>
          <w:tcPr>
            <w:tcW w:w="0" w:type="auto"/>
            <w:noWrap/>
            <w:vAlign w:val="bottom"/>
            <w:hideMark/>
          </w:tcPr>
          <w:p w14:paraId="629DFC0F" w14:textId="77777777" w:rsidR="00B36095" w:rsidRPr="00A17DFA" w:rsidRDefault="00B36095" w:rsidP="00B36095">
            <w:pPr>
              <w:widowControl/>
              <w:autoSpaceDE/>
              <w:autoSpaceDN/>
              <w:jc w:val="center"/>
              <w:rPr>
                <w:rFonts w:asciiTheme="minorHAnsi" w:eastAsia="Times New Roman" w:hAnsiTheme="minorHAnsi"/>
                <w:color w:val="000000"/>
                <w:sz w:val="20"/>
              </w:rPr>
            </w:pPr>
            <w:r w:rsidRPr="00A17DFA">
              <w:rPr>
                <w:rFonts w:asciiTheme="minorHAnsi" w:eastAsia="Times New Roman" w:hAnsiTheme="minorHAnsi"/>
                <w:color w:val="000000"/>
                <w:sz w:val="20"/>
              </w:rPr>
              <w:t>100%</w:t>
            </w:r>
          </w:p>
        </w:tc>
        <w:tc>
          <w:tcPr>
            <w:tcW w:w="0" w:type="auto"/>
            <w:noWrap/>
            <w:vAlign w:val="bottom"/>
            <w:hideMark/>
          </w:tcPr>
          <w:p w14:paraId="61DBB8C5" w14:textId="77777777" w:rsidR="00B36095" w:rsidRPr="00A17DFA" w:rsidRDefault="00B36095" w:rsidP="00B36095">
            <w:pPr>
              <w:widowControl/>
              <w:autoSpaceDE/>
              <w:autoSpaceDN/>
              <w:jc w:val="center"/>
              <w:rPr>
                <w:rFonts w:asciiTheme="minorHAnsi" w:eastAsia="Times New Roman" w:hAnsiTheme="minorHAnsi"/>
                <w:color w:val="000000"/>
                <w:sz w:val="20"/>
              </w:rPr>
            </w:pPr>
            <w:r w:rsidRPr="00A17DFA">
              <w:rPr>
                <w:rFonts w:asciiTheme="minorHAnsi" w:eastAsia="Times New Roman" w:hAnsiTheme="minorHAnsi"/>
                <w:color w:val="000000"/>
                <w:sz w:val="20"/>
              </w:rPr>
              <w:t>13,799</w:t>
            </w:r>
          </w:p>
        </w:tc>
        <w:tc>
          <w:tcPr>
            <w:tcW w:w="0" w:type="auto"/>
            <w:noWrap/>
            <w:vAlign w:val="bottom"/>
            <w:hideMark/>
          </w:tcPr>
          <w:p w14:paraId="454C37EE" w14:textId="77777777" w:rsidR="00B36095" w:rsidRPr="00A17DFA" w:rsidRDefault="00B36095" w:rsidP="00B36095">
            <w:pPr>
              <w:widowControl/>
              <w:autoSpaceDE/>
              <w:autoSpaceDN/>
              <w:jc w:val="center"/>
              <w:rPr>
                <w:rFonts w:asciiTheme="minorHAnsi" w:eastAsia="Times New Roman" w:hAnsiTheme="minorHAnsi"/>
                <w:color w:val="000000"/>
                <w:sz w:val="20"/>
              </w:rPr>
            </w:pPr>
            <w:r w:rsidRPr="00A17DFA">
              <w:rPr>
                <w:rFonts w:asciiTheme="minorHAnsi" w:eastAsia="Times New Roman" w:hAnsiTheme="minorHAnsi"/>
                <w:color w:val="000000"/>
                <w:sz w:val="20"/>
              </w:rPr>
              <w:t>100%</w:t>
            </w:r>
          </w:p>
        </w:tc>
        <w:tc>
          <w:tcPr>
            <w:tcW w:w="1354" w:type="dxa"/>
            <w:noWrap/>
            <w:vAlign w:val="bottom"/>
            <w:hideMark/>
          </w:tcPr>
          <w:p w14:paraId="180A818D" w14:textId="77777777" w:rsidR="00B36095" w:rsidRPr="00A17DFA" w:rsidRDefault="00B36095" w:rsidP="00B36095">
            <w:pPr>
              <w:widowControl/>
              <w:autoSpaceDE/>
              <w:autoSpaceDN/>
              <w:jc w:val="center"/>
              <w:rPr>
                <w:rFonts w:asciiTheme="minorHAnsi" w:eastAsia="Times New Roman" w:hAnsiTheme="minorHAnsi"/>
                <w:color w:val="000000"/>
                <w:sz w:val="20"/>
              </w:rPr>
            </w:pPr>
            <w:r w:rsidRPr="00A17DFA">
              <w:rPr>
                <w:rFonts w:asciiTheme="minorHAnsi" w:eastAsia="Times New Roman" w:hAnsiTheme="minorHAnsi"/>
                <w:color w:val="000000"/>
                <w:sz w:val="20"/>
              </w:rPr>
              <w:t>183%</w:t>
            </w:r>
          </w:p>
        </w:tc>
      </w:tr>
    </w:tbl>
    <w:p w14:paraId="1E16AA9D" w14:textId="77777777" w:rsidR="00DF15F8" w:rsidRDefault="00DF15F8" w:rsidP="00A81E6C">
      <w:pPr>
        <w:pStyle w:val="BodyText"/>
        <w:spacing w:line="269" w:lineRule="exact"/>
        <w:rPr>
          <w:rFonts w:asciiTheme="minorHAnsi" w:hAnsiTheme="minorHAnsi"/>
        </w:rPr>
      </w:pPr>
    </w:p>
    <w:p w14:paraId="057F2C62" w14:textId="1E00A950" w:rsidR="00E01656" w:rsidRDefault="00E01656" w:rsidP="00A81E6C">
      <w:pPr>
        <w:pStyle w:val="BodyText"/>
        <w:spacing w:line="269" w:lineRule="exact"/>
        <w:rPr>
          <w:rFonts w:asciiTheme="minorHAnsi" w:hAnsiTheme="minorHAnsi"/>
        </w:rPr>
      </w:pPr>
      <w:r>
        <w:rPr>
          <w:rFonts w:asciiTheme="minorHAnsi" w:hAnsiTheme="minorHAnsi"/>
        </w:rPr>
        <w:t xml:space="preserve">Table </w:t>
      </w:r>
      <w:r w:rsidR="004E713E">
        <w:rPr>
          <w:rFonts w:asciiTheme="minorHAnsi" w:hAnsiTheme="minorHAnsi"/>
        </w:rPr>
        <w:t>1</w:t>
      </w:r>
      <w:r w:rsidR="008A4FAA">
        <w:rPr>
          <w:rFonts w:asciiTheme="minorHAnsi" w:hAnsiTheme="minorHAnsi"/>
        </w:rPr>
        <w:t>3</w:t>
      </w:r>
      <w:r>
        <w:rPr>
          <w:rFonts w:asciiTheme="minorHAnsi" w:hAnsiTheme="minorHAnsi"/>
        </w:rPr>
        <w:t xml:space="preserve"> shows Year-over-year </w:t>
      </w:r>
      <w:r w:rsidR="00267A93">
        <w:rPr>
          <w:rFonts w:asciiTheme="minorHAnsi" w:hAnsiTheme="minorHAnsi"/>
        </w:rPr>
        <w:t xml:space="preserve">change in </w:t>
      </w:r>
      <w:r w:rsidR="00D00E63">
        <w:rPr>
          <w:rFonts w:asciiTheme="minorHAnsi" w:hAnsiTheme="minorHAnsi"/>
        </w:rPr>
        <w:t xml:space="preserve">endoscopy </w:t>
      </w:r>
      <w:r w:rsidR="00267A93">
        <w:rPr>
          <w:rFonts w:asciiTheme="minorHAnsi" w:hAnsiTheme="minorHAnsi"/>
        </w:rPr>
        <w:t xml:space="preserve">procedures at Winchester Hospital. The Center experienced its largest increase in procedure volume from FY22 to FY23, and the Main Campus experienced its largest increase in procedures </w:t>
      </w:r>
      <w:r w:rsidR="007B596E">
        <w:rPr>
          <w:rFonts w:asciiTheme="minorHAnsi" w:hAnsiTheme="minorHAnsi"/>
        </w:rPr>
        <w:t xml:space="preserve">from FY23 to FY24. </w:t>
      </w:r>
    </w:p>
    <w:p w14:paraId="3B957C5F" w14:textId="77777777" w:rsidR="00267A93" w:rsidRDefault="00267A93" w:rsidP="00A81E6C">
      <w:pPr>
        <w:pStyle w:val="BodyText"/>
        <w:spacing w:line="269" w:lineRule="exact"/>
        <w:rPr>
          <w:rFonts w:asciiTheme="minorHAnsi" w:hAnsiTheme="minorHAnsi"/>
        </w:rPr>
      </w:pPr>
    </w:p>
    <w:p w14:paraId="23A976A7" w14:textId="3F0D461B" w:rsidR="00267A93" w:rsidRPr="00267A93" w:rsidRDefault="00267A93" w:rsidP="00267A93">
      <w:pPr>
        <w:pStyle w:val="BodyText"/>
        <w:rPr>
          <w:rFonts w:asciiTheme="minorHAnsi" w:hAnsiTheme="minorHAnsi"/>
          <w:b/>
          <w:bCs/>
        </w:rPr>
      </w:pPr>
      <w:r w:rsidRPr="00267A93">
        <w:rPr>
          <w:rFonts w:asciiTheme="minorHAnsi" w:hAnsiTheme="minorHAnsi"/>
          <w:b/>
          <w:bCs/>
          <w:u w:val="single"/>
        </w:rPr>
        <w:t xml:space="preserve">Table </w:t>
      </w:r>
      <w:r w:rsidR="00091E32">
        <w:rPr>
          <w:rFonts w:asciiTheme="minorHAnsi" w:hAnsiTheme="minorHAnsi"/>
          <w:b/>
          <w:bCs/>
          <w:u w:val="single"/>
        </w:rPr>
        <w:t>1</w:t>
      </w:r>
      <w:r w:rsidR="008A4FAA">
        <w:rPr>
          <w:rFonts w:asciiTheme="minorHAnsi" w:hAnsiTheme="minorHAnsi"/>
          <w:b/>
          <w:bCs/>
          <w:u w:val="single"/>
        </w:rPr>
        <w:t>3</w:t>
      </w:r>
      <w:r w:rsidRPr="00267A93">
        <w:rPr>
          <w:rFonts w:asciiTheme="minorHAnsi" w:hAnsiTheme="minorHAnsi"/>
          <w:b/>
          <w:bCs/>
        </w:rPr>
        <w:t xml:space="preserve">: Winchester Hospital </w:t>
      </w:r>
      <w:r>
        <w:rPr>
          <w:rFonts w:asciiTheme="minorHAnsi" w:hAnsiTheme="minorHAnsi"/>
          <w:b/>
          <w:bCs/>
        </w:rPr>
        <w:t xml:space="preserve">Year-Over-Year Change in </w:t>
      </w:r>
      <w:r w:rsidR="0090204D">
        <w:rPr>
          <w:rFonts w:asciiTheme="minorHAnsi" w:hAnsiTheme="minorHAnsi"/>
          <w:b/>
          <w:bCs/>
        </w:rPr>
        <w:t>Endoscopy</w:t>
      </w:r>
      <w:r w:rsidRPr="00267A93">
        <w:rPr>
          <w:rFonts w:asciiTheme="minorHAnsi" w:hAnsiTheme="minorHAnsi"/>
          <w:b/>
          <w:bCs/>
        </w:rPr>
        <w:t xml:space="preserve"> Procedures, FY22 to FY25  </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inchester Hospital Year-Over-Year Change in Endoscopy Procedures, FY22 to FY25"/>
      </w:tblPr>
      <w:tblGrid>
        <w:gridCol w:w="2190"/>
        <w:gridCol w:w="672"/>
        <w:gridCol w:w="672"/>
        <w:gridCol w:w="858"/>
        <w:gridCol w:w="672"/>
        <w:gridCol w:w="773"/>
        <w:gridCol w:w="858"/>
        <w:gridCol w:w="773"/>
        <w:gridCol w:w="773"/>
        <w:gridCol w:w="831"/>
        <w:gridCol w:w="1453"/>
      </w:tblGrid>
      <w:tr w:rsidR="00267A93" w14:paraId="1E388985" w14:textId="77777777" w:rsidTr="002E075D">
        <w:trPr>
          <w:cantSplit/>
          <w:trHeight w:val="870"/>
          <w:tblHeader/>
        </w:trPr>
        <w:tc>
          <w:tcPr>
            <w:tcW w:w="0" w:type="auto"/>
            <w:shd w:val="clear" w:color="auto" w:fill="DAE9F8"/>
            <w:noWrap/>
            <w:vAlign w:val="bottom"/>
            <w:hideMark/>
          </w:tcPr>
          <w:p w14:paraId="37E4FFAE" w14:textId="77777777" w:rsidR="00267A93" w:rsidRDefault="00267A93">
            <w:pPr>
              <w:rPr>
                <w:rFonts w:eastAsia="Times New Roman"/>
                <w:b/>
                <w:bCs/>
                <w:color w:val="000000"/>
                <w:sz w:val="20"/>
              </w:rPr>
            </w:pPr>
            <w:r>
              <w:rPr>
                <w:rFonts w:eastAsia="Times New Roman"/>
                <w:b/>
                <w:bCs/>
                <w:color w:val="000000"/>
                <w:sz w:val="20"/>
              </w:rPr>
              <w:t>Location</w:t>
            </w:r>
          </w:p>
        </w:tc>
        <w:tc>
          <w:tcPr>
            <w:tcW w:w="0" w:type="auto"/>
            <w:shd w:val="clear" w:color="auto" w:fill="DAE9F8"/>
            <w:noWrap/>
            <w:hideMark/>
          </w:tcPr>
          <w:p w14:paraId="6731881B" w14:textId="77777777" w:rsidR="00267A93" w:rsidRDefault="00267A93">
            <w:pPr>
              <w:jc w:val="center"/>
              <w:rPr>
                <w:rFonts w:eastAsia="Times New Roman"/>
                <w:b/>
                <w:bCs/>
                <w:color w:val="000000"/>
                <w:sz w:val="20"/>
              </w:rPr>
            </w:pPr>
            <w:r>
              <w:rPr>
                <w:rFonts w:eastAsia="Times New Roman"/>
                <w:b/>
                <w:bCs/>
                <w:color w:val="000000"/>
                <w:sz w:val="20"/>
              </w:rPr>
              <w:t>FY22</w:t>
            </w:r>
          </w:p>
        </w:tc>
        <w:tc>
          <w:tcPr>
            <w:tcW w:w="0" w:type="auto"/>
            <w:shd w:val="clear" w:color="auto" w:fill="DAE9F8"/>
            <w:noWrap/>
            <w:hideMark/>
          </w:tcPr>
          <w:p w14:paraId="723F621A" w14:textId="77777777" w:rsidR="00267A93" w:rsidRDefault="00267A93">
            <w:pPr>
              <w:jc w:val="center"/>
              <w:rPr>
                <w:rFonts w:eastAsia="Times New Roman"/>
                <w:b/>
                <w:bCs/>
                <w:color w:val="000000"/>
                <w:sz w:val="20"/>
              </w:rPr>
            </w:pPr>
            <w:r>
              <w:rPr>
                <w:rFonts w:eastAsia="Times New Roman"/>
                <w:b/>
                <w:bCs/>
                <w:color w:val="000000"/>
                <w:sz w:val="20"/>
              </w:rPr>
              <w:t>FY23</w:t>
            </w:r>
          </w:p>
        </w:tc>
        <w:tc>
          <w:tcPr>
            <w:tcW w:w="0" w:type="auto"/>
            <w:shd w:val="clear" w:color="auto" w:fill="DAE9F8"/>
            <w:hideMark/>
          </w:tcPr>
          <w:p w14:paraId="04A367AD" w14:textId="77777777" w:rsidR="00267A93" w:rsidRDefault="00267A93">
            <w:pPr>
              <w:jc w:val="center"/>
              <w:rPr>
                <w:rFonts w:eastAsia="Times New Roman"/>
                <w:b/>
                <w:bCs/>
                <w:color w:val="000000"/>
                <w:sz w:val="20"/>
              </w:rPr>
            </w:pPr>
            <w:r>
              <w:rPr>
                <w:rFonts w:eastAsia="Times New Roman"/>
                <w:b/>
                <w:bCs/>
                <w:color w:val="000000"/>
                <w:sz w:val="20"/>
              </w:rPr>
              <w:t>% Change FY22-23</w:t>
            </w:r>
          </w:p>
        </w:tc>
        <w:tc>
          <w:tcPr>
            <w:tcW w:w="0" w:type="auto"/>
            <w:shd w:val="clear" w:color="auto" w:fill="DAE9F8"/>
            <w:noWrap/>
            <w:hideMark/>
          </w:tcPr>
          <w:p w14:paraId="0BCCFE70" w14:textId="77777777" w:rsidR="00267A93" w:rsidRDefault="00267A93">
            <w:pPr>
              <w:jc w:val="center"/>
              <w:rPr>
                <w:rFonts w:eastAsia="Times New Roman"/>
                <w:b/>
                <w:bCs/>
                <w:color w:val="000000"/>
                <w:sz w:val="20"/>
              </w:rPr>
            </w:pPr>
            <w:r>
              <w:rPr>
                <w:rFonts w:eastAsia="Times New Roman"/>
                <w:b/>
                <w:bCs/>
                <w:color w:val="000000"/>
                <w:sz w:val="20"/>
              </w:rPr>
              <w:t>FY23</w:t>
            </w:r>
          </w:p>
        </w:tc>
        <w:tc>
          <w:tcPr>
            <w:tcW w:w="0" w:type="auto"/>
            <w:shd w:val="clear" w:color="auto" w:fill="DAE9F8"/>
            <w:noWrap/>
            <w:hideMark/>
          </w:tcPr>
          <w:p w14:paraId="5249D711" w14:textId="77777777" w:rsidR="00267A93" w:rsidRDefault="00267A93">
            <w:pPr>
              <w:jc w:val="center"/>
              <w:rPr>
                <w:rFonts w:eastAsia="Times New Roman"/>
                <w:b/>
                <w:bCs/>
                <w:color w:val="000000"/>
                <w:sz w:val="20"/>
              </w:rPr>
            </w:pPr>
            <w:r>
              <w:rPr>
                <w:rFonts w:eastAsia="Times New Roman"/>
                <w:b/>
                <w:bCs/>
                <w:color w:val="000000"/>
                <w:sz w:val="20"/>
              </w:rPr>
              <w:t>FY24</w:t>
            </w:r>
          </w:p>
        </w:tc>
        <w:tc>
          <w:tcPr>
            <w:tcW w:w="0" w:type="auto"/>
            <w:shd w:val="clear" w:color="auto" w:fill="DAE9F8"/>
            <w:hideMark/>
          </w:tcPr>
          <w:p w14:paraId="75CC92D8" w14:textId="77777777" w:rsidR="00267A93" w:rsidRDefault="00267A93">
            <w:pPr>
              <w:jc w:val="center"/>
              <w:rPr>
                <w:rFonts w:eastAsia="Times New Roman"/>
                <w:b/>
                <w:bCs/>
                <w:color w:val="000000"/>
                <w:sz w:val="20"/>
              </w:rPr>
            </w:pPr>
            <w:r>
              <w:rPr>
                <w:rFonts w:eastAsia="Times New Roman"/>
                <w:b/>
                <w:bCs/>
                <w:color w:val="000000"/>
                <w:sz w:val="20"/>
              </w:rPr>
              <w:t>% Change FY23-24</w:t>
            </w:r>
          </w:p>
        </w:tc>
        <w:tc>
          <w:tcPr>
            <w:tcW w:w="0" w:type="auto"/>
            <w:shd w:val="clear" w:color="auto" w:fill="DAE9F8"/>
            <w:noWrap/>
            <w:hideMark/>
          </w:tcPr>
          <w:p w14:paraId="442A6958" w14:textId="77777777" w:rsidR="00267A93" w:rsidRDefault="00267A93">
            <w:pPr>
              <w:jc w:val="center"/>
              <w:rPr>
                <w:rFonts w:eastAsia="Times New Roman"/>
                <w:b/>
                <w:bCs/>
                <w:color w:val="000000"/>
                <w:sz w:val="20"/>
              </w:rPr>
            </w:pPr>
            <w:r>
              <w:rPr>
                <w:rFonts w:eastAsia="Times New Roman"/>
                <w:b/>
                <w:bCs/>
                <w:color w:val="000000"/>
                <w:sz w:val="20"/>
              </w:rPr>
              <w:t>FY24</w:t>
            </w:r>
          </w:p>
        </w:tc>
        <w:tc>
          <w:tcPr>
            <w:tcW w:w="0" w:type="auto"/>
            <w:shd w:val="clear" w:color="auto" w:fill="DAE9F8"/>
            <w:noWrap/>
            <w:hideMark/>
          </w:tcPr>
          <w:p w14:paraId="2A183EFE" w14:textId="77777777" w:rsidR="00267A93" w:rsidRDefault="00267A93">
            <w:pPr>
              <w:jc w:val="center"/>
              <w:rPr>
                <w:rFonts w:eastAsia="Times New Roman"/>
                <w:b/>
                <w:bCs/>
                <w:color w:val="000000"/>
                <w:sz w:val="20"/>
              </w:rPr>
            </w:pPr>
            <w:r>
              <w:rPr>
                <w:rFonts w:eastAsia="Times New Roman"/>
                <w:b/>
                <w:bCs/>
                <w:color w:val="000000"/>
                <w:sz w:val="20"/>
              </w:rPr>
              <w:t>FY25</w:t>
            </w:r>
          </w:p>
        </w:tc>
        <w:tc>
          <w:tcPr>
            <w:tcW w:w="831" w:type="dxa"/>
            <w:shd w:val="clear" w:color="auto" w:fill="DAE9F8"/>
            <w:hideMark/>
          </w:tcPr>
          <w:p w14:paraId="7F3570EF" w14:textId="77777777" w:rsidR="00267A93" w:rsidRDefault="00267A93">
            <w:pPr>
              <w:jc w:val="center"/>
              <w:rPr>
                <w:rFonts w:eastAsia="Times New Roman"/>
                <w:b/>
                <w:bCs/>
                <w:color w:val="000000"/>
                <w:sz w:val="20"/>
              </w:rPr>
            </w:pPr>
            <w:r>
              <w:rPr>
                <w:rFonts w:eastAsia="Times New Roman"/>
                <w:b/>
                <w:bCs/>
                <w:color w:val="000000"/>
                <w:sz w:val="20"/>
              </w:rPr>
              <w:t>% Change FY24-25</w:t>
            </w:r>
          </w:p>
        </w:tc>
        <w:tc>
          <w:tcPr>
            <w:tcW w:w="1453" w:type="dxa"/>
            <w:shd w:val="clear" w:color="auto" w:fill="DAE9F8"/>
            <w:hideMark/>
          </w:tcPr>
          <w:p w14:paraId="403A78C9" w14:textId="77777777" w:rsidR="00267A93" w:rsidRDefault="00267A93">
            <w:pPr>
              <w:jc w:val="center"/>
              <w:rPr>
                <w:rFonts w:eastAsia="Times New Roman"/>
                <w:b/>
                <w:bCs/>
                <w:color w:val="000000"/>
                <w:sz w:val="20"/>
              </w:rPr>
            </w:pPr>
            <w:r>
              <w:rPr>
                <w:rFonts w:eastAsia="Times New Roman"/>
                <w:b/>
                <w:bCs/>
                <w:color w:val="000000"/>
                <w:sz w:val="20"/>
              </w:rPr>
              <w:t xml:space="preserve">% Change                            FY22 to FY25 </w:t>
            </w:r>
          </w:p>
        </w:tc>
      </w:tr>
      <w:tr w:rsidR="00267A93" w14:paraId="7F14E32A" w14:textId="77777777" w:rsidTr="002E075D">
        <w:trPr>
          <w:cantSplit/>
          <w:trHeight w:val="290"/>
        </w:trPr>
        <w:tc>
          <w:tcPr>
            <w:tcW w:w="0" w:type="auto"/>
            <w:noWrap/>
            <w:vAlign w:val="bottom"/>
            <w:hideMark/>
          </w:tcPr>
          <w:p w14:paraId="7A006644" w14:textId="337366DE" w:rsidR="00267A93" w:rsidRDefault="21B30A1D" w:rsidP="76986DFC">
            <w:pPr>
              <w:rPr>
                <w:rFonts w:eastAsia="Times New Roman"/>
                <w:color w:val="000000"/>
                <w:sz w:val="20"/>
              </w:rPr>
            </w:pPr>
            <w:r w:rsidRPr="76986DFC">
              <w:rPr>
                <w:rFonts w:eastAsia="Times New Roman"/>
                <w:color w:val="000000" w:themeColor="text1"/>
                <w:sz w:val="20"/>
              </w:rPr>
              <w:t xml:space="preserve">The </w:t>
            </w:r>
            <w:r w:rsidR="00267A93" w:rsidRPr="76986DFC">
              <w:rPr>
                <w:rFonts w:eastAsia="Times New Roman"/>
                <w:color w:val="000000" w:themeColor="text1"/>
                <w:sz w:val="20"/>
              </w:rPr>
              <w:t>Center</w:t>
            </w:r>
          </w:p>
        </w:tc>
        <w:tc>
          <w:tcPr>
            <w:tcW w:w="0" w:type="auto"/>
            <w:noWrap/>
            <w:vAlign w:val="bottom"/>
            <w:hideMark/>
          </w:tcPr>
          <w:p w14:paraId="7C602C52" w14:textId="77777777" w:rsidR="00267A93" w:rsidRDefault="00267A93">
            <w:pPr>
              <w:jc w:val="center"/>
              <w:rPr>
                <w:rFonts w:eastAsia="Times New Roman"/>
                <w:color w:val="000000"/>
                <w:sz w:val="20"/>
              </w:rPr>
            </w:pPr>
            <w:r>
              <w:rPr>
                <w:rFonts w:eastAsia="Times New Roman"/>
                <w:color w:val="000000"/>
                <w:sz w:val="20"/>
              </w:rPr>
              <w:t>3,674</w:t>
            </w:r>
          </w:p>
        </w:tc>
        <w:tc>
          <w:tcPr>
            <w:tcW w:w="0" w:type="auto"/>
            <w:noWrap/>
            <w:vAlign w:val="bottom"/>
            <w:hideMark/>
          </w:tcPr>
          <w:p w14:paraId="10913C1B" w14:textId="77777777" w:rsidR="00267A93" w:rsidRDefault="00267A93">
            <w:pPr>
              <w:jc w:val="center"/>
              <w:rPr>
                <w:rFonts w:eastAsia="Times New Roman"/>
                <w:color w:val="000000"/>
                <w:sz w:val="20"/>
              </w:rPr>
            </w:pPr>
            <w:r>
              <w:rPr>
                <w:rFonts w:eastAsia="Times New Roman"/>
                <w:color w:val="000000"/>
                <w:sz w:val="20"/>
              </w:rPr>
              <w:t>6,634</w:t>
            </w:r>
          </w:p>
        </w:tc>
        <w:tc>
          <w:tcPr>
            <w:tcW w:w="0" w:type="auto"/>
            <w:noWrap/>
            <w:vAlign w:val="bottom"/>
            <w:hideMark/>
          </w:tcPr>
          <w:p w14:paraId="2EBB8418" w14:textId="77777777" w:rsidR="00267A93" w:rsidRDefault="00267A93">
            <w:pPr>
              <w:jc w:val="center"/>
              <w:rPr>
                <w:rFonts w:eastAsia="Times New Roman"/>
                <w:color w:val="000000"/>
                <w:sz w:val="20"/>
              </w:rPr>
            </w:pPr>
            <w:r>
              <w:rPr>
                <w:rFonts w:eastAsia="Times New Roman"/>
                <w:color w:val="000000"/>
                <w:sz w:val="20"/>
              </w:rPr>
              <w:t>81%</w:t>
            </w:r>
          </w:p>
        </w:tc>
        <w:tc>
          <w:tcPr>
            <w:tcW w:w="0" w:type="auto"/>
            <w:noWrap/>
            <w:vAlign w:val="bottom"/>
            <w:hideMark/>
          </w:tcPr>
          <w:p w14:paraId="6AC74D9B" w14:textId="77777777" w:rsidR="00267A93" w:rsidRDefault="00267A93">
            <w:pPr>
              <w:jc w:val="center"/>
              <w:rPr>
                <w:rFonts w:eastAsia="Times New Roman"/>
                <w:color w:val="000000"/>
                <w:sz w:val="20"/>
              </w:rPr>
            </w:pPr>
            <w:r>
              <w:rPr>
                <w:rFonts w:eastAsia="Times New Roman"/>
                <w:color w:val="000000"/>
                <w:sz w:val="20"/>
              </w:rPr>
              <w:t>6,634</w:t>
            </w:r>
          </w:p>
        </w:tc>
        <w:tc>
          <w:tcPr>
            <w:tcW w:w="0" w:type="auto"/>
            <w:noWrap/>
            <w:vAlign w:val="bottom"/>
            <w:hideMark/>
          </w:tcPr>
          <w:p w14:paraId="7AF918AF" w14:textId="77777777" w:rsidR="00267A93" w:rsidRDefault="00267A93">
            <w:pPr>
              <w:jc w:val="center"/>
              <w:rPr>
                <w:rFonts w:eastAsia="Times New Roman"/>
                <w:color w:val="000000"/>
                <w:sz w:val="20"/>
              </w:rPr>
            </w:pPr>
            <w:r>
              <w:rPr>
                <w:rFonts w:eastAsia="Times New Roman"/>
                <w:color w:val="000000"/>
                <w:sz w:val="20"/>
              </w:rPr>
              <w:t>8,671</w:t>
            </w:r>
          </w:p>
        </w:tc>
        <w:tc>
          <w:tcPr>
            <w:tcW w:w="0" w:type="auto"/>
            <w:noWrap/>
            <w:vAlign w:val="bottom"/>
            <w:hideMark/>
          </w:tcPr>
          <w:p w14:paraId="4134E8A3" w14:textId="77777777" w:rsidR="00267A93" w:rsidRDefault="00267A93">
            <w:pPr>
              <w:jc w:val="center"/>
              <w:rPr>
                <w:rFonts w:eastAsia="Times New Roman"/>
                <w:color w:val="000000"/>
                <w:sz w:val="20"/>
              </w:rPr>
            </w:pPr>
            <w:r>
              <w:rPr>
                <w:rFonts w:eastAsia="Times New Roman"/>
                <w:color w:val="000000"/>
                <w:sz w:val="20"/>
              </w:rPr>
              <w:t>31%</w:t>
            </w:r>
          </w:p>
        </w:tc>
        <w:tc>
          <w:tcPr>
            <w:tcW w:w="0" w:type="auto"/>
            <w:noWrap/>
            <w:vAlign w:val="bottom"/>
            <w:hideMark/>
          </w:tcPr>
          <w:p w14:paraId="25CD80D2" w14:textId="77777777" w:rsidR="00267A93" w:rsidRDefault="00267A93">
            <w:pPr>
              <w:jc w:val="center"/>
              <w:rPr>
                <w:rFonts w:eastAsia="Times New Roman"/>
                <w:color w:val="000000"/>
                <w:sz w:val="20"/>
              </w:rPr>
            </w:pPr>
            <w:r>
              <w:rPr>
                <w:rFonts w:eastAsia="Times New Roman"/>
                <w:color w:val="000000"/>
                <w:sz w:val="20"/>
              </w:rPr>
              <w:t>8,671</w:t>
            </w:r>
          </w:p>
        </w:tc>
        <w:tc>
          <w:tcPr>
            <w:tcW w:w="0" w:type="auto"/>
            <w:noWrap/>
            <w:vAlign w:val="bottom"/>
            <w:hideMark/>
          </w:tcPr>
          <w:p w14:paraId="57D3B654" w14:textId="77777777" w:rsidR="00267A93" w:rsidRDefault="00267A93">
            <w:pPr>
              <w:jc w:val="center"/>
              <w:rPr>
                <w:rFonts w:eastAsia="Times New Roman"/>
                <w:color w:val="000000"/>
                <w:sz w:val="20"/>
              </w:rPr>
            </w:pPr>
            <w:r>
              <w:rPr>
                <w:rFonts w:eastAsia="Times New Roman"/>
                <w:color w:val="000000"/>
                <w:sz w:val="20"/>
              </w:rPr>
              <w:t>11,079</w:t>
            </w:r>
          </w:p>
        </w:tc>
        <w:tc>
          <w:tcPr>
            <w:tcW w:w="831" w:type="dxa"/>
            <w:noWrap/>
            <w:vAlign w:val="bottom"/>
            <w:hideMark/>
          </w:tcPr>
          <w:p w14:paraId="70069DA3" w14:textId="77777777" w:rsidR="00267A93" w:rsidRDefault="00267A93">
            <w:pPr>
              <w:jc w:val="center"/>
              <w:rPr>
                <w:rFonts w:eastAsia="Times New Roman"/>
                <w:color w:val="000000"/>
                <w:sz w:val="20"/>
              </w:rPr>
            </w:pPr>
            <w:r>
              <w:rPr>
                <w:rFonts w:eastAsia="Times New Roman"/>
                <w:color w:val="000000"/>
                <w:sz w:val="20"/>
              </w:rPr>
              <w:t>28%</w:t>
            </w:r>
          </w:p>
        </w:tc>
        <w:tc>
          <w:tcPr>
            <w:tcW w:w="1453" w:type="dxa"/>
            <w:noWrap/>
            <w:vAlign w:val="bottom"/>
            <w:hideMark/>
          </w:tcPr>
          <w:p w14:paraId="48DA7059" w14:textId="77777777" w:rsidR="00267A93" w:rsidRDefault="00267A93">
            <w:pPr>
              <w:jc w:val="center"/>
              <w:rPr>
                <w:rFonts w:eastAsia="Times New Roman"/>
                <w:color w:val="000000"/>
                <w:sz w:val="20"/>
              </w:rPr>
            </w:pPr>
            <w:r>
              <w:rPr>
                <w:rFonts w:eastAsia="Times New Roman"/>
                <w:color w:val="000000"/>
                <w:sz w:val="20"/>
              </w:rPr>
              <w:t>202%</w:t>
            </w:r>
          </w:p>
        </w:tc>
      </w:tr>
      <w:tr w:rsidR="00267A93" w14:paraId="7D587B5A" w14:textId="77777777" w:rsidTr="002E075D">
        <w:trPr>
          <w:cantSplit/>
          <w:trHeight w:val="290"/>
        </w:trPr>
        <w:tc>
          <w:tcPr>
            <w:tcW w:w="0" w:type="auto"/>
            <w:noWrap/>
            <w:vAlign w:val="bottom"/>
            <w:hideMark/>
          </w:tcPr>
          <w:p w14:paraId="29EF8F9C" w14:textId="4F70B037" w:rsidR="00187B26" w:rsidRDefault="00187B26">
            <w:pPr>
              <w:rPr>
                <w:rFonts w:eastAsia="Times New Roman"/>
                <w:color w:val="000000"/>
                <w:sz w:val="20"/>
              </w:rPr>
            </w:pPr>
            <w:r>
              <w:rPr>
                <w:rFonts w:eastAsia="Times New Roman"/>
                <w:color w:val="000000"/>
                <w:sz w:val="20"/>
              </w:rPr>
              <w:t xml:space="preserve">Winchester Hospital – </w:t>
            </w:r>
          </w:p>
          <w:p w14:paraId="5F5BC47B" w14:textId="6057F8C5" w:rsidR="00267A93" w:rsidRDefault="00267A93">
            <w:pPr>
              <w:rPr>
                <w:rFonts w:eastAsia="Times New Roman"/>
                <w:color w:val="000000"/>
                <w:sz w:val="20"/>
              </w:rPr>
            </w:pPr>
            <w:r>
              <w:rPr>
                <w:rFonts w:eastAsia="Times New Roman"/>
                <w:color w:val="000000"/>
                <w:sz w:val="20"/>
              </w:rPr>
              <w:t>Main Campus</w:t>
            </w:r>
          </w:p>
        </w:tc>
        <w:tc>
          <w:tcPr>
            <w:tcW w:w="0" w:type="auto"/>
            <w:noWrap/>
            <w:vAlign w:val="bottom"/>
            <w:hideMark/>
          </w:tcPr>
          <w:p w14:paraId="5E8D9732" w14:textId="77777777" w:rsidR="00267A93" w:rsidRDefault="00267A93">
            <w:pPr>
              <w:jc w:val="center"/>
              <w:rPr>
                <w:rFonts w:eastAsia="Times New Roman"/>
                <w:color w:val="000000"/>
                <w:sz w:val="20"/>
              </w:rPr>
            </w:pPr>
            <w:r>
              <w:rPr>
                <w:rFonts w:eastAsia="Times New Roman"/>
                <w:color w:val="000000"/>
                <w:sz w:val="20"/>
              </w:rPr>
              <w:t>1,194</w:t>
            </w:r>
          </w:p>
        </w:tc>
        <w:tc>
          <w:tcPr>
            <w:tcW w:w="0" w:type="auto"/>
            <w:noWrap/>
            <w:vAlign w:val="bottom"/>
            <w:hideMark/>
          </w:tcPr>
          <w:p w14:paraId="78EE444F" w14:textId="77777777" w:rsidR="00267A93" w:rsidRDefault="00267A93">
            <w:pPr>
              <w:jc w:val="center"/>
              <w:rPr>
                <w:rFonts w:eastAsia="Times New Roman"/>
                <w:color w:val="000000"/>
                <w:sz w:val="20"/>
              </w:rPr>
            </w:pPr>
            <w:r>
              <w:rPr>
                <w:rFonts w:eastAsia="Times New Roman"/>
                <w:color w:val="000000"/>
                <w:sz w:val="20"/>
              </w:rPr>
              <w:t>1,622</w:t>
            </w:r>
          </w:p>
        </w:tc>
        <w:tc>
          <w:tcPr>
            <w:tcW w:w="0" w:type="auto"/>
            <w:noWrap/>
            <w:vAlign w:val="bottom"/>
            <w:hideMark/>
          </w:tcPr>
          <w:p w14:paraId="67BF8129" w14:textId="77777777" w:rsidR="00267A93" w:rsidRDefault="00267A93">
            <w:pPr>
              <w:jc w:val="center"/>
              <w:rPr>
                <w:rFonts w:eastAsia="Times New Roman"/>
                <w:color w:val="000000"/>
                <w:sz w:val="20"/>
              </w:rPr>
            </w:pPr>
            <w:r>
              <w:rPr>
                <w:rFonts w:eastAsia="Times New Roman"/>
                <w:color w:val="000000"/>
                <w:sz w:val="20"/>
              </w:rPr>
              <w:t>36%</w:t>
            </w:r>
          </w:p>
        </w:tc>
        <w:tc>
          <w:tcPr>
            <w:tcW w:w="0" w:type="auto"/>
            <w:noWrap/>
            <w:vAlign w:val="bottom"/>
            <w:hideMark/>
          </w:tcPr>
          <w:p w14:paraId="38CAE27A" w14:textId="77777777" w:rsidR="00267A93" w:rsidRDefault="00267A93">
            <w:pPr>
              <w:jc w:val="center"/>
              <w:rPr>
                <w:rFonts w:eastAsia="Times New Roman"/>
                <w:color w:val="000000"/>
                <w:sz w:val="20"/>
              </w:rPr>
            </w:pPr>
            <w:r>
              <w:rPr>
                <w:rFonts w:eastAsia="Times New Roman"/>
                <w:color w:val="000000"/>
                <w:sz w:val="20"/>
              </w:rPr>
              <w:t>1,622</w:t>
            </w:r>
          </w:p>
        </w:tc>
        <w:tc>
          <w:tcPr>
            <w:tcW w:w="0" w:type="auto"/>
            <w:noWrap/>
            <w:vAlign w:val="bottom"/>
            <w:hideMark/>
          </w:tcPr>
          <w:p w14:paraId="5A5F4154" w14:textId="77777777" w:rsidR="00267A93" w:rsidRDefault="00267A93">
            <w:pPr>
              <w:jc w:val="center"/>
              <w:rPr>
                <w:rFonts w:eastAsia="Times New Roman"/>
                <w:color w:val="000000"/>
                <w:sz w:val="20"/>
              </w:rPr>
            </w:pPr>
            <w:r>
              <w:rPr>
                <w:rFonts w:eastAsia="Times New Roman"/>
                <w:color w:val="000000"/>
                <w:sz w:val="20"/>
              </w:rPr>
              <w:t>2,456</w:t>
            </w:r>
          </w:p>
        </w:tc>
        <w:tc>
          <w:tcPr>
            <w:tcW w:w="0" w:type="auto"/>
            <w:noWrap/>
            <w:vAlign w:val="bottom"/>
            <w:hideMark/>
          </w:tcPr>
          <w:p w14:paraId="135A19A5" w14:textId="77777777" w:rsidR="00267A93" w:rsidRDefault="00267A93">
            <w:pPr>
              <w:jc w:val="center"/>
              <w:rPr>
                <w:rFonts w:eastAsia="Times New Roman"/>
                <w:color w:val="000000"/>
                <w:sz w:val="20"/>
              </w:rPr>
            </w:pPr>
            <w:r>
              <w:rPr>
                <w:rFonts w:eastAsia="Times New Roman"/>
                <w:color w:val="000000"/>
                <w:sz w:val="20"/>
              </w:rPr>
              <w:t>51%</w:t>
            </w:r>
          </w:p>
        </w:tc>
        <w:tc>
          <w:tcPr>
            <w:tcW w:w="0" w:type="auto"/>
            <w:noWrap/>
            <w:vAlign w:val="bottom"/>
            <w:hideMark/>
          </w:tcPr>
          <w:p w14:paraId="02969886" w14:textId="77777777" w:rsidR="00267A93" w:rsidRDefault="00267A93">
            <w:pPr>
              <w:jc w:val="center"/>
              <w:rPr>
                <w:rFonts w:eastAsia="Times New Roman"/>
                <w:color w:val="000000"/>
                <w:sz w:val="20"/>
              </w:rPr>
            </w:pPr>
            <w:r>
              <w:rPr>
                <w:rFonts w:eastAsia="Times New Roman"/>
                <w:color w:val="000000"/>
                <w:sz w:val="20"/>
              </w:rPr>
              <w:t>2,456</w:t>
            </w:r>
          </w:p>
        </w:tc>
        <w:tc>
          <w:tcPr>
            <w:tcW w:w="0" w:type="auto"/>
            <w:noWrap/>
            <w:vAlign w:val="bottom"/>
            <w:hideMark/>
          </w:tcPr>
          <w:p w14:paraId="66660E64" w14:textId="77777777" w:rsidR="00267A93" w:rsidRDefault="00267A93">
            <w:pPr>
              <w:jc w:val="center"/>
              <w:rPr>
                <w:rFonts w:eastAsia="Times New Roman"/>
                <w:color w:val="000000"/>
                <w:sz w:val="20"/>
              </w:rPr>
            </w:pPr>
            <w:r>
              <w:rPr>
                <w:rFonts w:eastAsia="Times New Roman"/>
                <w:color w:val="000000"/>
                <w:sz w:val="20"/>
              </w:rPr>
              <w:t>2,720</w:t>
            </w:r>
          </w:p>
        </w:tc>
        <w:tc>
          <w:tcPr>
            <w:tcW w:w="831" w:type="dxa"/>
            <w:noWrap/>
            <w:vAlign w:val="bottom"/>
            <w:hideMark/>
          </w:tcPr>
          <w:p w14:paraId="7442F7A1" w14:textId="77777777" w:rsidR="00267A93" w:rsidRDefault="00267A93">
            <w:pPr>
              <w:jc w:val="center"/>
              <w:rPr>
                <w:rFonts w:eastAsia="Times New Roman"/>
                <w:color w:val="000000"/>
                <w:sz w:val="20"/>
              </w:rPr>
            </w:pPr>
            <w:r>
              <w:rPr>
                <w:rFonts w:eastAsia="Times New Roman"/>
                <w:color w:val="000000"/>
                <w:sz w:val="20"/>
              </w:rPr>
              <w:t>11%</w:t>
            </w:r>
          </w:p>
        </w:tc>
        <w:tc>
          <w:tcPr>
            <w:tcW w:w="1453" w:type="dxa"/>
            <w:noWrap/>
            <w:vAlign w:val="bottom"/>
            <w:hideMark/>
          </w:tcPr>
          <w:p w14:paraId="4822E282" w14:textId="77777777" w:rsidR="00267A93" w:rsidRDefault="00267A93">
            <w:pPr>
              <w:jc w:val="center"/>
              <w:rPr>
                <w:rFonts w:eastAsia="Times New Roman"/>
                <w:color w:val="000000"/>
                <w:sz w:val="20"/>
              </w:rPr>
            </w:pPr>
            <w:r>
              <w:rPr>
                <w:rFonts w:eastAsia="Times New Roman"/>
                <w:color w:val="000000"/>
                <w:sz w:val="20"/>
              </w:rPr>
              <w:t>128%</w:t>
            </w:r>
          </w:p>
        </w:tc>
      </w:tr>
      <w:tr w:rsidR="00267A93" w14:paraId="742C61C1" w14:textId="77777777" w:rsidTr="002E075D">
        <w:trPr>
          <w:cantSplit/>
          <w:trHeight w:val="290"/>
        </w:trPr>
        <w:tc>
          <w:tcPr>
            <w:tcW w:w="0" w:type="auto"/>
            <w:noWrap/>
            <w:vAlign w:val="bottom"/>
            <w:hideMark/>
          </w:tcPr>
          <w:p w14:paraId="46811BA3" w14:textId="77777777" w:rsidR="00267A93" w:rsidRPr="00A17DFA" w:rsidRDefault="00267A93">
            <w:pPr>
              <w:rPr>
                <w:rFonts w:eastAsia="Times New Roman"/>
                <w:color w:val="000000"/>
                <w:sz w:val="20"/>
              </w:rPr>
            </w:pPr>
            <w:r w:rsidRPr="00A17DFA">
              <w:rPr>
                <w:rFonts w:eastAsia="Times New Roman"/>
                <w:color w:val="000000"/>
                <w:sz w:val="20"/>
              </w:rPr>
              <w:t xml:space="preserve">Total Procedure Volume </w:t>
            </w:r>
          </w:p>
        </w:tc>
        <w:tc>
          <w:tcPr>
            <w:tcW w:w="0" w:type="auto"/>
            <w:noWrap/>
            <w:vAlign w:val="bottom"/>
            <w:hideMark/>
          </w:tcPr>
          <w:p w14:paraId="620E2470" w14:textId="77777777" w:rsidR="00267A93" w:rsidRPr="00A17DFA" w:rsidRDefault="00267A93">
            <w:pPr>
              <w:jc w:val="center"/>
              <w:rPr>
                <w:rFonts w:eastAsia="Times New Roman"/>
                <w:color w:val="000000"/>
                <w:sz w:val="20"/>
              </w:rPr>
            </w:pPr>
            <w:r w:rsidRPr="00A17DFA">
              <w:rPr>
                <w:rFonts w:eastAsia="Times New Roman"/>
                <w:color w:val="000000"/>
                <w:sz w:val="20"/>
              </w:rPr>
              <w:t>4,868</w:t>
            </w:r>
          </w:p>
        </w:tc>
        <w:tc>
          <w:tcPr>
            <w:tcW w:w="0" w:type="auto"/>
            <w:noWrap/>
            <w:vAlign w:val="bottom"/>
            <w:hideMark/>
          </w:tcPr>
          <w:p w14:paraId="5398CFED" w14:textId="77777777" w:rsidR="00267A93" w:rsidRPr="00A17DFA" w:rsidRDefault="00267A93">
            <w:pPr>
              <w:jc w:val="center"/>
              <w:rPr>
                <w:rFonts w:eastAsia="Times New Roman"/>
                <w:color w:val="000000"/>
                <w:sz w:val="20"/>
              </w:rPr>
            </w:pPr>
            <w:r w:rsidRPr="00A17DFA">
              <w:rPr>
                <w:rFonts w:eastAsia="Times New Roman"/>
                <w:color w:val="000000"/>
                <w:sz w:val="20"/>
              </w:rPr>
              <w:t>8,256</w:t>
            </w:r>
          </w:p>
        </w:tc>
        <w:tc>
          <w:tcPr>
            <w:tcW w:w="0" w:type="auto"/>
            <w:noWrap/>
            <w:vAlign w:val="bottom"/>
            <w:hideMark/>
          </w:tcPr>
          <w:p w14:paraId="286D9EE0" w14:textId="77777777" w:rsidR="00267A93" w:rsidRPr="00A17DFA" w:rsidRDefault="00267A93">
            <w:pPr>
              <w:jc w:val="center"/>
              <w:rPr>
                <w:rFonts w:eastAsia="Times New Roman"/>
                <w:color w:val="000000"/>
                <w:sz w:val="20"/>
              </w:rPr>
            </w:pPr>
            <w:r w:rsidRPr="00A17DFA">
              <w:rPr>
                <w:rFonts w:eastAsia="Times New Roman"/>
                <w:color w:val="000000"/>
                <w:sz w:val="20"/>
              </w:rPr>
              <w:t>70%</w:t>
            </w:r>
          </w:p>
        </w:tc>
        <w:tc>
          <w:tcPr>
            <w:tcW w:w="0" w:type="auto"/>
            <w:noWrap/>
            <w:vAlign w:val="bottom"/>
            <w:hideMark/>
          </w:tcPr>
          <w:p w14:paraId="1074C0CF" w14:textId="77777777" w:rsidR="00267A93" w:rsidRPr="00A17DFA" w:rsidRDefault="00267A93">
            <w:pPr>
              <w:jc w:val="center"/>
              <w:rPr>
                <w:rFonts w:eastAsia="Times New Roman"/>
                <w:color w:val="000000"/>
                <w:sz w:val="20"/>
              </w:rPr>
            </w:pPr>
            <w:r w:rsidRPr="00A17DFA">
              <w:rPr>
                <w:rFonts w:eastAsia="Times New Roman"/>
                <w:color w:val="000000"/>
                <w:sz w:val="20"/>
              </w:rPr>
              <w:t>8,256</w:t>
            </w:r>
          </w:p>
        </w:tc>
        <w:tc>
          <w:tcPr>
            <w:tcW w:w="0" w:type="auto"/>
            <w:noWrap/>
            <w:vAlign w:val="bottom"/>
            <w:hideMark/>
          </w:tcPr>
          <w:p w14:paraId="6A1578F9" w14:textId="77777777" w:rsidR="00267A93" w:rsidRPr="00A17DFA" w:rsidRDefault="00267A93">
            <w:pPr>
              <w:jc w:val="center"/>
              <w:rPr>
                <w:rFonts w:eastAsia="Times New Roman"/>
                <w:color w:val="000000"/>
                <w:sz w:val="20"/>
              </w:rPr>
            </w:pPr>
            <w:r w:rsidRPr="00A17DFA">
              <w:rPr>
                <w:rFonts w:eastAsia="Times New Roman"/>
                <w:color w:val="000000"/>
                <w:sz w:val="20"/>
              </w:rPr>
              <w:t>11,127</w:t>
            </w:r>
          </w:p>
        </w:tc>
        <w:tc>
          <w:tcPr>
            <w:tcW w:w="0" w:type="auto"/>
            <w:noWrap/>
            <w:vAlign w:val="bottom"/>
            <w:hideMark/>
          </w:tcPr>
          <w:p w14:paraId="54CED600" w14:textId="77777777" w:rsidR="00267A93" w:rsidRPr="00A17DFA" w:rsidRDefault="00267A93">
            <w:pPr>
              <w:jc w:val="center"/>
              <w:rPr>
                <w:rFonts w:eastAsia="Times New Roman"/>
                <w:color w:val="000000"/>
                <w:sz w:val="20"/>
              </w:rPr>
            </w:pPr>
            <w:r w:rsidRPr="00A17DFA">
              <w:rPr>
                <w:rFonts w:eastAsia="Times New Roman"/>
                <w:color w:val="000000"/>
                <w:sz w:val="20"/>
              </w:rPr>
              <w:t>35%</w:t>
            </w:r>
          </w:p>
        </w:tc>
        <w:tc>
          <w:tcPr>
            <w:tcW w:w="0" w:type="auto"/>
            <w:noWrap/>
            <w:vAlign w:val="bottom"/>
            <w:hideMark/>
          </w:tcPr>
          <w:p w14:paraId="1DF4AD45" w14:textId="77777777" w:rsidR="00267A93" w:rsidRPr="00A17DFA" w:rsidRDefault="00267A93">
            <w:pPr>
              <w:jc w:val="center"/>
              <w:rPr>
                <w:rFonts w:eastAsia="Times New Roman"/>
                <w:color w:val="000000"/>
                <w:sz w:val="20"/>
              </w:rPr>
            </w:pPr>
            <w:r w:rsidRPr="00A17DFA">
              <w:rPr>
                <w:rFonts w:eastAsia="Times New Roman"/>
                <w:color w:val="000000"/>
                <w:sz w:val="20"/>
              </w:rPr>
              <w:t>11,127</w:t>
            </w:r>
          </w:p>
        </w:tc>
        <w:tc>
          <w:tcPr>
            <w:tcW w:w="0" w:type="auto"/>
            <w:noWrap/>
            <w:vAlign w:val="bottom"/>
            <w:hideMark/>
          </w:tcPr>
          <w:p w14:paraId="4EA7FFCA" w14:textId="77777777" w:rsidR="00267A93" w:rsidRPr="00A17DFA" w:rsidRDefault="00267A93">
            <w:pPr>
              <w:jc w:val="center"/>
              <w:rPr>
                <w:rFonts w:eastAsia="Times New Roman"/>
                <w:color w:val="000000"/>
                <w:sz w:val="20"/>
              </w:rPr>
            </w:pPr>
            <w:r w:rsidRPr="00A17DFA">
              <w:rPr>
                <w:rFonts w:eastAsia="Times New Roman"/>
                <w:color w:val="000000"/>
                <w:sz w:val="20"/>
              </w:rPr>
              <w:t>13,799</w:t>
            </w:r>
          </w:p>
        </w:tc>
        <w:tc>
          <w:tcPr>
            <w:tcW w:w="831" w:type="dxa"/>
            <w:noWrap/>
            <w:vAlign w:val="bottom"/>
            <w:hideMark/>
          </w:tcPr>
          <w:p w14:paraId="1E0CCC6A" w14:textId="77777777" w:rsidR="00267A93" w:rsidRPr="00A17DFA" w:rsidRDefault="00267A93">
            <w:pPr>
              <w:jc w:val="center"/>
              <w:rPr>
                <w:rFonts w:eastAsia="Times New Roman"/>
                <w:color w:val="000000"/>
                <w:sz w:val="20"/>
              </w:rPr>
            </w:pPr>
            <w:r w:rsidRPr="00A17DFA">
              <w:rPr>
                <w:rFonts w:eastAsia="Times New Roman"/>
                <w:color w:val="000000"/>
                <w:sz w:val="20"/>
              </w:rPr>
              <w:t>24%</w:t>
            </w:r>
          </w:p>
        </w:tc>
        <w:tc>
          <w:tcPr>
            <w:tcW w:w="1453" w:type="dxa"/>
            <w:noWrap/>
            <w:vAlign w:val="bottom"/>
            <w:hideMark/>
          </w:tcPr>
          <w:p w14:paraId="6C0AC4CA" w14:textId="77777777" w:rsidR="00267A93" w:rsidRPr="00A17DFA" w:rsidRDefault="00267A93">
            <w:pPr>
              <w:jc w:val="center"/>
              <w:rPr>
                <w:rFonts w:eastAsia="Times New Roman"/>
                <w:color w:val="000000"/>
                <w:sz w:val="20"/>
              </w:rPr>
            </w:pPr>
            <w:r w:rsidRPr="00A17DFA">
              <w:rPr>
                <w:rFonts w:eastAsia="Times New Roman"/>
                <w:color w:val="000000"/>
                <w:sz w:val="20"/>
              </w:rPr>
              <w:t>183%</w:t>
            </w:r>
          </w:p>
        </w:tc>
      </w:tr>
    </w:tbl>
    <w:p w14:paraId="174D402C" w14:textId="77777777" w:rsidR="00E01656" w:rsidRDefault="00E01656" w:rsidP="00A81E6C">
      <w:pPr>
        <w:pStyle w:val="BodyText"/>
        <w:spacing w:line="269" w:lineRule="exact"/>
        <w:rPr>
          <w:rFonts w:asciiTheme="minorHAnsi" w:hAnsiTheme="minorHAnsi"/>
        </w:rPr>
      </w:pPr>
    </w:p>
    <w:p w14:paraId="79CB30F4" w14:textId="48AB668B" w:rsidR="00B52789" w:rsidRDefault="00B52789" w:rsidP="00A81E6C">
      <w:pPr>
        <w:pStyle w:val="BodyText"/>
        <w:spacing w:line="269" w:lineRule="exact"/>
        <w:rPr>
          <w:rFonts w:asciiTheme="minorHAnsi" w:hAnsiTheme="minorHAnsi"/>
        </w:rPr>
      </w:pPr>
      <w:r>
        <w:rPr>
          <w:rFonts w:asciiTheme="minorHAnsi" w:hAnsiTheme="minorHAnsi"/>
        </w:rPr>
        <w:t>Table 1</w:t>
      </w:r>
      <w:r w:rsidR="008A4FAA">
        <w:rPr>
          <w:rFonts w:asciiTheme="minorHAnsi" w:hAnsiTheme="minorHAnsi"/>
        </w:rPr>
        <w:t>4</w:t>
      </w:r>
      <w:r>
        <w:rPr>
          <w:rFonts w:asciiTheme="minorHAnsi" w:hAnsiTheme="minorHAnsi"/>
        </w:rPr>
        <w:t xml:space="preserve"> shows the Center’s procedure volume by Diagnostic and Screening purposes. As shown in Table 1</w:t>
      </w:r>
      <w:r w:rsidR="008A4FAA">
        <w:rPr>
          <w:rFonts w:asciiTheme="minorHAnsi" w:hAnsiTheme="minorHAnsi"/>
        </w:rPr>
        <w:t>4</w:t>
      </w:r>
      <w:r>
        <w:rPr>
          <w:rFonts w:asciiTheme="minorHAnsi" w:hAnsiTheme="minorHAnsi"/>
        </w:rPr>
        <w:t>, from FY22 to FY25, Diagnostic Procedures comprised more than 80% of the Center’s procedure volume, and both Diagnostic and Screening Procedures increased by 200% and 215%, respectively</w:t>
      </w:r>
      <w:r w:rsidR="000469FA">
        <w:rPr>
          <w:rFonts w:asciiTheme="minorHAnsi" w:hAnsiTheme="minorHAnsi"/>
        </w:rPr>
        <w:t xml:space="preserve">. The Applicant points to the Center’s increase in screening procedures as indication of the important role that the Center plays in providing preventive care to its Patient Panel. </w:t>
      </w:r>
    </w:p>
    <w:p w14:paraId="30B9285A" w14:textId="77777777" w:rsidR="000A72A9" w:rsidRDefault="000A72A9" w:rsidP="00A81E6C">
      <w:pPr>
        <w:pStyle w:val="BodyText"/>
        <w:spacing w:line="269" w:lineRule="exact"/>
        <w:rPr>
          <w:rFonts w:asciiTheme="minorHAnsi" w:hAnsiTheme="minorHAnsi"/>
        </w:rPr>
      </w:pPr>
    </w:p>
    <w:p w14:paraId="4255A754" w14:textId="2A838FF9" w:rsidR="00F712E2" w:rsidRPr="000C0C14" w:rsidRDefault="00244699" w:rsidP="00A81E6C">
      <w:pPr>
        <w:pStyle w:val="BodyText"/>
        <w:spacing w:line="269" w:lineRule="exact"/>
        <w:rPr>
          <w:rFonts w:asciiTheme="minorHAnsi" w:hAnsiTheme="minorHAnsi"/>
          <w:b/>
          <w:bCs/>
        </w:rPr>
      </w:pPr>
      <w:r w:rsidRPr="000C0C14">
        <w:rPr>
          <w:rFonts w:asciiTheme="minorHAnsi" w:hAnsiTheme="minorHAnsi"/>
          <w:b/>
          <w:bCs/>
          <w:u w:val="single"/>
        </w:rPr>
        <w:t xml:space="preserve">Table </w:t>
      </w:r>
      <w:r w:rsidR="000C0C14" w:rsidRPr="000C0C14">
        <w:rPr>
          <w:rFonts w:asciiTheme="minorHAnsi" w:hAnsiTheme="minorHAnsi"/>
          <w:b/>
          <w:bCs/>
          <w:u w:val="single"/>
        </w:rPr>
        <w:t>1</w:t>
      </w:r>
      <w:r w:rsidR="008A4FAA">
        <w:rPr>
          <w:rFonts w:asciiTheme="minorHAnsi" w:hAnsiTheme="minorHAnsi"/>
          <w:b/>
          <w:bCs/>
          <w:u w:val="single"/>
        </w:rPr>
        <w:t>4</w:t>
      </w:r>
      <w:r w:rsidR="000C0C14" w:rsidRPr="000C0C14">
        <w:rPr>
          <w:rFonts w:asciiTheme="minorHAnsi" w:hAnsiTheme="minorHAnsi"/>
          <w:b/>
          <w:bCs/>
        </w:rPr>
        <w:t xml:space="preserve">: The Center’s </w:t>
      </w:r>
      <w:r w:rsidR="007B3DB0">
        <w:rPr>
          <w:rFonts w:asciiTheme="minorHAnsi" w:hAnsiTheme="minorHAnsi"/>
          <w:b/>
          <w:bCs/>
        </w:rPr>
        <w:t xml:space="preserve">Endoscopy </w:t>
      </w:r>
      <w:r w:rsidR="000C0C14" w:rsidRPr="000C0C14">
        <w:rPr>
          <w:rFonts w:asciiTheme="minorHAnsi" w:hAnsiTheme="minorHAnsi"/>
          <w:b/>
          <w:bCs/>
        </w:rPr>
        <w:t>Procedure</w:t>
      </w:r>
      <w:r w:rsidR="00F25A33">
        <w:rPr>
          <w:rFonts w:asciiTheme="minorHAnsi" w:hAnsiTheme="minorHAnsi"/>
          <w:b/>
          <w:bCs/>
        </w:rPr>
        <w:t>s</w:t>
      </w:r>
      <w:r w:rsidR="000C0C14" w:rsidRPr="000C0C14">
        <w:rPr>
          <w:rFonts w:asciiTheme="minorHAnsi" w:hAnsiTheme="minorHAnsi"/>
          <w:b/>
          <w:bCs/>
        </w:rPr>
        <w:t xml:space="preserve"> </w:t>
      </w:r>
      <w:r w:rsidR="007B3DB0">
        <w:rPr>
          <w:rFonts w:asciiTheme="minorHAnsi" w:hAnsiTheme="minorHAnsi"/>
          <w:b/>
          <w:bCs/>
        </w:rPr>
        <w:t xml:space="preserve">by </w:t>
      </w:r>
      <w:r w:rsidR="000C0C14" w:rsidRPr="000C0C14">
        <w:rPr>
          <w:rFonts w:asciiTheme="minorHAnsi" w:hAnsiTheme="minorHAnsi"/>
          <w:b/>
          <w:bCs/>
        </w:rPr>
        <w:t xml:space="preserve">Category, FY22 to FY25 </w:t>
      </w:r>
    </w:p>
    <w:tbl>
      <w:tblPr>
        <w:tblW w:w="10165" w:type="dxa"/>
        <w:tblLook w:val="04A0" w:firstRow="1" w:lastRow="0" w:firstColumn="1" w:lastColumn="0" w:noHBand="0" w:noVBand="1"/>
        <w:tblCaption w:val="The Center’s Endoscopy Procedures by Category, FY22 to FY25"/>
      </w:tblPr>
      <w:tblGrid>
        <w:gridCol w:w="2190"/>
        <w:gridCol w:w="672"/>
        <w:gridCol w:w="938"/>
        <w:gridCol w:w="672"/>
        <w:gridCol w:w="939"/>
        <w:gridCol w:w="672"/>
        <w:gridCol w:w="939"/>
        <w:gridCol w:w="773"/>
        <w:gridCol w:w="939"/>
        <w:gridCol w:w="1431"/>
      </w:tblGrid>
      <w:tr w:rsidR="00B52789" w:rsidRPr="00B52789" w14:paraId="724C4577" w14:textId="77777777" w:rsidTr="00C348CA">
        <w:trPr>
          <w:cantSplit/>
          <w:trHeight w:val="870"/>
          <w:tblHeader/>
        </w:trPr>
        <w:tc>
          <w:tcPr>
            <w:tcW w:w="0" w:type="auto"/>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06175751" w14:textId="77777777" w:rsidR="00B52789" w:rsidRPr="00B52789" w:rsidRDefault="00B52789" w:rsidP="00B52789">
            <w:pPr>
              <w:widowControl/>
              <w:autoSpaceDE/>
              <w:autoSpaceDN/>
              <w:rPr>
                <w:rFonts w:eastAsia="Times New Roman" w:cs="Calibri"/>
                <w:b/>
                <w:bCs/>
                <w:color w:val="000000"/>
                <w:sz w:val="20"/>
              </w:rPr>
            </w:pPr>
            <w:r w:rsidRPr="00B52789">
              <w:rPr>
                <w:rFonts w:eastAsia="Times New Roman" w:cs="Calibri"/>
                <w:b/>
                <w:bCs/>
                <w:color w:val="000000"/>
                <w:sz w:val="20"/>
              </w:rPr>
              <w:t>Procedure Type</w:t>
            </w:r>
          </w:p>
        </w:tc>
        <w:tc>
          <w:tcPr>
            <w:tcW w:w="0" w:type="auto"/>
            <w:tcBorders>
              <w:top w:val="single" w:sz="4" w:space="0" w:color="auto"/>
              <w:left w:val="nil"/>
              <w:bottom w:val="single" w:sz="4" w:space="0" w:color="auto"/>
              <w:right w:val="single" w:sz="4" w:space="0" w:color="auto"/>
            </w:tcBorders>
            <w:shd w:val="clear" w:color="000000" w:fill="DAE9F8"/>
            <w:noWrap/>
            <w:hideMark/>
          </w:tcPr>
          <w:p w14:paraId="487D7F9D" w14:textId="77777777" w:rsidR="00B52789" w:rsidRPr="00B52789" w:rsidRDefault="00B52789" w:rsidP="00B52789">
            <w:pPr>
              <w:widowControl/>
              <w:autoSpaceDE/>
              <w:autoSpaceDN/>
              <w:jc w:val="center"/>
              <w:rPr>
                <w:rFonts w:eastAsia="Times New Roman" w:cs="Calibri"/>
                <w:b/>
                <w:bCs/>
                <w:color w:val="000000"/>
                <w:sz w:val="20"/>
              </w:rPr>
            </w:pPr>
            <w:r w:rsidRPr="00B52789">
              <w:rPr>
                <w:rFonts w:eastAsia="Times New Roman" w:cs="Calibri"/>
                <w:b/>
                <w:bCs/>
                <w:color w:val="000000"/>
                <w:sz w:val="20"/>
              </w:rPr>
              <w:t>FY22</w:t>
            </w:r>
          </w:p>
        </w:tc>
        <w:tc>
          <w:tcPr>
            <w:tcW w:w="0" w:type="auto"/>
            <w:tcBorders>
              <w:top w:val="single" w:sz="4" w:space="0" w:color="auto"/>
              <w:left w:val="nil"/>
              <w:bottom w:val="single" w:sz="4" w:space="0" w:color="auto"/>
              <w:right w:val="single" w:sz="4" w:space="0" w:color="auto"/>
            </w:tcBorders>
            <w:shd w:val="clear" w:color="000000" w:fill="DAE9F8"/>
            <w:hideMark/>
          </w:tcPr>
          <w:p w14:paraId="119584ED" w14:textId="77777777" w:rsidR="00B52789" w:rsidRPr="00B52789" w:rsidRDefault="00B52789" w:rsidP="00B52789">
            <w:pPr>
              <w:widowControl/>
              <w:autoSpaceDE/>
              <w:autoSpaceDN/>
              <w:jc w:val="center"/>
              <w:rPr>
                <w:rFonts w:eastAsia="Times New Roman" w:cs="Calibri"/>
                <w:b/>
                <w:bCs/>
                <w:color w:val="000000"/>
                <w:sz w:val="20"/>
              </w:rPr>
            </w:pPr>
            <w:r w:rsidRPr="00B52789">
              <w:rPr>
                <w:rFonts w:eastAsia="Times New Roman" w:cs="Calibri"/>
                <w:b/>
                <w:bCs/>
                <w:color w:val="000000"/>
                <w:sz w:val="20"/>
              </w:rPr>
              <w:t>% of Total Volume</w:t>
            </w:r>
          </w:p>
        </w:tc>
        <w:tc>
          <w:tcPr>
            <w:tcW w:w="0" w:type="auto"/>
            <w:tcBorders>
              <w:top w:val="single" w:sz="4" w:space="0" w:color="auto"/>
              <w:left w:val="nil"/>
              <w:bottom w:val="single" w:sz="4" w:space="0" w:color="auto"/>
              <w:right w:val="single" w:sz="4" w:space="0" w:color="auto"/>
            </w:tcBorders>
            <w:shd w:val="clear" w:color="000000" w:fill="DAE9F8"/>
            <w:noWrap/>
            <w:hideMark/>
          </w:tcPr>
          <w:p w14:paraId="3019383D" w14:textId="77777777" w:rsidR="00B52789" w:rsidRPr="00B52789" w:rsidRDefault="00B52789" w:rsidP="00B52789">
            <w:pPr>
              <w:widowControl/>
              <w:autoSpaceDE/>
              <w:autoSpaceDN/>
              <w:jc w:val="center"/>
              <w:rPr>
                <w:rFonts w:eastAsia="Times New Roman" w:cs="Calibri"/>
                <w:b/>
                <w:bCs/>
                <w:color w:val="000000"/>
                <w:sz w:val="20"/>
              </w:rPr>
            </w:pPr>
            <w:r w:rsidRPr="00B52789">
              <w:rPr>
                <w:rFonts w:eastAsia="Times New Roman" w:cs="Calibri"/>
                <w:b/>
                <w:bCs/>
                <w:color w:val="000000"/>
                <w:sz w:val="20"/>
              </w:rPr>
              <w:t>FY23</w:t>
            </w:r>
          </w:p>
        </w:tc>
        <w:tc>
          <w:tcPr>
            <w:tcW w:w="0" w:type="auto"/>
            <w:tcBorders>
              <w:top w:val="single" w:sz="4" w:space="0" w:color="auto"/>
              <w:left w:val="nil"/>
              <w:bottom w:val="single" w:sz="4" w:space="0" w:color="auto"/>
              <w:right w:val="single" w:sz="4" w:space="0" w:color="auto"/>
            </w:tcBorders>
            <w:shd w:val="clear" w:color="000000" w:fill="DAE9F8"/>
            <w:hideMark/>
          </w:tcPr>
          <w:p w14:paraId="528F4238" w14:textId="77777777" w:rsidR="00B52789" w:rsidRPr="00B52789" w:rsidRDefault="00B52789" w:rsidP="00B52789">
            <w:pPr>
              <w:widowControl/>
              <w:autoSpaceDE/>
              <w:autoSpaceDN/>
              <w:jc w:val="center"/>
              <w:rPr>
                <w:rFonts w:eastAsia="Times New Roman" w:cs="Calibri"/>
                <w:b/>
                <w:bCs/>
                <w:color w:val="000000"/>
                <w:sz w:val="20"/>
              </w:rPr>
            </w:pPr>
            <w:r w:rsidRPr="00B52789">
              <w:rPr>
                <w:rFonts w:eastAsia="Times New Roman" w:cs="Calibri"/>
                <w:b/>
                <w:bCs/>
                <w:color w:val="000000"/>
                <w:sz w:val="20"/>
              </w:rPr>
              <w:t>% of Total Volume</w:t>
            </w:r>
          </w:p>
        </w:tc>
        <w:tc>
          <w:tcPr>
            <w:tcW w:w="0" w:type="auto"/>
            <w:tcBorders>
              <w:top w:val="single" w:sz="4" w:space="0" w:color="auto"/>
              <w:left w:val="nil"/>
              <w:bottom w:val="single" w:sz="4" w:space="0" w:color="auto"/>
              <w:right w:val="single" w:sz="4" w:space="0" w:color="auto"/>
            </w:tcBorders>
            <w:shd w:val="clear" w:color="000000" w:fill="DAE9F8"/>
            <w:noWrap/>
            <w:hideMark/>
          </w:tcPr>
          <w:p w14:paraId="5CEC31D0" w14:textId="77777777" w:rsidR="00B52789" w:rsidRPr="00B52789" w:rsidRDefault="00B52789" w:rsidP="00B52789">
            <w:pPr>
              <w:widowControl/>
              <w:autoSpaceDE/>
              <w:autoSpaceDN/>
              <w:jc w:val="center"/>
              <w:rPr>
                <w:rFonts w:eastAsia="Times New Roman" w:cs="Calibri"/>
                <w:b/>
                <w:bCs/>
                <w:color w:val="000000"/>
                <w:sz w:val="20"/>
              </w:rPr>
            </w:pPr>
            <w:r w:rsidRPr="00B52789">
              <w:rPr>
                <w:rFonts w:eastAsia="Times New Roman" w:cs="Calibri"/>
                <w:b/>
                <w:bCs/>
                <w:color w:val="000000"/>
                <w:sz w:val="20"/>
              </w:rPr>
              <w:t>FY24</w:t>
            </w:r>
          </w:p>
        </w:tc>
        <w:tc>
          <w:tcPr>
            <w:tcW w:w="0" w:type="auto"/>
            <w:tcBorders>
              <w:top w:val="single" w:sz="4" w:space="0" w:color="auto"/>
              <w:left w:val="nil"/>
              <w:bottom w:val="single" w:sz="4" w:space="0" w:color="auto"/>
              <w:right w:val="single" w:sz="4" w:space="0" w:color="auto"/>
            </w:tcBorders>
            <w:shd w:val="clear" w:color="000000" w:fill="DAE9F8"/>
            <w:hideMark/>
          </w:tcPr>
          <w:p w14:paraId="6C3FDFBD" w14:textId="77777777" w:rsidR="00B52789" w:rsidRPr="00B52789" w:rsidRDefault="00B52789" w:rsidP="00B52789">
            <w:pPr>
              <w:widowControl/>
              <w:autoSpaceDE/>
              <w:autoSpaceDN/>
              <w:jc w:val="center"/>
              <w:rPr>
                <w:rFonts w:eastAsia="Times New Roman" w:cs="Calibri"/>
                <w:b/>
                <w:bCs/>
                <w:color w:val="000000"/>
                <w:sz w:val="20"/>
              </w:rPr>
            </w:pPr>
            <w:r w:rsidRPr="00B52789">
              <w:rPr>
                <w:rFonts w:eastAsia="Times New Roman" w:cs="Calibri"/>
                <w:b/>
                <w:bCs/>
                <w:color w:val="000000"/>
                <w:sz w:val="20"/>
              </w:rPr>
              <w:t>% of Total Volume</w:t>
            </w:r>
          </w:p>
        </w:tc>
        <w:tc>
          <w:tcPr>
            <w:tcW w:w="0" w:type="auto"/>
            <w:tcBorders>
              <w:top w:val="single" w:sz="4" w:space="0" w:color="auto"/>
              <w:left w:val="nil"/>
              <w:bottom w:val="single" w:sz="4" w:space="0" w:color="auto"/>
              <w:right w:val="single" w:sz="4" w:space="0" w:color="auto"/>
            </w:tcBorders>
            <w:shd w:val="clear" w:color="000000" w:fill="DAE9F8"/>
            <w:noWrap/>
            <w:hideMark/>
          </w:tcPr>
          <w:p w14:paraId="69773411" w14:textId="77777777" w:rsidR="00B52789" w:rsidRPr="00B52789" w:rsidRDefault="00B52789" w:rsidP="00B52789">
            <w:pPr>
              <w:widowControl/>
              <w:autoSpaceDE/>
              <w:autoSpaceDN/>
              <w:jc w:val="center"/>
              <w:rPr>
                <w:rFonts w:eastAsia="Times New Roman" w:cs="Calibri"/>
                <w:b/>
                <w:bCs/>
                <w:color w:val="000000"/>
                <w:sz w:val="20"/>
              </w:rPr>
            </w:pPr>
            <w:r w:rsidRPr="00B52789">
              <w:rPr>
                <w:rFonts w:eastAsia="Times New Roman" w:cs="Calibri"/>
                <w:b/>
                <w:bCs/>
                <w:color w:val="000000"/>
                <w:sz w:val="20"/>
              </w:rPr>
              <w:t>FY25</w:t>
            </w:r>
          </w:p>
        </w:tc>
        <w:tc>
          <w:tcPr>
            <w:tcW w:w="0" w:type="auto"/>
            <w:tcBorders>
              <w:top w:val="single" w:sz="4" w:space="0" w:color="auto"/>
              <w:left w:val="nil"/>
              <w:bottom w:val="single" w:sz="4" w:space="0" w:color="auto"/>
              <w:right w:val="single" w:sz="4" w:space="0" w:color="auto"/>
            </w:tcBorders>
            <w:shd w:val="clear" w:color="000000" w:fill="DAE9F8"/>
            <w:hideMark/>
          </w:tcPr>
          <w:p w14:paraId="1D156B49" w14:textId="77777777" w:rsidR="00B52789" w:rsidRPr="00B52789" w:rsidRDefault="00B52789" w:rsidP="00B52789">
            <w:pPr>
              <w:widowControl/>
              <w:autoSpaceDE/>
              <w:autoSpaceDN/>
              <w:jc w:val="center"/>
              <w:rPr>
                <w:rFonts w:eastAsia="Times New Roman" w:cs="Calibri"/>
                <w:b/>
                <w:bCs/>
                <w:color w:val="000000"/>
                <w:sz w:val="20"/>
              </w:rPr>
            </w:pPr>
            <w:r w:rsidRPr="00B52789">
              <w:rPr>
                <w:rFonts w:eastAsia="Times New Roman" w:cs="Calibri"/>
                <w:b/>
                <w:bCs/>
                <w:color w:val="000000"/>
                <w:sz w:val="20"/>
              </w:rPr>
              <w:t>% of Total Volume</w:t>
            </w:r>
          </w:p>
        </w:tc>
        <w:tc>
          <w:tcPr>
            <w:tcW w:w="1431" w:type="dxa"/>
            <w:tcBorders>
              <w:top w:val="single" w:sz="4" w:space="0" w:color="auto"/>
              <w:left w:val="nil"/>
              <w:bottom w:val="single" w:sz="4" w:space="0" w:color="auto"/>
              <w:right w:val="single" w:sz="4" w:space="0" w:color="auto"/>
            </w:tcBorders>
            <w:shd w:val="clear" w:color="000000" w:fill="DAE9F8"/>
            <w:hideMark/>
          </w:tcPr>
          <w:p w14:paraId="59C193B4" w14:textId="77777777" w:rsidR="00B52789" w:rsidRPr="00B52789" w:rsidRDefault="00B52789" w:rsidP="00B52789">
            <w:pPr>
              <w:widowControl/>
              <w:autoSpaceDE/>
              <w:autoSpaceDN/>
              <w:jc w:val="center"/>
              <w:rPr>
                <w:rFonts w:eastAsia="Times New Roman" w:cs="Calibri"/>
                <w:b/>
                <w:bCs/>
                <w:color w:val="000000"/>
                <w:sz w:val="20"/>
              </w:rPr>
            </w:pPr>
            <w:r w:rsidRPr="00B52789">
              <w:rPr>
                <w:rFonts w:eastAsia="Times New Roman" w:cs="Calibri"/>
                <w:b/>
                <w:bCs/>
                <w:color w:val="000000"/>
                <w:sz w:val="20"/>
              </w:rPr>
              <w:t xml:space="preserve">% Change                                  FY22 to FY25 </w:t>
            </w:r>
          </w:p>
        </w:tc>
      </w:tr>
      <w:tr w:rsidR="00B52789" w:rsidRPr="00B52789" w14:paraId="32CA542D" w14:textId="77777777" w:rsidTr="00C348CA">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7311E7B4" w14:textId="77777777" w:rsidR="00B52789" w:rsidRPr="00B52789" w:rsidRDefault="00B52789" w:rsidP="00B52789">
            <w:pPr>
              <w:widowControl/>
              <w:autoSpaceDE/>
              <w:autoSpaceDN/>
              <w:rPr>
                <w:rFonts w:eastAsia="Times New Roman" w:cs="Calibri"/>
                <w:color w:val="000000"/>
                <w:sz w:val="20"/>
              </w:rPr>
            </w:pPr>
            <w:r w:rsidRPr="00B52789">
              <w:rPr>
                <w:rFonts w:eastAsia="Times New Roman" w:cs="Calibri"/>
                <w:color w:val="000000"/>
                <w:sz w:val="20"/>
              </w:rPr>
              <w:t xml:space="preserve">Diagnostic </w:t>
            </w:r>
          </w:p>
        </w:tc>
        <w:tc>
          <w:tcPr>
            <w:tcW w:w="0" w:type="auto"/>
            <w:tcBorders>
              <w:top w:val="nil"/>
              <w:left w:val="nil"/>
              <w:bottom w:val="single" w:sz="4" w:space="0" w:color="auto"/>
              <w:right w:val="single" w:sz="4" w:space="0" w:color="auto"/>
            </w:tcBorders>
            <w:noWrap/>
            <w:vAlign w:val="bottom"/>
            <w:hideMark/>
          </w:tcPr>
          <w:p w14:paraId="10F2DFCD"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3,102</w:t>
            </w:r>
          </w:p>
        </w:tc>
        <w:tc>
          <w:tcPr>
            <w:tcW w:w="0" w:type="auto"/>
            <w:tcBorders>
              <w:top w:val="nil"/>
              <w:left w:val="nil"/>
              <w:bottom w:val="single" w:sz="4" w:space="0" w:color="auto"/>
              <w:right w:val="single" w:sz="4" w:space="0" w:color="auto"/>
            </w:tcBorders>
            <w:noWrap/>
            <w:vAlign w:val="bottom"/>
            <w:hideMark/>
          </w:tcPr>
          <w:p w14:paraId="5080753E"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84%</w:t>
            </w:r>
          </w:p>
        </w:tc>
        <w:tc>
          <w:tcPr>
            <w:tcW w:w="0" w:type="auto"/>
            <w:tcBorders>
              <w:top w:val="nil"/>
              <w:left w:val="nil"/>
              <w:bottom w:val="single" w:sz="4" w:space="0" w:color="auto"/>
              <w:right w:val="single" w:sz="4" w:space="0" w:color="auto"/>
            </w:tcBorders>
            <w:noWrap/>
            <w:vAlign w:val="bottom"/>
            <w:hideMark/>
          </w:tcPr>
          <w:p w14:paraId="6B1EA715"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5,579</w:t>
            </w:r>
          </w:p>
        </w:tc>
        <w:tc>
          <w:tcPr>
            <w:tcW w:w="0" w:type="auto"/>
            <w:tcBorders>
              <w:top w:val="nil"/>
              <w:left w:val="nil"/>
              <w:bottom w:val="single" w:sz="4" w:space="0" w:color="auto"/>
              <w:right w:val="single" w:sz="4" w:space="0" w:color="auto"/>
            </w:tcBorders>
            <w:noWrap/>
            <w:vAlign w:val="bottom"/>
            <w:hideMark/>
          </w:tcPr>
          <w:p w14:paraId="11FCCF7C"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84%</w:t>
            </w:r>
          </w:p>
        </w:tc>
        <w:tc>
          <w:tcPr>
            <w:tcW w:w="0" w:type="auto"/>
            <w:tcBorders>
              <w:top w:val="nil"/>
              <w:left w:val="nil"/>
              <w:bottom w:val="single" w:sz="4" w:space="0" w:color="auto"/>
              <w:right w:val="single" w:sz="4" w:space="0" w:color="auto"/>
            </w:tcBorders>
            <w:noWrap/>
            <w:vAlign w:val="bottom"/>
            <w:hideMark/>
          </w:tcPr>
          <w:p w14:paraId="2AB08F75"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7,311</w:t>
            </w:r>
          </w:p>
        </w:tc>
        <w:tc>
          <w:tcPr>
            <w:tcW w:w="0" w:type="auto"/>
            <w:tcBorders>
              <w:top w:val="nil"/>
              <w:left w:val="nil"/>
              <w:bottom w:val="single" w:sz="4" w:space="0" w:color="auto"/>
              <w:right w:val="single" w:sz="4" w:space="0" w:color="auto"/>
            </w:tcBorders>
            <w:noWrap/>
            <w:vAlign w:val="bottom"/>
            <w:hideMark/>
          </w:tcPr>
          <w:p w14:paraId="527C32F3"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84%</w:t>
            </w:r>
          </w:p>
        </w:tc>
        <w:tc>
          <w:tcPr>
            <w:tcW w:w="0" w:type="auto"/>
            <w:tcBorders>
              <w:top w:val="nil"/>
              <w:left w:val="nil"/>
              <w:bottom w:val="single" w:sz="4" w:space="0" w:color="auto"/>
              <w:right w:val="single" w:sz="4" w:space="0" w:color="auto"/>
            </w:tcBorders>
            <w:noWrap/>
            <w:vAlign w:val="bottom"/>
            <w:hideMark/>
          </w:tcPr>
          <w:p w14:paraId="01BB7E01"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9,270</w:t>
            </w:r>
          </w:p>
        </w:tc>
        <w:tc>
          <w:tcPr>
            <w:tcW w:w="0" w:type="auto"/>
            <w:tcBorders>
              <w:top w:val="nil"/>
              <w:left w:val="nil"/>
              <w:bottom w:val="single" w:sz="4" w:space="0" w:color="auto"/>
              <w:right w:val="single" w:sz="4" w:space="0" w:color="auto"/>
            </w:tcBorders>
            <w:noWrap/>
            <w:vAlign w:val="bottom"/>
            <w:hideMark/>
          </w:tcPr>
          <w:p w14:paraId="10DDAB28"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84%</w:t>
            </w:r>
          </w:p>
        </w:tc>
        <w:tc>
          <w:tcPr>
            <w:tcW w:w="1431" w:type="dxa"/>
            <w:tcBorders>
              <w:top w:val="nil"/>
              <w:left w:val="nil"/>
              <w:bottom w:val="single" w:sz="4" w:space="0" w:color="auto"/>
              <w:right w:val="single" w:sz="4" w:space="0" w:color="auto"/>
            </w:tcBorders>
            <w:noWrap/>
            <w:vAlign w:val="bottom"/>
            <w:hideMark/>
          </w:tcPr>
          <w:p w14:paraId="22FBD941"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199%</w:t>
            </w:r>
          </w:p>
        </w:tc>
      </w:tr>
      <w:tr w:rsidR="00B52789" w:rsidRPr="00B52789" w14:paraId="4E3DF152" w14:textId="77777777" w:rsidTr="00C348CA">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170C19B8" w14:textId="77777777" w:rsidR="00B52789" w:rsidRPr="00B52789" w:rsidRDefault="00B52789" w:rsidP="00B52789">
            <w:pPr>
              <w:widowControl/>
              <w:autoSpaceDE/>
              <w:autoSpaceDN/>
              <w:rPr>
                <w:rFonts w:eastAsia="Times New Roman" w:cs="Calibri"/>
                <w:color w:val="000000"/>
                <w:sz w:val="20"/>
              </w:rPr>
            </w:pPr>
            <w:r w:rsidRPr="00B52789">
              <w:rPr>
                <w:rFonts w:eastAsia="Times New Roman" w:cs="Calibri"/>
                <w:color w:val="000000"/>
                <w:sz w:val="20"/>
              </w:rPr>
              <w:t xml:space="preserve">Screening </w:t>
            </w:r>
          </w:p>
        </w:tc>
        <w:tc>
          <w:tcPr>
            <w:tcW w:w="0" w:type="auto"/>
            <w:tcBorders>
              <w:top w:val="nil"/>
              <w:left w:val="nil"/>
              <w:bottom w:val="single" w:sz="4" w:space="0" w:color="auto"/>
              <w:right w:val="single" w:sz="4" w:space="0" w:color="auto"/>
            </w:tcBorders>
            <w:noWrap/>
            <w:vAlign w:val="bottom"/>
            <w:hideMark/>
          </w:tcPr>
          <w:p w14:paraId="46435361"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572</w:t>
            </w:r>
          </w:p>
        </w:tc>
        <w:tc>
          <w:tcPr>
            <w:tcW w:w="0" w:type="auto"/>
            <w:tcBorders>
              <w:top w:val="nil"/>
              <w:left w:val="nil"/>
              <w:bottom w:val="single" w:sz="4" w:space="0" w:color="auto"/>
              <w:right w:val="single" w:sz="4" w:space="0" w:color="auto"/>
            </w:tcBorders>
            <w:noWrap/>
            <w:vAlign w:val="bottom"/>
            <w:hideMark/>
          </w:tcPr>
          <w:p w14:paraId="1FE2782C"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16%</w:t>
            </w:r>
          </w:p>
        </w:tc>
        <w:tc>
          <w:tcPr>
            <w:tcW w:w="0" w:type="auto"/>
            <w:tcBorders>
              <w:top w:val="nil"/>
              <w:left w:val="nil"/>
              <w:bottom w:val="single" w:sz="4" w:space="0" w:color="auto"/>
              <w:right w:val="single" w:sz="4" w:space="0" w:color="auto"/>
            </w:tcBorders>
            <w:noWrap/>
            <w:vAlign w:val="bottom"/>
            <w:hideMark/>
          </w:tcPr>
          <w:p w14:paraId="4E28F1D9"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1,055</w:t>
            </w:r>
          </w:p>
        </w:tc>
        <w:tc>
          <w:tcPr>
            <w:tcW w:w="0" w:type="auto"/>
            <w:tcBorders>
              <w:top w:val="nil"/>
              <w:left w:val="nil"/>
              <w:bottom w:val="single" w:sz="4" w:space="0" w:color="auto"/>
              <w:right w:val="single" w:sz="4" w:space="0" w:color="auto"/>
            </w:tcBorders>
            <w:noWrap/>
            <w:vAlign w:val="bottom"/>
            <w:hideMark/>
          </w:tcPr>
          <w:p w14:paraId="13D2DEB6"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16%</w:t>
            </w:r>
          </w:p>
        </w:tc>
        <w:tc>
          <w:tcPr>
            <w:tcW w:w="0" w:type="auto"/>
            <w:tcBorders>
              <w:top w:val="nil"/>
              <w:left w:val="nil"/>
              <w:bottom w:val="single" w:sz="4" w:space="0" w:color="auto"/>
              <w:right w:val="single" w:sz="4" w:space="0" w:color="auto"/>
            </w:tcBorders>
            <w:noWrap/>
            <w:vAlign w:val="bottom"/>
            <w:hideMark/>
          </w:tcPr>
          <w:p w14:paraId="1BB6AD88"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1,360</w:t>
            </w:r>
          </w:p>
        </w:tc>
        <w:tc>
          <w:tcPr>
            <w:tcW w:w="0" w:type="auto"/>
            <w:tcBorders>
              <w:top w:val="nil"/>
              <w:left w:val="nil"/>
              <w:bottom w:val="single" w:sz="4" w:space="0" w:color="auto"/>
              <w:right w:val="single" w:sz="4" w:space="0" w:color="auto"/>
            </w:tcBorders>
            <w:noWrap/>
            <w:vAlign w:val="bottom"/>
            <w:hideMark/>
          </w:tcPr>
          <w:p w14:paraId="4A2C03D6"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16%</w:t>
            </w:r>
          </w:p>
        </w:tc>
        <w:tc>
          <w:tcPr>
            <w:tcW w:w="0" w:type="auto"/>
            <w:tcBorders>
              <w:top w:val="nil"/>
              <w:left w:val="nil"/>
              <w:bottom w:val="single" w:sz="4" w:space="0" w:color="auto"/>
              <w:right w:val="single" w:sz="4" w:space="0" w:color="auto"/>
            </w:tcBorders>
            <w:noWrap/>
            <w:vAlign w:val="bottom"/>
            <w:hideMark/>
          </w:tcPr>
          <w:p w14:paraId="159C02E2"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1,809</w:t>
            </w:r>
          </w:p>
        </w:tc>
        <w:tc>
          <w:tcPr>
            <w:tcW w:w="0" w:type="auto"/>
            <w:tcBorders>
              <w:top w:val="nil"/>
              <w:left w:val="nil"/>
              <w:bottom w:val="single" w:sz="4" w:space="0" w:color="auto"/>
              <w:right w:val="single" w:sz="4" w:space="0" w:color="auto"/>
            </w:tcBorders>
            <w:noWrap/>
            <w:vAlign w:val="bottom"/>
            <w:hideMark/>
          </w:tcPr>
          <w:p w14:paraId="1D275F49"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16%</w:t>
            </w:r>
          </w:p>
        </w:tc>
        <w:tc>
          <w:tcPr>
            <w:tcW w:w="1431" w:type="dxa"/>
            <w:tcBorders>
              <w:top w:val="nil"/>
              <w:left w:val="nil"/>
              <w:bottom w:val="single" w:sz="4" w:space="0" w:color="auto"/>
              <w:right w:val="single" w:sz="4" w:space="0" w:color="auto"/>
            </w:tcBorders>
            <w:noWrap/>
            <w:vAlign w:val="bottom"/>
            <w:hideMark/>
          </w:tcPr>
          <w:p w14:paraId="0A7F3C6E"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216%</w:t>
            </w:r>
          </w:p>
        </w:tc>
      </w:tr>
      <w:tr w:rsidR="00B52789" w:rsidRPr="00B52789" w14:paraId="6D395B60" w14:textId="77777777" w:rsidTr="00C348CA">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395FBAD2" w14:textId="77777777" w:rsidR="00B52789" w:rsidRPr="00B52789" w:rsidRDefault="00B52789" w:rsidP="00B52789">
            <w:pPr>
              <w:widowControl/>
              <w:autoSpaceDE/>
              <w:autoSpaceDN/>
              <w:rPr>
                <w:rFonts w:eastAsia="Times New Roman" w:cs="Calibri"/>
                <w:color w:val="000000"/>
                <w:sz w:val="20"/>
              </w:rPr>
            </w:pPr>
            <w:r w:rsidRPr="00B52789">
              <w:rPr>
                <w:rFonts w:eastAsia="Times New Roman" w:cs="Calibri"/>
                <w:color w:val="000000"/>
                <w:sz w:val="20"/>
              </w:rPr>
              <w:t xml:space="preserve">Total Procedure Volume </w:t>
            </w:r>
          </w:p>
        </w:tc>
        <w:tc>
          <w:tcPr>
            <w:tcW w:w="0" w:type="auto"/>
            <w:tcBorders>
              <w:top w:val="nil"/>
              <w:left w:val="nil"/>
              <w:bottom w:val="single" w:sz="4" w:space="0" w:color="auto"/>
              <w:right w:val="single" w:sz="4" w:space="0" w:color="auto"/>
            </w:tcBorders>
            <w:noWrap/>
            <w:vAlign w:val="bottom"/>
            <w:hideMark/>
          </w:tcPr>
          <w:p w14:paraId="288ED093"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3,674</w:t>
            </w:r>
          </w:p>
        </w:tc>
        <w:tc>
          <w:tcPr>
            <w:tcW w:w="0" w:type="auto"/>
            <w:tcBorders>
              <w:top w:val="nil"/>
              <w:left w:val="nil"/>
              <w:bottom w:val="single" w:sz="4" w:space="0" w:color="auto"/>
              <w:right w:val="single" w:sz="4" w:space="0" w:color="auto"/>
            </w:tcBorders>
            <w:noWrap/>
            <w:vAlign w:val="bottom"/>
            <w:hideMark/>
          </w:tcPr>
          <w:p w14:paraId="09E4596B"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100%</w:t>
            </w:r>
          </w:p>
        </w:tc>
        <w:tc>
          <w:tcPr>
            <w:tcW w:w="0" w:type="auto"/>
            <w:tcBorders>
              <w:top w:val="nil"/>
              <w:left w:val="nil"/>
              <w:bottom w:val="single" w:sz="4" w:space="0" w:color="auto"/>
              <w:right w:val="single" w:sz="4" w:space="0" w:color="auto"/>
            </w:tcBorders>
            <w:noWrap/>
            <w:vAlign w:val="bottom"/>
            <w:hideMark/>
          </w:tcPr>
          <w:p w14:paraId="18471253"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6,634</w:t>
            </w:r>
          </w:p>
        </w:tc>
        <w:tc>
          <w:tcPr>
            <w:tcW w:w="0" w:type="auto"/>
            <w:tcBorders>
              <w:top w:val="nil"/>
              <w:left w:val="nil"/>
              <w:bottom w:val="single" w:sz="4" w:space="0" w:color="auto"/>
              <w:right w:val="single" w:sz="4" w:space="0" w:color="auto"/>
            </w:tcBorders>
            <w:noWrap/>
            <w:vAlign w:val="bottom"/>
            <w:hideMark/>
          </w:tcPr>
          <w:p w14:paraId="7996B352"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100%</w:t>
            </w:r>
          </w:p>
        </w:tc>
        <w:tc>
          <w:tcPr>
            <w:tcW w:w="0" w:type="auto"/>
            <w:tcBorders>
              <w:top w:val="nil"/>
              <w:left w:val="nil"/>
              <w:bottom w:val="single" w:sz="4" w:space="0" w:color="auto"/>
              <w:right w:val="single" w:sz="4" w:space="0" w:color="auto"/>
            </w:tcBorders>
            <w:noWrap/>
            <w:vAlign w:val="bottom"/>
            <w:hideMark/>
          </w:tcPr>
          <w:p w14:paraId="256A4155"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8,671</w:t>
            </w:r>
          </w:p>
        </w:tc>
        <w:tc>
          <w:tcPr>
            <w:tcW w:w="0" w:type="auto"/>
            <w:tcBorders>
              <w:top w:val="nil"/>
              <w:left w:val="nil"/>
              <w:bottom w:val="single" w:sz="4" w:space="0" w:color="auto"/>
              <w:right w:val="single" w:sz="4" w:space="0" w:color="auto"/>
            </w:tcBorders>
            <w:noWrap/>
            <w:vAlign w:val="bottom"/>
            <w:hideMark/>
          </w:tcPr>
          <w:p w14:paraId="78592D1F"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100%</w:t>
            </w:r>
          </w:p>
        </w:tc>
        <w:tc>
          <w:tcPr>
            <w:tcW w:w="0" w:type="auto"/>
            <w:tcBorders>
              <w:top w:val="nil"/>
              <w:left w:val="nil"/>
              <w:bottom w:val="single" w:sz="4" w:space="0" w:color="auto"/>
              <w:right w:val="single" w:sz="4" w:space="0" w:color="auto"/>
            </w:tcBorders>
            <w:noWrap/>
            <w:vAlign w:val="bottom"/>
            <w:hideMark/>
          </w:tcPr>
          <w:p w14:paraId="1024F6E6"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11,079</w:t>
            </w:r>
          </w:p>
        </w:tc>
        <w:tc>
          <w:tcPr>
            <w:tcW w:w="0" w:type="auto"/>
            <w:tcBorders>
              <w:top w:val="nil"/>
              <w:left w:val="nil"/>
              <w:bottom w:val="single" w:sz="4" w:space="0" w:color="auto"/>
              <w:right w:val="single" w:sz="4" w:space="0" w:color="auto"/>
            </w:tcBorders>
            <w:noWrap/>
            <w:vAlign w:val="bottom"/>
            <w:hideMark/>
          </w:tcPr>
          <w:p w14:paraId="75209A1C"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100%</w:t>
            </w:r>
          </w:p>
        </w:tc>
        <w:tc>
          <w:tcPr>
            <w:tcW w:w="1431" w:type="dxa"/>
            <w:tcBorders>
              <w:top w:val="nil"/>
              <w:left w:val="nil"/>
              <w:bottom w:val="single" w:sz="4" w:space="0" w:color="auto"/>
              <w:right w:val="single" w:sz="4" w:space="0" w:color="auto"/>
            </w:tcBorders>
            <w:noWrap/>
            <w:vAlign w:val="bottom"/>
            <w:hideMark/>
          </w:tcPr>
          <w:p w14:paraId="7EC52C17" w14:textId="77777777" w:rsidR="00B52789" w:rsidRPr="00B52789" w:rsidRDefault="00B52789" w:rsidP="00B52789">
            <w:pPr>
              <w:widowControl/>
              <w:autoSpaceDE/>
              <w:autoSpaceDN/>
              <w:jc w:val="center"/>
              <w:rPr>
                <w:rFonts w:eastAsia="Times New Roman" w:cs="Calibri"/>
                <w:color w:val="000000"/>
                <w:sz w:val="20"/>
              </w:rPr>
            </w:pPr>
            <w:r w:rsidRPr="00B52789">
              <w:rPr>
                <w:rFonts w:eastAsia="Times New Roman" w:cs="Calibri"/>
                <w:color w:val="000000"/>
                <w:sz w:val="20"/>
              </w:rPr>
              <w:t>202%</w:t>
            </w:r>
          </w:p>
        </w:tc>
      </w:tr>
    </w:tbl>
    <w:p w14:paraId="6957C403" w14:textId="77777777" w:rsidR="000C0C14" w:rsidRDefault="000C0C14" w:rsidP="00A81E6C">
      <w:pPr>
        <w:pStyle w:val="BodyText"/>
        <w:spacing w:line="269" w:lineRule="exact"/>
        <w:rPr>
          <w:rFonts w:asciiTheme="minorHAnsi" w:hAnsiTheme="minorHAnsi"/>
        </w:rPr>
      </w:pPr>
    </w:p>
    <w:p w14:paraId="7D0A2570" w14:textId="614CF65A" w:rsidR="00D351B5" w:rsidRDefault="00D351B5" w:rsidP="00A81E6C">
      <w:pPr>
        <w:pStyle w:val="BodyText"/>
        <w:spacing w:line="269" w:lineRule="exact"/>
        <w:rPr>
          <w:rFonts w:asciiTheme="minorHAnsi" w:hAnsiTheme="minorHAnsi"/>
        </w:rPr>
      </w:pPr>
      <w:r>
        <w:rPr>
          <w:rFonts w:asciiTheme="minorHAnsi" w:hAnsiTheme="minorHAnsi"/>
        </w:rPr>
        <w:t>Table 1</w:t>
      </w:r>
      <w:r w:rsidR="008A4FAA">
        <w:rPr>
          <w:rFonts w:asciiTheme="minorHAnsi" w:hAnsiTheme="minorHAnsi"/>
        </w:rPr>
        <w:t>5</w:t>
      </w:r>
      <w:r>
        <w:rPr>
          <w:rFonts w:asciiTheme="minorHAnsi" w:hAnsiTheme="minorHAnsi"/>
        </w:rPr>
        <w:t xml:space="preserve"> shows the Center’s procedure volume by Upper and Lower Endoscopy. As shown in Table 1</w:t>
      </w:r>
      <w:r w:rsidR="008A4FAA">
        <w:rPr>
          <w:rFonts w:asciiTheme="minorHAnsi" w:hAnsiTheme="minorHAnsi"/>
        </w:rPr>
        <w:t>5</w:t>
      </w:r>
      <w:r>
        <w:rPr>
          <w:rFonts w:asciiTheme="minorHAnsi" w:hAnsiTheme="minorHAnsi"/>
        </w:rPr>
        <w:t xml:space="preserve">, </w:t>
      </w:r>
      <w:r w:rsidR="007B3DB0">
        <w:rPr>
          <w:rFonts w:asciiTheme="minorHAnsi" w:hAnsiTheme="minorHAnsi"/>
        </w:rPr>
        <w:t>l</w:t>
      </w:r>
      <w:r>
        <w:rPr>
          <w:rFonts w:asciiTheme="minorHAnsi" w:hAnsiTheme="minorHAnsi"/>
        </w:rPr>
        <w:t xml:space="preserve">ower </w:t>
      </w:r>
      <w:r w:rsidR="007B3DB0">
        <w:rPr>
          <w:rFonts w:asciiTheme="minorHAnsi" w:hAnsiTheme="minorHAnsi"/>
        </w:rPr>
        <w:t>e</w:t>
      </w:r>
      <w:r>
        <w:rPr>
          <w:rFonts w:asciiTheme="minorHAnsi" w:hAnsiTheme="minorHAnsi"/>
        </w:rPr>
        <w:t>ndoscopy procedures comprised more than 70% of the Center’s procedure volume from FY22 to FY25, and upper and lower procedure volume increased by 15</w:t>
      </w:r>
      <w:r w:rsidR="00A00F5E">
        <w:rPr>
          <w:rFonts w:asciiTheme="minorHAnsi" w:hAnsiTheme="minorHAnsi"/>
        </w:rPr>
        <w:t>1</w:t>
      </w:r>
      <w:r>
        <w:rPr>
          <w:rFonts w:asciiTheme="minorHAnsi" w:hAnsiTheme="minorHAnsi"/>
        </w:rPr>
        <w:t xml:space="preserve">% and 220%, respectively. </w:t>
      </w:r>
    </w:p>
    <w:p w14:paraId="6DBAF370" w14:textId="77777777" w:rsidR="00187720" w:rsidRDefault="00187720" w:rsidP="00A81E6C">
      <w:pPr>
        <w:pStyle w:val="BodyText"/>
        <w:spacing w:line="269" w:lineRule="exact"/>
        <w:rPr>
          <w:rFonts w:asciiTheme="minorHAnsi" w:hAnsiTheme="minorHAnsi"/>
          <w:b/>
          <w:bCs/>
          <w:u w:val="single"/>
        </w:rPr>
      </w:pPr>
    </w:p>
    <w:p w14:paraId="58EF31AD" w14:textId="5AFB1755" w:rsidR="00D351B5" w:rsidRPr="00D351B5" w:rsidRDefault="00D351B5" w:rsidP="00A81E6C">
      <w:pPr>
        <w:pStyle w:val="BodyText"/>
        <w:spacing w:line="269" w:lineRule="exact"/>
        <w:rPr>
          <w:rFonts w:asciiTheme="minorHAnsi" w:hAnsiTheme="minorHAnsi"/>
          <w:b/>
          <w:bCs/>
        </w:rPr>
      </w:pPr>
      <w:r w:rsidRPr="00D351B5">
        <w:rPr>
          <w:rFonts w:asciiTheme="minorHAnsi" w:hAnsiTheme="minorHAnsi"/>
          <w:b/>
          <w:bCs/>
          <w:u w:val="single"/>
        </w:rPr>
        <w:t>Table 1</w:t>
      </w:r>
      <w:r w:rsidR="008A4FAA">
        <w:rPr>
          <w:rFonts w:asciiTheme="minorHAnsi" w:hAnsiTheme="minorHAnsi"/>
          <w:b/>
          <w:bCs/>
          <w:u w:val="single"/>
        </w:rPr>
        <w:t>5</w:t>
      </w:r>
      <w:r w:rsidRPr="00D351B5">
        <w:rPr>
          <w:rFonts w:asciiTheme="minorHAnsi" w:hAnsiTheme="minorHAnsi"/>
          <w:b/>
          <w:bCs/>
        </w:rPr>
        <w:t xml:space="preserve">: The Center’s </w:t>
      </w:r>
      <w:r w:rsidR="007B3DB0">
        <w:rPr>
          <w:rFonts w:asciiTheme="minorHAnsi" w:hAnsiTheme="minorHAnsi"/>
          <w:b/>
          <w:bCs/>
        </w:rPr>
        <w:t xml:space="preserve">Endoscopy </w:t>
      </w:r>
      <w:r w:rsidR="00F25A33">
        <w:rPr>
          <w:rFonts w:asciiTheme="minorHAnsi" w:hAnsiTheme="minorHAnsi"/>
          <w:b/>
          <w:bCs/>
        </w:rPr>
        <w:t xml:space="preserve">Procedures </w:t>
      </w:r>
      <w:r w:rsidRPr="00D351B5">
        <w:rPr>
          <w:rFonts w:asciiTheme="minorHAnsi" w:hAnsiTheme="minorHAnsi"/>
          <w:b/>
          <w:bCs/>
        </w:rPr>
        <w:t xml:space="preserve">by Upper and Lower Endoscopy, FY22 to FY25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e Center’s Endoscopy Procedures by Upper and Lower Endoscopy, FY22 to FY25"/>
      </w:tblPr>
      <w:tblGrid>
        <w:gridCol w:w="2191"/>
        <w:gridCol w:w="672"/>
        <w:gridCol w:w="937"/>
        <w:gridCol w:w="672"/>
        <w:gridCol w:w="937"/>
        <w:gridCol w:w="672"/>
        <w:gridCol w:w="937"/>
        <w:gridCol w:w="773"/>
        <w:gridCol w:w="937"/>
        <w:gridCol w:w="1437"/>
      </w:tblGrid>
      <w:tr w:rsidR="00D351B5" w:rsidRPr="00D351B5" w14:paraId="03614777" w14:textId="77777777" w:rsidTr="00C348CA">
        <w:trPr>
          <w:cantSplit/>
          <w:trHeight w:val="870"/>
          <w:tblHeader/>
        </w:trPr>
        <w:tc>
          <w:tcPr>
            <w:tcW w:w="0" w:type="auto"/>
            <w:shd w:val="clear" w:color="000000" w:fill="DAE9F8"/>
            <w:noWrap/>
            <w:vAlign w:val="bottom"/>
            <w:hideMark/>
          </w:tcPr>
          <w:p w14:paraId="1D0A9F47" w14:textId="77777777" w:rsidR="00D351B5" w:rsidRPr="00D351B5" w:rsidRDefault="00D351B5" w:rsidP="00D351B5">
            <w:pPr>
              <w:widowControl/>
              <w:autoSpaceDE/>
              <w:autoSpaceDN/>
              <w:rPr>
                <w:rFonts w:asciiTheme="minorHAnsi" w:eastAsia="Times New Roman" w:hAnsiTheme="minorHAnsi"/>
                <w:b/>
                <w:bCs/>
                <w:color w:val="000000"/>
                <w:sz w:val="20"/>
              </w:rPr>
            </w:pPr>
            <w:r w:rsidRPr="00D351B5">
              <w:rPr>
                <w:rFonts w:asciiTheme="minorHAnsi" w:eastAsia="Times New Roman" w:hAnsiTheme="minorHAnsi"/>
                <w:b/>
                <w:bCs/>
                <w:color w:val="000000"/>
                <w:sz w:val="20"/>
              </w:rPr>
              <w:t>Procedure Type</w:t>
            </w:r>
          </w:p>
        </w:tc>
        <w:tc>
          <w:tcPr>
            <w:tcW w:w="0" w:type="auto"/>
            <w:shd w:val="clear" w:color="000000" w:fill="DAE9F8"/>
            <w:noWrap/>
            <w:hideMark/>
          </w:tcPr>
          <w:p w14:paraId="3B8D2A74" w14:textId="77777777" w:rsidR="00D351B5" w:rsidRPr="00D351B5" w:rsidRDefault="00D351B5" w:rsidP="00D351B5">
            <w:pPr>
              <w:widowControl/>
              <w:autoSpaceDE/>
              <w:autoSpaceDN/>
              <w:jc w:val="center"/>
              <w:rPr>
                <w:rFonts w:asciiTheme="minorHAnsi" w:eastAsia="Times New Roman" w:hAnsiTheme="minorHAnsi"/>
                <w:b/>
                <w:bCs/>
                <w:color w:val="000000"/>
                <w:sz w:val="20"/>
              </w:rPr>
            </w:pPr>
            <w:r w:rsidRPr="00D351B5">
              <w:rPr>
                <w:rFonts w:asciiTheme="minorHAnsi" w:eastAsia="Times New Roman" w:hAnsiTheme="minorHAnsi"/>
                <w:b/>
                <w:bCs/>
                <w:color w:val="000000"/>
                <w:sz w:val="20"/>
              </w:rPr>
              <w:t>FY22</w:t>
            </w:r>
          </w:p>
        </w:tc>
        <w:tc>
          <w:tcPr>
            <w:tcW w:w="0" w:type="auto"/>
            <w:shd w:val="clear" w:color="000000" w:fill="DAE9F8"/>
            <w:hideMark/>
          </w:tcPr>
          <w:p w14:paraId="31A27ECE" w14:textId="77777777" w:rsidR="00D351B5" w:rsidRPr="00D351B5" w:rsidRDefault="00D351B5" w:rsidP="00D351B5">
            <w:pPr>
              <w:widowControl/>
              <w:autoSpaceDE/>
              <w:autoSpaceDN/>
              <w:jc w:val="center"/>
              <w:rPr>
                <w:rFonts w:asciiTheme="minorHAnsi" w:eastAsia="Times New Roman" w:hAnsiTheme="minorHAnsi"/>
                <w:b/>
                <w:bCs/>
                <w:color w:val="000000"/>
                <w:sz w:val="20"/>
              </w:rPr>
            </w:pPr>
            <w:r w:rsidRPr="00D351B5">
              <w:rPr>
                <w:rFonts w:asciiTheme="minorHAnsi" w:eastAsia="Times New Roman" w:hAnsiTheme="minorHAnsi"/>
                <w:b/>
                <w:bCs/>
                <w:color w:val="000000"/>
                <w:sz w:val="20"/>
              </w:rPr>
              <w:t>% of Total Volume</w:t>
            </w:r>
          </w:p>
        </w:tc>
        <w:tc>
          <w:tcPr>
            <w:tcW w:w="0" w:type="auto"/>
            <w:shd w:val="clear" w:color="000000" w:fill="DAE9F8"/>
            <w:noWrap/>
            <w:hideMark/>
          </w:tcPr>
          <w:p w14:paraId="41E7766F" w14:textId="77777777" w:rsidR="00D351B5" w:rsidRPr="00D351B5" w:rsidRDefault="00D351B5" w:rsidP="00D351B5">
            <w:pPr>
              <w:widowControl/>
              <w:autoSpaceDE/>
              <w:autoSpaceDN/>
              <w:jc w:val="center"/>
              <w:rPr>
                <w:rFonts w:asciiTheme="minorHAnsi" w:eastAsia="Times New Roman" w:hAnsiTheme="minorHAnsi"/>
                <w:b/>
                <w:bCs/>
                <w:color w:val="000000"/>
                <w:sz w:val="20"/>
              </w:rPr>
            </w:pPr>
            <w:r w:rsidRPr="00D351B5">
              <w:rPr>
                <w:rFonts w:asciiTheme="minorHAnsi" w:eastAsia="Times New Roman" w:hAnsiTheme="minorHAnsi"/>
                <w:b/>
                <w:bCs/>
                <w:color w:val="000000"/>
                <w:sz w:val="20"/>
              </w:rPr>
              <w:t>FY23</w:t>
            </w:r>
          </w:p>
        </w:tc>
        <w:tc>
          <w:tcPr>
            <w:tcW w:w="0" w:type="auto"/>
            <w:shd w:val="clear" w:color="000000" w:fill="DAE9F8"/>
            <w:hideMark/>
          </w:tcPr>
          <w:p w14:paraId="67B752BE" w14:textId="77777777" w:rsidR="00D351B5" w:rsidRPr="00D351B5" w:rsidRDefault="00D351B5" w:rsidP="00D351B5">
            <w:pPr>
              <w:widowControl/>
              <w:autoSpaceDE/>
              <w:autoSpaceDN/>
              <w:jc w:val="center"/>
              <w:rPr>
                <w:rFonts w:asciiTheme="minorHAnsi" w:eastAsia="Times New Roman" w:hAnsiTheme="minorHAnsi"/>
                <w:b/>
                <w:bCs/>
                <w:color w:val="000000"/>
                <w:sz w:val="20"/>
              </w:rPr>
            </w:pPr>
            <w:r w:rsidRPr="00D351B5">
              <w:rPr>
                <w:rFonts w:asciiTheme="minorHAnsi" w:eastAsia="Times New Roman" w:hAnsiTheme="minorHAnsi"/>
                <w:b/>
                <w:bCs/>
                <w:color w:val="000000"/>
                <w:sz w:val="20"/>
              </w:rPr>
              <w:t>% of Total Volume</w:t>
            </w:r>
          </w:p>
        </w:tc>
        <w:tc>
          <w:tcPr>
            <w:tcW w:w="0" w:type="auto"/>
            <w:shd w:val="clear" w:color="000000" w:fill="DAE9F8"/>
            <w:noWrap/>
            <w:hideMark/>
          </w:tcPr>
          <w:p w14:paraId="7EEE3BBB" w14:textId="77777777" w:rsidR="00D351B5" w:rsidRPr="00D351B5" w:rsidRDefault="00D351B5" w:rsidP="00D351B5">
            <w:pPr>
              <w:widowControl/>
              <w:autoSpaceDE/>
              <w:autoSpaceDN/>
              <w:jc w:val="center"/>
              <w:rPr>
                <w:rFonts w:asciiTheme="minorHAnsi" w:eastAsia="Times New Roman" w:hAnsiTheme="minorHAnsi"/>
                <w:b/>
                <w:bCs/>
                <w:color w:val="000000"/>
                <w:sz w:val="20"/>
              </w:rPr>
            </w:pPr>
            <w:r w:rsidRPr="00D351B5">
              <w:rPr>
                <w:rFonts w:asciiTheme="minorHAnsi" w:eastAsia="Times New Roman" w:hAnsiTheme="minorHAnsi"/>
                <w:b/>
                <w:bCs/>
                <w:color w:val="000000"/>
                <w:sz w:val="20"/>
              </w:rPr>
              <w:t>FY24</w:t>
            </w:r>
          </w:p>
        </w:tc>
        <w:tc>
          <w:tcPr>
            <w:tcW w:w="0" w:type="auto"/>
            <w:shd w:val="clear" w:color="000000" w:fill="DAE9F8"/>
            <w:hideMark/>
          </w:tcPr>
          <w:p w14:paraId="147666AE" w14:textId="77777777" w:rsidR="00D351B5" w:rsidRPr="00D351B5" w:rsidRDefault="00D351B5" w:rsidP="00D351B5">
            <w:pPr>
              <w:widowControl/>
              <w:autoSpaceDE/>
              <w:autoSpaceDN/>
              <w:jc w:val="center"/>
              <w:rPr>
                <w:rFonts w:asciiTheme="minorHAnsi" w:eastAsia="Times New Roman" w:hAnsiTheme="minorHAnsi"/>
                <w:b/>
                <w:bCs/>
                <w:color w:val="000000"/>
                <w:sz w:val="20"/>
              </w:rPr>
            </w:pPr>
            <w:r w:rsidRPr="00D351B5">
              <w:rPr>
                <w:rFonts w:asciiTheme="minorHAnsi" w:eastAsia="Times New Roman" w:hAnsiTheme="minorHAnsi"/>
                <w:b/>
                <w:bCs/>
                <w:color w:val="000000"/>
                <w:sz w:val="20"/>
              </w:rPr>
              <w:t>% of Total Volume</w:t>
            </w:r>
          </w:p>
        </w:tc>
        <w:tc>
          <w:tcPr>
            <w:tcW w:w="0" w:type="auto"/>
            <w:shd w:val="clear" w:color="000000" w:fill="DAE9F8"/>
            <w:noWrap/>
            <w:hideMark/>
          </w:tcPr>
          <w:p w14:paraId="1D4DCA80" w14:textId="77777777" w:rsidR="00D351B5" w:rsidRPr="00D351B5" w:rsidRDefault="00D351B5" w:rsidP="00D351B5">
            <w:pPr>
              <w:widowControl/>
              <w:autoSpaceDE/>
              <w:autoSpaceDN/>
              <w:jc w:val="center"/>
              <w:rPr>
                <w:rFonts w:asciiTheme="minorHAnsi" w:eastAsia="Times New Roman" w:hAnsiTheme="minorHAnsi"/>
                <w:b/>
                <w:bCs/>
                <w:color w:val="000000"/>
                <w:sz w:val="20"/>
              </w:rPr>
            </w:pPr>
            <w:r w:rsidRPr="00D351B5">
              <w:rPr>
                <w:rFonts w:asciiTheme="minorHAnsi" w:eastAsia="Times New Roman" w:hAnsiTheme="minorHAnsi"/>
                <w:b/>
                <w:bCs/>
                <w:color w:val="000000"/>
                <w:sz w:val="20"/>
              </w:rPr>
              <w:t>FY25</w:t>
            </w:r>
          </w:p>
        </w:tc>
        <w:tc>
          <w:tcPr>
            <w:tcW w:w="0" w:type="auto"/>
            <w:shd w:val="clear" w:color="000000" w:fill="DAE9F8"/>
            <w:hideMark/>
          </w:tcPr>
          <w:p w14:paraId="4C5E4732" w14:textId="77777777" w:rsidR="00D351B5" w:rsidRPr="00D351B5" w:rsidRDefault="00D351B5" w:rsidP="00D351B5">
            <w:pPr>
              <w:widowControl/>
              <w:autoSpaceDE/>
              <w:autoSpaceDN/>
              <w:jc w:val="center"/>
              <w:rPr>
                <w:rFonts w:asciiTheme="minorHAnsi" w:eastAsia="Times New Roman" w:hAnsiTheme="minorHAnsi"/>
                <w:b/>
                <w:bCs/>
                <w:color w:val="000000"/>
                <w:sz w:val="20"/>
              </w:rPr>
            </w:pPr>
            <w:r w:rsidRPr="00D351B5">
              <w:rPr>
                <w:rFonts w:asciiTheme="minorHAnsi" w:eastAsia="Times New Roman" w:hAnsiTheme="minorHAnsi"/>
                <w:b/>
                <w:bCs/>
                <w:color w:val="000000"/>
                <w:sz w:val="20"/>
              </w:rPr>
              <w:t xml:space="preserve">% of Total Volume </w:t>
            </w:r>
          </w:p>
        </w:tc>
        <w:tc>
          <w:tcPr>
            <w:tcW w:w="1437" w:type="dxa"/>
            <w:shd w:val="clear" w:color="000000" w:fill="DAE9F8"/>
            <w:hideMark/>
          </w:tcPr>
          <w:p w14:paraId="57DE39EE" w14:textId="77777777" w:rsidR="00D351B5" w:rsidRPr="00D351B5" w:rsidRDefault="00D351B5" w:rsidP="00D351B5">
            <w:pPr>
              <w:widowControl/>
              <w:autoSpaceDE/>
              <w:autoSpaceDN/>
              <w:jc w:val="center"/>
              <w:rPr>
                <w:rFonts w:asciiTheme="minorHAnsi" w:eastAsia="Times New Roman" w:hAnsiTheme="minorHAnsi"/>
                <w:b/>
                <w:bCs/>
                <w:color w:val="000000"/>
                <w:sz w:val="20"/>
              </w:rPr>
            </w:pPr>
            <w:r w:rsidRPr="00D351B5">
              <w:rPr>
                <w:rFonts w:asciiTheme="minorHAnsi" w:eastAsia="Times New Roman" w:hAnsiTheme="minorHAnsi"/>
                <w:b/>
                <w:bCs/>
                <w:color w:val="000000"/>
                <w:sz w:val="20"/>
              </w:rPr>
              <w:t xml:space="preserve">% Change                                     FY22 to FY25 </w:t>
            </w:r>
          </w:p>
        </w:tc>
      </w:tr>
      <w:tr w:rsidR="00D351B5" w:rsidRPr="00D351B5" w14:paraId="06FA98C7" w14:textId="77777777" w:rsidTr="00C348CA">
        <w:trPr>
          <w:cantSplit/>
          <w:trHeight w:val="290"/>
        </w:trPr>
        <w:tc>
          <w:tcPr>
            <w:tcW w:w="0" w:type="auto"/>
            <w:noWrap/>
            <w:vAlign w:val="bottom"/>
            <w:hideMark/>
          </w:tcPr>
          <w:p w14:paraId="45FF5834" w14:textId="77777777" w:rsidR="00D351B5" w:rsidRPr="00D351B5" w:rsidRDefault="00D351B5" w:rsidP="00D351B5">
            <w:pPr>
              <w:widowControl/>
              <w:autoSpaceDE/>
              <w:autoSpaceDN/>
              <w:rPr>
                <w:rFonts w:asciiTheme="minorHAnsi" w:eastAsia="Times New Roman" w:hAnsiTheme="minorHAnsi"/>
                <w:color w:val="000000"/>
                <w:sz w:val="20"/>
              </w:rPr>
            </w:pPr>
            <w:r w:rsidRPr="00D351B5">
              <w:rPr>
                <w:rFonts w:asciiTheme="minorHAnsi" w:eastAsia="Times New Roman" w:hAnsiTheme="minorHAnsi"/>
                <w:color w:val="000000"/>
                <w:sz w:val="20"/>
              </w:rPr>
              <w:t>Upper</w:t>
            </w:r>
          </w:p>
        </w:tc>
        <w:tc>
          <w:tcPr>
            <w:tcW w:w="0" w:type="auto"/>
            <w:noWrap/>
            <w:vAlign w:val="bottom"/>
            <w:hideMark/>
          </w:tcPr>
          <w:p w14:paraId="6FE790AA"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974</w:t>
            </w:r>
          </w:p>
        </w:tc>
        <w:tc>
          <w:tcPr>
            <w:tcW w:w="0" w:type="auto"/>
            <w:noWrap/>
            <w:vAlign w:val="bottom"/>
            <w:hideMark/>
          </w:tcPr>
          <w:p w14:paraId="21A5B86E"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27%</w:t>
            </w:r>
          </w:p>
        </w:tc>
        <w:tc>
          <w:tcPr>
            <w:tcW w:w="0" w:type="auto"/>
            <w:noWrap/>
            <w:vAlign w:val="bottom"/>
            <w:hideMark/>
          </w:tcPr>
          <w:p w14:paraId="6DA11260"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1,444</w:t>
            </w:r>
          </w:p>
        </w:tc>
        <w:tc>
          <w:tcPr>
            <w:tcW w:w="0" w:type="auto"/>
            <w:noWrap/>
            <w:vAlign w:val="bottom"/>
            <w:hideMark/>
          </w:tcPr>
          <w:p w14:paraId="574AD27A"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22%</w:t>
            </w:r>
          </w:p>
        </w:tc>
        <w:tc>
          <w:tcPr>
            <w:tcW w:w="0" w:type="auto"/>
            <w:noWrap/>
            <w:vAlign w:val="bottom"/>
            <w:hideMark/>
          </w:tcPr>
          <w:p w14:paraId="6C7977D9"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1,998</w:t>
            </w:r>
          </w:p>
        </w:tc>
        <w:tc>
          <w:tcPr>
            <w:tcW w:w="0" w:type="auto"/>
            <w:noWrap/>
            <w:vAlign w:val="bottom"/>
            <w:hideMark/>
          </w:tcPr>
          <w:p w14:paraId="0AF79E65"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23%</w:t>
            </w:r>
          </w:p>
        </w:tc>
        <w:tc>
          <w:tcPr>
            <w:tcW w:w="0" w:type="auto"/>
            <w:noWrap/>
            <w:vAlign w:val="bottom"/>
            <w:hideMark/>
          </w:tcPr>
          <w:p w14:paraId="58844528"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2,444</w:t>
            </w:r>
          </w:p>
        </w:tc>
        <w:tc>
          <w:tcPr>
            <w:tcW w:w="0" w:type="auto"/>
            <w:noWrap/>
            <w:vAlign w:val="bottom"/>
            <w:hideMark/>
          </w:tcPr>
          <w:p w14:paraId="655DFFC6"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22%</w:t>
            </w:r>
          </w:p>
        </w:tc>
        <w:tc>
          <w:tcPr>
            <w:tcW w:w="1437" w:type="dxa"/>
            <w:noWrap/>
            <w:vAlign w:val="bottom"/>
            <w:hideMark/>
          </w:tcPr>
          <w:p w14:paraId="622A2C83"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151%</w:t>
            </w:r>
          </w:p>
        </w:tc>
      </w:tr>
      <w:tr w:rsidR="00D351B5" w:rsidRPr="00D351B5" w14:paraId="6D5D15AD" w14:textId="77777777" w:rsidTr="00C348CA">
        <w:trPr>
          <w:cantSplit/>
          <w:trHeight w:val="290"/>
        </w:trPr>
        <w:tc>
          <w:tcPr>
            <w:tcW w:w="0" w:type="auto"/>
            <w:noWrap/>
            <w:vAlign w:val="bottom"/>
            <w:hideMark/>
          </w:tcPr>
          <w:p w14:paraId="56C3AF15" w14:textId="77777777" w:rsidR="00D351B5" w:rsidRPr="00D351B5" w:rsidRDefault="00D351B5" w:rsidP="00D351B5">
            <w:pPr>
              <w:widowControl/>
              <w:autoSpaceDE/>
              <w:autoSpaceDN/>
              <w:rPr>
                <w:rFonts w:asciiTheme="minorHAnsi" w:eastAsia="Times New Roman" w:hAnsiTheme="minorHAnsi"/>
                <w:color w:val="000000"/>
                <w:sz w:val="20"/>
              </w:rPr>
            </w:pPr>
            <w:r w:rsidRPr="00D351B5">
              <w:rPr>
                <w:rFonts w:asciiTheme="minorHAnsi" w:eastAsia="Times New Roman" w:hAnsiTheme="minorHAnsi"/>
                <w:color w:val="000000"/>
                <w:sz w:val="20"/>
              </w:rPr>
              <w:t>Lower</w:t>
            </w:r>
          </w:p>
        </w:tc>
        <w:tc>
          <w:tcPr>
            <w:tcW w:w="0" w:type="auto"/>
            <w:noWrap/>
            <w:vAlign w:val="bottom"/>
            <w:hideMark/>
          </w:tcPr>
          <w:p w14:paraId="2C209996"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2,700</w:t>
            </w:r>
          </w:p>
        </w:tc>
        <w:tc>
          <w:tcPr>
            <w:tcW w:w="0" w:type="auto"/>
            <w:noWrap/>
            <w:vAlign w:val="bottom"/>
            <w:hideMark/>
          </w:tcPr>
          <w:p w14:paraId="79B0EAFA"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73%</w:t>
            </w:r>
          </w:p>
        </w:tc>
        <w:tc>
          <w:tcPr>
            <w:tcW w:w="0" w:type="auto"/>
            <w:noWrap/>
            <w:vAlign w:val="bottom"/>
            <w:hideMark/>
          </w:tcPr>
          <w:p w14:paraId="133370B5"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5,190</w:t>
            </w:r>
          </w:p>
        </w:tc>
        <w:tc>
          <w:tcPr>
            <w:tcW w:w="0" w:type="auto"/>
            <w:noWrap/>
            <w:vAlign w:val="bottom"/>
            <w:hideMark/>
          </w:tcPr>
          <w:p w14:paraId="37779B35"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78%</w:t>
            </w:r>
          </w:p>
        </w:tc>
        <w:tc>
          <w:tcPr>
            <w:tcW w:w="0" w:type="auto"/>
            <w:noWrap/>
            <w:vAlign w:val="bottom"/>
            <w:hideMark/>
          </w:tcPr>
          <w:p w14:paraId="028A16BA"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6,673</w:t>
            </w:r>
          </w:p>
        </w:tc>
        <w:tc>
          <w:tcPr>
            <w:tcW w:w="0" w:type="auto"/>
            <w:noWrap/>
            <w:vAlign w:val="bottom"/>
            <w:hideMark/>
          </w:tcPr>
          <w:p w14:paraId="06968237"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77%</w:t>
            </w:r>
          </w:p>
        </w:tc>
        <w:tc>
          <w:tcPr>
            <w:tcW w:w="0" w:type="auto"/>
            <w:noWrap/>
            <w:vAlign w:val="bottom"/>
            <w:hideMark/>
          </w:tcPr>
          <w:p w14:paraId="570E24A4"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8,635</w:t>
            </w:r>
          </w:p>
        </w:tc>
        <w:tc>
          <w:tcPr>
            <w:tcW w:w="0" w:type="auto"/>
            <w:noWrap/>
            <w:vAlign w:val="bottom"/>
            <w:hideMark/>
          </w:tcPr>
          <w:p w14:paraId="54A07BF0"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78%</w:t>
            </w:r>
          </w:p>
        </w:tc>
        <w:tc>
          <w:tcPr>
            <w:tcW w:w="1437" w:type="dxa"/>
            <w:noWrap/>
            <w:vAlign w:val="bottom"/>
            <w:hideMark/>
          </w:tcPr>
          <w:p w14:paraId="2BBF84F9"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220%</w:t>
            </w:r>
          </w:p>
        </w:tc>
      </w:tr>
      <w:tr w:rsidR="00D351B5" w:rsidRPr="00D351B5" w14:paraId="7A06BB0D" w14:textId="77777777" w:rsidTr="00C348CA">
        <w:trPr>
          <w:cantSplit/>
          <w:trHeight w:val="290"/>
        </w:trPr>
        <w:tc>
          <w:tcPr>
            <w:tcW w:w="0" w:type="auto"/>
            <w:noWrap/>
            <w:vAlign w:val="bottom"/>
            <w:hideMark/>
          </w:tcPr>
          <w:p w14:paraId="27158A28" w14:textId="77777777" w:rsidR="00D351B5" w:rsidRPr="00D351B5" w:rsidRDefault="00D351B5" w:rsidP="00D351B5">
            <w:pPr>
              <w:widowControl/>
              <w:autoSpaceDE/>
              <w:autoSpaceDN/>
              <w:rPr>
                <w:rFonts w:asciiTheme="minorHAnsi" w:eastAsia="Times New Roman" w:hAnsiTheme="minorHAnsi"/>
                <w:color w:val="000000"/>
                <w:sz w:val="20"/>
              </w:rPr>
            </w:pPr>
            <w:r w:rsidRPr="00D351B5">
              <w:rPr>
                <w:rFonts w:asciiTheme="minorHAnsi" w:eastAsia="Times New Roman" w:hAnsiTheme="minorHAnsi"/>
                <w:color w:val="000000"/>
                <w:sz w:val="20"/>
              </w:rPr>
              <w:t xml:space="preserve">Total Procedure Volume </w:t>
            </w:r>
          </w:p>
        </w:tc>
        <w:tc>
          <w:tcPr>
            <w:tcW w:w="0" w:type="auto"/>
            <w:noWrap/>
            <w:vAlign w:val="bottom"/>
            <w:hideMark/>
          </w:tcPr>
          <w:p w14:paraId="0061E133"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3674</w:t>
            </w:r>
          </w:p>
        </w:tc>
        <w:tc>
          <w:tcPr>
            <w:tcW w:w="0" w:type="auto"/>
            <w:noWrap/>
            <w:vAlign w:val="bottom"/>
            <w:hideMark/>
          </w:tcPr>
          <w:p w14:paraId="46090BA3"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100%</w:t>
            </w:r>
          </w:p>
        </w:tc>
        <w:tc>
          <w:tcPr>
            <w:tcW w:w="0" w:type="auto"/>
            <w:noWrap/>
            <w:vAlign w:val="bottom"/>
            <w:hideMark/>
          </w:tcPr>
          <w:p w14:paraId="64104933"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6,634</w:t>
            </w:r>
          </w:p>
        </w:tc>
        <w:tc>
          <w:tcPr>
            <w:tcW w:w="0" w:type="auto"/>
            <w:noWrap/>
            <w:vAlign w:val="bottom"/>
            <w:hideMark/>
          </w:tcPr>
          <w:p w14:paraId="5FD521B6"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100%</w:t>
            </w:r>
          </w:p>
        </w:tc>
        <w:tc>
          <w:tcPr>
            <w:tcW w:w="0" w:type="auto"/>
            <w:noWrap/>
            <w:vAlign w:val="bottom"/>
            <w:hideMark/>
          </w:tcPr>
          <w:p w14:paraId="0E7B2A72"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8,671</w:t>
            </w:r>
          </w:p>
        </w:tc>
        <w:tc>
          <w:tcPr>
            <w:tcW w:w="0" w:type="auto"/>
            <w:noWrap/>
            <w:vAlign w:val="bottom"/>
            <w:hideMark/>
          </w:tcPr>
          <w:p w14:paraId="26181D66"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100%</w:t>
            </w:r>
          </w:p>
        </w:tc>
        <w:tc>
          <w:tcPr>
            <w:tcW w:w="0" w:type="auto"/>
            <w:noWrap/>
            <w:vAlign w:val="bottom"/>
            <w:hideMark/>
          </w:tcPr>
          <w:p w14:paraId="062C9E8F"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11,079</w:t>
            </w:r>
          </w:p>
        </w:tc>
        <w:tc>
          <w:tcPr>
            <w:tcW w:w="0" w:type="auto"/>
            <w:noWrap/>
            <w:vAlign w:val="bottom"/>
            <w:hideMark/>
          </w:tcPr>
          <w:p w14:paraId="78CB98E1"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100%</w:t>
            </w:r>
          </w:p>
        </w:tc>
        <w:tc>
          <w:tcPr>
            <w:tcW w:w="1437" w:type="dxa"/>
            <w:noWrap/>
            <w:vAlign w:val="bottom"/>
            <w:hideMark/>
          </w:tcPr>
          <w:p w14:paraId="35B4F423" w14:textId="77777777" w:rsidR="00D351B5" w:rsidRPr="00D351B5" w:rsidRDefault="00D351B5" w:rsidP="00D351B5">
            <w:pPr>
              <w:widowControl/>
              <w:autoSpaceDE/>
              <w:autoSpaceDN/>
              <w:jc w:val="center"/>
              <w:rPr>
                <w:rFonts w:asciiTheme="minorHAnsi" w:eastAsia="Times New Roman" w:hAnsiTheme="minorHAnsi"/>
                <w:color w:val="000000"/>
                <w:sz w:val="20"/>
              </w:rPr>
            </w:pPr>
            <w:r w:rsidRPr="00D351B5">
              <w:rPr>
                <w:rFonts w:asciiTheme="minorHAnsi" w:eastAsia="Times New Roman" w:hAnsiTheme="minorHAnsi"/>
                <w:color w:val="000000"/>
                <w:sz w:val="20"/>
              </w:rPr>
              <w:t>202%</w:t>
            </w:r>
          </w:p>
        </w:tc>
      </w:tr>
    </w:tbl>
    <w:p w14:paraId="366CC301" w14:textId="77777777" w:rsidR="000C0C14" w:rsidRDefault="000C0C14" w:rsidP="00A81E6C">
      <w:pPr>
        <w:pStyle w:val="BodyText"/>
        <w:spacing w:line="269" w:lineRule="exact"/>
        <w:rPr>
          <w:rFonts w:asciiTheme="minorHAnsi" w:hAnsiTheme="minorHAnsi"/>
        </w:rPr>
      </w:pPr>
    </w:p>
    <w:p w14:paraId="1FFBF81B" w14:textId="03633E6D" w:rsidR="00D351B5" w:rsidRDefault="00D6105B" w:rsidP="76986DFC">
      <w:pPr>
        <w:pStyle w:val="BodyText"/>
        <w:spacing w:line="269" w:lineRule="exact"/>
        <w:rPr>
          <w:rFonts w:asciiTheme="minorHAnsi" w:hAnsiTheme="minorHAnsi"/>
        </w:rPr>
      </w:pPr>
      <w:r w:rsidRPr="76986DFC">
        <w:rPr>
          <w:rFonts w:asciiTheme="minorHAnsi" w:hAnsiTheme="minorHAnsi"/>
        </w:rPr>
        <w:t>Table 1</w:t>
      </w:r>
      <w:r w:rsidR="008A4FAA" w:rsidRPr="76986DFC">
        <w:rPr>
          <w:rFonts w:asciiTheme="minorHAnsi" w:hAnsiTheme="minorHAnsi"/>
        </w:rPr>
        <w:t>6</w:t>
      </w:r>
      <w:r w:rsidRPr="76986DFC">
        <w:rPr>
          <w:rFonts w:asciiTheme="minorHAnsi" w:hAnsiTheme="minorHAnsi"/>
        </w:rPr>
        <w:t xml:space="preserve"> shows the Center’s utilization from FY22 to FY25. </w:t>
      </w:r>
      <w:r w:rsidR="00347991">
        <w:rPr>
          <w:rFonts w:asciiTheme="minorHAnsi" w:hAnsiTheme="minorHAnsi"/>
        </w:rPr>
        <w:t>U</w:t>
      </w:r>
      <w:r w:rsidR="00F25A33" w:rsidRPr="76986DFC">
        <w:rPr>
          <w:rFonts w:asciiTheme="minorHAnsi" w:hAnsiTheme="minorHAnsi"/>
        </w:rPr>
        <w:t xml:space="preserve">tilization is </w:t>
      </w:r>
      <w:proofErr w:type="gramStart"/>
      <w:r w:rsidR="00F25A33" w:rsidRPr="76986DFC">
        <w:rPr>
          <w:rFonts w:asciiTheme="minorHAnsi" w:hAnsiTheme="minorHAnsi"/>
        </w:rPr>
        <w:t>one</w:t>
      </w:r>
      <w:proofErr w:type="gramEnd"/>
      <w:r w:rsidR="00F25A33" w:rsidRPr="76986DFC">
        <w:rPr>
          <w:rFonts w:asciiTheme="minorHAnsi" w:hAnsiTheme="minorHAnsi"/>
        </w:rPr>
        <w:t xml:space="preserve"> indicator of existing capacity. </w:t>
      </w:r>
      <w:r w:rsidR="003112E0" w:rsidRPr="76986DFC">
        <w:rPr>
          <w:rFonts w:asciiTheme="minorHAnsi" w:hAnsiTheme="minorHAnsi"/>
        </w:rPr>
        <w:t>As shown in Table 1</w:t>
      </w:r>
      <w:r w:rsidR="008A4FAA" w:rsidRPr="76986DFC">
        <w:rPr>
          <w:rFonts w:asciiTheme="minorHAnsi" w:hAnsiTheme="minorHAnsi"/>
        </w:rPr>
        <w:t>6</w:t>
      </w:r>
      <w:r w:rsidR="003112E0" w:rsidRPr="76986DFC">
        <w:rPr>
          <w:rFonts w:asciiTheme="minorHAnsi" w:hAnsiTheme="minorHAnsi"/>
        </w:rPr>
        <w:t>, the Center’s utilization</w:t>
      </w:r>
      <w:r w:rsidR="00613BEC" w:rsidRPr="76986DFC">
        <w:rPr>
          <w:rFonts w:asciiTheme="minorHAnsi" w:hAnsiTheme="minorHAnsi"/>
        </w:rPr>
        <w:t xml:space="preserve"> </w:t>
      </w:r>
      <w:r w:rsidR="00DC4ACD" w:rsidRPr="76986DFC">
        <w:rPr>
          <w:rFonts w:asciiTheme="minorHAnsi" w:hAnsiTheme="minorHAnsi"/>
        </w:rPr>
        <w:t xml:space="preserve">has been steadily increasing since FY22, and in </w:t>
      </w:r>
      <w:r w:rsidR="00D30FAA" w:rsidRPr="76986DFC">
        <w:rPr>
          <w:rFonts w:asciiTheme="minorHAnsi" w:hAnsiTheme="minorHAnsi"/>
        </w:rPr>
        <w:t>FY25 utilization reached 92%,</w:t>
      </w:r>
      <w:r w:rsidR="00C0633B" w:rsidRPr="76986DFC">
        <w:rPr>
          <w:rFonts w:asciiTheme="minorHAnsi" w:hAnsiTheme="minorHAnsi"/>
        </w:rPr>
        <w:t xml:space="preserve"> a 63% difference from FY22</w:t>
      </w:r>
      <w:r w:rsidR="00613BEC" w:rsidRPr="76986DFC">
        <w:rPr>
          <w:rFonts w:asciiTheme="minorHAnsi" w:hAnsiTheme="minorHAnsi"/>
        </w:rPr>
        <w:t xml:space="preserve">. </w:t>
      </w:r>
      <w:r w:rsidR="003112E0" w:rsidRPr="76986DFC">
        <w:rPr>
          <w:rFonts w:asciiTheme="minorHAnsi" w:hAnsiTheme="minorHAnsi"/>
        </w:rPr>
        <w:t xml:space="preserve"> </w:t>
      </w:r>
    </w:p>
    <w:p w14:paraId="088044A3" w14:textId="77777777" w:rsidR="00D6105B" w:rsidRDefault="00D6105B" w:rsidP="00A81E6C">
      <w:pPr>
        <w:pStyle w:val="BodyText"/>
        <w:spacing w:line="269" w:lineRule="exact"/>
        <w:rPr>
          <w:rFonts w:asciiTheme="minorHAnsi" w:hAnsiTheme="minorHAnsi"/>
        </w:rPr>
      </w:pPr>
    </w:p>
    <w:p w14:paraId="25EFE676" w14:textId="775B8984" w:rsidR="00F25A33" w:rsidRPr="00F25A33" w:rsidRDefault="00F25A33" w:rsidP="00A81E6C">
      <w:pPr>
        <w:pStyle w:val="BodyText"/>
        <w:spacing w:line="269" w:lineRule="exact"/>
        <w:rPr>
          <w:rFonts w:asciiTheme="minorHAnsi" w:hAnsiTheme="minorHAnsi"/>
          <w:b/>
          <w:bCs/>
        </w:rPr>
      </w:pPr>
      <w:r w:rsidRPr="00F25A33">
        <w:rPr>
          <w:rFonts w:asciiTheme="minorHAnsi" w:hAnsiTheme="minorHAnsi"/>
          <w:b/>
          <w:bCs/>
          <w:u w:val="single"/>
        </w:rPr>
        <w:t>Table 1</w:t>
      </w:r>
      <w:r w:rsidR="008A4FAA">
        <w:rPr>
          <w:rFonts w:asciiTheme="minorHAnsi" w:hAnsiTheme="minorHAnsi"/>
          <w:b/>
          <w:bCs/>
          <w:u w:val="single"/>
        </w:rPr>
        <w:t>6</w:t>
      </w:r>
      <w:r w:rsidRPr="00F25A33">
        <w:rPr>
          <w:rFonts w:asciiTheme="minorHAnsi" w:hAnsiTheme="minorHAnsi"/>
          <w:b/>
          <w:bCs/>
        </w:rPr>
        <w:t>: The Center’s Utilization, FY22 to FY25</w:t>
      </w:r>
    </w:p>
    <w:tbl>
      <w:tblPr>
        <w:tblW w:w="0" w:type="auto"/>
        <w:tblLook w:val="04A0" w:firstRow="1" w:lastRow="0" w:firstColumn="1" w:lastColumn="0" w:noHBand="0" w:noVBand="1"/>
        <w:tblCaption w:val="The Center’s Utilization, FY22 to FY25"/>
      </w:tblPr>
      <w:tblGrid>
        <w:gridCol w:w="1317"/>
        <w:gridCol w:w="655"/>
        <w:gridCol w:w="655"/>
        <w:gridCol w:w="655"/>
        <w:gridCol w:w="655"/>
        <w:gridCol w:w="1387"/>
      </w:tblGrid>
      <w:tr w:rsidR="00D6105B" w:rsidRPr="00FC523F" w14:paraId="0E743287" w14:textId="77777777" w:rsidTr="00C348CA">
        <w:trPr>
          <w:cantSplit/>
          <w:trHeight w:val="290"/>
          <w:tblHead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EECDBFD" w14:textId="4E840A99" w:rsidR="00D6105B" w:rsidRPr="00C348CA" w:rsidRDefault="00D6105B" w:rsidP="00D6105B">
            <w:pPr>
              <w:widowControl/>
              <w:autoSpaceDE/>
              <w:autoSpaceDN/>
              <w:ind w:left="-23" w:right="20"/>
              <w:rPr>
                <w:rFonts w:asciiTheme="minorHAnsi" w:eastAsia="Times New Roman" w:hAnsiTheme="minorHAnsi"/>
                <w:b/>
                <w:bCs/>
                <w:color w:val="000000"/>
                <w:sz w:val="22"/>
                <w:szCs w:val="22"/>
              </w:rPr>
            </w:pPr>
            <w:r w:rsidRPr="00FC523F">
              <w:rPr>
                <w:rFonts w:asciiTheme="minorHAnsi" w:eastAsia="Times New Roman" w:hAnsiTheme="minorHAnsi"/>
                <w:color w:val="000000"/>
                <w:sz w:val="22"/>
                <w:szCs w:val="22"/>
              </w:rPr>
              <w:t> </w:t>
            </w:r>
            <w:r w:rsidR="00C348CA">
              <w:rPr>
                <w:rFonts w:asciiTheme="minorHAnsi" w:eastAsia="Times New Roman" w:hAnsiTheme="minorHAnsi"/>
                <w:b/>
                <w:bCs/>
                <w:color w:val="000000"/>
                <w:sz w:val="22"/>
                <w:szCs w:val="22"/>
              </w:rPr>
              <w:t>Utilization</w:t>
            </w:r>
          </w:p>
        </w:tc>
        <w:tc>
          <w:tcPr>
            <w:tcW w:w="0" w:type="auto"/>
            <w:tcBorders>
              <w:top w:val="single" w:sz="4" w:space="0" w:color="auto"/>
              <w:left w:val="nil"/>
              <w:bottom w:val="single" w:sz="4" w:space="0" w:color="auto"/>
              <w:right w:val="single" w:sz="4" w:space="0" w:color="auto"/>
            </w:tcBorders>
            <w:shd w:val="clear" w:color="000000" w:fill="DAE9F8"/>
            <w:noWrap/>
            <w:vAlign w:val="bottom"/>
            <w:hideMark/>
          </w:tcPr>
          <w:p w14:paraId="5FC075AA" w14:textId="77777777" w:rsidR="00D6105B" w:rsidRPr="00FC523F" w:rsidRDefault="00D6105B" w:rsidP="00D6105B">
            <w:pPr>
              <w:widowControl/>
              <w:autoSpaceDE/>
              <w:autoSpaceDN/>
              <w:jc w:val="center"/>
              <w:rPr>
                <w:rFonts w:asciiTheme="minorHAnsi" w:eastAsia="Times New Roman" w:hAnsiTheme="minorHAnsi"/>
                <w:b/>
                <w:bCs/>
                <w:color w:val="000000"/>
                <w:sz w:val="22"/>
                <w:szCs w:val="22"/>
              </w:rPr>
            </w:pPr>
            <w:r w:rsidRPr="00FC523F">
              <w:rPr>
                <w:rFonts w:asciiTheme="minorHAnsi" w:eastAsia="Times New Roman" w:hAnsiTheme="minorHAnsi"/>
                <w:b/>
                <w:bCs/>
                <w:color w:val="000000"/>
                <w:sz w:val="22"/>
                <w:szCs w:val="22"/>
              </w:rPr>
              <w:t>FY22</w:t>
            </w:r>
          </w:p>
        </w:tc>
        <w:tc>
          <w:tcPr>
            <w:tcW w:w="0" w:type="auto"/>
            <w:tcBorders>
              <w:top w:val="single" w:sz="4" w:space="0" w:color="auto"/>
              <w:left w:val="nil"/>
              <w:bottom w:val="single" w:sz="4" w:space="0" w:color="auto"/>
              <w:right w:val="single" w:sz="4" w:space="0" w:color="auto"/>
            </w:tcBorders>
            <w:shd w:val="clear" w:color="000000" w:fill="DAE9F8"/>
            <w:noWrap/>
            <w:vAlign w:val="bottom"/>
            <w:hideMark/>
          </w:tcPr>
          <w:p w14:paraId="756EE53A" w14:textId="77777777" w:rsidR="00D6105B" w:rsidRPr="00FC523F" w:rsidRDefault="00D6105B" w:rsidP="00D6105B">
            <w:pPr>
              <w:widowControl/>
              <w:autoSpaceDE/>
              <w:autoSpaceDN/>
              <w:jc w:val="center"/>
              <w:rPr>
                <w:rFonts w:asciiTheme="minorHAnsi" w:eastAsia="Times New Roman" w:hAnsiTheme="minorHAnsi"/>
                <w:b/>
                <w:bCs/>
                <w:color w:val="000000"/>
                <w:sz w:val="22"/>
                <w:szCs w:val="22"/>
              </w:rPr>
            </w:pPr>
            <w:r w:rsidRPr="00FC523F">
              <w:rPr>
                <w:rFonts w:asciiTheme="minorHAnsi" w:eastAsia="Times New Roman" w:hAnsiTheme="minorHAnsi"/>
                <w:b/>
                <w:bCs/>
                <w:color w:val="000000"/>
                <w:sz w:val="22"/>
                <w:szCs w:val="22"/>
              </w:rPr>
              <w:t>FY23</w:t>
            </w:r>
          </w:p>
        </w:tc>
        <w:tc>
          <w:tcPr>
            <w:tcW w:w="0" w:type="auto"/>
            <w:tcBorders>
              <w:top w:val="single" w:sz="4" w:space="0" w:color="auto"/>
              <w:left w:val="nil"/>
              <w:bottom w:val="single" w:sz="4" w:space="0" w:color="auto"/>
              <w:right w:val="single" w:sz="4" w:space="0" w:color="auto"/>
            </w:tcBorders>
            <w:shd w:val="clear" w:color="000000" w:fill="DAE9F8"/>
            <w:noWrap/>
            <w:vAlign w:val="bottom"/>
            <w:hideMark/>
          </w:tcPr>
          <w:p w14:paraId="3A5CE68B" w14:textId="77777777" w:rsidR="00D6105B" w:rsidRPr="00FC523F" w:rsidRDefault="00D6105B" w:rsidP="00D6105B">
            <w:pPr>
              <w:widowControl/>
              <w:autoSpaceDE/>
              <w:autoSpaceDN/>
              <w:jc w:val="center"/>
              <w:rPr>
                <w:rFonts w:asciiTheme="minorHAnsi" w:eastAsia="Times New Roman" w:hAnsiTheme="minorHAnsi"/>
                <w:b/>
                <w:bCs/>
                <w:color w:val="000000"/>
                <w:sz w:val="22"/>
                <w:szCs w:val="22"/>
              </w:rPr>
            </w:pPr>
            <w:r w:rsidRPr="00FC523F">
              <w:rPr>
                <w:rFonts w:asciiTheme="minorHAnsi" w:eastAsia="Times New Roman" w:hAnsiTheme="minorHAnsi"/>
                <w:b/>
                <w:bCs/>
                <w:color w:val="000000"/>
                <w:sz w:val="22"/>
                <w:szCs w:val="22"/>
              </w:rPr>
              <w:t>FY24</w:t>
            </w:r>
          </w:p>
        </w:tc>
        <w:tc>
          <w:tcPr>
            <w:tcW w:w="0" w:type="auto"/>
            <w:tcBorders>
              <w:top w:val="single" w:sz="4" w:space="0" w:color="auto"/>
              <w:left w:val="nil"/>
              <w:bottom w:val="single" w:sz="4" w:space="0" w:color="auto"/>
              <w:right w:val="single" w:sz="4" w:space="0" w:color="auto"/>
            </w:tcBorders>
            <w:shd w:val="clear" w:color="000000" w:fill="DAE9F8"/>
            <w:noWrap/>
            <w:vAlign w:val="bottom"/>
            <w:hideMark/>
          </w:tcPr>
          <w:p w14:paraId="190541BC" w14:textId="77777777" w:rsidR="00D6105B" w:rsidRPr="00FC523F" w:rsidRDefault="00D6105B" w:rsidP="00D6105B">
            <w:pPr>
              <w:widowControl/>
              <w:autoSpaceDE/>
              <w:autoSpaceDN/>
              <w:jc w:val="center"/>
              <w:rPr>
                <w:rFonts w:asciiTheme="minorHAnsi" w:eastAsia="Times New Roman" w:hAnsiTheme="minorHAnsi"/>
                <w:b/>
                <w:bCs/>
                <w:color w:val="000000"/>
                <w:sz w:val="22"/>
                <w:szCs w:val="22"/>
              </w:rPr>
            </w:pPr>
            <w:r w:rsidRPr="00FC523F">
              <w:rPr>
                <w:rFonts w:asciiTheme="minorHAnsi" w:eastAsia="Times New Roman" w:hAnsiTheme="minorHAnsi"/>
                <w:b/>
                <w:bCs/>
                <w:color w:val="000000"/>
                <w:sz w:val="22"/>
                <w:szCs w:val="22"/>
              </w:rPr>
              <w:t>FY25</w:t>
            </w:r>
          </w:p>
        </w:tc>
        <w:tc>
          <w:tcPr>
            <w:tcW w:w="0" w:type="auto"/>
            <w:tcBorders>
              <w:top w:val="single" w:sz="4" w:space="0" w:color="auto"/>
              <w:left w:val="nil"/>
              <w:bottom w:val="single" w:sz="4" w:space="0" w:color="auto"/>
              <w:right w:val="single" w:sz="4" w:space="0" w:color="auto"/>
            </w:tcBorders>
            <w:shd w:val="clear" w:color="000000" w:fill="DAE9F8"/>
            <w:noWrap/>
            <w:vAlign w:val="bottom"/>
            <w:hideMark/>
          </w:tcPr>
          <w:p w14:paraId="195D4F42" w14:textId="77777777" w:rsidR="00D6105B" w:rsidRPr="00FC523F" w:rsidRDefault="00D6105B" w:rsidP="00D6105B">
            <w:pPr>
              <w:widowControl/>
              <w:autoSpaceDE/>
              <w:autoSpaceDN/>
              <w:jc w:val="center"/>
              <w:rPr>
                <w:rFonts w:asciiTheme="minorHAnsi" w:eastAsia="Times New Roman" w:hAnsiTheme="minorHAnsi"/>
                <w:b/>
                <w:bCs/>
                <w:color w:val="000000"/>
                <w:sz w:val="22"/>
                <w:szCs w:val="22"/>
              </w:rPr>
            </w:pPr>
            <w:r w:rsidRPr="00FC523F">
              <w:rPr>
                <w:rFonts w:asciiTheme="minorHAnsi" w:eastAsia="Times New Roman" w:hAnsiTheme="minorHAnsi"/>
                <w:b/>
                <w:bCs/>
                <w:color w:val="000000"/>
                <w:sz w:val="22"/>
                <w:szCs w:val="22"/>
              </w:rPr>
              <w:t xml:space="preserve">% Change </w:t>
            </w:r>
          </w:p>
          <w:p w14:paraId="79B77799" w14:textId="4EC291B9" w:rsidR="00D6105B" w:rsidRPr="00FC523F" w:rsidRDefault="00D6105B" w:rsidP="00D6105B">
            <w:pPr>
              <w:widowControl/>
              <w:autoSpaceDE/>
              <w:autoSpaceDN/>
              <w:jc w:val="center"/>
              <w:rPr>
                <w:rFonts w:asciiTheme="minorHAnsi" w:eastAsia="Times New Roman" w:hAnsiTheme="minorHAnsi"/>
                <w:b/>
                <w:bCs/>
                <w:color w:val="000000"/>
                <w:sz w:val="22"/>
                <w:szCs w:val="22"/>
              </w:rPr>
            </w:pPr>
            <w:r w:rsidRPr="00FC523F">
              <w:rPr>
                <w:rFonts w:asciiTheme="minorHAnsi" w:eastAsia="Times New Roman" w:hAnsiTheme="minorHAnsi"/>
                <w:b/>
                <w:bCs/>
                <w:color w:val="000000"/>
                <w:sz w:val="22"/>
                <w:szCs w:val="22"/>
              </w:rPr>
              <w:t xml:space="preserve">FY22 to FY25 </w:t>
            </w:r>
          </w:p>
        </w:tc>
      </w:tr>
      <w:tr w:rsidR="00D6105B" w:rsidRPr="00FC523F" w14:paraId="140A955A" w14:textId="77777777" w:rsidTr="00C348CA">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1AC327F5" w14:textId="31250220" w:rsidR="00D6105B" w:rsidRPr="00FC523F" w:rsidRDefault="00D6105B" w:rsidP="00D6105B">
            <w:pPr>
              <w:widowControl/>
              <w:autoSpaceDE/>
              <w:autoSpaceDN/>
              <w:rPr>
                <w:rFonts w:asciiTheme="minorHAnsi" w:eastAsia="Times New Roman" w:hAnsiTheme="minorHAnsi"/>
                <w:b/>
                <w:bCs/>
                <w:color w:val="000000"/>
                <w:sz w:val="22"/>
                <w:szCs w:val="22"/>
              </w:rPr>
            </w:pPr>
            <w:r w:rsidRPr="00FC523F">
              <w:rPr>
                <w:rFonts w:asciiTheme="minorHAnsi" w:eastAsia="Times New Roman" w:hAnsiTheme="minorHAnsi"/>
                <w:b/>
                <w:bCs/>
                <w:color w:val="000000"/>
                <w:sz w:val="22"/>
                <w:szCs w:val="22"/>
              </w:rPr>
              <w:t xml:space="preserve">Utilization </w:t>
            </w:r>
          </w:p>
        </w:tc>
        <w:tc>
          <w:tcPr>
            <w:tcW w:w="0" w:type="auto"/>
            <w:tcBorders>
              <w:top w:val="nil"/>
              <w:left w:val="nil"/>
              <w:bottom w:val="single" w:sz="4" w:space="0" w:color="auto"/>
              <w:right w:val="single" w:sz="4" w:space="0" w:color="auto"/>
            </w:tcBorders>
            <w:noWrap/>
            <w:vAlign w:val="bottom"/>
            <w:hideMark/>
          </w:tcPr>
          <w:p w14:paraId="4BE09D59" w14:textId="77777777" w:rsidR="00D6105B" w:rsidRPr="00FC523F" w:rsidRDefault="00D6105B" w:rsidP="00D6105B">
            <w:pPr>
              <w:widowControl/>
              <w:autoSpaceDE/>
              <w:autoSpaceDN/>
              <w:jc w:val="right"/>
              <w:rPr>
                <w:rFonts w:asciiTheme="minorHAnsi" w:eastAsia="Times New Roman" w:hAnsiTheme="minorHAnsi"/>
                <w:color w:val="000000"/>
                <w:sz w:val="22"/>
                <w:szCs w:val="22"/>
              </w:rPr>
            </w:pPr>
            <w:r w:rsidRPr="00FC523F">
              <w:rPr>
                <w:rFonts w:asciiTheme="minorHAnsi" w:eastAsia="Times New Roman" w:hAnsiTheme="minorHAnsi"/>
                <w:color w:val="000000"/>
                <w:sz w:val="22"/>
                <w:szCs w:val="22"/>
              </w:rPr>
              <w:t>29%</w:t>
            </w:r>
          </w:p>
        </w:tc>
        <w:tc>
          <w:tcPr>
            <w:tcW w:w="0" w:type="auto"/>
            <w:tcBorders>
              <w:top w:val="nil"/>
              <w:left w:val="nil"/>
              <w:bottom w:val="single" w:sz="4" w:space="0" w:color="auto"/>
              <w:right w:val="single" w:sz="4" w:space="0" w:color="auto"/>
            </w:tcBorders>
            <w:noWrap/>
            <w:vAlign w:val="bottom"/>
            <w:hideMark/>
          </w:tcPr>
          <w:p w14:paraId="030133C8" w14:textId="77777777" w:rsidR="00D6105B" w:rsidRPr="00FC523F" w:rsidRDefault="00D6105B" w:rsidP="00D6105B">
            <w:pPr>
              <w:widowControl/>
              <w:autoSpaceDE/>
              <w:autoSpaceDN/>
              <w:jc w:val="right"/>
              <w:rPr>
                <w:rFonts w:asciiTheme="minorHAnsi" w:eastAsia="Times New Roman" w:hAnsiTheme="minorHAnsi"/>
                <w:color w:val="000000"/>
                <w:sz w:val="22"/>
                <w:szCs w:val="22"/>
              </w:rPr>
            </w:pPr>
            <w:r w:rsidRPr="00FC523F">
              <w:rPr>
                <w:rFonts w:asciiTheme="minorHAnsi" w:eastAsia="Times New Roman" w:hAnsiTheme="minorHAnsi"/>
                <w:color w:val="000000"/>
                <w:sz w:val="22"/>
                <w:szCs w:val="22"/>
              </w:rPr>
              <w:t>53%</w:t>
            </w:r>
          </w:p>
        </w:tc>
        <w:tc>
          <w:tcPr>
            <w:tcW w:w="0" w:type="auto"/>
            <w:tcBorders>
              <w:top w:val="nil"/>
              <w:left w:val="nil"/>
              <w:bottom w:val="single" w:sz="4" w:space="0" w:color="auto"/>
              <w:right w:val="single" w:sz="4" w:space="0" w:color="auto"/>
            </w:tcBorders>
            <w:noWrap/>
            <w:vAlign w:val="bottom"/>
            <w:hideMark/>
          </w:tcPr>
          <w:p w14:paraId="602C27F7" w14:textId="77777777" w:rsidR="00D6105B" w:rsidRPr="00FC523F" w:rsidRDefault="00D6105B" w:rsidP="00D6105B">
            <w:pPr>
              <w:widowControl/>
              <w:autoSpaceDE/>
              <w:autoSpaceDN/>
              <w:jc w:val="right"/>
              <w:rPr>
                <w:rFonts w:asciiTheme="minorHAnsi" w:eastAsia="Times New Roman" w:hAnsiTheme="minorHAnsi"/>
                <w:color w:val="000000"/>
                <w:sz w:val="22"/>
                <w:szCs w:val="22"/>
              </w:rPr>
            </w:pPr>
            <w:r w:rsidRPr="00FC523F">
              <w:rPr>
                <w:rFonts w:asciiTheme="minorHAnsi" w:eastAsia="Times New Roman" w:hAnsiTheme="minorHAnsi"/>
                <w:color w:val="000000"/>
                <w:sz w:val="22"/>
                <w:szCs w:val="22"/>
              </w:rPr>
              <w:t>69%</w:t>
            </w:r>
          </w:p>
        </w:tc>
        <w:tc>
          <w:tcPr>
            <w:tcW w:w="0" w:type="auto"/>
            <w:tcBorders>
              <w:top w:val="nil"/>
              <w:left w:val="nil"/>
              <w:bottom w:val="single" w:sz="4" w:space="0" w:color="auto"/>
              <w:right w:val="single" w:sz="4" w:space="0" w:color="auto"/>
            </w:tcBorders>
            <w:noWrap/>
            <w:vAlign w:val="bottom"/>
            <w:hideMark/>
          </w:tcPr>
          <w:p w14:paraId="1906244C" w14:textId="77777777" w:rsidR="00D6105B" w:rsidRPr="00FC523F" w:rsidRDefault="00D6105B" w:rsidP="00D6105B">
            <w:pPr>
              <w:widowControl/>
              <w:autoSpaceDE/>
              <w:autoSpaceDN/>
              <w:jc w:val="right"/>
              <w:rPr>
                <w:rFonts w:asciiTheme="minorHAnsi" w:eastAsia="Times New Roman" w:hAnsiTheme="minorHAnsi"/>
                <w:color w:val="000000"/>
                <w:sz w:val="22"/>
                <w:szCs w:val="22"/>
              </w:rPr>
            </w:pPr>
            <w:r w:rsidRPr="00FC523F">
              <w:rPr>
                <w:rFonts w:asciiTheme="minorHAnsi" w:eastAsia="Times New Roman" w:hAnsiTheme="minorHAnsi"/>
                <w:color w:val="000000"/>
                <w:sz w:val="22"/>
                <w:szCs w:val="22"/>
              </w:rPr>
              <w:t>89%</w:t>
            </w:r>
          </w:p>
        </w:tc>
        <w:tc>
          <w:tcPr>
            <w:tcW w:w="0" w:type="auto"/>
            <w:tcBorders>
              <w:top w:val="nil"/>
              <w:left w:val="nil"/>
              <w:bottom w:val="single" w:sz="4" w:space="0" w:color="auto"/>
              <w:right w:val="single" w:sz="4" w:space="0" w:color="auto"/>
            </w:tcBorders>
            <w:noWrap/>
            <w:vAlign w:val="bottom"/>
            <w:hideMark/>
          </w:tcPr>
          <w:p w14:paraId="1BAB41DE" w14:textId="77777777" w:rsidR="00D6105B" w:rsidRPr="00FC523F" w:rsidRDefault="00D6105B" w:rsidP="00D6105B">
            <w:pPr>
              <w:widowControl/>
              <w:autoSpaceDE/>
              <w:autoSpaceDN/>
              <w:jc w:val="center"/>
              <w:rPr>
                <w:rFonts w:asciiTheme="minorHAnsi" w:eastAsia="Times New Roman" w:hAnsiTheme="minorHAnsi"/>
                <w:color w:val="000000"/>
                <w:sz w:val="22"/>
                <w:szCs w:val="22"/>
              </w:rPr>
            </w:pPr>
            <w:r w:rsidRPr="00FC523F">
              <w:rPr>
                <w:rFonts w:asciiTheme="minorHAnsi" w:eastAsia="Times New Roman" w:hAnsiTheme="minorHAnsi"/>
                <w:color w:val="000000"/>
                <w:sz w:val="22"/>
                <w:szCs w:val="22"/>
              </w:rPr>
              <w:t>207%</w:t>
            </w:r>
          </w:p>
        </w:tc>
      </w:tr>
    </w:tbl>
    <w:p w14:paraId="148704E6" w14:textId="77777777" w:rsidR="00D6105B" w:rsidRDefault="00D6105B" w:rsidP="00A81E6C">
      <w:pPr>
        <w:pStyle w:val="BodyText"/>
        <w:spacing w:line="269" w:lineRule="exact"/>
        <w:rPr>
          <w:rFonts w:asciiTheme="minorHAnsi" w:hAnsiTheme="minorHAnsi"/>
        </w:rPr>
      </w:pPr>
    </w:p>
    <w:p w14:paraId="0975E3FC" w14:textId="04871FD9" w:rsidR="00F203E9" w:rsidRPr="00F203E9" w:rsidRDefault="009C618A" w:rsidP="00F203E9">
      <w:pPr>
        <w:pStyle w:val="BodyText"/>
        <w:spacing w:line="269" w:lineRule="exact"/>
        <w:rPr>
          <w:rFonts w:asciiTheme="minorHAnsi" w:hAnsiTheme="minorHAnsi"/>
        </w:rPr>
      </w:pPr>
      <w:r w:rsidRPr="76986DFC">
        <w:rPr>
          <w:rFonts w:asciiTheme="minorHAnsi" w:hAnsiTheme="minorHAnsi"/>
        </w:rPr>
        <w:t xml:space="preserve">The Applicant asserts that the increase in the Center’s procedure volume over the years has exceeded the Center’s </w:t>
      </w:r>
      <w:r w:rsidR="00BB5688" w:rsidRPr="76986DFC">
        <w:rPr>
          <w:rFonts w:asciiTheme="minorHAnsi" w:hAnsiTheme="minorHAnsi"/>
        </w:rPr>
        <w:t xml:space="preserve">procedure room </w:t>
      </w:r>
      <w:r w:rsidRPr="76986DFC">
        <w:rPr>
          <w:rFonts w:asciiTheme="minorHAnsi" w:hAnsiTheme="minorHAnsi"/>
        </w:rPr>
        <w:t>capacity, which has translated into increased wait times for endoscopy procedures at the Center. The Applicant states that current wait times at the Center are between six weeks and six months with patients of Winchester</w:t>
      </w:r>
      <w:r w:rsidR="00302C4B">
        <w:rPr>
          <w:rFonts w:asciiTheme="minorHAnsi" w:hAnsiTheme="minorHAnsi"/>
        </w:rPr>
        <w:t>’s</w:t>
      </w:r>
      <w:r w:rsidRPr="76986DFC">
        <w:rPr>
          <w:rFonts w:asciiTheme="minorHAnsi" w:hAnsiTheme="minorHAnsi"/>
        </w:rPr>
        <w:t xml:space="preserve"> GI</w:t>
      </w:r>
      <w:r w:rsidR="00302C4B">
        <w:rPr>
          <w:rFonts w:asciiTheme="minorHAnsi" w:hAnsiTheme="minorHAnsi"/>
        </w:rPr>
        <w:t xml:space="preserve"> group</w:t>
      </w:r>
      <w:r w:rsidRPr="76986DFC">
        <w:rPr>
          <w:rFonts w:asciiTheme="minorHAnsi" w:hAnsiTheme="minorHAnsi"/>
        </w:rPr>
        <w:t xml:space="preserve"> and </w:t>
      </w:r>
      <w:r w:rsidR="00E7024B" w:rsidRPr="76986DFC">
        <w:rPr>
          <w:rFonts w:asciiTheme="minorHAnsi" w:hAnsiTheme="minorHAnsi"/>
        </w:rPr>
        <w:t>DHA</w:t>
      </w:r>
      <w:r w:rsidRPr="76986DFC">
        <w:rPr>
          <w:rFonts w:asciiTheme="minorHAnsi" w:hAnsiTheme="minorHAnsi"/>
        </w:rPr>
        <w:t xml:space="preserve"> experiencing an average wait time of one to two months, which accounts for 6</w:t>
      </w:r>
      <w:r w:rsidR="00993C4D" w:rsidRPr="76986DFC">
        <w:rPr>
          <w:rFonts w:asciiTheme="minorHAnsi" w:hAnsiTheme="minorHAnsi"/>
        </w:rPr>
        <w:t>4</w:t>
      </w:r>
      <w:r w:rsidRPr="76986DFC">
        <w:rPr>
          <w:rFonts w:asciiTheme="minorHAnsi" w:hAnsiTheme="minorHAnsi"/>
        </w:rPr>
        <w:t>% of the Center’s volume, and the remaining 3</w:t>
      </w:r>
      <w:r w:rsidR="00993C4D" w:rsidRPr="76986DFC">
        <w:rPr>
          <w:rFonts w:asciiTheme="minorHAnsi" w:hAnsiTheme="minorHAnsi"/>
        </w:rPr>
        <w:t>6</w:t>
      </w:r>
      <w:r w:rsidRPr="76986DFC">
        <w:rPr>
          <w:rFonts w:asciiTheme="minorHAnsi" w:hAnsiTheme="minorHAnsi"/>
        </w:rPr>
        <w:t>% of volume from Atrius GI providers, whose patients are waiting an average of six months due to limited block time at the Center.</w:t>
      </w:r>
      <w:r w:rsidR="00E7024B" w:rsidRPr="76986DFC">
        <w:rPr>
          <w:rFonts w:asciiTheme="minorHAnsi" w:hAnsiTheme="minorHAnsi"/>
        </w:rPr>
        <w:t xml:space="preserve"> </w:t>
      </w:r>
      <w:r w:rsidR="00526A7B" w:rsidRPr="76986DFC">
        <w:rPr>
          <w:rFonts w:asciiTheme="minorHAnsi" w:hAnsiTheme="minorHAnsi"/>
        </w:rPr>
        <w:t>The Applicant states that w</w:t>
      </w:r>
      <w:r w:rsidR="00E7024B" w:rsidRPr="76986DFC">
        <w:rPr>
          <w:rFonts w:asciiTheme="minorHAnsi" w:hAnsiTheme="minorHAnsi"/>
        </w:rPr>
        <w:t xml:space="preserve">ait times differ between Winchester GI and DHA and </w:t>
      </w:r>
      <w:r w:rsidR="00FA71B9" w:rsidRPr="76986DFC">
        <w:rPr>
          <w:rFonts w:asciiTheme="minorHAnsi" w:hAnsiTheme="minorHAnsi"/>
        </w:rPr>
        <w:t>Atrius GI providers due to the number of patients and providers within each practice.</w:t>
      </w:r>
      <w:r w:rsidR="00E7024B" w:rsidRPr="76986DFC">
        <w:rPr>
          <w:rFonts w:asciiTheme="minorHAnsi" w:hAnsiTheme="minorHAnsi"/>
        </w:rPr>
        <w:t xml:space="preserve"> </w:t>
      </w:r>
      <w:r w:rsidR="00674C38">
        <w:rPr>
          <w:rFonts w:asciiTheme="minorHAnsi" w:hAnsiTheme="minorHAnsi"/>
        </w:rPr>
        <w:t xml:space="preserve">Currently, the three practices have equal hours block time at the Center, and the Applicant states that re-allocating block time to reduce wait times for Atrius </w:t>
      </w:r>
      <w:proofErr w:type="gramStart"/>
      <w:r w:rsidR="00674C38">
        <w:rPr>
          <w:rFonts w:asciiTheme="minorHAnsi" w:hAnsiTheme="minorHAnsi"/>
        </w:rPr>
        <w:t>patients,</w:t>
      </w:r>
      <w:proofErr w:type="gramEnd"/>
      <w:r w:rsidR="00674C38">
        <w:rPr>
          <w:rFonts w:asciiTheme="minorHAnsi" w:hAnsiTheme="minorHAnsi"/>
        </w:rPr>
        <w:t xml:space="preserve"> would increase wait times for Winchester </w:t>
      </w:r>
      <w:r w:rsidR="00F2734B">
        <w:rPr>
          <w:rFonts w:asciiTheme="minorHAnsi" w:hAnsiTheme="minorHAnsi"/>
        </w:rPr>
        <w:t xml:space="preserve">GI </w:t>
      </w:r>
      <w:r w:rsidR="00674C38">
        <w:rPr>
          <w:rFonts w:asciiTheme="minorHAnsi" w:hAnsiTheme="minorHAnsi"/>
        </w:rPr>
        <w:t xml:space="preserve">and DHA patients. </w:t>
      </w:r>
      <w:r w:rsidR="006A4A72">
        <w:rPr>
          <w:rFonts w:asciiTheme="minorHAnsi" w:hAnsiTheme="minorHAnsi"/>
        </w:rPr>
        <w:t>The Applicant asserts that</w:t>
      </w:r>
      <w:r w:rsidR="00674C38">
        <w:rPr>
          <w:rFonts w:asciiTheme="minorHAnsi" w:hAnsiTheme="minorHAnsi"/>
        </w:rPr>
        <w:t xml:space="preserve"> the goal of the Proposed Project is to increase procedure room capacity to reduce wait times for all patients. </w:t>
      </w:r>
      <w:r w:rsidR="00F203E9" w:rsidRPr="00F203E9">
        <w:rPr>
          <w:rFonts w:asciiTheme="minorHAnsi" w:hAnsiTheme="minorHAnsi"/>
        </w:rPr>
        <w:t xml:space="preserve">Wait time for endoscopy procedures at Winchester Hospital – Main Campus Endoscopy are one to three months, depending upon the patient’s GI physician’s available block time. </w:t>
      </w:r>
    </w:p>
    <w:p w14:paraId="291ED504" w14:textId="77777777" w:rsidR="00F203E9" w:rsidRDefault="00F203E9" w:rsidP="76986DFC">
      <w:pPr>
        <w:pStyle w:val="BodyText"/>
        <w:spacing w:line="269" w:lineRule="exact"/>
        <w:rPr>
          <w:rFonts w:asciiTheme="minorHAnsi" w:hAnsiTheme="minorHAnsi"/>
        </w:rPr>
      </w:pPr>
    </w:p>
    <w:p w14:paraId="3A2386F7" w14:textId="09117A41" w:rsidR="00006136" w:rsidRDefault="00F203E9" w:rsidP="76986DFC">
      <w:pPr>
        <w:pStyle w:val="BodyText"/>
        <w:spacing w:line="269" w:lineRule="exact"/>
        <w:rPr>
          <w:rFonts w:asciiTheme="minorHAnsi" w:hAnsiTheme="minorHAnsi"/>
        </w:rPr>
      </w:pPr>
      <w:r>
        <w:rPr>
          <w:rFonts w:asciiTheme="minorHAnsi" w:hAnsiTheme="minorHAnsi"/>
        </w:rPr>
        <w:t xml:space="preserve">The Applicant states that there isn’t a national benchmark for endoscopy </w:t>
      </w:r>
      <w:r w:rsidR="00964A6C">
        <w:rPr>
          <w:rFonts w:asciiTheme="minorHAnsi" w:hAnsiTheme="minorHAnsi"/>
        </w:rPr>
        <w:t xml:space="preserve">wait times. </w:t>
      </w:r>
      <w:r w:rsidR="009C618A" w:rsidRPr="76986DFC">
        <w:rPr>
          <w:rFonts w:asciiTheme="minorHAnsi" w:hAnsiTheme="minorHAnsi"/>
        </w:rPr>
        <w:t xml:space="preserve">The Applicant </w:t>
      </w:r>
      <w:r w:rsidR="00526A7B" w:rsidRPr="76986DFC">
        <w:rPr>
          <w:rFonts w:asciiTheme="minorHAnsi" w:hAnsiTheme="minorHAnsi"/>
        </w:rPr>
        <w:t>asserts</w:t>
      </w:r>
      <w:r w:rsidR="009C618A" w:rsidRPr="76986DFC">
        <w:rPr>
          <w:rFonts w:asciiTheme="minorHAnsi" w:hAnsiTheme="minorHAnsi"/>
        </w:rPr>
        <w:t xml:space="preserve"> that extended wait times</w:t>
      </w:r>
      <w:r w:rsidR="002C66C2">
        <w:rPr>
          <w:rFonts w:asciiTheme="minorHAnsi" w:hAnsiTheme="minorHAnsi"/>
        </w:rPr>
        <w:t xml:space="preserve"> of six months</w:t>
      </w:r>
      <w:r w:rsidR="009C618A" w:rsidRPr="76986DFC">
        <w:rPr>
          <w:rFonts w:asciiTheme="minorHAnsi" w:hAnsiTheme="minorHAnsi"/>
        </w:rPr>
        <w:t xml:space="preserve"> can have adverse implications for patients including later-stage cancer diagnoses that reduce the likelihood of curative treatment and worsen patient outcomes. </w:t>
      </w:r>
      <w:r w:rsidR="00964A6C">
        <w:rPr>
          <w:rFonts w:asciiTheme="minorHAnsi" w:hAnsiTheme="minorHAnsi"/>
        </w:rPr>
        <w:t xml:space="preserve">The Applicant states that the Center estimates that </w:t>
      </w:r>
      <w:proofErr w:type="gramStart"/>
      <w:r w:rsidR="00964A6C">
        <w:rPr>
          <w:rFonts w:asciiTheme="minorHAnsi" w:hAnsiTheme="minorHAnsi"/>
        </w:rPr>
        <w:t>wait</w:t>
      </w:r>
      <w:proofErr w:type="gramEnd"/>
      <w:r w:rsidR="00964A6C">
        <w:rPr>
          <w:rFonts w:asciiTheme="minorHAnsi" w:hAnsiTheme="minorHAnsi"/>
        </w:rPr>
        <w:t xml:space="preserve"> times of greater than three months more frequently result in cancellations</w:t>
      </w:r>
      <w:r w:rsidR="002D7273">
        <w:rPr>
          <w:rFonts w:asciiTheme="minorHAnsi" w:hAnsiTheme="minorHAnsi"/>
        </w:rPr>
        <w:t xml:space="preserve"> at the Center. The Center provides patients with appointment reminders two weeks before each patient’s procedure, but the Applicant notes the likelihood for </w:t>
      </w:r>
      <w:proofErr w:type="gramStart"/>
      <w:r w:rsidR="002D7273">
        <w:rPr>
          <w:rFonts w:asciiTheme="minorHAnsi" w:hAnsiTheme="minorHAnsi"/>
        </w:rPr>
        <w:t>patient</w:t>
      </w:r>
      <w:proofErr w:type="gramEnd"/>
      <w:r w:rsidR="002D7273">
        <w:rPr>
          <w:rFonts w:asciiTheme="minorHAnsi" w:hAnsiTheme="minorHAnsi"/>
        </w:rPr>
        <w:t xml:space="preserve"> plans to change due to the length of time since booking. </w:t>
      </w:r>
      <w:r w:rsidR="00BA0414">
        <w:rPr>
          <w:rFonts w:asciiTheme="minorHAnsi" w:hAnsiTheme="minorHAnsi"/>
        </w:rPr>
        <w:t>C</w:t>
      </w:r>
      <w:r w:rsidR="002D7273">
        <w:rPr>
          <w:rFonts w:asciiTheme="minorHAnsi" w:hAnsiTheme="minorHAnsi"/>
        </w:rPr>
        <w:t xml:space="preserve">ancellations made two weeks prior to the </w:t>
      </w:r>
      <w:proofErr w:type="gramStart"/>
      <w:r w:rsidR="002D7273">
        <w:rPr>
          <w:rFonts w:asciiTheme="minorHAnsi" w:hAnsiTheme="minorHAnsi"/>
        </w:rPr>
        <w:t>procedure,</w:t>
      </w:r>
      <w:proofErr w:type="gramEnd"/>
      <w:r w:rsidR="002D7273">
        <w:rPr>
          <w:rFonts w:asciiTheme="minorHAnsi" w:hAnsiTheme="minorHAnsi"/>
        </w:rPr>
        <w:t xml:space="preserve"> cannot be rescheduled due to the lead time necessary to prepare for the procedure. The Applicant states that for these reasons, the Center aims to maintain </w:t>
      </w:r>
      <w:proofErr w:type="gramStart"/>
      <w:r w:rsidR="002D7273">
        <w:rPr>
          <w:rFonts w:asciiTheme="minorHAnsi" w:hAnsiTheme="minorHAnsi"/>
        </w:rPr>
        <w:t>wait</w:t>
      </w:r>
      <w:proofErr w:type="gramEnd"/>
      <w:r w:rsidR="002D7273">
        <w:rPr>
          <w:rFonts w:asciiTheme="minorHAnsi" w:hAnsiTheme="minorHAnsi"/>
        </w:rPr>
        <w:t xml:space="preserve"> times under two months to maximize appointment completion. </w:t>
      </w:r>
    </w:p>
    <w:p w14:paraId="3FE90AD9" w14:textId="77777777" w:rsidR="009C618A" w:rsidRDefault="009C618A" w:rsidP="009C618A">
      <w:pPr>
        <w:pStyle w:val="BodyText"/>
        <w:spacing w:line="269" w:lineRule="exact"/>
        <w:rPr>
          <w:rFonts w:asciiTheme="minorHAnsi" w:hAnsiTheme="minorHAnsi"/>
        </w:rPr>
      </w:pPr>
    </w:p>
    <w:p w14:paraId="74B1D572" w14:textId="061C9838" w:rsidR="00493028" w:rsidRDefault="002C01E2" w:rsidP="00BD2F0B">
      <w:pPr>
        <w:pStyle w:val="Heading4"/>
      </w:pPr>
      <w:r>
        <w:t>Need to Reduce Wait Time</w:t>
      </w:r>
      <w:r w:rsidR="00483A8A">
        <w:t>s</w:t>
      </w:r>
      <w:r w:rsidR="00493028">
        <w:t xml:space="preserve"> Across the BILH System</w:t>
      </w:r>
    </w:p>
    <w:p w14:paraId="7823A490" w14:textId="10B9E6D5" w:rsidR="00493028" w:rsidRDefault="00493028" w:rsidP="00493028">
      <w:pPr>
        <w:pStyle w:val="BodyText"/>
        <w:spacing w:line="269" w:lineRule="exact"/>
        <w:rPr>
          <w:rFonts w:asciiTheme="minorHAnsi" w:hAnsiTheme="minorHAnsi"/>
        </w:rPr>
      </w:pPr>
      <w:r>
        <w:rPr>
          <w:rFonts w:asciiTheme="minorHAnsi" w:hAnsiTheme="minorHAnsi"/>
        </w:rPr>
        <w:t xml:space="preserve">The Applicant asserts that the Proposed Project will address a growing need for endoscopy services </w:t>
      </w:r>
      <w:r w:rsidR="00AD217D">
        <w:rPr>
          <w:rFonts w:asciiTheme="minorHAnsi" w:hAnsiTheme="minorHAnsi"/>
        </w:rPr>
        <w:t xml:space="preserve">for </w:t>
      </w:r>
      <w:r w:rsidR="005D248D">
        <w:rPr>
          <w:rFonts w:asciiTheme="minorHAnsi" w:hAnsiTheme="minorHAnsi"/>
        </w:rPr>
        <w:t xml:space="preserve">patients from </w:t>
      </w:r>
      <w:r>
        <w:rPr>
          <w:rFonts w:asciiTheme="minorHAnsi" w:hAnsiTheme="minorHAnsi"/>
        </w:rPr>
        <w:t>across the BILH system</w:t>
      </w:r>
      <w:r w:rsidR="00874BD0">
        <w:rPr>
          <w:rFonts w:asciiTheme="minorHAnsi" w:hAnsiTheme="minorHAnsi"/>
        </w:rPr>
        <w:t xml:space="preserve">, and more specifically </w:t>
      </w:r>
      <w:r w:rsidR="00061BE4">
        <w:rPr>
          <w:rFonts w:asciiTheme="minorHAnsi" w:hAnsiTheme="minorHAnsi"/>
        </w:rPr>
        <w:t xml:space="preserve">from </w:t>
      </w:r>
      <w:r w:rsidR="00874BD0">
        <w:rPr>
          <w:rFonts w:asciiTheme="minorHAnsi" w:hAnsiTheme="minorHAnsi"/>
        </w:rPr>
        <w:t xml:space="preserve">patients of Lahey </w:t>
      </w:r>
      <w:r w:rsidR="00AD217D">
        <w:rPr>
          <w:rFonts w:asciiTheme="minorHAnsi" w:hAnsiTheme="minorHAnsi"/>
        </w:rPr>
        <w:t xml:space="preserve">Primary Care </w:t>
      </w:r>
      <w:r w:rsidR="009757B5">
        <w:rPr>
          <w:rFonts w:asciiTheme="minorHAnsi" w:hAnsiTheme="minorHAnsi"/>
        </w:rPr>
        <w:t xml:space="preserve">(Lahey) </w:t>
      </w:r>
      <w:r w:rsidR="00874BD0">
        <w:rPr>
          <w:rFonts w:asciiTheme="minorHAnsi" w:hAnsiTheme="minorHAnsi"/>
        </w:rPr>
        <w:t xml:space="preserve">in the communities of Burlington up through Peabody </w:t>
      </w:r>
      <w:r w:rsidR="0077129A">
        <w:rPr>
          <w:rFonts w:asciiTheme="minorHAnsi" w:hAnsiTheme="minorHAnsi"/>
        </w:rPr>
        <w:t>as well as patients of BIDMC</w:t>
      </w:r>
      <w:r w:rsidR="00815021">
        <w:rPr>
          <w:rFonts w:asciiTheme="minorHAnsi" w:hAnsiTheme="minorHAnsi"/>
        </w:rPr>
        <w:t xml:space="preserve"> GI </w:t>
      </w:r>
      <w:r w:rsidR="0077129A">
        <w:rPr>
          <w:rFonts w:asciiTheme="minorHAnsi" w:hAnsiTheme="minorHAnsi"/>
        </w:rPr>
        <w:t>in Boston</w:t>
      </w:r>
      <w:r w:rsidR="00413EBB">
        <w:rPr>
          <w:rFonts w:asciiTheme="minorHAnsi" w:hAnsiTheme="minorHAnsi"/>
        </w:rPr>
        <w:t xml:space="preserve">, both of </w:t>
      </w:r>
      <w:r w:rsidR="00DC0926">
        <w:rPr>
          <w:rFonts w:asciiTheme="minorHAnsi" w:hAnsiTheme="minorHAnsi"/>
        </w:rPr>
        <w:t>which</w:t>
      </w:r>
      <w:r w:rsidR="00413EBB">
        <w:rPr>
          <w:rFonts w:asciiTheme="minorHAnsi" w:hAnsiTheme="minorHAnsi"/>
        </w:rPr>
        <w:t xml:space="preserve"> experience long wait times for endoscopy appointments. The Applicant states that </w:t>
      </w:r>
      <w:r w:rsidR="003129F2">
        <w:rPr>
          <w:rFonts w:asciiTheme="minorHAnsi" w:hAnsiTheme="minorHAnsi"/>
        </w:rPr>
        <w:t>Lahey</w:t>
      </w:r>
      <w:r w:rsidR="00413EBB">
        <w:rPr>
          <w:rFonts w:asciiTheme="minorHAnsi" w:hAnsiTheme="minorHAnsi"/>
        </w:rPr>
        <w:t xml:space="preserve"> patients are currently waiting 12 months on average to be scheduled for</w:t>
      </w:r>
      <w:r w:rsidR="00BF08EB">
        <w:rPr>
          <w:rFonts w:asciiTheme="minorHAnsi" w:hAnsiTheme="minorHAnsi"/>
        </w:rPr>
        <w:t xml:space="preserve"> </w:t>
      </w:r>
      <w:r w:rsidR="00413EBB">
        <w:rPr>
          <w:rFonts w:asciiTheme="minorHAnsi" w:hAnsiTheme="minorHAnsi"/>
        </w:rPr>
        <w:t>endoscopy</w:t>
      </w:r>
      <w:r w:rsidR="00092412">
        <w:rPr>
          <w:rFonts w:asciiTheme="minorHAnsi" w:hAnsiTheme="minorHAnsi"/>
        </w:rPr>
        <w:t xml:space="preserve">, and </w:t>
      </w:r>
      <w:r w:rsidR="00166FDC">
        <w:rPr>
          <w:rFonts w:asciiTheme="minorHAnsi" w:hAnsiTheme="minorHAnsi"/>
        </w:rPr>
        <w:t xml:space="preserve">Lahey’s practices are located within a 12-mile radius of the Center making it a convenient option for their patients. BIDMC </w:t>
      </w:r>
      <w:r w:rsidR="003129F2">
        <w:rPr>
          <w:rFonts w:asciiTheme="minorHAnsi" w:hAnsiTheme="minorHAnsi"/>
        </w:rPr>
        <w:t>GI</w:t>
      </w:r>
      <w:r w:rsidR="00166FDC">
        <w:rPr>
          <w:rFonts w:asciiTheme="minorHAnsi" w:hAnsiTheme="minorHAnsi"/>
        </w:rPr>
        <w:t xml:space="preserve"> </w:t>
      </w:r>
      <w:r w:rsidR="00354332">
        <w:rPr>
          <w:rFonts w:asciiTheme="minorHAnsi" w:hAnsiTheme="minorHAnsi"/>
        </w:rPr>
        <w:t>patients</w:t>
      </w:r>
      <w:r w:rsidR="00166FDC">
        <w:rPr>
          <w:rFonts w:asciiTheme="minorHAnsi" w:hAnsiTheme="minorHAnsi"/>
        </w:rPr>
        <w:t xml:space="preserve"> experience wait</w:t>
      </w:r>
      <w:r w:rsidR="00292D12">
        <w:rPr>
          <w:rFonts w:asciiTheme="minorHAnsi" w:hAnsiTheme="minorHAnsi"/>
        </w:rPr>
        <w:t>-</w:t>
      </w:r>
      <w:r w:rsidR="00166FDC">
        <w:rPr>
          <w:rFonts w:asciiTheme="minorHAnsi" w:hAnsiTheme="minorHAnsi"/>
        </w:rPr>
        <w:t xml:space="preserve">times of five months on average </w:t>
      </w:r>
      <w:r w:rsidR="00166FDC" w:rsidRPr="00E7024B">
        <w:rPr>
          <w:rFonts w:asciiTheme="minorHAnsi" w:hAnsiTheme="minorHAnsi"/>
        </w:rPr>
        <w:t>for endoscopy</w:t>
      </w:r>
      <w:r w:rsidR="00166FDC">
        <w:rPr>
          <w:rFonts w:asciiTheme="minorHAnsi" w:hAnsiTheme="minorHAnsi"/>
        </w:rPr>
        <w:t xml:space="preserve">. </w:t>
      </w:r>
    </w:p>
    <w:p w14:paraId="6490B015" w14:textId="77777777" w:rsidR="00FA71B9" w:rsidRDefault="00FA71B9" w:rsidP="00493028">
      <w:pPr>
        <w:pStyle w:val="BodyText"/>
        <w:spacing w:line="269" w:lineRule="exact"/>
        <w:rPr>
          <w:rFonts w:asciiTheme="minorHAnsi" w:hAnsiTheme="minorHAnsi"/>
        </w:rPr>
      </w:pPr>
    </w:p>
    <w:p w14:paraId="69694835" w14:textId="13F025FB" w:rsidR="00FA71B9" w:rsidRDefault="00FA71B9" w:rsidP="00493028">
      <w:pPr>
        <w:pStyle w:val="BodyText"/>
        <w:spacing w:line="269" w:lineRule="exact"/>
        <w:rPr>
          <w:rFonts w:asciiTheme="minorHAnsi" w:hAnsiTheme="minorHAnsi"/>
        </w:rPr>
      </w:pPr>
      <w:r>
        <w:rPr>
          <w:rFonts w:asciiTheme="minorHAnsi" w:hAnsiTheme="minorHAnsi"/>
        </w:rPr>
        <w:t xml:space="preserve">Table </w:t>
      </w:r>
      <w:r w:rsidR="00FC523F">
        <w:rPr>
          <w:rFonts w:asciiTheme="minorHAnsi" w:hAnsiTheme="minorHAnsi"/>
        </w:rPr>
        <w:t>1</w:t>
      </w:r>
      <w:r w:rsidR="00630216">
        <w:rPr>
          <w:rFonts w:asciiTheme="minorHAnsi" w:hAnsiTheme="minorHAnsi"/>
        </w:rPr>
        <w:t>7</w:t>
      </w:r>
      <w:r>
        <w:rPr>
          <w:rFonts w:asciiTheme="minorHAnsi" w:hAnsiTheme="minorHAnsi"/>
        </w:rPr>
        <w:t xml:space="preserve"> shows the location of all BIL</w:t>
      </w:r>
      <w:r w:rsidR="00142B03">
        <w:rPr>
          <w:rFonts w:asciiTheme="minorHAnsi" w:hAnsiTheme="minorHAnsi"/>
        </w:rPr>
        <w:t>H</w:t>
      </w:r>
      <w:r>
        <w:rPr>
          <w:rFonts w:asciiTheme="minorHAnsi" w:hAnsiTheme="minorHAnsi"/>
        </w:rPr>
        <w:t xml:space="preserve"> facilities performing outpatient endoscopy procedures, and </w:t>
      </w:r>
      <w:r>
        <w:rPr>
          <w:rFonts w:asciiTheme="minorHAnsi" w:hAnsiTheme="minorHAnsi"/>
        </w:rPr>
        <w:lastRenderedPageBreak/>
        <w:t>the current average wait time for endoscopy procedures at each location.</w:t>
      </w:r>
      <w:r w:rsidR="00511A09">
        <w:rPr>
          <w:rStyle w:val="FootnoteReference"/>
          <w:rFonts w:asciiTheme="minorHAnsi" w:hAnsiTheme="minorHAnsi"/>
        </w:rPr>
        <w:footnoteReference w:id="14"/>
      </w:r>
      <w:r>
        <w:rPr>
          <w:rFonts w:asciiTheme="minorHAnsi" w:hAnsiTheme="minorHAnsi"/>
        </w:rPr>
        <w:t xml:space="preserve"> </w:t>
      </w:r>
    </w:p>
    <w:p w14:paraId="1CE170E4" w14:textId="77777777" w:rsidR="00FA71B9" w:rsidRDefault="00FA71B9" w:rsidP="00493028">
      <w:pPr>
        <w:pStyle w:val="BodyText"/>
        <w:spacing w:line="269" w:lineRule="exact"/>
        <w:rPr>
          <w:rFonts w:asciiTheme="minorHAnsi" w:hAnsiTheme="minorHAnsi"/>
        </w:rPr>
      </w:pPr>
    </w:p>
    <w:p w14:paraId="1CC9BE42" w14:textId="78801B9C" w:rsidR="00951C0E" w:rsidRPr="00FA71B9" w:rsidRDefault="00FA71B9" w:rsidP="00354332">
      <w:pPr>
        <w:pStyle w:val="BodyText"/>
        <w:spacing w:line="269" w:lineRule="exact"/>
        <w:rPr>
          <w:rFonts w:asciiTheme="minorHAnsi" w:hAnsiTheme="minorHAnsi"/>
          <w:b/>
          <w:bCs/>
        </w:rPr>
      </w:pPr>
      <w:r w:rsidRPr="00FA71B9">
        <w:rPr>
          <w:rFonts w:asciiTheme="minorHAnsi" w:hAnsiTheme="minorHAnsi"/>
          <w:b/>
          <w:bCs/>
          <w:u w:val="single"/>
        </w:rPr>
        <w:t xml:space="preserve">Table </w:t>
      </w:r>
      <w:r w:rsidR="00FC523F">
        <w:rPr>
          <w:rFonts w:asciiTheme="minorHAnsi" w:hAnsiTheme="minorHAnsi"/>
          <w:b/>
          <w:bCs/>
          <w:u w:val="single"/>
        </w:rPr>
        <w:t>1</w:t>
      </w:r>
      <w:r w:rsidR="00630216">
        <w:rPr>
          <w:rFonts w:asciiTheme="minorHAnsi" w:hAnsiTheme="minorHAnsi"/>
          <w:b/>
          <w:bCs/>
          <w:u w:val="single"/>
        </w:rPr>
        <w:t>7</w:t>
      </w:r>
      <w:r w:rsidRPr="00FA71B9">
        <w:rPr>
          <w:rFonts w:asciiTheme="minorHAnsi" w:hAnsiTheme="minorHAnsi"/>
          <w:b/>
          <w:bCs/>
        </w:rPr>
        <w:t xml:space="preserve">: BILH Facilities Performing Outpatient </w:t>
      </w:r>
      <w:r w:rsidR="00630216">
        <w:rPr>
          <w:rFonts w:asciiTheme="minorHAnsi" w:hAnsiTheme="minorHAnsi"/>
          <w:b/>
          <w:bCs/>
        </w:rPr>
        <w:t xml:space="preserve">Endoscopy </w:t>
      </w:r>
      <w:r w:rsidRPr="00FA71B9">
        <w:rPr>
          <w:rFonts w:asciiTheme="minorHAnsi" w:hAnsiTheme="minorHAnsi"/>
          <w:b/>
          <w:bCs/>
        </w:rPr>
        <w:t>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ILH Facilities Performing Outpatient Endoscopy Procedures"/>
      </w:tblPr>
      <w:tblGrid>
        <w:gridCol w:w="2326"/>
        <w:gridCol w:w="4379"/>
        <w:gridCol w:w="2686"/>
      </w:tblGrid>
      <w:tr w:rsidR="00FA71B9" w:rsidRPr="00187B26" w14:paraId="2E4115F0" w14:textId="77777777" w:rsidTr="00AD550F">
        <w:trPr>
          <w:cantSplit/>
          <w:trHeight w:val="182"/>
          <w:tblHeader/>
        </w:trPr>
        <w:tc>
          <w:tcPr>
            <w:tcW w:w="0" w:type="auto"/>
            <w:shd w:val="clear" w:color="auto" w:fill="DBE5F1" w:themeFill="accent1" w:themeFillTint="33"/>
            <w:noWrap/>
            <w:hideMark/>
          </w:tcPr>
          <w:p w14:paraId="5F7AEE25" w14:textId="77777777" w:rsidR="00FA71B9" w:rsidRPr="00187B26" w:rsidRDefault="00FA71B9" w:rsidP="00FA71B9">
            <w:pPr>
              <w:widowControl/>
              <w:autoSpaceDE/>
              <w:autoSpaceDN/>
              <w:rPr>
                <w:rFonts w:asciiTheme="minorHAnsi" w:eastAsia="Times New Roman" w:hAnsiTheme="minorHAnsi"/>
                <w:b/>
                <w:bCs/>
                <w:sz w:val="22"/>
                <w:szCs w:val="22"/>
              </w:rPr>
            </w:pPr>
            <w:r w:rsidRPr="00187B26">
              <w:rPr>
                <w:rFonts w:asciiTheme="minorHAnsi" w:eastAsia="Times New Roman" w:hAnsiTheme="minorHAnsi"/>
                <w:b/>
                <w:bCs/>
                <w:sz w:val="22"/>
                <w:szCs w:val="22"/>
              </w:rPr>
              <w:t>BILH Facility</w:t>
            </w:r>
          </w:p>
        </w:tc>
        <w:tc>
          <w:tcPr>
            <w:tcW w:w="0" w:type="auto"/>
            <w:shd w:val="clear" w:color="auto" w:fill="DBE5F1" w:themeFill="accent1" w:themeFillTint="33"/>
            <w:noWrap/>
            <w:hideMark/>
          </w:tcPr>
          <w:p w14:paraId="0A0EDA3C" w14:textId="77777777" w:rsidR="00FA71B9" w:rsidRPr="00187B26" w:rsidRDefault="00FA71B9" w:rsidP="00FA71B9">
            <w:pPr>
              <w:widowControl/>
              <w:autoSpaceDE/>
              <w:autoSpaceDN/>
              <w:rPr>
                <w:rFonts w:asciiTheme="minorHAnsi" w:eastAsia="Times New Roman" w:hAnsiTheme="minorHAnsi"/>
                <w:b/>
                <w:bCs/>
                <w:sz w:val="22"/>
                <w:szCs w:val="22"/>
              </w:rPr>
            </w:pPr>
            <w:r w:rsidRPr="00187B26">
              <w:rPr>
                <w:rFonts w:asciiTheme="minorHAnsi" w:eastAsia="Times New Roman" w:hAnsiTheme="minorHAnsi"/>
                <w:b/>
                <w:bCs/>
                <w:sz w:val="22"/>
                <w:szCs w:val="22"/>
              </w:rPr>
              <w:t xml:space="preserve">Facility Address </w:t>
            </w:r>
          </w:p>
        </w:tc>
        <w:tc>
          <w:tcPr>
            <w:tcW w:w="0" w:type="auto"/>
            <w:shd w:val="clear" w:color="auto" w:fill="DBE5F1" w:themeFill="accent1" w:themeFillTint="33"/>
            <w:noWrap/>
            <w:hideMark/>
          </w:tcPr>
          <w:p w14:paraId="76D6ECA3" w14:textId="77777777" w:rsidR="00FA71B9" w:rsidRPr="00187B26" w:rsidRDefault="00FA71B9" w:rsidP="00FA71B9">
            <w:pPr>
              <w:widowControl/>
              <w:autoSpaceDE/>
              <w:autoSpaceDN/>
              <w:rPr>
                <w:rFonts w:asciiTheme="minorHAnsi" w:eastAsia="Times New Roman" w:hAnsiTheme="minorHAnsi"/>
                <w:b/>
                <w:bCs/>
                <w:sz w:val="22"/>
                <w:szCs w:val="22"/>
              </w:rPr>
            </w:pPr>
            <w:r w:rsidRPr="00187B26">
              <w:rPr>
                <w:rFonts w:asciiTheme="minorHAnsi" w:eastAsia="Times New Roman" w:hAnsiTheme="minorHAnsi"/>
                <w:b/>
                <w:bCs/>
                <w:sz w:val="22"/>
                <w:szCs w:val="22"/>
              </w:rPr>
              <w:t xml:space="preserve">Wait Time for Colonoscopy </w:t>
            </w:r>
          </w:p>
        </w:tc>
      </w:tr>
      <w:tr w:rsidR="00FA71B9" w:rsidRPr="00187B26" w14:paraId="4E02C051" w14:textId="77777777" w:rsidTr="00AD550F">
        <w:trPr>
          <w:cantSplit/>
          <w:trHeight w:val="263"/>
        </w:trPr>
        <w:tc>
          <w:tcPr>
            <w:tcW w:w="0" w:type="auto"/>
            <w:hideMark/>
          </w:tcPr>
          <w:p w14:paraId="11F3613F" w14:textId="77777777" w:rsidR="00FA71B9" w:rsidRPr="00187B26" w:rsidRDefault="00FA71B9" w:rsidP="00FA71B9">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BIDMC *</w:t>
            </w:r>
          </w:p>
        </w:tc>
        <w:tc>
          <w:tcPr>
            <w:tcW w:w="0" w:type="auto"/>
            <w:vAlign w:val="center"/>
            <w:hideMark/>
          </w:tcPr>
          <w:p w14:paraId="40E6652F" w14:textId="5A4A6498"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330 Brookline Ave., Boston, MA  02215</w:t>
            </w:r>
          </w:p>
        </w:tc>
        <w:tc>
          <w:tcPr>
            <w:tcW w:w="0" w:type="auto"/>
            <w:noWrap/>
            <w:hideMark/>
          </w:tcPr>
          <w:p w14:paraId="61C497DC" w14:textId="77777777"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5 months</w:t>
            </w:r>
          </w:p>
        </w:tc>
      </w:tr>
      <w:tr w:rsidR="00FA71B9" w:rsidRPr="00187B26" w14:paraId="67E16234" w14:textId="77777777" w:rsidTr="00AD550F">
        <w:trPr>
          <w:cantSplit/>
          <w:trHeight w:val="164"/>
        </w:trPr>
        <w:tc>
          <w:tcPr>
            <w:tcW w:w="0" w:type="auto"/>
            <w:hideMark/>
          </w:tcPr>
          <w:p w14:paraId="5A98C4C2" w14:textId="77777777" w:rsidR="00FA71B9" w:rsidRPr="00187B26" w:rsidRDefault="00FA71B9" w:rsidP="00FA71B9">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BID Plymouth</w:t>
            </w:r>
          </w:p>
        </w:tc>
        <w:tc>
          <w:tcPr>
            <w:tcW w:w="0" w:type="auto"/>
            <w:vAlign w:val="center"/>
            <w:hideMark/>
          </w:tcPr>
          <w:p w14:paraId="31C11E72" w14:textId="730212BA"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275 Sandwich Street, Plymouth, MA  02360</w:t>
            </w:r>
          </w:p>
        </w:tc>
        <w:tc>
          <w:tcPr>
            <w:tcW w:w="0" w:type="auto"/>
            <w:noWrap/>
            <w:hideMark/>
          </w:tcPr>
          <w:p w14:paraId="58B9B854" w14:textId="25CBE747"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2 weeks</w:t>
            </w:r>
          </w:p>
        </w:tc>
      </w:tr>
      <w:tr w:rsidR="00FA71B9" w:rsidRPr="00187B26" w14:paraId="42FF3C4B" w14:textId="77777777" w:rsidTr="00AD550F">
        <w:trPr>
          <w:cantSplit/>
          <w:trHeight w:val="164"/>
        </w:trPr>
        <w:tc>
          <w:tcPr>
            <w:tcW w:w="0" w:type="auto"/>
            <w:hideMark/>
          </w:tcPr>
          <w:p w14:paraId="4C81501D" w14:textId="77777777" w:rsidR="00FA71B9" w:rsidRPr="00187B26" w:rsidRDefault="00FA71B9" w:rsidP="00FA71B9">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BID Milton</w:t>
            </w:r>
          </w:p>
        </w:tc>
        <w:tc>
          <w:tcPr>
            <w:tcW w:w="0" w:type="auto"/>
            <w:vAlign w:val="center"/>
            <w:hideMark/>
          </w:tcPr>
          <w:p w14:paraId="17EB3F9B" w14:textId="31955EE9"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 xml:space="preserve">199 </w:t>
            </w:r>
            <w:proofErr w:type="spellStart"/>
            <w:r w:rsidRPr="00187B26">
              <w:rPr>
                <w:rFonts w:asciiTheme="minorHAnsi" w:eastAsia="Times New Roman" w:hAnsiTheme="minorHAnsi"/>
                <w:color w:val="000000"/>
                <w:sz w:val="22"/>
                <w:szCs w:val="22"/>
              </w:rPr>
              <w:t>Reedsdale</w:t>
            </w:r>
            <w:proofErr w:type="spellEnd"/>
            <w:r w:rsidRPr="00187B26">
              <w:rPr>
                <w:rFonts w:asciiTheme="minorHAnsi" w:eastAsia="Times New Roman" w:hAnsiTheme="minorHAnsi"/>
                <w:color w:val="000000"/>
                <w:sz w:val="22"/>
                <w:szCs w:val="22"/>
              </w:rPr>
              <w:t xml:space="preserve"> Road, Milton, MA  02186</w:t>
            </w:r>
          </w:p>
        </w:tc>
        <w:tc>
          <w:tcPr>
            <w:tcW w:w="0" w:type="auto"/>
            <w:noWrap/>
            <w:hideMark/>
          </w:tcPr>
          <w:p w14:paraId="36F3D355" w14:textId="77777777"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6 months</w:t>
            </w:r>
          </w:p>
        </w:tc>
      </w:tr>
      <w:tr w:rsidR="00FA71B9" w:rsidRPr="00187B26" w14:paraId="599ABDE8" w14:textId="77777777" w:rsidTr="00AD550F">
        <w:trPr>
          <w:cantSplit/>
          <w:trHeight w:val="236"/>
        </w:trPr>
        <w:tc>
          <w:tcPr>
            <w:tcW w:w="0" w:type="auto"/>
            <w:hideMark/>
          </w:tcPr>
          <w:p w14:paraId="54B8EFF9" w14:textId="77777777" w:rsidR="00FA71B9" w:rsidRPr="00187B26" w:rsidRDefault="00FA71B9" w:rsidP="00FA71B9">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Mount Auburn Hospital</w:t>
            </w:r>
          </w:p>
        </w:tc>
        <w:tc>
          <w:tcPr>
            <w:tcW w:w="0" w:type="auto"/>
            <w:vAlign w:val="center"/>
            <w:hideMark/>
          </w:tcPr>
          <w:p w14:paraId="55DAFE6B" w14:textId="4A66D581"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330 Mt. Auburn Street, Cambridge, MA  02138</w:t>
            </w:r>
          </w:p>
        </w:tc>
        <w:tc>
          <w:tcPr>
            <w:tcW w:w="0" w:type="auto"/>
            <w:noWrap/>
            <w:hideMark/>
          </w:tcPr>
          <w:p w14:paraId="4D5F3C57" w14:textId="77777777"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5 months</w:t>
            </w:r>
          </w:p>
        </w:tc>
      </w:tr>
      <w:tr w:rsidR="00FA71B9" w:rsidRPr="00187B26" w14:paraId="5AB6C6FC" w14:textId="77777777" w:rsidTr="00AD550F">
        <w:trPr>
          <w:cantSplit/>
          <w:trHeight w:val="137"/>
        </w:trPr>
        <w:tc>
          <w:tcPr>
            <w:tcW w:w="0" w:type="auto"/>
            <w:hideMark/>
          </w:tcPr>
          <w:p w14:paraId="20744121" w14:textId="77777777" w:rsidR="00FA71B9" w:rsidRPr="00187B26" w:rsidRDefault="00FA71B9" w:rsidP="00FA71B9">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BID Needham</w:t>
            </w:r>
          </w:p>
        </w:tc>
        <w:tc>
          <w:tcPr>
            <w:tcW w:w="0" w:type="auto"/>
            <w:vAlign w:val="center"/>
            <w:hideMark/>
          </w:tcPr>
          <w:p w14:paraId="26F34C48" w14:textId="66198CEE"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148 Chestnut Street, Needham, MA  02492</w:t>
            </w:r>
          </w:p>
        </w:tc>
        <w:tc>
          <w:tcPr>
            <w:tcW w:w="0" w:type="auto"/>
            <w:noWrap/>
            <w:hideMark/>
          </w:tcPr>
          <w:p w14:paraId="5EC22FF6" w14:textId="1A744EEF"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6+ months</w:t>
            </w:r>
          </w:p>
        </w:tc>
      </w:tr>
      <w:tr w:rsidR="00FA71B9" w:rsidRPr="00187B26" w14:paraId="77068A19" w14:textId="77777777" w:rsidTr="00AD550F">
        <w:trPr>
          <w:cantSplit/>
          <w:trHeight w:val="137"/>
        </w:trPr>
        <w:tc>
          <w:tcPr>
            <w:tcW w:w="0" w:type="auto"/>
            <w:hideMark/>
          </w:tcPr>
          <w:p w14:paraId="30FC8A7D" w14:textId="77777777" w:rsidR="00FA71B9" w:rsidRPr="00187B26" w:rsidRDefault="00FA71B9" w:rsidP="00FA71B9">
            <w:pPr>
              <w:widowControl/>
              <w:autoSpaceDE/>
              <w:autoSpaceDN/>
              <w:rPr>
                <w:rFonts w:asciiTheme="minorHAnsi" w:eastAsia="Times New Roman" w:hAnsiTheme="minorHAnsi"/>
                <w:color w:val="000000"/>
                <w:sz w:val="22"/>
                <w:szCs w:val="22"/>
              </w:rPr>
            </w:pPr>
            <w:r w:rsidRPr="0A28E4A1">
              <w:rPr>
                <w:rFonts w:asciiTheme="minorHAnsi" w:eastAsia="Times New Roman" w:hAnsiTheme="minorHAnsi"/>
                <w:color w:val="000000" w:themeColor="text1"/>
                <w:sz w:val="22"/>
                <w:szCs w:val="22"/>
              </w:rPr>
              <w:t xml:space="preserve">LHMC Burlington* </w:t>
            </w:r>
          </w:p>
        </w:tc>
        <w:tc>
          <w:tcPr>
            <w:tcW w:w="0" w:type="auto"/>
            <w:vAlign w:val="center"/>
            <w:hideMark/>
          </w:tcPr>
          <w:p w14:paraId="6359A830" w14:textId="7D4062D8"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41 Mall Road, Burlington, MA  01805</w:t>
            </w:r>
          </w:p>
        </w:tc>
        <w:tc>
          <w:tcPr>
            <w:tcW w:w="0" w:type="auto"/>
            <w:noWrap/>
            <w:hideMark/>
          </w:tcPr>
          <w:p w14:paraId="01961DEC" w14:textId="7B04ECE1" w:rsidR="00FA71B9" w:rsidRPr="00187B26" w:rsidRDefault="00FA71B9" w:rsidP="00942AB4">
            <w:pPr>
              <w:widowControl/>
              <w:autoSpaceDE/>
              <w:autoSpaceDN/>
              <w:rPr>
                <w:rFonts w:asciiTheme="minorHAnsi" w:eastAsia="Times New Roman" w:hAnsiTheme="minorHAnsi"/>
                <w:color w:val="000000"/>
                <w:sz w:val="22"/>
                <w:szCs w:val="22"/>
              </w:rPr>
            </w:pPr>
            <w:r w:rsidRPr="0A28E4A1">
              <w:rPr>
                <w:rFonts w:asciiTheme="minorHAnsi" w:eastAsia="Times New Roman" w:hAnsiTheme="minorHAnsi"/>
                <w:color w:val="000000" w:themeColor="text1"/>
                <w:sz w:val="22"/>
                <w:szCs w:val="22"/>
              </w:rPr>
              <w:t>12 months</w:t>
            </w:r>
          </w:p>
        </w:tc>
      </w:tr>
      <w:tr w:rsidR="00FA71B9" w:rsidRPr="00187B26" w14:paraId="1A112B81" w14:textId="77777777" w:rsidTr="00AD550F">
        <w:trPr>
          <w:cantSplit/>
          <w:trHeight w:val="50"/>
        </w:trPr>
        <w:tc>
          <w:tcPr>
            <w:tcW w:w="0" w:type="auto"/>
            <w:hideMark/>
          </w:tcPr>
          <w:p w14:paraId="50ECD718" w14:textId="77777777" w:rsidR="00FA71B9" w:rsidRPr="00187B26" w:rsidRDefault="00FA71B9" w:rsidP="00FA71B9">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LHMC Peabody*</w:t>
            </w:r>
          </w:p>
        </w:tc>
        <w:tc>
          <w:tcPr>
            <w:tcW w:w="0" w:type="auto"/>
            <w:vAlign w:val="center"/>
            <w:hideMark/>
          </w:tcPr>
          <w:p w14:paraId="29049C65" w14:textId="2A1CF740"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1 Essex Center Drive, Peabody, MA  01960</w:t>
            </w:r>
          </w:p>
        </w:tc>
        <w:tc>
          <w:tcPr>
            <w:tcW w:w="0" w:type="auto"/>
            <w:noWrap/>
            <w:hideMark/>
          </w:tcPr>
          <w:p w14:paraId="30F09F04" w14:textId="07006D93" w:rsidR="00FA71B9" w:rsidRPr="00187B26" w:rsidRDefault="00FA71B9" w:rsidP="00942AB4">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12 months</w:t>
            </w:r>
          </w:p>
        </w:tc>
      </w:tr>
      <w:tr w:rsidR="00FA71B9" w:rsidRPr="00187B26" w14:paraId="11A0A9CC" w14:textId="77777777" w:rsidTr="00AD550F">
        <w:trPr>
          <w:cantSplit/>
          <w:trHeight w:val="119"/>
        </w:trPr>
        <w:tc>
          <w:tcPr>
            <w:tcW w:w="0" w:type="auto"/>
            <w:hideMark/>
          </w:tcPr>
          <w:p w14:paraId="1FBEBF8B" w14:textId="77777777" w:rsidR="00FA71B9" w:rsidRPr="00187B26" w:rsidRDefault="00FA71B9" w:rsidP="00FA71B9">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Beverly Hospital</w:t>
            </w:r>
          </w:p>
        </w:tc>
        <w:tc>
          <w:tcPr>
            <w:tcW w:w="0" w:type="auto"/>
            <w:vAlign w:val="center"/>
            <w:hideMark/>
          </w:tcPr>
          <w:p w14:paraId="73C6FC81" w14:textId="0B0BAF22" w:rsidR="00FA71B9" w:rsidRPr="00187B26" w:rsidRDefault="00FA71B9" w:rsidP="00FA71B9">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85 Herrick Street,</w:t>
            </w:r>
            <w:r w:rsidR="005C1675">
              <w:rPr>
                <w:rFonts w:asciiTheme="minorHAnsi" w:eastAsia="Times New Roman" w:hAnsiTheme="minorHAnsi"/>
                <w:color w:val="000000"/>
                <w:sz w:val="22"/>
                <w:szCs w:val="22"/>
              </w:rPr>
              <w:t xml:space="preserve"> </w:t>
            </w:r>
            <w:r w:rsidRPr="00187B26">
              <w:rPr>
                <w:rFonts w:asciiTheme="minorHAnsi" w:eastAsia="Times New Roman" w:hAnsiTheme="minorHAnsi"/>
                <w:color w:val="000000"/>
                <w:sz w:val="22"/>
                <w:szCs w:val="22"/>
              </w:rPr>
              <w:t>Beverly, MA  01915</w:t>
            </w:r>
          </w:p>
        </w:tc>
        <w:tc>
          <w:tcPr>
            <w:tcW w:w="0" w:type="auto"/>
            <w:noWrap/>
            <w:hideMark/>
          </w:tcPr>
          <w:p w14:paraId="33D1C5DE" w14:textId="77777777" w:rsidR="00FA71B9" w:rsidRPr="00187B26" w:rsidRDefault="00FA71B9" w:rsidP="00FA71B9">
            <w:pPr>
              <w:widowControl/>
              <w:autoSpaceDE/>
              <w:autoSpaceDN/>
              <w:rPr>
                <w:rFonts w:asciiTheme="minorHAnsi" w:eastAsia="Times New Roman" w:hAnsiTheme="minorHAnsi"/>
                <w:color w:val="000000"/>
                <w:sz w:val="22"/>
                <w:szCs w:val="22"/>
              </w:rPr>
            </w:pPr>
            <w:r w:rsidRPr="00187B26">
              <w:rPr>
                <w:rFonts w:asciiTheme="minorHAnsi" w:eastAsia="Times New Roman" w:hAnsiTheme="minorHAnsi"/>
                <w:color w:val="000000"/>
                <w:sz w:val="22"/>
                <w:szCs w:val="22"/>
              </w:rPr>
              <w:t>5 months</w:t>
            </w:r>
          </w:p>
        </w:tc>
      </w:tr>
    </w:tbl>
    <w:p w14:paraId="4507DB85" w14:textId="3F0F6C79" w:rsidR="0058571B" w:rsidRPr="00FA71B9" w:rsidRDefault="00FA71B9" w:rsidP="0058571B">
      <w:pPr>
        <w:pStyle w:val="BodyText"/>
        <w:spacing w:line="269" w:lineRule="exact"/>
        <w:rPr>
          <w:rFonts w:asciiTheme="minorHAnsi" w:hAnsiTheme="minorHAnsi"/>
          <w:sz w:val="20"/>
          <w:szCs w:val="20"/>
        </w:rPr>
      </w:pPr>
      <w:r w:rsidRPr="00FA71B9">
        <w:rPr>
          <w:rFonts w:asciiTheme="minorHAnsi" w:hAnsiTheme="minorHAnsi"/>
          <w:sz w:val="20"/>
          <w:szCs w:val="20"/>
        </w:rPr>
        <w:t xml:space="preserve">*Denotes a location that serves as a primary facility for Lahey Primary Care and BIDMC GI patients </w:t>
      </w:r>
      <w:r w:rsidR="00CA3894">
        <w:rPr>
          <w:rFonts w:asciiTheme="minorHAnsi" w:hAnsiTheme="minorHAnsi"/>
          <w:sz w:val="20"/>
          <w:szCs w:val="20"/>
        </w:rPr>
        <w:t xml:space="preserve">to </w:t>
      </w:r>
      <w:r w:rsidRPr="00FA71B9">
        <w:rPr>
          <w:rFonts w:asciiTheme="minorHAnsi" w:hAnsiTheme="minorHAnsi"/>
          <w:sz w:val="20"/>
          <w:szCs w:val="20"/>
        </w:rPr>
        <w:t>receive endoscopy.</w:t>
      </w:r>
    </w:p>
    <w:p w14:paraId="12FC389E" w14:textId="77777777" w:rsidR="00FA71B9" w:rsidRDefault="00FA71B9" w:rsidP="0058571B">
      <w:pPr>
        <w:pStyle w:val="BodyText"/>
        <w:spacing w:line="269" w:lineRule="exact"/>
        <w:rPr>
          <w:rFonts w:asciiTheme="minorHAnsi" w:hAnsiTheme="minorHAnsi"/>
        </w:rPr>
      </w:pPr>
    </w:p>
    <w:p w14:paraId="5B4B965A" w14:textId="0A4B0E0D" w:rsidR="00E921B7" w:rsidRDefault="00E921B7" w:rsidP="0058571B">
      <w:pPr>
        <w:pStyle w:val="BodyText"/>
        <w:spacing w:line="269" w:lineRule="exact"/>
        <w:rPr>
          <w:rFonts w:asciiTheme="minorHAnsi" w:hAnsiTheme="minorHAnsi"/>
        </w:rPr>
      </w:pPr>
      <w:r>
        <w:rPr>
          <w:rFonts w:asciiTheme="minorHAnsi" w:hAnsiTheme="minorHAnsi"/>
        </w:rPr>
        <w:t xml:space="preserve">The Applicant states that the Center’s current procedure room capacity limits the Center from being able to expand access to patients outside of Winchester GI, DHA, and Atrius. The Applicant maintains that with the additional procedure room capacity that would be achieved through the Proposed Project, the Center will be able to provide access to Winchester GI, DHA, and Atrius patients, and to Lahey and BIDMC patients, without compromising wait times. </w:t>
      </w:r>
    </w:p>
    <w:p w14:paraId="68C4504A" w14:textId="77777777" w:rsidR="00E921B7" w:rsidRDefault="00E921B7" w:rsidP="0058571B">
      <w:pPr>
        <w:pStyle w:val="BodyText"/>
        <w:spacing w:line="269" w:lineRule="exact"/>
        <w:rPr>
          <w:rFonts w:asciiTheme="minorHAnsi" w:hAnsiTheme="minorHAnsi"/>
          <w:b/>
          <w:bCs/>
        </w:rPr>
      </w:pPr>
    </w:p>
    <w:p w14:paraId="38FB45E7" w14:textId="06B855E8" w:rsidR="0058571B" w:rsidRPr="002C01E2" w:rsidRDefault="00095463" w:rsidP="00BD2F0B">
      <w:pPr>
        <w:pStyle w:val="Heading3"/>
      </w:pPr>
      <w:r w:rsidRPr="002C01E2">
        <w:t xml:space="preserve">Projected Volume at the Center </w:t>
      </w:r>
    </w:p>
    <w:p w14:paraId="3EE807B2" w14:textId="77777777" w:rsidR="0058571B" w:rsidRDefault="0058571B" w:rsidP="0058571B">
      <w:pPr>
        <w:pStyle w:val="BodyText"/>
        <w:spacing w:line="269" w:lineRule="exact"/>
        <w:rPr>
          <w:rFonts w:asciiTheme="minorHAnsi" w:hAnsiTheme="minorHAnsi"/>
        </w:rPr>
      </w:pPr>
    </w:p>
    <w:p w14:paraId="15A42053" w14:textId="7A822403" w:rsidR="00FE408D" w:rsidRDefault="00FE408D" w:rsidP="0058571B">
      <w:pPr>
        <w:pStyle w:val="BodyText"/>
        <w:spacing w:line="269" w:lineRule="exact"/>
        <w:rPr>
          <w:rFonts w:asciiTheme="minorHAnsi" w:hAnsiTheme="minorHAnsi"/>
        </w:rPr>
      </w:pPr>
      <w:r>
        <w:rPr>
          <w:rFonts w:asciiTheme="minorHAnsi" w:hAnsiTheme="minorHAnsi"/>
        </w:rPr>
        <w:t xml:space="preserve">The Applicant asserts that the following factors will </w:t>
      </w:r>
      <w:r w:rsidR="003074C8">
        <w:rPr>
          <w:rFonts w:asciiTheme="minorHAnsi" w:hAnsiTheme="minorHAnsi"/>
        </w:rPr>
        <w:t xml:space="preserve">also </w:t>
      </w:r>
      <w:r>
        <w:rPr>
          <w:rFonts w:asciiTheme="minorHAnsi" w:hAnsiTheme="minorHAnsi"/>
        </w:rPr>
        <w:t>contribute to additional volume at the Center following the Proposed Project</w:t>
      </w:r>
      <w:r w:rsidR="00B1442E">
        <w:rPr>
          <w:rFonts w:asciiTheme="minorHAnsi" w:hAnsiTheme="minorHAnsi"/>
        </w:rPr>
        <w:t>’</w:t>
      </w:r>
      <w:r>
        <w:rPr>
          <w:rFonts w:asciiTheme="minorHAnsi" w:hAnsiTheme="minorHAnsi"/>
        </w:rPr>
        <w:t>s implementation</w:t>
      </w:r>
      <w:r w:rsidR="001B31C0">
        <w:rPr>
          <w:rFonts w:asciiTheme="minorHAnsi" w:hAnsiTheme="minorHAnsi"/>
        </w:rPr>
        <w:t>:</w:t>
      </w:r>
      <w:r>
        <w:rPr>
          <w:rFonts w:asciiTheme="minorHAnsi" w:hAnsiTheme="minorHAnsi"/>
        </w:rPr>
        <w:t xml:space="preserve"> </w:t>
      </w:r>
    </w:p>
    <w:p w14:paraId="3C8CFAA8" w14:textId="6BD2C6A2" w:rsidR="001E0E76" w:rsidRDefault="003C51C4" w:rsidP="00C9571B">
      <w:pPr>
        <w:pStyle w:val="BodyText"/>
        <w:numPr>
          <w:ilvl w:val="0"/>
          <w:numId w:val="8"/>
        </w:numPr>
        <w:spacing w:line="269" w:lineRule="exact"/>
        <w:rPr>
          <w:rFonts w:asciiTheme="minorHAnsi" w:hAnsiTheme="minorHAnsi"/>
        </w:rPr>
      </w:pPr>
      <w:r>
        <w:rPr>
          <w:rFonts w:asciiTheme="minorHAnsi" w:hAnsiTheme="minorHAnsi"/>
        </w:rPr>
        <w:t xml:space="preserve">Currently, 4,100 Winchester Hospital patients are eligible </w:t>
      </w:r>
      <w:proofErr w:type="gramStart"/>
      <w:r>
        <w:rPr>
          <w:rFonts w:asciiTheme="minorHAnsi" w:hAnsiTheme="minorHAnsi"/>
        </w:rPr>
        <w:t xml:space="preserve">for </w:t>
      </w:r>
      <w:r w:rsidR="003A0EB9">
        <w:rPr>
          <w:rFonts w:asciiTheme="minorHAnsi" w:hAnsiTheme="minorHAnsi"/>
        </w:rPr>
        <w:t xml:space="preserve"> colonoscopy</w:t>
      </w:r>
      <w:proofErr w:type="gramEnd"/>
      <w:r w:rsidR="003A0EB9">
        <w:rPr>
          <w:rFonts w:asciiTheme="minorHAnsi" w:hAnsiTheme="minorHAnsi"/>
        </w:rPr>
        <w:t xml:space="preserve"> screening </w:t>
      </w:r>
      <w:r>
        <w:rPr>
          <w:rFonts w:asciiTheme="minorHAnsi" w:hAnsiTheme="minorHAnsi"/>
        </w:rPr>
        <w:t>but don’t have an</w:t>
      </w:r>
      <w:r w:rsidR="00A31360">
        <w:rPr>
          <w:rFonts w:asciiTheme="minorHAnsi" w:hAnsiTheme="minorHAnsi"/>
        </w:rPr>
        <w:t>y</w:t>
      </w:r>
      <w:r>
        <w:rPr>
          <w:rFonts w:asciiTheme="minorHAnsi" w:hAnsiTheme="minorHAnsi"/>
        </w:rPr>
        <w:t xml:space="preserve"> order yet from their PCP. </w:t>
      </w:r>
      <w:r w:rsidR="008C02F0">
        <w:rPr>
          <w:rFonts w:asciiTheme="minorHAnsi" w:hAnsiTheme="minorHAnsi"/>
        </w:rPr>
        <w:t>The Applicant states that the reason these patients don’t have active orders from their PCP is likely because most are overdue for their annual physical with their PCP or have not been seen by a</w:t>
      </w:r>
      <w:r w:rsidR="009758E2">
        <w:rPr>
          <w:rFonts w:asciiTheme="minorHAnsi" w:hAnsiTheme="minorHAnsi"/>
        </w:rPr>
        <w:t>nother</w:t>
      </w:r>
      <w:r w:rsidR="008C02F0">
        <w:rPr>
          <w:rFonts w:asciiTheme="minorHAnsi" w:hAnsiTheme="minorHAnsi"/>
        </w:rPr>
        <w:t xml:space="preserve"> physician who </w:t>
      </w:r>
      <w:r w:rsidR="00435688">
        <w:rPr>
          <w:rFonts w:asciiTheme="minorHAnsi" w:hAnsiTheme="minorHAnsi"/>
        </w:rPr>
        <w:t>could also place</w:t>
      </w:r>
      <w:r w:rsidR="008C02F0">
        <w:rPr>
          <w:rFonts w:asciiTheme="minorHAnsi" w:hAnsiTheme="minorHAnsi"/>
        </w:rPr>
        <w:t xml:space="preserve"> an order for a screening colonoscopy. </w:t>
      </w:r>
      <w:r w:rsidR="00775258">
        <w:rPr>
          <w:rFonts w:asciiTheme="minorHAnsi" w:hAnsiTheme="minorHAnsi"/>
        </w:rPr>
        <w:t xml:space="preserve">The Applicant explained that colonoscopy is the only screening option for high-risk individuals; average-risk individuals have a choice of colonoscopy or stool-based testing, after consulting with their PCP or GI provider. The Applicant states further that if the wait time for a colonoscopy is more than six months, then stool-based testing is recommended, with the understanding that a colonoscopy may be the recommended follow-up. The Applicant notes that approximately 68% of colonoscopies at the Center are scheduled screening colonoscopies, and of those cases, 74% resulted in some clinical finding. </w:t>
      </w:r>
      <w:r w:rsidR="00AA1A16">
        <w:rPr>
          <w:rFonts w:asciiTheme="minorHAnsi" w:hAnsiTheme="minorHAnsi"/>
        </w:rPr>
        <w:t xml:space="preserve">Colonoscopy remains the preferred choice for screening for </w:t>
      </w:r>
      <w:proofErr w:type="gramStart"/>
      <w:r w:rsidR="00AA1A16">
        <w:rPr>
          <w:rFonts w:asciiTheme="minorHAnsi" w:hAnsiTheme="minorHAnsi"/>
        </w:rPr>
        <w:t>preventing,</w:t>
      </w:r>
      <w:proofErr w:type="gramEnd"/>
      <w:r w:rsidR="00AA1A16">
        <w:rPr>
          <w:rFonts w:asciiTheme="minorHAnsi" w:hAnsiTheme="minorHAnsi"/>
        </w:rPr>
        <w:t xml:space="preserve"> and treating CRC, because of the ability to remove cancerous and pre-cancerous polyps during the procedure. </w:t>
      </w:r>
      <w:r w:rsidR="001B733B">
        <w:rPr>
          <w:rFonts w:asciiTheme="minorHAnsi" w:hAnsiTheme="minorHAnsi"/>
        </w:rPr>
        <w:t>To reduce the most common barriers to CRC screening and to make screening more accessible to patients,</w:t>
      </w:r>
      <w:r w:rsidR="007D67B7">
        <w:rPr>
          <w:rFonts w:asciiTheme="minorHAnsi" w:hAnsiTheme="minorHAnsi"/>
        </w:rPr>
        <w:t xml:space="preserve"> </w:t>
      </w:r>
      <w:r w:rsidR="001B733B">
        <w:rPr>
          <w:rFonts w:asciiTheme="minorHAnsi" w:hAnsiTheme="minorHAnsi"/>
        </w:rPr>
        <w:t>Winchester Hospital will begin piloting a program to distribute Cologuard screening ki</w:t>
      </w:r>
      <w:r w:rsidR="00A639B1">
        <w:rPr>
          <w:rFonts w:asciiTheme="minorHAnsi" w:hAnsiTheme="minorHAnsi"/>
        </w:rPr>
        <w:t>t</w:t>
      </w:r>
      <w:r w:rsidR="001B733B">
        <w:rPr>
          <w:rFonts w:asciiTheme="minorHAnsi" w:hAnsiTheme="minorHAnsi"/>
        </w:rPr>
        <w:t xml:space="preserve">s through its primary care practices to average-risk patients who have not received a colonoscopy within the last three years, have not had a positive screen, and have an incomplete outstanding screening order. </w:t>
      </w:r>
    </w:p>
    <w:p w14:paraId="3A75DE1A" w14:textId="283A4367" w:rsidR="0042534F" w:rsidRPr="006A0890" w:rsidRDefault="001E0E76" w:rsidP="00C9571B">
      <w:pPr>
        <w:pStyle w:val="BodyText"/>
        <w:numPr>
          <w:ilvl w:val="0"/>
          <w:numId w:val="8"/>
        </w:numPr>
        <w:spacing w:line="269" w:lineRule="exact"/>
        <w:rPr>
          <w:rFonts w:asciiTheme="minorHAnsi" w:hAnsiTheme="minorHAnsi"/>
        </w:rPr>
      </w:pPr>
      <w:r>
        <w:rPr>
          <w:rFonts w:asciiTheme="minorHAnsi" w:hAnsiTheme="minorHAnsi"/>
        </w:rPr>
        <w:t>Currently,</w:t>
      </w:r>
      <w:r w:rsidR="0065467D">
        <w:rPr>
          <w:rFonts w:asciiTheme="minorHAnsi" w:hAnsiTheme="minorHAnsi"/>
        </w:rPr>
        <w:t xml:space="preserve"> </w:t>
      </w:r>
      <w:r w:rsidR="0042534F">
        <w:rPr>
          <w:rFonts w:asciiTheme="minorHAnsi" w:hAnsiTheme="minorHAnsi"/>
        </w:rPr>
        <w:t xml:space="preserve">2,700 </w:t>
      </w:r>
      <w:r w:rsidR="009617E9">
        <w:rPr>
          <w:rFonts w:asciiTheme="minorHAnsi" w:hAnsiTheme="minorHAnsi"/>
        </w:rPr>
        <w:t xml:space="preserve">Winchester Hospital </w:t>
      </w:r>
      <w:r w:rsidR="0042534F">
        <w:rPr>
          <w:rFonts w:asciiTheme="minorHAnsi" w:hAnsiTheme="minorHAnsi"/>
        </w:rPr>
        <w:t>patients with an active order from their PCP</w:t>
      </w:r>
      <w:r w:rsidR="009617E9" w:rsidRPr="009617E9">
        <w:rPr>
          <w:rFonts w:ascii="Aptos" w:hAnsi="Aptos" w:cs="Aptos"/>
          <w:sz w:val="21"/>
          <w:szCs w:val="21"/>
        </w:rPr>
        <w:t xml:space="preserve"> </w:t>
      </w:r>
      <w:r w:rsidR="009617E9" w:rsidRPr="009617E9">
        <w:rPr>
          <w:rFonts w:asciiTheme="minorHAnsi" w:hAnsiTheme="minorHAnsi"/>
        </w:rPr>
        <w:t xml:space="preserve">are waiting for their screening colonoscopy to be </w:t>
      </w:r>
      <w:proofErr w:type="gramStart"/>
      <w:r w:rsidR="009617E9" w:rsidRPr="009617E9">
        <w:rPr>
          <w:rFonts w:asciiTheme="minorHAnsi" w:hAnsiTheme="minorHAnsi"/>
        </w:rPr>
        <w:t>scheduled</w:t>
      </w:r>
      <w:r w:rsidR="0042534F">
        <w:rPr>
          <w:rFonts w:asciiTheme="minorHAnsi" w:hAnsiTheme="minorHAnsi"/>
        </w:rPr>
        <w:t xml:space="preserve">, </w:t>
      </w:r>
      <w:r>
        <w:rPr>
          <w:rFonts w:asciiTheme="minorHAnsi" w:hAnsiTheme="minorHAnsi"/>
        </w:rPr>
        <w:t>and</w:t>
      </w:r>
      <w:proofErr w:type="gramEnd"/>
      <w:r>
        <w:rPr>
          <w:rFonts w:asciiTheme="minorHAnsi" w:hAnsiTheme="minorHAnsi"/>
        </w:rPr>
        <w:t xml:space="preserve"> combined with the 4,100 patients without active orders yet, </w:t>
      </w:r>
      <w:r w:rsidR="0042534F">
        <w:rPr>
          <w:rFonts w:asciiTheme="minorHAnsi" w:hAnsiTheme="minorHAnsi"/>
        </w:rPr>
        <w:t xml:space="preserve">accounts for an additional 6,800 patients who would </w:t>
      </w:r>
      <w:r w:rsidR="0042534F">
        <w:rPr>
          <w:rFonts w:asciiTheme="minorHAnsi" w:hAnsiTheme="minorHAnsi"/>
        </w:rPr>
        <w:lastRenderedPageBreak/>
        <w:t xml:space="preserve">need to be screened this year. </w:t>
      </w:r>
      <w:r w:rsidR="00D60C30" w:rsidRPr="006A0890">
        <w:rPr>
          <w:rFonts w:asciiTheme="minorHAnsi" w:hAnsiTheme="minorHAnsi"/>
        </w:rPr>
        <w:t>With a target screening compliance rate of 80%</w:t>
      </w:r>
      <w:r w:rsidR="009B2921">
        <w:rPr>
          <w:rFonts w:asciiTheme="minorHAnsi" w:hAnsiTheme="minorHAnsi"/>
        </w:rPr>
        <w:t xml:space="preserve"> (</w:t>
      </w:r>
      <w:r w:rsidR="009B2921" w:rsidRPr="009B2921">
        <w:rPr>
          <w:rFonts w:asciiTheme="minorHAnsi" w:hAnsiTheme="minorHAnsi"/>
        </w:rPr>
        <w:t>National Colorectal Cancer Roundtable CRC screening goal</w:t>
      </w:r>
      <w:r w:rsidR="000E03E4">
        <w:rPr>
          <w:rFonts w:asciiTheme="minorHAnsi" w:hAnsiTheme="minorHAnsi"/>
        </w:rPr>
        <w:t>)</w:t>
      </w:r>
      <w:r w:rsidR="00D60C30" w:rsidRPr="006A0890">
        <w:rPr>
          <w:rFonts w:asciiTheme="minorHAnsi" w:hAnsiTheme="minorHAnsi"/>
        </w:rPr>
        <w:t xml:space="preserve">, an additional 6,000 more patients </w:t>
      </w:r>
      <w:r w:rsidR="006A784D">
        <w:rPr>
          <w:rFonts w:asciiTheme="minorHAnsi" w:hAnsiTheme="minorHAnsi"/>
        </w:rPr>
        <w:t xml:space="preserve">that may </w:t>
      </w:r>
      <w:r w:rsidR="00D60C30" w:rsidRPr="006A0890">
        <w:rPr>
          <w:rFonts w:asciiTheme="minorHAnsi" w:hAnsiTheme="minorHAnsi"/>
        </w:rPr>
        <w:t xml:space="preserve">have been seen at the </w:t>
      </w:r>
      <w:proofErr w:type="gramStart"/>
      <w:r w:rsidR="00D60C30" w:rsidRPr="006A0890">
        <w:rPr>
          <w:rFonts w:asciiTheme="minorHAnsi" w:hAnsiTheme="minorHAnsi"/>
        </w:rPr>
        <w:t>Center, but</w:t>
      </w:r>
      <w:proofErr w:type="gramEnd"/>
      <w:r w:rsidR="00D60C30" w:rsidRPr="006A0890">
        <w:rPr>
          <w:rFonts w:asciiTheme="minorHAnsi" w:hAnsiTheme="minorHAnsi"/>
        </w:rPr>
        <w:t xml:space="preserve"> could not have been due to existing capacity constraints. </w:t>
      </w:r>
    </w:p>
    <w:p w14:paraId="446EF849" w14:textId="4FD7E316" w:rsidR="00B91A2A" w:rsidRDefault="00B91A2A" w:rsidP="00C9571B">
      <w:pPr>
        <w:pStyle w:val="BodyText"/>
        <w:numPr>
          <w:ilvl w:val="0"/>
          <w:numId w:val="8"/>
        </w:numPr>
        <w:spacing w:line="269" w:lineRule="exact"/>
        <w:rPr>
          <w:rFonts w:asciiTheme="minorHAnsi" w:hAnsiTheme="minorHAnsi"/>
        </w:rPr>
      </w:pPr>
      <w:r>
        <w:rPr>
          <w:rFonts w:asciiTheme="minorHAnsi" w:hAnsiTheme="minorHAnsi"/>
        </w:rPr>
        <w:t xml:space="preserve">The Center’s historical utilization shows that non-colonoscopy procedures account for approximately 20% of procedure volume, and the Applicant expects that in six years, non-colonoscopy procedures will make up 3,356 cases of the Center’s annual volume. </w:t>
      </w:r>
    </w:p>
    <w:p w14:paraId="46610063" w14:textId="240CA4EE" w:rsidR="00B91A2A" w:rsidRPr="0065467D" w:rsidRDefault="00C62CAE" w:rsidP="00C9571B">
      <w:pPr>
        <w:pStyle w:val="BodyText"/>
        <w:numPr>
          <w:ilvl w:val="0"/>
          <w:numId w:val="8"/>
        </w:numPr>
        <w:spacing w:line="269" w:lineRule="exact"/>
        <w:rPr>
          <w:rFonts w:asciiTheme="minorHAnsi" w:hAnsiTheme="minorHAnsi"/>
        </w:rPr>
      </w:pPr>
      <w:r>
        <w:rPr>
          <w:rFonts w:asciiTheme="minorHAnsi" w:hAnsiTheme="minorHAnsi"/>
        </w:rPr>
        <w:t>An estimated 13,000 patients annually in the towns closes</w:t>
      </w:r>
      <w:r w:rsidR="000E03E4">
        <w:rPr>
          <w:rFonts w:asciiTheme="minorHAnsi" w:hAnsiTheme="minorHAnsi"/>
        </w:rPr>
        <w:t>t</w:t>
      </w:r>
      <w:r>
        <w:rPr>
          <w:rFonts w:asciiTheme="minorHAnsi" w:hAnsiTheme="minorHAnsi"/>
        </w:rPr>
        <w:t xml:space="preserve"> to the Center</w:t>
      </w:r>
      <w:r>
        <w:rPr>
          <w:rStyle w:val="FootnoteReference"/>
          <w:rFonts w:asciiTheme="minorHAnsi" w:hAnsiTheme="minorHAnsi"/>
        </w:rPr>
        <w:footnoteReference w:id="15"/>
      </w:r>
      <w:r>
        <w:rPr>
          <w:rFonts w:asciiTheme="minorHAnsi" w:hAnsiTheme="minorHAnsi"/>
        </w:rPr>
        <w:t xml:space="preserve"> will need some form of screening colonoscopy, based on projected population increases. </w:t>
      </w:r>
      <w:r w:rsidR="00C55F6B">
        <w:rPr>
          <w:rFonts w:asciiTheme="minorHAnsi" w:hAnsiTheme="minorHAnsi"/>
        </w:rPr>
        <w:t>If 80% of those residents followed the recommended screening guidance, it would result in 10,400 additional procedures.</w:t>
      </w:r>
      <w:r w:rsidR="00BB0E53">
        <w:rPr>
          <w:rFonts w:asciiTheme="minorHAnsi" w:hAnsiTheme="minorHAnsi"/>
        </w:rPr>
        <w:t xml:space="preserve"> This does not account for high-risk patients that require more frequent screenings or follow-up screening, which when accounted for would further increase procedure volume</w:t>
      </w:r>
      <w:r w:rsidR="00835FD6">
        <w:rPr>
          <w:rFonts w:asciiTheme="minorHAnsi" w:hAnsiTheme="minorHAnsi"/>
        </w:rPr>
        <w:t xml:space="preserve">, nor does it account for the Winchester Hospital endoscopy patients under the age of 45, who are not represented in the projections. </w:t>
      </w:r>
      <w:r w:rsidR="00C55F6B">
        <w:rPr>
          <w:rFonts w:asciiTheme="minorHAnsi" w:hAnsiTheme="minorHAnsi"/>
        </w:rPr>
        <w:t xml:space="preserve"> </w:t>
      </w:r>
    </w:p>
    <w:p w14:paraId="2515DD23" w14:textId="77777777" w:rsidR="00F712E2" w:rsidRDefault="00F712E2" w:rsidP="00A81E6C">
      <w:pPr>
        <w:pStyle w:val="BodyText"/>
        <w:spacing w:line="269" w:lineRule="exact"/>
        <w:rPr>
          <w:rFonts w:asciiTheme="minorHAnsi" w:hAnsiTheme="minorHAnsi"/>
        </w:rPr>
      </w:pPr>
    </w:p>
    <w:p w14:paraId="39C84AA3" w14:textId="77777777" w:rsidR="008C0800" w:rsidRDefault="002A3ECE" w:rsidP="00A81E6C">
      <w:pPr>
        <w:pStyle w:val="BodyText"/>
        <w:spacing w:line="269" w:lineRule="exact"/>
        <w:rPr>
          <w:rFonts w:asciiTheme="minorHAnsi" w:hAnsiTheme="minorHAnsi"/>
        </w:rPr>
      </w:pPr>
      <w:r>
        <w:rPr>
          <w:rFonts w:asciiTheme="minorHAnsi" w:hAnsiTheme="minorHAnsi"/>
        </w:rPr>
        <w:t>The proposed endoscopy rooms are expected to open Summer 2027. The Applicant’s projected procedure volume is shown below in Table 1</w:t>
      </w:r>
      <w:r w:rsidR="0018369D">
        <w:rPr>
          <w:rFonts w:asciiTheme="minorHAnsi" w:hAnsiTheme="minorHAnsi"/>
        </w:rPr>
        <w:t>8</w:t>
      </w:r>
      <w:r>
        <w:rPr>
          <w:rFonts w:asciiTheme="minorHAnsi" w:hAnsiTheme="minorHAnsi"/>
        </w:rPr>
        <w:t>. The Applicant is projecting 14,499 procedures in Year 1, with utilization increas</w:t>
      </w:r>
      <w:r w:rsidR="00A352ED">
        <w:rPr>
          <w:rFonts w:asciiTheme="minorHAnsi" w:hAnsiTheme="minorHAnsi"/>
        </w:rPr>
        <w:t>ing</w:t>
      </w:r>
      <w:r>
        <w:rPr>
          <w:rFonts w:asciiTheme="minorHAnsi" w:hAnsiTheme="minorHAnsi"/>
        </w:rPr>
        <w:t xml:space="preserve"> from 72% in Year 1 to 84% in Year 5 when procedure volume is projected to increase to 16,779. </w:t>
      </w:r>
      <w:r w:rsidR="00B05AB7">
        <w:rPr>
          <w:rFonts w:asciiTheme="minorHAnsi" w:hAnsiTheme="minorHAnsi"/>
        </w:rPr>
        <w:t>New volume wi</w:t>
      </w:r>
      <w:r w:rsidR="00713EB8">
        <w:rPr>
          <w:rFonts w:asciiTheme="minorHAnsi" w:hAnsiTheme="minorHAnsi"/>
        </w:rPr>
        <w:t>ll</w:t>
      </w:r>
      <w:r w:rsidR="00B05AB7">
        <w:rPr>
          <w:rFonts w:asciiTheme="minorHAnsi" w:hAnsiTheme="minorHAnsi"/>
        </w:rPr>
        <w:t xml:space="preserve"> make-up 24% of the Cener’s total procedure volume in Year 1 and will increase to 32% of the Center’s procedure volume in Year 5. </w:t>
      </w:r>
      <w:r w:rsidR="00CE41E8">
        <w:rPr>
          <w:rFonts w:asciiTheme="minorHAnsi" w:hAnsiTheme="minorHAnsi"/>
        </w:rPr>
        <w:t xml:space="preserve">The Applicant states that currently, the Center cannot accommodate a significant number of Lahey patients, if any at all. The </w:t>
      </w:r>
      <w:r w:rsidR="002C2AC7">
        <w:rPr>
          <w:rFonts w:asciiTheme="minorHAnsi" w:hAnsiTheme="minorHAnsi"/>
        </w:rPr>
        <w:t xml:space="preserve">Applicant anticipates that the Center will be able to accommodate approximately 2,700 additional patients from the Winchester </w:t>
      </w:r>
      <w:r w:rsidR="00AB3CAF">
        <w:rPr>
          <w:rFonts w:asciiTheme="minorHAnsi" w:hAnsiTheme="minorHAnsi"/>
        </w:rPr>
        <w:t xml:space="preserve">referral </w:t>
      </w:r>
      <w:r w:rsidR="002C2AC7">
        <w:rPr>
          <w:rFonts w:asciiTheme="minorHAnsi" w:hAnsiTheme="minorHAnsi"/>
        </w:rPr>
        <w:t xml:space="preserve">queue through the Proposed Project, one-third of which will be </w:t>
      </w:r>
      <w:r w:rsidR="009B765F">
        <w:rPr>
          <w:rFonts w:asciiTheme="minorHAnsi" w:hAnsiTheme="minorHAnsi"/>
        </w:rPr>
        <w:t>Lahey patients. The Applicant also anticipates that an additional 1,000 BIDMC patients will have access to endoscopy at the Center following implementation of the Proposed Project.</w:t>
      </w:r>
    </w:p>
    <w:p w14:paraId="19F4E2E4" w14:textId="77777777" w:rsidR="0024233D" w:rsidRDefault="0024233D" w:rsidP="00A81E6C">
      <w:pPr>
        <w:pStyle w:val="BodyText"/>
        <w:spacing w:line="269" w:lineRule="exact"/>
        <w:rPr>
          <w:rFonts w:asciiTheme="minorHAnsi" w:hAnsiTheme="minorHAnsi"/>
        </w:rPr>
      </w:pPr>
    </w:p>
    <w:p w14:paraId="516EC1BA" w14:textId="289BB07D" w:rsidR="00B05AB7" w:rsidRPr="00B05AB7" w:rsidRDefault="00B05AB7" w:rsidP="00A81E6C">
      <w:pPr>
        <w:pStyle w:val="BodyText"/>
        <w:spacing w:line="269" w:lineRule="exact"/>
        <w:rPr>
          <w:rFonts w:asciiTheme="minorHAnsi" w:hAnsiTheme="minorHAnsi"/>
          <w:b/>
          <w:bCs/>
        </w:rPr>
      </w:pPr>
      <w:r w:rsidRPr="00B05AB7">
        <w:rPr>
          <w:rFonts w:asciiTheme="minorHAnsi" w:hAnsiTheme="minorHAnsi"/>
          <w:b/>
          <w:bCs/>
          <w:u w:val="single"/>
        </w:rPr>
        <w:t>Table 1</w:t>
      </w:r>
      <w:r w:rsidR="0018369D">
        <w:rPr>
          <w:rFonts w:asciiTheme="minorHAnsi" w:hAnsiTheme="minorHAnsi"/>
          <w:b/>
          <w:bCs/>
          <w:u w:val="single"/>
        </w:rPr>
        <w:t>8</w:t>
      </w:r>
      <w:r w:rsidRPr="00B05AB7">
        <w:rPr>
          <w:rFonts w:asciiTheme="minorHAnsi" w:hAnsiTheme="minorHAnsi"/>
          <w:b/>
          <w:bCs/>
        </w:rPr>
        <w:t xml:space="preserve">: The Center’s Projected Procedure Volume Following Implementation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e Center’s Projected Procedure Volume Following Implementation"/>
      </w:tblPr>
      <w:tblGrid>
        <w:gridCol w:w="1705"/>
        <w:gridCol w:w="773"/>
        <w:gridCol w:w="1060"/>
        <w:gridCol w:w="773"/>
        <w:gridCol w:w="1060"/>
        <w:gridCol w:w="773"/>
        <w:gridCol w:w="1060"/>
        <w:gridCol w:w="773"/>
        <w:gridCol w:w="1060"/>
        <w:gridCol w:w="773"/>
      </w:tblGrid>
      <w:tr w:rsidR="008F6F78" w:rsidRPr="008F6F78" w14:paraId="29318094" w14:textId="77777777" w:rsidTr="00C21255">
        <w:trPr>
          <w:cantSplit/>
          <w:trHeight w:val="870"/>
          <w:tblHeader/>
        </w:trPr>
        <w:tc>
          <w:tcPr>
            <w:tcW w:w="0" w:type="auto"/>
            <w:shd w:val="clear" w:color="auto" w:fill="DBE5F1" w:themeFill="accent1" w:themeFillTint="33"/>
            <w:noWrap/>
            <w:vAlign w:val="bottom"/>
            <w:hideMark/>
          </w:tcPr>
          <w:p w14:paraId="1A3DDA39" w14:textId="77777777" w:rsidR="008F6F78" w:rsidRPr="008F6F78" w:rsidRDefault="008F6F78" w:rsidP="008F6F78">
            <w:pPr>
              <w:widowControl/>
              <w:autoSpaceDE/>
              <w:autoSpaceDN/>
              <w:rPr>
                <w:rFonts w:asciiTheme="minorHAnsi" w:eastAsia="Times New Roman" w:hAnsiTheme="minorHAnsi"/>
                <w:b/>
                <w:bCs/>
                <w:color w:val="000000"/>
                <w:sz w:val="20"/>
              </w:rPr>
            </w:pPr>
            <w:r w:rsidRPr="008F6F78">
              <w:rPr>
                <w:rFonts w:asciiTheme="minorHAnsi" w:eastAsia="Times New Roman" w:hAnsiTheme="minorHAnsi"/>
                <w:b/>
                <w:bCs/>
                <w:color w:val="000000"/>
                <w:sz w:val="20"/>
              </w:rPr>
              <w:t xml:space="preserve">Projected Volume </w:t>
            </w:r>
          </w:p>
        </w:tc>
        <w:tc>
          <w:tcPr>
            <w:tcW w:w="0" w:type="auto"/>
            <w:shd w:val="clear" w:color="auto" w:fill="DBE5F1" w:themeFill="accent1" w:themeFillTint="33"/>
            <w:noWrap/>
            <w:hideMark/>
          </w:tcPr>
          <w:p w14:paraId="51E9829D" w14:textId="77777777" w:rsidR="008F6F78" w:rsidRPr="008F6F78" w:rsidRDefault="008F6F78" w:rsidP="008F6F78">
            <w:pPr>
              <w:widowControl/>
              <w:autoSpaceDE/>
              <w:autoSpaceDN/>
              <w:jc w:val="center"/>
              <w:rPr>
                <w:rFonts w:asciiTheme="minorHAnsi" w:eastAsia="Times New Roman" w:hAnsiTheme="minorHAnsi"/>
                <w:b/>
                <w:bCs/>
                <w:color w:val="000000"/>
                <w:sz w:val="20"/>
              </w:rPr>
            </w:pPr>
            <w:r w:rsidRPr="008F6F78">
              <w:rPr>
                <w:rFonts w:asciiTheme="minorHAnsi" w:eastAsia="Times New Roman" w:hAnsiTheme="minorHAnsi"/>
                <w:b/>
                <w:bCs/>
                <w:color w:val="000000"/>
                <w:sz w:val="20"/>
              </w:rPr>
              <w:t>Year 1</w:t>
            </w:r>
          </w:p>
        </w:tc>
        <w:tc>
          <w:tcPr>
            <w:tcW w:w="0" w:type="auto"/>
            <w:shd w:val="clear" w:color="auto" w:fill="DBE5F1" w:themeFill="accent1" w:themeFillTint="33"/>
            <w:hideMark/>
          </w:tcPr>
          <w:p w14:paraId="0644ACF0" w14:textId="77777777" w:rsidR="008F6F78" w:rsidRPr="008F6F78" w:rsidRDefault="008F6F78" w:rsidP="008F6F78">
            <w:pPr>
              <w:widowControl/>
              <w:autoSpaceDE/>
              <w:autoSpaceDN/>
              <w:jc w:val="center"/>
              <w:rPr>
                <w:rFonts w:asciiTheme="minorHAnsi" w:eastAsia="Times New Roman" w:hAnsiTheme="minorHAnsi"/>
                <w:b/>
                <w:bCs/>
                <w:color w:val="000000"/>
                <w:sz w:val="20"/>
              </w:rPr>
            </w:pPr>
            <w:r w:rsidRPr="008F6F78">
              <w:rPr>
                <w:rFonts w:asciiTheme="minorHAnsi" w:eastAsia="Times New Roman" w:hAnsiTheme="minorHAnsi"/>
                <w:b/>
                <w:bCs/>
                <w:color w:val="000000"/>
                <w:sz w:val="20"/>
              </w:rPr>
              <w:t>% of Total Volume</w:t>
            </w:r>
          </w:p>
        </w:tc>
        <w:tc>
          <w:tcPr>
            <w:tcW w:w="0" w:type="auto"/>
            <w:shd w:val="clear" w:color="auto" w:fill="DBE5F1" w:themeFill="accent1" w:themeFillTint="33"/>
            <w:noWrap/>
            <w:hideMark/>
          </w:tcPr>
          <w:p w14:paraId="13AB15E2" w14:textId="77777777" w:rsidR="008F6F78" w:rsidRPr="008F6F78" w:rsidRDefault="008F6F78" w:rsidP="008F6F78">
            <w:pPr>
              <w:widowControl/>
              <w:autoSpaceDE/>
              <w:autoSpaceDN/>
              <w:jc w:val="center"/>
              <w:rPr>
                <w:rFonts w:asciiTheme="minorHAnsi" w:eastAsia="Times New Roman" w:hAnsiTheme="minorHAnsi"/>
                <w:b/>
                <w:bCs/>
                <w:color w:val="000000"/>
                <w:sz w:val="20"/>
              </w:rPr>
            </w:pPr>
            <w:r w:rsidRPr="008F6F78">
              <w:rPr>
                <w:rFonts w:asciiTheme="minorHAnsi" w:eastAsia="Times New Roman" w:hAnsiTheme="minorHAnsi"/>
                <w:b/>
                <w:bCs/>
                <w:color w:val="000000"/>
                <w:sz w:val="20"/>
              </w:rPr>
              <w:t>Year 2</w:t>
            </w:r>
          </w:p>
        </w:tc>
        <w:tc>
          <w:tcPr>
            <w:tcW w:w="0" w:type="auto"/>
            <w:shd w:val="clear" w:color="auto" w:fill="DBE5F1" w:themeFill="accent1" w:themeFillTint="33"/>
            <w:hideMark/>
          </w:tcPr>
          <w:p w14:paraId="25733667" w14:textId="77777777" w:rsidR="008F6F78" w:rsidRPr="008F6F78" w:rsidRDefault="008F6F78" w:rsidP="008F6F78">
            <w:pPr>
              <w:widowControl/>
              <w:autoSpaceDE/>
              <w:autoSpaceDN/>
              <w:jc w:val="center"/>
              <w:rPr>
                <w:rFonts w:asciiTheme="minorHAnsi" w:eastAsia="Times New Roman" w:hAnsiTheme="minorHAnsi"/>
                <w:b/>
                <w:bCs/>
                <w:color w:val="000000"/>
                <w:sz w:val="20"/>
              </w:rPr>
            </w:pPr>
            <w:r w:rsidRPr="008F6F78">
              <w:rPr>
                <w:rFonts w:asciiTheme="minorHAnsi" w:eastAsia="Times New Roman" w:hAnsiTheme="minorHAnsi"/>
                <w:b/>
                <w:bCs/>
                <w:color w:val="000000"/>
                <w:sz w:val="20"/>
              </w:rPr>
              <w:t xml:space="preserve">% of Total Volume </w:t>
            </w:r>
          </w:p>
        </w:tc>
        <w:tc>
          <w:tcPr>
            <w:tcW w:w="0" w:type="auto"/>
            <w:shd w:val="clear" w:color="auto" w:fill="DBE5F1" w:themeFill="accent1" w:themeFillTint="33"/>
            <w:noWrap/>
            <w:hideMark/>
          </w:tcPr>
          <w:p w14:paraId="4FFAC2D7" w14:textId="77777777" w:rsidR="008F6F78" w:rsidRPr="008F6F78" w:rsidRDefault="008F6F78" w:rsidP="008F6F78">
            <w:pPr>
              <w:widowControl/>
              <w:autoSpaceDE/>
              <w:autoSpaceDN/>
              <w:jc w:val="center"/>
              <w:rPr>
                <w:rFonts w:asciiTheme="minorHAnsi" w:eastAsia="Times New Roman" w:hAnsiTheme="minorHAnsi"/>
                <w:b/>
                <w:bCs/>
                <w:color w:val="000000"/>
                <w:sz w:val="20"/>
              </w:rPr>
            </w:pPr>
            <w:r w:rsidRPr="008F6F78">
              <w:rPr>
                <w:rFonts w:asciiTheme="minorHAnsi" w:eastAsia="Times New Roman" w:hAnsiTheme="minorHAnsi"/>
                <w:b/>
                <w:bCs/>
                <w:color w:val="000000"/>
                <w:sz w:val="20"/>
              </w:rPr>
              <w:t>Year 3</w:t>
            </w:r>
          </w:p>
        </w:tc>
        <w:tc>
          <w:tcPr>
            <w:tcW w:w="0" w:type="auto"/>
            <w:shd w:val="clear" w:color="auto" w:fill="DBE5F1" w:themeFill="accent1" w:themeFillTint="33"/>
            <w:hideMark/>
          </w:tcPr>
          <w:p w14:paraId="62119F80" w14:textId="77777777" w:rsidR="008F6F78" w:rsidRPr="008F6F78" w:rsidRDefault="008F6F78" w:rsidP="008F6F78">
            <w:pPr>
              <w:widowControl/>
              <w:autoSpaceDE/>
              <w:autoSpaceDN/>
              <w:jc w:val="center"/>
              <w:rPr>
                <w:rFonts w:asciiTheme="minorHAnsi" w:eastAsia="Times New Roman" w:hAnsiTheme="minorHAnsi"/>
                <w:b/>
                <w:bCs/>
                <w:color w:val="000000"/>
                <w:sz w:val="20"/>
              </w:rPr>
            </w:pPr>
            <w:r w:rsidRPr="008F6F78">
              <w:rPr>
                <w:rFonts w:asciiTheme="minorHAnsi" w:eastAsia="Times New Roman" w:hAnsiTheme="minorHAnsi"/>
                <w:b/>
                <w:bCs/>
                <w:color w:val="000000"/>
                <w:sz w:val="20"/>
              </w:rPr>
              <w:t xml:space="preserve">% of Total Volume </w:t>
            </w:r>
          </w:p>
        </w:tc>
        <w:tc>
          <w:tcPr>
            <w:tcW w:w="0" w:type="auto"/>
            <w:shd w:val="clear" w:color="auto" w:fill="DBE5F1" w:themeFill="accent1" w:themeFillTint="33"/>
            <w:noWrap/>
            <w:hideMark/>
          </w:tcPr>
          <w:p w14:paraId="5920D2D5" w14:textId="77777777" w:rsidR="008F6F78" w:rsidRPr="008F6F78" w:rsidRDefault="008F6F78" w:rsidP="008F6F78">
            <w:pPr>
              <w:widowControl/>
              <w:autoSpaceDE/>
              <w:autoSpaceDN/>
              <w:jc w:val="center"/>
              <w:rPr>
                <w:rFonts w:asciiTheme="minorHAnsi" w:eastAsia="Times New Roman" w:hAnsiTheme="minorHAnsi"/>
                <w:b/>
                <w:bCs/>
                <w:color w:val="000000"/>
                <w:sz w:val="20"/>
              </w:rPr>
            </w:pPr>
            <w:r w:rsidRPr="008F6F78">
              <w:rPr>
                <w:rFonts w:asciiTheme="minorHAnsi" w:eastAsia="Times New Roman" w:hAnsiTheme="minorHAnsi"/>
                <w:b/>
                <w:bCs/>
                <w:color w:val="000000"/>
                <w:sz w:val="20"/>
              </w:rPr>
              <w:t>Year 4</w:t>
            </w:r>
          </w:p>
        </w:tc>
        <w:tc>
          <w:tcPr>
            <w:tcW w:w="0" w:type="auto"/>
            <w:shd w:val="clear" w:color="auto" w:fill="DBE5F1" w:themeFill="accent1" w:themeFillTint="33"/>
            <w:hideMark/>
          </w:tcPr>
          <w:p w14:paraId="5B450D58" w14:textId="77777777" w:rsidR="008F6F78" w:rsidRPr="008F6F78" w:rsidRDefault="008F6F78" w:rsidP="008F6F78">
            <w:pPr>
              <w:widowControl/>
              <w:autoSpaceDE/>
              <w:autoSpaceDN/>
              <w:jc w:val="center"/>
              <w:rPr>
                <w:rFonts w:asciiTheme="minorHAnsi" w:eastAsia="Times New Roman" w:hAnsiTheme="minorHAnsi"/>
                <w:b/>
                <w:bCs/>
                <w:color w:val="000000"/>
                <w:sz w:val="20"/>
              </w:rPr>
            </w:pPr>
            <w:r w:rsidRPr="008F6F78">
              <w:rPr>
                <w:rFonts w:asciiTheme="minorHAnsi" w:eastAsia="Times New Roman" w:hAnsiTheme="minorHAnsi"/>
                <w:b/>
                <w:bCs/>
                <w:color w:val="000000"/>
                <w:sz w:val="20"/>
              </w:rPr>
              <w:t xml:space="preserve">% of Total Volume </w:t>
            </w:r>
          </w:p>
        </w:tc>
        <w:tc>
          <w:tcPr>
            <w:tcW w:w="0" w:type="auto"/>
            <w:shd w:val="clear" w:color="auto" w:fill="DBE5F1" w:themeFill="accent1" w:themeFillTint="33"/>
            <w:noWrap/>
            <w:hideMark/>
          </w:tcPr>
          <w:p w14:paraId="031DCC41" w14:textId="77777777" w:rsidR="008F6F78" w:rsidRPr="008F6F78" w:rsidRDefault="008F6F78" w:rsidP="008F6F78">
            <w:pPr>
              <w:widowControl/>
              <w:autoSpaceDE/>
              <w:autoSpaceDN/>
              <w:jc w:val="center"/>
              <w:rPr>
                <w:rFonts w:asciiTheme="minorHAnsi" w:eastAsia="Times New Roman" w:hAnsiTheme="minorHAnsi"/>
                <w:b/>
                <w:bCs/>
                <w:color w:val="000000"/>
                <w:sz w:val="20"/>
              </w:rPr>
            </w:pPr>
            <w:r w:rsidRPr="008F6F78">
              <w:rPr>
                <w:rFonts w:asciiTheme="minorHAnsi" w:eastAsia="Times New Roman" w:hAnsiTheme="minorHAnsi"/>
                <w:b/>
                <w:bCs/>
                <w:color w:val="000000"/>
                <w:sz w:val="20"/>
              </w:rPr>
              <w:t>Year 5</w:t>
            </w:r>
          </w:p>
        </w:tc>
      </w:tr>
      <w:tr w:rsidR="008F6F78" w:rsidRPr="008F6F78" w14:paraId="19190F59" w14:textId="77777777" w:rsidTr="00C21255">
        <w:trPr>
          <w:cantSplit/>
          <w:trHeight w:val="290"/>
        </w:trPr>
        <w:tc>
          <w:tcPr>
            <w:tcW w:w="0" w:type="auto"/>
            <w:noWrap/>
            <w:vAlign w:val="bottom"/>
            <w:hideMark/>
          </w:tcPr>
          <w:p w14:paraId="6B1E72A0" w14:textId="77777777" w:rsidR="008F6F78" w:rsidRPr="008F6F78" w:rsidRDefault="008F6F78" w:rsidP="008F6F78">
            <w:pPr>
              <w:widowControl/>
              <w:autoSpaceDE/>
              <w:autoSpaceDN/>
              <w:rPr>
                <w:rFonts w:asciiTheme="minorHAnsi" w:eastAsia="Times New Roman" w:hAnsiTheme="minorHAnsi"/>
                <w:color w:val="000000"/>
                <w:sz w:val="20"/>
              </w:rPr>
            </w:pPr>
            <w:r w:rsidRPr="008F6F78">
              <w:rPr>
                <w:rFonts w:asciiTheme="minorHAnsi" w:eastAsia="Times New Roman" w:hAnsiTheme="minorHAnsi"/>
                <w:color w:val="000000"/>
                <w:sz w:val="20"/>
              </w:rPr>
              <w:t xml:space="preserve">New Volume </w:t>
            </w:r>
          </w:p>
        </w:tc>
        <w:tc>
          <w:tcPr>
            <w:tcW w:w="0" w:type="auto"/>
            <w:noWrap/>
            <w:vAlign w:val="bottom"/>
            <w:hideMark/>
          </w:tcPr>
          <w:p w14:paraId="0A205233"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3,420</w:t>
            </w:r>
          </w:p>
        </w:tc>
        <w:tc>
          <w:tcPr>
            <w:tcW w:w="0" w:type="auto"/>
            <w:noWrap/>
            <w:vAlign w:val="bottom"/>
            <w:hideMark/>
          </w:tcPr>
          <w:p w14:paraId="14FE1B90"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24%</w:t>
            </w:r>
          </w:p>
        </w:tc>
        <w:tc>
          <w:tcPr>
            <w:tcW w:w="0" w:type="auto"/>
            <w:noWrap/>
            <w:vAlign w:val="bottom"/>
            <w:hideMark/>
          </w:tcPr>
          <w:p w14:paraId="73741D28"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3,800</w:t>
            </w:r>
          </w:p>
        </w:tc>
        <w:tc>
          <w:tcPr>
            <w:tcW w:w="0" w:type="auto"/>
            <w:noWrap/>
            <w:vAlign w:val="bottom"/>
            <w:hideMark/>
          </w:tcPr>
          <w:p w14:paraId="488F6A10"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26%</w:t>
            </w:r>
          </w:p>
        </w:tc>
        <w:tc>
          <w:tcPr>
            <w:tcW w:w="0" w:type="auto"/>
            <w:noWrap/>
            <w:vAlign w:val="bottom"/>
            <w:hideMark/>
          </w:tcPr>
          <w:p w14:paraId="40E4BC42"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4,370</w:t>
            </w:r>
          </w:p>
        </w:tc>
        <w:tc>
          <w:tcPr>
            <w:tcW w:w="0" w:type="auto"/>
            <w:noWrap/>
            <w:vAlign w:val="bottom"/>
            <w:hideMark/>
          </w:tcPr>
          <w:p w14:paraId="2216FEA7"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28%</w:t>
            </w:r>
          </w:p>
        </w:tc>
        <w:tc>
          <w:tcPr>
            <w:tcW w:w="0" w:type="auto"/>
            <w:noWrap/>
            <w:vAlign w:val="bottom"/>
            <w:hideMark/>
          </w:tcPr>
          <w:p w14:paraId="67341BDD"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5,130</w:t>
            </w:r>
          </w:p>
        </w:tc>
        <w:tc>
          <w:tcPr>
            <w:tcW w:w="0" w:type="auto"/>
            <w:noWrap/>
            <w:vAlign w:val="bottom"/>
            <w:hideMark/>
          </w:tcPr>
          <w:p w14:paraId="551DED43"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32%</w:t>
            </w:r>
          </w:p>
        </w:tc>
        <w:tc>
          <w:tcPr>
            <w:tcW w:w="0" w:type="auto"/>
            <w:noWrap/>
            <w:vAlign w:val="bottom"/>
            <w:hideMark/>
          </w:tcPr>
          <w:p w14:paraId="78240678"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5,700</w:t>
            </w:r>
          </w:p>
        </w:tc>
      </w:tr>
      <w:tr w:rsidR="008F6F78" w:rsidRPr="008F6F78" w14:paraId="350E5E73" w14:textId="77777777" w:rsidTr="00C21255">
        <w:trPr>
          <w:cantSplit/>
          <w:trHeight w:val="290"/>
        </w:trPr>
        <w:tc>
          <w:tcPr>
            <w:tcW w:w="0" w:type="auto"/>
            <w:noWrap/>
            <w:vAlign w:val="bottom"/>
            <w:hideMark/>
          </w:tcPr>
          <w:p w14:paraId="716E9695" w14:textId="77777777" w:rsidR="008F6F78" w:rsidRPr="008F6F78" w:rsidRDefault="008F6F78" w:rsidP="008F6F78">
            <w:pPr>
              <w:widowControl/>
              <w:autoSpaceDE/>
              <w:autoSpaceDN/>
              <w:rPr>
                <w:rFonts w:asciiTheme="minorHAnsi" w:eastAsia="Times New Roman" w:hAnsiTheme="minorHAnsi"/>
                <w:color w:val="000000"/>
                <w:sz w:val="20"/>
              </w:rPr>
            </w:pPr>
            <w:r w:rsidRPr="008F6F78">
              <w:rPr>
                <w:rFonts w:asciiTheme="minorHAnsi" w:eastAsia="Times New Roman" w:hAnsiTheme="minorHAnsi"/>
                <w:color w:val="000000"/>
                <w:sz w:val="20"/>
              </w:rPr>
              <w:t>Existing Volume</w:t>
            </w:r>
          </w:p>
        </w:tc>
        <w:tc>
          <w:tcPr>
            <w:tcW w:w="0" w:type="auto"/>
            <w:noWrap/>
            <w:vAlign w:val="bottom"/>
            <w:hideMark/>
          </w:tcPr>
          <w:p w14:paraId="3A93B662"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11,079</w:t>
            </w:r>
          </w:p>
        </w:tc>
        <w:tc>
          <w:tcPr>
            <w:tcW w:w="0" w:type="auto"/>
            <w:noWrap/>
            <w:vAlign w:val="bottom"/>
            <w:hideMark/>
          </w:tcPr>
          <w:p w14:paraId="4FC8A8F0"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76%</w:t>
            </w:r>
          </w:p>
        </w:tc>
        <w:tc>
          <w:tcPr>
            <w:tcW w:w="0" w:type="auto"/>
            <w:noWrap/>
            <w:vAlign w:val="bottom"/>
            <w:hideMark/>
          </w:tcPr>
          <w:p w14:paraId="6005E922"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11,079</w:t>
            </w:r>
          </w:p>
        </w:tc>
        <w:tc>
          <w:tcPr>
            <w:tcW w:w="0" w:type="auto"/>
            <w:noWrap/>
            <w:vAlign w:val="bottom"/>
            <w:hideMark/>
          </w:tcPr>
          <w:p w14:paraId="5DCDB769"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74%</w:t>
            </w:r>
          </w:p>
        </w:tc>
        <w:tc>
          <w:tcPr>
            <w:tcW w:w="0" w:type="auto"/>
            <w:noWrap/>
            <w:vAlign w:val="bottom"/>
            <w:hideMark/>
          </w:tcPr>
          <w:p w14:paraId="38020CDD"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11,079</w:t>
            </w:r>
          </w:p>
        </w:tc>
        <w:tc>
          <w:tcPr>
            <w:tcW w:w="0" w:type="auto"/>
            <w:noWrap/>
            <w:vAlign w:val="bottom"/>
            <w:hideMark/>
          </w:tcPr>
          <w:p w14:paraId="41B44C55"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72%</w:t>
            </w:r>
          </w:p>
        </w:tc>
        <w:tc>
          <w:tcPr>
            <w:tcW w:w="0" w:type="auto"/>
            <w:noWrap/>
            <w:vAlign w:val="bottom"/>
            <w:hideMark/>
          </w:tcPr>
          <w:p w14:paraId="3CE12EBF"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11,079</w:t>
            </w:r>
          </w:p>
        </w:tc>
        <w:tc>
          <w:tcPr>
            <w:tcW w:w="0" w:type="auto"/>
            <w:noWrap/>
            <w:vAlign w:val="bottom"/>
            <w:hideMark/>
          </w:tcPr>
          <w:p w14:paraId="25CB355F"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68%</w:t>
            </w:r>
          </w:p>
        </w:tc>
        <w:tc>
          <w:tcPr>
            <w:tcW w:w="0" w:type="auto"/>
            <w:noWrap/>
            <w:vAlign w:val="bottom"/>
            <w:hideMark/>
          </w:tcPr>
          <w:p w14:paraId="7FCB4B22"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11,079</w:t>
            </w:r>
          </w:p>
        </w:tc>
      </w:tr>
      <w:tr w:rsidR="008F6F78" w:rsidRPr="008F6F78" w14:paraId="54F01689" w14:textId="77777777" w:rsidTr="00C21255">
        <w:trPr>
          <w:cantSplit/>
          <w:trHeight w:val="290"/>
        </w:trPr>
        <w:tc>
          <w:tcPr>
            <w:tcW w:w="0" w:type="auto"/>
            <w:noWrap/>
            <w:vAlign w:val="bottom"/>
            <w:hideMark/>
          </w:tcPr>
          <w:p w14:paraId="034A2870" w14:textId="77777777" w:rsidR="008F6F78" w:rsidRPr="008F6F78" w:rsidRDefault="008F6F78" w:rsidP="008F6F78">
            <w:pPr>
              <w:widowControl/>
              <w:autoSpaceDE/>
              <w:autoSpaceDN/>
              <w:rPr>
                <w:rFonts w:asciiTheme="minorHAnsi" w:eastAsia="Times New Roman" w:hAnsiTheme="minorHAnsi"/>
                <w:color w:val="000000"/>
                <w:sz w:val="20"/>
              </w:rPr>
            </w:pPr>
            <w:r w:rsidRPr="008F6F78">
              <w:rPr>
                <w:rFonts w:asciiTheme="minorHAnsi" w:eastAsia="Times New Roman" w:hAnsiTheme="minorHAnsi"/>
                <w:color w:val="000000"/>
                <w:sz w:val="20"/>
              </w:rPr>
              <w:t>Total Volume</w:t>
            </w:r>
          </w:p>
        </w:tc>
        <w:tc>
          <w:tcPr>
            <w:tcW w:w="0" w:type="auto"/>
            <w:noWrap/>
            <w:vAlign w:val="bottom"/>
            <w:hideMark/>
          </w:tcPr>
          <w:p w14:paraId="4EFE0F2D"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14,499</w:t>
            </w:r>
          </w:p>
        </w:tc>
        <w:tc>
          <w:tcPr>
            <w:tcW w:w="0" w:type="auto"/>
            <w:noWrap/>
            <w:vAlign w:val="bottom"/>
            <w:hideMark/>
          </w:tcPr>
          <w:p w14:paraId="03991DED"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100%</w:t>
            </w:r>
          </w:p>
        </w:tc>
        <w:tc>
          <w:tcPr>
            <w:tcW w:w="0" w:type="auto"/>
            <w:noWrap/>
            <w:vAlign w:val="bottom"/>
            <w:hideMark/>
          </w:tcPr>
          <w:p w14:paraId="241DB8C8"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14,879</w:t>
            </w:r>
          </w:p>
        </w:tc>
        <w:tc>
          <w:tcPr>
            <w:tcW w:w="0" w:type="auto"/>
            <w:noWrap/>
            <w:vAlign w:val="bottom"/>
            <w:hideMark/>
          </w:tcPr>
          <w:p w14:paraId="2346A687"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100%</w:t>
            </w:r>
          </w:p>
        </w:tc>
        <w:tc>
          <w:tcPr>
            <w:tcW w:w="0" w:type="auto"/>
            <w:noWrap/>
            <w:vAlign w:val="bottom"/>
            <w:hideMark/>
          </w:tcPr>
          <w:p w14:paraId="686F42A9"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15,449</w:t>
            </w:r>
          </w:p>
        </w:tc>
        <w:tc>
          <w:tcPr>
            <w:tcW w:w="0" w:type="auto"/>
            <w:noWrap/>
            <w:vAlign w:val="bottom"/>
            <w:hideMark/>
          </w:tcPr>
          <w:p w14:paraId="0F5D4163"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100%</w:t>
            </w:r>
          </w:p>
        </w:tc>
        <w:tc>
          <w:tcPr>
            <w:tcW w:w="0" w:type="auto"/>
            <w:noWrap/>
            <w:vAlign w:val="bottom"/>
            <w:hideMark/>
          </w:tcPr>
          <w:p w14:paraId="07A22D56"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16,209</w:t>
            </w:r>
          </w:p>
        </w:tc>
        <w:tc>
          <w:tcPr>
            <w:tcW w:w="0" w:type="auto"/>
            <w:noWrap/>
            <w:vAlign w:val="bottom"/>
            <w:hideMark/>
          </w:tcPr>
          <w:p w14:paraId="73B202D2"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100%</w:t>
            </w:r>
          </w:p>
        </w:tc>
        <w:tc>
          <w:tcPr>
            <w:tcW w:w="0" w:type="auto"/>
            <w:noWrap/>
            <w:vAlign w:val="bottom"/>
            <w:hideMark/>
          </w:tcPr>
          <w:p w14:paraId="0F23368A"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16,779</w:t>
            </w:r>
          </w:p>
        </w:tc>
      </w:tr>
      <w:tr w:rsidR="008F6F78" w:rsidRPr="008F6F78" w14:paraId="748E0C22" w14:textId="77777777" w:rsidTr="00C21255">
        <w:trPr>
          <w:cantSplit/>
          <w:trHeight w:val="290"/>
        </w:trPr>
        <w:tc>
          <w:tcPr>
            <w:tcW w:w="0" w:type="auto"/>
            <w:noWrap/>
            <w:vAlign w:val="bottom"/>
            <w:hideMark/>
          </w:tcPr>
          <w:p w14:paraId="199D6DC6" w14:textId="77777777" w:rsidR="008F6F78" w:rsidRPr="008F6F78" w:rsidRDefault="008F6F78" w:rsidP="008F6F78">
            <w:pPr>
              <w:widowControl/>
              <w:autoSpaceDE/>
              <w:autoSpaceDN/>
              <w:rPr>
                <w:rFonts w:asciiTheme="minorHAnsi" w:eastAsia="Times New Roman" w:hAnsiTheme="minorHAnsi"/>
                <w:color w:val="000000"/>
                <w:sz w:val="20"/>
              </w:rPr>
            </w:pPr>
            <w:r w:rsidRPr="008F6F78">
              <w:rPr>
                <w:rFonts w:asciiTheme="minorHAnsi" w:eastAsia="Times New Roman" w:hAnsiTheme="minorHAnsi"/>
                <w:color w:val="000000"/>
                <w:sz w:val="20"/>
              </w:rPr>
              <w:t xml:space="preserve">Utilization </w:t>
            </w:r>
          </w:p>
        </w:tc>
        <w:tc>
          <w:tcPr>
            <w:tcW w:w="0" w:type="auto"/>
            <w:noWrap/>
            <w:vAlign w:val="bottom"/>
            <w:hideMark/>
          </w:tcPr>
          <w:p w14:paraId="4788FCE7"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72%</w:t>
            </w:r>
          </w:p>
        </w:tc>
        <w:tc>
          <w:tcPr>
            <w:tcW w:w="0" w:type="auto"/>
            <w:shd w:val="clear" w:color="auto" w:fill="F2F2F2" w:themeFill="background1" w:themeFillShade="F2"/>
            <w:noWrap/>
            <w:vAlign w:val="bottom"/>
            <w:hideMark/>
          </w:tcPr>
          <w:p w14:paraId="6D5AF7B1" w14:textId="7CD760A0"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 </w:t>
            </w:r>
            <w:r w:rsidR="00AD550F">
              <w:rPr>
                <w:rFonts w:asciiTheme="minorHAnsi" w:eastAsia="Times New Roman" w:hAnsiTheme="minorHAnsi"/>
                <w:color w:val="000000"/>
                <w:sz w:val="20"/>
              </w:rPr>
              <w:t>n/a</w:t>
            </w:r>
          </w:p>
        </w:tc>
        <w:tc>
          <w:tcPr>
            <w:tcW w:w="0" w:type="auto"/>
            <w:noWrap/>
            <w:vAlign w:val="bottom"/>
            <w:hideMark/>
          </w:tcPr>
          <w:p w14:paraId="55DD2FF8"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74%</w:t>
            </w:r>
          </w:p>
        </w:tc>
        <w:tc>
          <w:tcPr>
            <w:tcW w:w="0" w:type="auto"/>
            <w:shd w:val="clear" w:color="auto" w:fill="F2F2F2" w:themeFill="background1" w:themeFillShade="F2"/>
            <w:noWrap/>
            <w:vAlign w:val="bottom"/>
            <w:hideMark/>
          </w:tcPr>
          <w:p w14:paraId="218621E0" w14:textId="6D5F3086"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 </w:t>
            </w:r>
            <w:r w:rsidR="00AD550F">
              <w:rPr>
                <w:rFonts w:asciiTheme="minorHAnsi" w:eastAsia="Times New Roman" w:hAnsiTheme="minorHAnsi"/>
                <w:color w:val="000000"/>
                <w:sz w:val="20"/>
              </w:rPr>
              <w:t>n/a</w:t>
            </w:r>
          </w:p>
        </w:tc>
        <w:tc>
          <w:tcPr>
            <w:tcW w:w="0" w:type="auto"/>
            <w:noWrap/>
            <w:vAlign w:val="bottom"/>
            <w:hideMark/>
          </w:tcPr>
          <w:p w14:paraId="31CE4D9E"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77%</w:t>
            </w:r>
          </w:p>
        </w:tc>
        <w:tc>
          <w:tcPr>
            <w:tcW w:w="0" w:type="auto"/>
            <w:shd w:val="clear" w:color="auto" w:fill="F2F2F2" w:themeFill="background1" w:themeFillShade="F2"/>
            <w:noWrap/>
            <w:vAlign w:val="bottom"/>
            <w:hideMark/>
          </w:tcPr>
          <w:p w14:paraId="52846590" w14:textId="653DF1AD" w:rsidR="008F6F78" w:rsidRPr="008F6F78" w:rsidRDefault="00AD550F" w:rsidP="008F6F78">
            <w:pPr>
              <w:widowControl/>
              <w:autoSpaceDE/>
              <w:autoSpaceDN/>
              <w:jc w:val="center"/>
              <w:rPr>
                <w:rFonts w:asciiTheme="minorHAnsi" w:eastAsia="Times New Roman" w:hAnsiTheme="minorHAnsi"/>
                <w:color w:val="000000"/>
                <w:sz w:val="20"/>
              </w:rPr>
            </w:pPr>
            <w:r>
              <w:rPr>
                <w:rFonts w:asciiTheme="minorHAnsi" w:eastAsia="Times New Roman" w:hAnsiTheme="minorHAnsi"/>
                <w:color w:val="000000"/>
                <w:sz w:val="20"/>
              </w:rPr>
              <w:t>n/a</w:t>
            </w:r>
            <w:r w:rsidR="008F6F78" w:rsidRPr="008F6F78">
              <w:rPr>
                <w:rFonts w:asciiTheme="minorHAnsi" w:eastAsia="Times New Roman" w:hAnsiTheme="minorHAnsi"/>
                <w:color w:val="000000"/>
                <w:sz w:val="20"/>
              </w:rPr>
              <w:t> </w:t>
            </w:r>
          </w:p>
        </w:tc>
        <w:tc>
          <w:tcPr>
            <w:tcW w:w="0" w:type="auto"/>
            <w:noWrap/>
            <w:vAlign w:val="bottom"/>
            <w:hideMark/>
          </w:tcPr>
          <w:p w14:paraId="3C3923DF"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81%</w:t>
            </w:r>
          </w:p>
        </w:tc>
        <w:tc>
          <w:tcPr>
            <w:tcW w:w="0" w:type="auto"/>
            <w:shd w:val="clear" w:color="auto" w:fill="F2F2F2" w:themeFill="background1" w:themeFillShade="F2"/>
            <w:noWrap/>
            <w:vAlign w:val="bottom"/>
            <w:hideMark/>
          </w:tcPr>
          <w:p w14:paraId="772204B0" w14:textId="5C37E8A0" w:rsidR="008F6F78" w:rsidRPr="008F6F78" w:rsidRDefault="00AD550F" w:rsidP="008F6F78">
            <w:pPr>
              <w:widowControl/>
              <w:autoSpaceDE/>
              <w:autoSpaceDN/>
              <w:jc w:val="center"/>
              <w:rPr>
                <w:rFonts w:asciiTheme="minorHAnsi" w:eastAsia="Times New Roman" w:hAnsiTheme="minorHAnsi"/>
                <w:color w:val="000000"/>
                <w:sz w:val="20"/>
              </w:rPr>
            </w:pPr>
            <w:r>
              <w:rPr>
                <w:rFonts w:asciiTheme="minorHAnsi" w:eastAsia="Times New Roman" w:hAnsiTheme="minorHAnsi"/>
                <w:color w:val="000000"/>
                <w:sz w:val="20"/>
              </w:rPr>
              <w:t>n/a</w:t>
            </w:r>
            <w:r w:rsidR="008F6F78" w:rsidRPr="008F6F78">
              <w:rPr>
                <w:rFonts w:asciiTheme="minorHAnsi" w:eastAsia="Times New Roman" w:hAnsiTheme="minorHAnsi"/>
                <w:color w:val="000000"/>
                <w:sz w:val="20"/>
              </w:rPr>
              <w:t> </w:t>
            </w:r>
          </w:p>
        </w:tc>
        <w:tc>
          <w:tcPr>
            <w:tcW w:w="0" w:type="auto"/>
            <w:noWrap/>
            <w:vAlign w:val="bottom"/>
            <w:hideMark/>
          </w:tcPr>
          <w:p w14:paraId="6F1ADC9B" w14:textId="77777777" w:rsidR="008F6F78" w:rsidRPr="008F6F78" w:rsidRDefault="008F6F78" w:rsidP="008F6F78">
            <w:pPr>
              <w:widowControl/>
              <w:autoSpaceDE/>
              <w:autoSpaceDN/>
              <w:jc w:val="center"/>
              <w:rPr>
                <w:rFonts w:asciiTheme="minorHAnsi" w:eastAsia="Times New Roman" w:hAnsiTheme="minorHAnsi"/>
                <w:color w:val="000000"/>
                <w:sz w:val="20"/>
              </w:rPr>
            </w:pPr>
            <w:r w:rsidRPr="008F6F78">
              <w:rPr>
                <w:rFonts w:asciiTheme="minorHAnsi" w:eastAsia="Times New Roman" w:hAnsiTheme="minorHAnsi"/>
                <w:color w:val="000000"/>
                <w:sz w:val="20"/>
              </w:rPr>
              <w:t>84%</w:t>
            </w:r>
          </w:p>
        </w:tc>
      </w:tr>
    </w:tbl>
    <w:p w14:paraId="39AAE799" w14:textId="77777777" w:rsidR="002A3ECE" w:rsidRDefault="002A3ECE" w:rsidP="00A81E6C">
      <w:pPr>
        <w:pStyle w:val="BodyText"/>
        <w:spacing w:line="269" w:lineRule="exact"/>
        <w:rPr>
          <w:rFonts w:asciiTheme="minorHAnsi" w:hAnsiTheme="minorHAnsi"/>
        </w:rPr>
      </w:pPr>
    </w:p>
    <w:p w14:paraId="0E5ED0D1" w14:textId="627C0BCF" w:rsidR="00FA71B9" w:rsidRDefault="00FA71B9" w:rsidP="00A81E6C">
      <w:pPr>
        <w:pStyle w:val="BodyText"/>
        <w:spacing w:line="269" w:lineRule="exact"/>
        <w:rPr>
          <w:rFonts w:asciiTheme="minorHAnsi" w:hAnsiTheme="minorHAnsi"/>
        </w:rPr>
      </w:pPr>
      <w:r>
        <w:rPr>
          <w:rFonts w:asciiTheme="minorHAnsi" w:hAnsiTheme="minorHAnsi"/>
        </w:rPr>
        <w:t xml:space="preserve">Table </w:t>
      </w:r>
      <w:r w:rsidR="00FC523F">
        <w:rPr>
          <w:rFonts w:asciiTheme="minorHAnsi" w:hAnsiTheme="minorHAnsi"/>
        </w:rPr>
        <w:t>1</w:t>
      </w:r>
      <w:r w:rsidR="008A7D8E">
        <w:rPr>
          <w:rFonts w:asciiTheme="minorHAnsi" w:hAnsiTheme="minorHAnsi"/>
        </w:rPr>
        <w:t>9</w:t>
      </w:r>
      <w:r>
        <w:rPr>
          <w:rFonts w:asciiTheme="minorHAnsi" w:hAnsiTheme="minorHAnsi"/>
        </w:rPr>
        <w:t xml:space="preserve"> provides a breakdown of anticipated sources of projected </w:t>
      </w:r>
      <w:r w:rsidR="00445C1E">
        <w:rPr>
          <w:rFonts w:asciiTheme="minorHAnsi" w:hAnsiTheme="minorHAnsi"/>
        </w:rPr>
        <w:t>v</w:t>
      </w:r>
      <w:r>
        <w:rPr>
          <w:rFonts w:asciiTheme="minorHAnsi" w:hAnsiTheme="minorHAnsi"/>
        </w:rPr>
        <w:t xml:space="preserve">olume at the Center </w:t>
      </w:r>
      <w:r w:rsidR="00854D29">
        <w:rPr>
          <w:rFonts w:asciiTheme="minorHAnsi" w:hAnsiTheme="minorHAnsi"/>
        </w:rPr>
        <w:t xml:space="preserve">in Year 5, </w:t>
      </w:r>
      <w:r w:rsidR="00F50C85">
        <w:rPr>
          <w:rFonts w:asciiTheme="minorHAnsi" w:hAnsiTheme="minorHAnsi"/>
        </w:rPr>
        <w:t>of</w:t>
      </w:r>
      <w:r>
        <w:rPr>
          <w:rFonts w:asciiTheme="minorHAnsi" w:hAnsiTheme="minorHAnsi"/>
        </w:rPr>
        <w:t xml:space="preserve"> project implementation. </w:t>
      </w:r>
      <w:r w:rsidR="008530CB">
        <w:rPr>
          <w:rFonts w:asciiTheme="minorHAnsi" w:hAnsiTheme="minorHAnsi"/>
        </w:rPr>
        <w:t xml:space="preserve">Staff note that </w:t>
      </w:r>
      <w:r w:rsidR="0052167D">
        <w:rPr>
          <w:rFonts w:asciiTheme="minorHAnsi" w:hAnsiTheme="minorHAnsi"/>
        </w:rPr>
        <w:t>it is not certain</w:t>
      </w:r>
      <w:r w:rsidR="007D4C1B">
        <w:rPr>
          <w:rFonts w:asciiTheme="minorHAnsi" w:hAnsiTheme="minorHAnsi"/>
        </w:rPr>
        <w:t xml:space="preserve"> that </w:t>
      </w:r>
      <w:r w:rsidR="0052167D">
        <w:rPr>
          <w:rFonts w:asciiTheme="minorHAnsi" w:hAnsiTheme="minorHAnsi"/>
        </w:rPr>
        <w:t>all</w:t>
      </w:r>
      <w:r w:rsidR="00EE6BF4">
        <w:rPr>
          <w:rFonts w:asciiTheme="minorHAnsi" w:hAnsiTheme="minorHAnsi"/>
        </w:rPr>
        <w:t xml:space="preserve"> eligible colonoscopy </w:t>
      </w:r>
      <w:r w:rsidR="008530CB">
        <w:rPr>
          <w:rFonts w:asciiTheme="minorHAnsi" w:hAnsiTheme="minorHAnsi"/>
        </w:rPr>
        <w:t xml:space="preserve">patients without active orders, will </w:t>
      </w:r>
      <w:r w:rsidR="00EE6BF4">
        <w:rPr>
          <w:rFonts w:asciiTheme="minorHAnsi" w:hAnsiTheme="minorHAnsi"/>
        </w:rPr>
        <w:t xml:space="preserve">require a colonoscopy (versus another screening method), and therefore </w:t>
      </w:r>
      <w:r w:rsidR="0052167D">
        <w:rPr>
          <w:rFonts w:asciiTheme="minorHAnsi" w:hAnsiTheme="minorHAnsi"/>
        </w:rPr>
        <w:t>need</w:t>
      </w:r>
      <w:r w:rsidR="008530CB">
        <w:rPr>
          <w:rFonts w:asciiTheme="minorHAnsi" w:hAnsiTheme="minorHAnsi"/>
        </w:rPr>
        <w:t xml:space="preserve"> the Center’s</w:t>
      </w:r>
      <w:r w:rsidR="00EE6BF4">
        <w:rPr>
          <w:rFonts w:asciiTheme="minorHAnsi" w:hAnsiTheme="minorHAnsi"/>
        </w:rPr>
        <w:t xml:space="preserve"> </w:t>
      </w:r>
      <w:r w:rsidR="008530CB">
        <w:rPr>
          <w:rFonts w:asciiTheme="minorHAnsi" w:hAnsiTheme="minorHAnsi"/>
        </w:rPr>
        <w:t xml:space="preserve">services. </w:t>
      </w:r>
    </w:p>
    <w:p w14:paraId="6C6E043E" w14:textId="77777777" w:rsidR="00FA71B9" w:rsidRDefault="00FA71B9" w:rsidP="00A81E6C">
      <w:pPr>
        <w:pStyle w:val="BodyText"/>
        <w:spacing w:line="269" w:lineRule="exact"/>
        <w:rPr>
          <w:rFonts w:asciiTheme="minorHAnsi" w:hAnsiTheme="minorHAnsi"/>
        </w:rPr>
      </w:pPr>
    </w:p>
    <w:p w14:paraId="1625D341" w14:textId="43657329" w:rsidR="00FA71B9" w:rsidRPr="00FA71B9" w:rsidRDefault="00FA71B9" w:rsidP="00A81E6C">
      <w:pPr>
        <w:pStyle w:val="BodyText"/>
        <w:spacing w:line="269" w:lineRule="exact"/>
        <w:rPr>
          <w:rFonts w:asciiTheme="minorHAnsi" w:hAnsiTheme="minorHAnsi"/>
          <w:b/>
          <w:bCs/>
        </w:rPr>
      </w:pPr>
      <w:r w:rsidRPr="00FA71B9">
        <w:rPr>
          <w:rFonts w:asciiTheme="minorHAnsi" w:hAnsiTheme="minorHAnsi"/>
          <w:b/>
          <w:bCs/>
          <w:u w:val="single"/>
        </w:rPr>
        <w:t xml:space="preserve">Table </w:t>
      </w:r>
      <w:r w:rsidR="00FC523F">
        <w:rPr>
          <w:rFonts w:asciiTheme="minorHAnsi" w:hAnsiTheme="minorHAnsi"/>
          <w:b/>
          <w:bCs/>
          <w:u w:val="single"/>
        </w:rPr>
        <w:t>1</w:t>
      </w:r>
      <w:r w:rsidR="008A7D8E">
        <w:rPr>
          <w:rFonts w:asciiTheme="minorHAnsi" w:hAnsiTheme="minorHAnsi"/>
          <w:b/>
          <w:bCs/>
          <w:u w:val="single"/>
        </w:rPr>
        <w:t>9</w:t>
      </w:r>
      <w:r w:rsidRPr="00FA71B9">
        <w:rPr>
          <w:rFonts w:asciiTheme="minorHAnsi" w:hAnsiTheme="minorHAnsi"/>
          <w:b/>
          <w:bCs/>
        </w:rPr>
        <w:t xml:space="preserve">: Sources of Projected New Volume at the Center </w:t>
      </w:r>
    </w:p>
    <w:tbl>
      <w:tblPr>
        <w:tblStyle w:val="TableGrid"/>
        <w:tblW w:w="0" w:type="auto"/>
        <w:tblLook w:val="04A0" w:firstRow="1" w:lastRow="0" w:firstColumn="1" w:lastColumn="0" w:noHBand="0" w:noVBand="1"/>
        <w:tblCaption w:val="Sources of Projected New Volume at the Center"/>
      </w:tblPr>
      <w:tblGrid>
        <w:gridCol w:w="5038"/>
        <w:gridCol w:w="1627"/>
        <w:gridCol w:w="1627"/>
      </w:tblGrid>
      <w:tr w:rsidR="00056D03" w:rsidRPr="00801738" w14:paraId="10C63FDA" w14:textId="19AB92DA" w:rsidTr="00C21255">
        <w:trPr>
          <w:cantSplit/>
          <w:tblHeader/>
        </w:trPr>
        <w:tc>
          <w:tcPr>
            <w:tcW w:w="0" w:type="auto"/>
            <w:shd w:val="clear" w:color="auto" w:fill="DBE5F1" w:themeFill="accent1" w:themeFillTint="33"/>
          </w:tcPr>
          <w:p w14:paraId="0A4B63A2" w14:textId="2A575777" w:rsidR="00056D03" w:rsidRPr="00801738" w:rsidRDefault="00056D03" w:rsidP="00A81E6C">
            <w:pPr>
              <w:pStyle w:val="BodyText"/>
              <w:spacing w:line="269" w:lineRule="exact"/>
              <w:rPr>
                <w:rFonts w:asciiTheme="minorHAnsi" w:hAnsiTheme="minorHAnsi"/>
                <w:b/>
                <w:bCs/>
                <w:sz w:val="22"/>
                <w:szCs w:val="22"/>
              </w:rPr>
            </w:pPr>
            <w:r w:rsidRPr="00801738">
              <w:rPr>
                <w:rFonts w:asciiTheme="minorHAnsi" w:hAnsiTheme="minorHAnsi"/>
                <w:b/>
                <w:bCs/>
                <w:sz w:val="22"/>
                <w:szCs w:val="22"/>
              </w:rPr>
              <w:t>Volume Source</w:t>
            </w:r>
          </w:p>
        </w:tc>
        <w:tc>
          <w:tcPr>
            <w:tcW w:w="0" w:type="auto"/>
            <w:shd w:val="clear" w:color="auto" w:fill="DBE5F1" w:themeFill="accent1" w:themeFillTint="33"/>
          </w:tcPr>
          <w:p w14:paraId="5D14F233" w14:textId="56DC42DC" w:rsidR="00056D03" w:rsidRPr="00801738" w:rsidRDefault="00056D03" w:rsidP="00056D03">
            <w:pPr>
              <w:pStyle w:val="BodyText"/>
              <w:spacing w:line="269" w:lineRule="exact"/>
              <w:jc w:val="center"/>
              <w:rPr>
                <w:rFonts w:asciiTheme="minorHAnsi" w:hAnsiTheme="minorHAnsi"/>
                <w:b/>
                <w:bCs/>
                <w:sz w:val="22"/>
                <w:szCs w:val="22"/>
              </w:rPr>
            </w:pPr>
            <w:r w:rsidRPr="00801738">
              <w:rPr>
                <w:rFonts w:asciiTheme="minorHAnsi" w:hAnsiTheme="minorHAnsi"/>
                <w:b/>
                <w:bCs/>
                <w:sz w:val="22"/>
                <w:szCs w:val="22"/>
              </w:rPr>
              <w:t>Anticipated</w:t>
            </w:r>
          </w:p>
          <w:p w14:paraId="0939FDB2" w14:textId="5AFDE071" w:rsidR="00056D03" w:rsidRPr="00801738" w:rsidRDefault="00056D03" w:rsidP="00056D03">
            <w:pPr>
              <w:pStyle w:val="BodyText"/>
              <w:spacing w:line="269" w:lineRule="exact"/>
              <w:jc w:val="center"/>
              <w:rPr>
                <w:rFonts w:asciiTheme="minorHAnsi" w:hAnsiTheme="minorHAnsi"/>
                <w:b/>
                <w:bCs/>
                <w:sz w:val="22"/>
                <w:szCs w:val="22"/>
              </w:rPr>
            </w:pPr>
            <w:r w:rsidRPr="00801738">
              <w:rPr>
                <w:rFonts w:asciiTheme="minorHAnsi" w:hAnsiTheme="minorHAnsi"/>
                <w:b/>
                <w:bCs/>
                <w:sz w:val="22"/>
                <w:szCs w:val="22"/>
              </w:rPr>
              <w:t>Annual Volume</w:t>
            </w:r>
          </w:p>
        </w:tc>
        <w:tc>
          <w:tcPr>
            <w:tcW w:w="0" w:type="auto"/>
            <w:shd w:val="clear" w:color="auto" w:fill="DBE5F1" w:themeFill="accent1" w:themeFillTint="33"/>
          </w:tcPr>
          <w:p w14:paraId="19A12A30" w14:textId="589825D1" w:rsidR="00056D03" w:rsidRPr="00801738" w:rsidRDefault="00056D03" w:rsidP="00056D03">
            <w:pPr>
              <w:pStyle w:val="BodyText"/>
              <w:spacing w:line="269" w:lineRule="exact"/>
              <w:jc w:val="center"/>
              <w:rPr>
                <w:rFonts w:asciiTheme="minorHAnsi" w:hAnsiTheme="minorHAnsi"/>
                <w:b/>
                <w:bCs/>
                <w:sz w:val="22"/>
                <w:szCs w:val="22"/>
              </w:rPr>
            </w:pPr>
            <w:r w:rsidRPr="00801738">
              <w:rPr>
                <w:rFonts w:asciiTheme="minorHAnsi" w:hAnsiTheme="minorHAnsi"/>
                <w:b/>
                <w:bCs/>
                <w:sz w:val="22"/>
                <w:szCs w:val="22"/>
              </w:rPr>
              <w:t>Percent of</w:t>
            </w:r>
          </w:p>
          <w:p w14:paraId="662D81B2" w14:textId="079C7E2D" w:rsidR="00056D03" w:rsidRPr="00801738" w:rsidRDefault="00056D03" w:rsidP="00056D03">
            <w:pPr>
              <w:pStyle w:val="BodyText"/>
              <w:spacing w:line="269" w:lineRule="exact"/>
              <w:jc w:val="center"/>
              <w:rPr>
                <w:rFonts w:asciiTheme="minorHAnsi" w:hAnsiTheme="minorHAnsi"/>
                <w:b/>
                <w:bCs/>
                <w:sz w:val="22"/>
                <w:szCs w:val="22"/>
              </w:rPr>
            </w:pPr>
            <w:r w:rsidRPr="00801738">
              <w:rPr>
                <w:rFonts w:asciiTheme="minorHAnsi" w:hAnsiTheme="minorHAnsi"/>
                <w:b/>
                <w:bCs/>
                <w:sz w:val="22"/>
                <w:szCs w:val="22"/>
              </w:rPr>
              <w:t>Annual Volume</w:t>
            </w:r>
          </w:p>
        </w:tc>
      </w:tr>
      <w:tr w:rsidR="00056D03" w:rsidRPr="00801738" w14:paraId="72E5F028" w14:textId="7AD574F5" w:rsidTr="00C21255">
        <w:trPr>
          <w:cantSplit/>
        </w:trPr>
        <w:tc>
          <w:tcPr>
            <w:tcW w:w="0" w:type="auto"/>
          </w:tcPr>
          <w:p w14:paraId="208C4BCA" w14:textId="19D8EC3E" w:rsidR="00056D03" w:rsidRPr="00801738" w:rsidRDefault="00056D03" w:rsidP="00056D03">
            <w:pPr>
              <w:pStyle w:val="BodyText"/>
              <w:spacing w:line="269" w:lineRule="exact"/>
              <w:ind w:left="144"/>
              <w:rPr>
                <w:rFonts w:asciiTheme="minorHAnsi" w:hAnsiTheme="minorHAnsi"/>
                <w:sz w:val="22"/>
                <w:szCs w:val="22"/>
              </w:rPr>
            </w:pPr>
            <w:r w:rsidRPr="00801738">
              <w:rPr>
                <w:rFonts w:asciiTheme="minorHAnsi" w:hAnsiTheme="minorHAnsi"/>
                <w:sz w:val="22"/>
                <w:szCs w:val="22"/>
              </w:rPr>
              <w:t>Existing Volume</w:t>
            </w:r>
          </w:p>
        </w:tc>
        <w:tc>
          <w:tcPr>
            <w:tcW w:w="0" w:type="auto"/>
          </w:tcPr>
          <w:p w14:paraId="414443B3" w14:textId="5138DB8E" w:rsidR="00056D03" w:rsidRPr="00801738" w:rsidRDefault="00056D03" w:rsidP="00056D03">
            <w:pPr>
              <w:pStyle w:val="BodyText"/>
              <w:spacing w:line="269" w:lineRule="exact"/>
              <w:jc w:val="center"/>
              <w:rPr>
                <w:rFonts w:asciiTheme="minorHAnsi" w:hAnsiTheme="minorHAnsi"/>
                <w:sz w:val="22"/>
                <w:szCs w:val="22"/>
              </w:rPr>
            </w:pPr>
            <w:r w:rsidRPr="00801738">
              <w:rPr>
                <w:rFonts w:asciiTheme="minorHAnsi" w:hAnsiTheme="minorHAnsi"/>
                <w:sz w:val="22"/>
                <w:szCs w:val="22"/>
              </w:rPr>
              <w:t>11,000</w:t>
            </w:r>
          </w:p>
        </w:tc>
        <w:tc>
          <w:tcPr>
            <w:tcW w:w="0" w:type="auto"/>
          </w:tcPr>
          <w:p w14:paraId="69F4DF66" w14:textId="055D3250" w:rsidR="00056D03" w:rsidRPr="00801738" w:rsidRDefault="00056D03" w:rsidP="00056D03">
            <w:pPr>
              <w:pStyle w:val="BodyText"/>
              <w:spacing w:line="269" w:lineRule="exact"/>
              <w:jc w:val="center"/>
              <w:rPr>
                <w:rFonts w:asciiTheme="minorHAnsi" w:hAnsiTheme="minorHAnsi"/>
                <w:sz w:val="22"/>
                <w:szCs w:val="22"/>
              </w:rPr>
            </w:pPr>
            <w:r w:rsidRPr="00801738">
              <w:rPr>
                <w:sz w:val="22"/>
                <w:szCs w:val="22"/>
              </w:rPr>
              <w:t>65%</w:t>
            </w:r>
          </w:p>
        </w:tc>
      </w:tr>
      <w:tr w:rsidR="00056D03" w:rsidRPr="00801738" w14:paraId="7C47398D" w14:textId="722B4AC1" w:rsidTr="00C21255">
        <w:trPr>
          <w:cantSplit/>
        </w:trPr>
        <w:tc>
          <w:tcPr>
            <w:tcW w:w="0" w:type="auto"/>
          </w:tcPr>
          <w:p w14:paraId="7A3B2F54" w14:textId="10C6FB94" w:rsidR="00056D03" w:rsidRPr="00801738" w:rsidRDefault="00056D03" w:rsidP="00056D03">
            <w:pPr>
              <w:pStyle w:val="BodyText"/>
              <w:spacing w:line="269" w:lineRule="exact"/>
              <w:ind w:left="144"/>
              <w:rPr>
                <w:rFonts w:asciiTheme="minorHAnsi" w:hAnsiTheme="minorHAnsi"/>
                <w:sz w:val="22"/>
                <w:szCs w:val="22"/>
              </w:rPr>
            </w:pPr>
            <w:r w:rsidRPr="00801738">
              <w:rPr>
                <w:rFonts w:asciiTheme="minorHAnsi" w:hAnsiTheme="minorHAnsi"/>
                <w:sz w:val="22"/>
                <w:szCs w:val="22"/>
              </w:rPr>
              <w:lastRenderedPageBreak/>
              <w:t>Patients waiting with orders</w:t>
            </w:r>
          </w:p>
        </w:tc>
        <w:tc>
          <w:tcPr>
            <w:tcW w:w="0" w:type="auto"/>
          </w:tcPr>
          <w:p w14:paraId="4B93B302" w14:textId="47EDFD3D" w:rsidR="00056D03" w:rsidRPr="00801738" w:rsidRDefault="00056D03" w:rsidP="00056D03">
            <w:pPr>
              <w:pStyle w:val="BodyText"/>
              <w:spacing w:line="269" w:lineRule="exact"/>
              <w:jc w:val="center"/>
              <w:rPr>
                <w:rFonts w:asciiTheme="minorHAnsi" w:hAnsiTheme="minorHAnsi"/>
                <w:sz w:val="22"/>
                <w:szCs w:val="22"/>
              </w:rPr>
            </w:pPr>
            <w:r w:rsidRPr="00801738">
              <w:rPr>
                <w:rFonts w:asciiTheme="minorHAnsi" w:hAnsiTheme="minorHAnsi"/>
                <w:sz w:val="22"/>
                <w:szCs w:val="22"/>
              </w:rPr>
              <w:t>2,000</w:t>
            </w:r>
          </w:p>
        </w:tc>
        <w:tc>
          <w:tcPr>
            <w:tcW w:w="0" w:type="auto"/>
          </w:tcPr>
          <w:p w14:paraId="01DFD43D" w14:textId="635FD8AA" w:rsidR="00056D03" w:rsidRPr="00801738" w:rsidRDefault="00056D03" w:rsidP="00056D03">
            <w:pPr>
              <w:pStyle w:val="BodyText"/>
              <w:spacing w:line="269" w:lineRule="exact"/>
              <w:jc w:val="center"/>
              <w:rPr>
                <w:rFonts w:asciiTheme="minorHAnsi" w:hAnsiTheme="minorHAnsi"/>
                <w:sz w:val="22"/>
                <w:szCs w:val="22"/>
              </w:rPr>
            </w:pPr>
            <w:r w:rsidRPr="00801738">
              <w:rPr>
                <w:sz w:val="22"/>
                <w:szCs w:val="22"/>
              </w:rPr>
              <w:t>12%</w:t>
            </w:r>
          </w:p>
        </w:tc>
      </w:tr>
      <w:tr w:rsidR="00056D03" w:rsidRPr="00801738" w14:paraId="4965479E" w14:textId="02DDE109" w:rsidTr="00C21255">
        <w:trPr>
          <w:cantSplit/>
        </w:trPr>
        <w:tc>
          <w:tcPr>
            <w:tcW w:w="0" w:type="auto"/>
          </w:tcPr>
          <w:p w14:paraId="5377D0A8" w14:textId="1BD98E01" w:rsidR="00056D03" w:rsidRPr="00801738" w:rsidRDefault="00056D03" w:rsidP="00056D03">
            <w:pPr>
              <w:pStyle w:val="BodyText"/>
              <w:spacing w:line="269" w:lineRule="exact"/>
              <w:ind w:left="144"/>
              <w:rPr>
                <w:rFonts w:asciiTheme="minorHAnsi" w:hAnsiTheme="minorHAnsi"/>
                <w:sz w:val="22"/>
                <w:szCs w:val="22"/>
              </w:rPr>
            </w:pPr>
            <w:r w:rsidRPr="00801738">
              <w:rPr>
                <w:rFonts w:asciiTheme="minorHAnsi" w:hAnsiTheme="minorHAnsi"/>
                <w:sz w:val="22"/>
                <w:szCs w:val="22"/>
              </w:rPr>
              <w:t>Eligible colonoscopy patients without current orders</w:t>
            </w:r>
          </w:p>
        </w:tc>
        <w:tc>
          <w:tcPr>
            <w:tcW w:w="0" w:type="auto"/>
          </w:tcPr>
          <w:p w14:paraId="368C8F61" w14:textId="2BE7F656" w:rsidR="00056D03" w:rsidRPr="00801738" w:rsidRDefault="00056D03" w:rsidP="00056D03">
            <w:pPr>
              <w:pStyle w:val="BodyText"/>
              <w:spacing w:line="269" w:lineRule="exact"/>
              <w:jc w:val="center"/>
              <w:rPr>
                <w:rFonts w:asciiTheme="minorHAnsi" w:hAnsiTheme="minorHAnsi"/>
                <w:sz w:val="22"/>
                <w:szCs w:val="22"/>
              </w:rPr>
            </w:pPr>
            <w:r w:rsidRPr="00801738">
              <w:rPr>
                <w:rFonts w:asciiTheme="minorHAnsi" w:hAnsiTheme="minorHAnsi"/>
                <w:sz w:val="22"/>
                <w:szCs w:val="22"/>
              </w:rPr>
              <w:t>3,000</w:t>
            </w:r>
          </w:p>
        </w:tc>
        <w:tc>
          <w:tcPr>
            <w:tcW w:w="0" w:type="auto"/>
          </w:tcPr>
          <w:p w14:paraId="150EC495" w14:textId="6F07D509" w:rsidR="00056D03" w:rsidRPr="00801738" w:rsidRDefault="00056D03" w:rsidP="00056D03">
            <w:pPr>
              <w:pStyle w:val="BodyText"/>
              <w:spacing w:line="269" w:lineRule="exact"/>
              <w:jc w:val="center"/>
              <w:rPr>
                <w:rFonts w:asciiTheme="minorHAnsi" w:hAnsiTheme="minorHAnsi"/>
                <w:sz w:val="22"/>
                <w:szCs w:val="22"/>
              </w:rPr>
            </w:pPr>
            <w:r w:rsidRPr="00801738">
              <w:rPr>
                <w:sz w:val="22"/>
                <w:szCs w:val="22"/>
              </w:rPr>
              <w:t>18%</w:t>
            </w:r>
          </w:p>
        </w:tc>
      </w:tr>
      <w:tr w:rsidR="00056D03" w:rsidRPr="00801738" w14:paraId="565B12DB" w14:textId="729835FA" w:rsidTr="00C21255">
        <w:trPr>
          <w:cantSplit/>
          <w:trHeight w:val="50"/>
        </w:trPr>
        <w:tc>
          <w:tcPr>
            <w:tcW w:w="0" w:type="auto"/>
          </w:tcPr>
          <w:p w14:paraId="4D7947E6" w14:textId="01E5060C" w:rsidR="00056D03" w:rsidRPr="00801738" w:rsidRDefault="00056D03" w:rsidP="00056D03">
            <w:pPr>
              <w:pStyle w:val="BodyText"/>
              <w:spacing w:line="269" w:lineRule="exact"/>
              <w:ind w:left="144"/>
              <w:rPr>
                <w:rFonts w:asciiTheme="minorHAnsi" w:hAnsiTheme="minorHAnsi"/>
                <w:sz w:val="22"/>
                <w:szCs w:val="22"/>
              </w:rPr>
            </w:pPr>
            <w:r w:rsidRPr="00801738">
              <w:rPr>
                <w:rFonts w:asciiTheme="minorHAnsi" w:hAnsiTheme="minorHAnsi"/>
                <w:sz w:val="22"/>
                <w:szCs w:val="22"/>
              </w:rPr>
              <w:t>Atrius patients</w:t>
            </w:r>
          </w:p>
        </w:tc>
        <w:tc>
          <w:tcPr>
            <w:tcW w:w="0" w:type="auto"/>
          </w:tcPr>
          <w:p w14:paraId="40C811AE" w14:textId="515360A2" w:rsidR="00056D03" w:rsidRPr="00801738" w:rsidRDefault="00056D03" w:rsidP="00056D03">
            <w:pPr>
              <w:pStyle w:val="BodyText"/>
              <w:spacing w:line="269" w:lineRule="exact"/>
              <w:jc w:val="center"/>
              <w:rPr>
                <w:rFonts w:asciiTheme="minorHAnsi" w:hAnsiTheme="minorHAnsi"/>
                <w:sz w:val="22"/>
                <w:szCs w:val="22"/>
              </w:rPr>
            </w:pPr>
            <w:r w:rsidRPr="00801738">
              <w:rPr>
                <w:rFonts w:asciiTheme="minorHAnsi" w:hAnsiTheme="minorHAnsi"/>
                <w:sz w:val="22"/>
                <w:szCs w:val="22"/>
              </w:rPr>
              <w:t>800</w:t>
            </w:r>
          </w:p>
        </w:tc>
        <w:tc>
          <w:tcPr>
            <w:tcW w:w="0" w:type="auto"/>
          </w:tcPr>
          <w:p w14:paraId="545BB6B1" w14:textId="1A84ADF6" w:rsidR="00056D03" w:rsidRPr="00801738" w:rsidRDefault="00056D03" w:rsidP="00056D03">
            <w:pPr>
              <w:pStyle w:val="BodyText"/>
              <w:spacing w:line="269" w:lineRule="exact"/>
              <w:jc w:val="center"/>
              <w:rPr>
                <w:rFonts w:asciiTheme="minorHAnsi" w:hAnsiTheme="minorHAnsi"/>
                <w:sz w:val="22"/>
                <w:szCs w:val="22"/>
              </w:rPr>
            </w:pPr>
            <w:r w:rsidRPr="00801738">
              <w:rPr>
                <w:sz w:val="22"/>
                <w:szCs w:val="22"/>
              </w:rPr>
              <w:t>5%</w:t>
            </w:r>
          </w:p>
        </w:tc>
      </w:tr>
      <w:tr w:rsidR="00056D03" w:rsidRPr="00801738" w14:paraId="0A67D278" w14:textId="5D7C8A47" w:rsidTr="00C21255">
        <w:trPr>
          <w:cantSplit/>
        </w:trPr>
        <w:tc>
          <w:tcPr>
            <w:tcW w:w="0" w:type="auto"/>
          </w:tcPr>
          <w:p w14:paraId="7EEF42CE" w14:textId="33DB96A2" w:rsidR="00056D03" w:rsidRPr="00801738" w:rsidRDefault="00056D03" w:rsidP="00056D03">
            <w:pPr>
              <w:pStyle w:val="BodyText"/>
              <w:spacing w:line="269" w:lineRule="exact"/>
              <w:ind w:left="144"/>
              <w:rPr>
                <w:rFonts w:asciiTheme="minorHAnsi" w:hAnsiTheme="minorHAnsi"/>
                <w:sz w:val="22"/>
                <w:szCs w:val="22"/>
              </w:rPr>
            </w:pPr>
            <w:r w:rsidRPr="00801738">
              <w:rPr>
                <w:rFonts w:asciiTheme="minorHAnsi" w:hAnsiTheme="minorHAnsi"/>
                <w:sz w:val="22"/>
                <w:szCs w:val="22"/>
              </w:rPr>
              <w:t xml:space="preserve">Total </w:t>
            </w:r>
          </w:p>
        </w:tc>
        <w:tc>
          <w:tcPr>
            <w:tcW w:w="0" w:type="auto"/>
          </w:tcPr>
          <w:p w14:paraId="3BE2E494" w14:textId="1510A48D" w:rsidR="00056D03" w:rsidRPr="00801738" w:rsidRDefault="00056D03" w:rsidP="00056D03">
            <w:pPr>
              <w:pStyle w:val="BodyText"/>
              <w:spacing w:line="269" w:lineRule="exact"/>
              <w:jc w:val="center"/>
              <w:rPr>
                <w:rFonts w:asciiTheme="minorHAnsi" w:hAnsiTheme="minorHAnsi"/>
                <w:sz w:val="22"/>
                <w:szCs w:val="22"/>
              </w:rPr>
            </w:pPr>
            <w:r w:rsidRPr="00801738">
              <w:rPr>
                <w:rFonts w:asciiTheme="minorHAnsi" w:hAnsiTheme="minorHAnsi"/>
                <w:sz w:val="22"/>
                <w:szCs w:val="22"/>
              </w:rPr>
              <w:fldChar w:fldCharType="begin"/>
            </w:r>
            <w:r w:rsidRPr="00801738">
              <w:rPr>
                <w:rFonts w:asciiTheme="minorHAnsi" w:hAnsiTheme="minorHAnsi"/>
                <w:sz w:val="22"/>
                <w:szCs w:val="22"/>
              </w:rPr>
              <w:instrText xml:space="preserve"> =SUM(ABOVE) </w:instrText>
            </w:r>
            <w:r w:rsidRPr="00801738">
              <w:rPr>
                <w:rFonts w:asciiTheme="minorHAnsi" w:hAnsiTheme="minorHAnsi"/>
                <w:sz w:val="22"/>
                <w:szCs w:val="22"/>
              </w:rPr>
              <w:fldChar w:fldCharType="separate"/>
            </w:r>
            <w:r w:rsidRPr="00801738">
              <w:rPr>
                <w:rFonts w:asciiTheme="minorHAnsi" w:hAnsiTheme="minorHAnsi"/>
                <w:noProof/>
                <w:sz w:val="22"/>
                <w:szCs w:val="22"/>
              </w:rPr>
              <w:t>16,800</w:t>
            </w:r>
            <w:r w:rsidRPr="00801738">
              <w:rPr>
                <w:rFonts w:asciiTheme="minorHAnsi" w:hAnsiTheme="minorHAnsi"/>
                <w:sz w:val="22"/>
                <w:szCs w:val="22"/>
              </w:rPr>
              <w:fldChar w:fldCharType="end"/>
            </w:r>
          </w:p>
        </w:tc>
        <w:tc>
          <w:tcPr>
            <w:tcW w:w="0" w:type="auto"/>
          </w:tcPr>
          <w:p w14:paraId="0DD1A7CD" w14:textId="6F127B39" w:rsidR="00056D03" w:rsidRPr="00801738" w:rsidRDefault="00056D03" w:rsidP="00056D03">
            <w:pPr>
              <w:pStyle w:val="BodyText"/>
              <w:spacing w:line="269" w:lineRule="exact"/>
              <w:jc w:val="center"/>
              <w:rPr>
                <w:rFonts w:asciiTheme="minorHAnsi" w:hAnsiTheme="minorHAnsi"/>
                <w:sz w:val="22"/>
                <w:szCs w:val="22"/>
              </w:rPr>
            </w:pPr>
            <w:r w:rsidRPr="00801738">
              <w:rPr>
                <w:sz w:val="22"/>
                <w:szCs w:val="22"/>
              </w:rPr>
              <w:t>100%</w:t>
            </w:r>
          </w:p>
        </w:tc>
      </w:tr>
    </w:tbl>
    <w:p w14:paraId="7DA521E2" w14:textId="77777777" w:rsidR="00FA71B9" w:rsidRDefault="00FA71B9" w:rsidP="00A81E6C">
      <w:pPr>
        <w:pStyle w:val="BodyText"/>
        <w:spacing w:line="269" w:lineRule="exact"/>
        <w:rPr>
          <w:rFonts w:asciiTheme="minorHAnsi" w:hAnsiTheme="minorHAnsi"/>
        </w:rPr>
      </w:pPr>
    </w:p>
    <w:p w14:paraId="338E5B40" w14:textId="54404B87" w:rsidR="00FA71B9" w:rsidRDefault="00FA71B9" w:rsidP="00A81E6C">
      <w:pPr>
        <w:pStyle w:val="BodyText"/>
        <w:spacing w:line="269" w:lineRule="exact"/>
        <w:rPr>
          <w:rFonts w:asciiTheme="minorHAnsi" w:hAnsiTheme="minorHAnsi"/>
        </w:rPr>
      </w:pPr>
      <w:r>
        <w:rPr>
          <w:rFonts w:asciiTheme="minorHAnsi" w:hAnsiTheme="minorHAnsi"/>
        </w:rPr>
        <w:t xml:space="preserve">The Applicant states that the three proposed endoscopy procedure rooms will accommodate approximately 5,700 additional cases annually, 5,000 of which are expected to be for screening colonoscopies, allowing for 74% of existing eligible patients to be accommodated annually through the Proposed Project. </w:t>
      </w:r>
      <w:r w:rsidR="003B0CF5">
        <w:rPr>
          <w:rFonts w:asciiTheme="minorHAnsi" w:hAnsiTheme="minorHAnsi"/>
        </w:rPr>
        <w:t>The Applicant</w:t>
      </w:r>
      <w:r w:rsidR="00BF259B">
        <w:rPr>
          <w:rFonts w:asciiTheme="minorHAnsi" w:hAnsiTheme="minorHAnsi"/>
        </w:rPr>
        <w:t>’s</w:t>
      </w:r>
      <w:r w:rsidR="003B0CF5">
        <w:rPr>
          <w:rFonts w:asciiTheme="minorHAnsi" w:hAnsiTheme="minorHAnsi"/>
        </w:rPr>
        <w:t xml:space="preserve"> stated goal is to reduce the average scheduling interval from </w:t>
      </w:r>
      <w:r w:rsidR="006D205E">
        <w:rPr>
          <w:rFonts w:asciiTheme="minorHAnsi" w:hAnsiTheme="minorHAnsi"/>
        </w:rPr>
        <w:t xml:space="preserve">three to six months by 15% per year, </w:t>
      </w:r>
      <w:r w:rsidR="003B0CF5">
        <w:rPr>
          <w:rFonts w:asciiTheme="minorHAnsi" w:hAnsiTheme="minorHAnsi"/>
        </w:rPr>
        <w:t>to 40 days or less</w:t>
      </w:r>
      <w:r w:rsidR="00B60320">
        <w:rPr>
          <w:rFonts w:asciiTheme="minorHAnsi" w:hAnsiTheme="minorHAnsi"/>
        </w:rPr>
        <w:t xml:space="preserve"> for all patients</w:t>
      </w:r>
      <w:r w:rsidR="003B0CF5">
        <w:rPr>
          <w:rFonts w:asciiTheme="minorHAnsi" w:hAnsiTheme="minorHAnsi"/>
        </w:rPr>
        <w:t xml:space="preserve"> within five years. </w:t>
      </w:r>
    </w:p>
    <w:p w14:paraId="0AB909EF" w14:textId="77777777" w:rsidR="00B76E8C" w:rsidRDefault="00B76E8C" w:rsidP="00A81E6C">
      <w:pPr>
        <w:pStyle w:val="BodyText"/>
        <w:spacing w:line="269" w:lineRule="exact"/>
        <w:rPr>
          <w:rFonts w:asciiTheme="minorHAnsi" w:hAnsiTheme="minorHAnsi"/>
          <w:b/>
          <w:bCs/>
        </w:rPr>
      </w:pPr>
    </w:p>
    <w:p w14:paraId="0BD6DE0C" w14:textId="15A8E07E" w:rsidR="00971DF9" w:rsidRPr="00971DF9" w:rsidRDefault="002F6B55" w:rsidP="00BD2F0B">
      <w:pPr>
        <w:pStyle w:val="Heading3"/>
      </w:pPr>
      <w:r>
        <w:t xml:space="preserve">Need </w:t>
      </w:r>
      <w:r w:rsidR="00971DF9" w:rsidRPr="00971DF9">
        <w:t>Methodology</w:t>
      </w:r>
    </w:p>
    <w:p w14:paraId="2F3F3E36" w14:textId="7A0DDC47" w:rsidR="00056D03" w:rsidRDefault="00056D03" w:rsidP="000D3E06">
      <w:pPr>
        <w:pStyle w:val="BodyText"/>
        <w:spacing w:line="269" w:lineRule="exact"/>
        <w:rPr>
          <w:rFonts w:asciiTheme="minorHAnsi" w:hAnsiTheme="minorHAnsi"/>
        </w:rPr>
      </w:pPr>
      <w:r>
        <w:rPr>
          <w:rFonts w:asciiTheme="minorHAnsi" w:hAnsiTheme="minorHAnsi"/>
        </w:rPr>
        <w:t xml:space="preserve">The Applicant determined that 2,450 endoscopy cases could be accommodated per year based on </w:t>
      </w:r>
      <w:r w:rsidR="00883E15">
        <w:rPr>
          <w:rFonts w:asciiTheme="minorHAnsi" w:hAnsiTheme="minorHAnsi"/>
        </w:rPr>
        <w:t>t</w:t>
      </w:r>
      <w:r>
        <w:rPr>
          <w:rFonts w:asciiTheme="minorHAnsi" w:hAnsiTheme="minorHAnsi"/>
        </w:rPr>
        <w:t xml:space="preserve">he Center’s operating days and </w:t>
      </w:r>
      <w:r w:rsidR="000D3E06">
        <w:rPr>
          <w:rFonts w:asciiTheme="minorHAnsi" w:hAnsiTheme="minorHAnsi"/>
        </w:rPr>
        <w:t>hours,</w:t>
      </w:r>
      <w:r>
        <w:rPr>
          <w:rFonts w:asciiTheme="minorHAnsi" w:hAnsiTheme="minorHAnsi"/>
        </w:rPr>
        <w:t xml:space="preserve"> which is 245 days a year, Monday through Friday, no holidays or the days following holidays</w:t>
      </w:r>
      <w:r w:rsidR="00883E15">
        <w:rPr>
          <w:rFonts w:asciiTheme="minorHAnsi" w:hAnsiTheme="minorHAnsi"/>
        </w:rPr>
        <w:t xml:space="preserve">. </w:t>
      </w:r>
      <w:r w:rsidR="0015773C">
        <w:rPr>
          <w:rFonts w:asciiTheme="minorHAnsi" w:hAnsiTheme="minorHAnsi"/>
        </w:rPr>
        <w:t xml:space="preserve">The Applicant states that the Center is not open on the day following holidays, because it has been the Center’s experience that too few patients will schedule their procedures following a holiday, and that there is frequent noncompliance with the routine prep for those procedures that are scheduled, which results in rescheduling. Rescheduling patients due to inadequate prep </w:t>
      </w:r>
      <w:r w:rsidR="007A2896">
        <w:rPr>
          <w:rFonts w:asciiTheme="minorHAnsi" w:hAnsiTheme="minorHAnsi"/>
        </w:rPr>
        <w:t xml:space="preserve">is inefficient for the patient, and for the facility because it </w:t>
      </w:r>
      <w:r w:rsidR="0015773C">
        <w:rPr>
          <w:rFonts w:asciiTheme="minorHAnsi" w:hAnsiTheme="minorHAnsi"/>
        </w:rPr>
        <w:t xml:space="preserve">results in lower volume schedules that are an inefficient use of provider and staffing resources. </w:t>
      </w:r>
      <w:r>
        <w:rPr>
          <w:rFonts w:asciiTheme="minorHAnsi" w:hAnsiTheme="minorHAnsi"/>
        </w:rPr>
        <w:t xml:space="preserve">Each procedure </w:t>
      </w:r>
      <w:r w:rsidR="005F4E38">
        <w:rPr>
          <w:rFonts w:asciiTheme="minorHAnsi" w:hAnsiTheme="minorHAnsi"/>
        </w:rPr>
        <w:t xml:space="preserve">room </w:t>
      </w:r>
      <w:r>
        <w:rPr>
          <w:rFonts w:asciiTheme="minorHAnsi" w:hAnsiTheme="minorHAnsi"/>
        </w:rPr>
        <w:t xml:space="preserve">can be scheduled for up to 12 cases per day; and </w:t>
      </w:r>
      <w:r w:rsidR="000D3E06">
        <w:rPr>
          <w:rFonts w:asciiTheme="minorHAnsi" w:hAnsiTheme="minorHAnsi"/>
        </w:rPr>
        <w:t>a</w:t>
      </w:r>
      <w:r>
        <w:rPr>
          <w:rFonts w:asciiTheme="minorHAnsi" w:hAnsiTheme="minorHAnsi"/>
        </w:rPr>
        <w:t>n average cancellation rate of 10%, result</w:t>
      </w:r>
      <w:r w:rsidR="000D3E06">
        <w:rPr>
          <w:rFonts w:asciiTheme="minorHAnsi" w:hAnsiTheme="minorHAnsi"/>
        </w:rPr>
        <w:t>s</w:t>
      </w:r>
      <w:r>
        <w:rPr>
          <w:rFonts w:asciiTheme="minorHAnsi" w:hAnsiTheme="minorHAnsi"/>
        </w:rPr>
        <w:t xml:space="preserve"> in a typical 10 patients per day which equates to a utilization rate of 80 to 85%.</w:t>
      </w:r>
      <w:bookmarkStart w:id="5" w:name="_cp_change_25"/>
      <w:r w:rsidR="000D3E06">
        <w:rPr>
          <w:rFonts w:asciiTheme="minorHAnsi" w:hAnsiTheme="minorHAnsi"/>
        </w:rPr>
        <w:t xml:space="preserve"> </w:t>
      </w:r>
      <w:r>
        <w:rPr>
          <w:rFonts w:asciiTheme="minorHAnsi" w:hAnsiTheme="minorHAnsi"/>
        </w:rPr>
        <w:t xml:space="preserve">The Applicant states that three endoscopy procedure rooms are needed to accommodate existing and eligible patients which total 6,800, and to absorb capacity from other BILH facilities that are experiencing significant wait times. The Applicant notes that the expansion of endoscopy procedure room capacity is limited by the Center’s existing physical footprint. Consequently, the Proposed Project will address capacity constraints at Winchester Hospital but will not meaningfully reduce wait times across BILH given the significant wait times demonstrated in Table </w:t>
      </w:r>
      <w:r w:rsidR="00FC523F">
        <w:rPr>
          <w:rFonts w:asciiTheme="minorHAnsi" w:hAnsiTheme="minorHAnsi"/>
        </w:rPr>
        <w:t>1</w:t>
      </w:r>
      <w:r w:rsidR="005E6F8D">
        <w:rPr>
          <w:rFonts w:asciiTheme="minorHAnsi" w:hAnsiTheme="minorHAnsi"/>
        </w:rPr>
        <w:t>7</w:t>
      </w:r>
      <w:r>
        <w:rPr>
          <w:rFonts w:asciiTheme="minorHAnsi" w:hAnsiTheme="minorHAnsi"/>
        </w:rPr>
        <w:t xml:space="preserve">. </w:t>
      </w:r>
    </w:p>
    <w:p w14:paraId="46AD1303" w14:textId="77777777" w:rsidR="005872CE" w:rsidRDefault="005872CE" w:rsidP="000D3E06">
      <w:pPr>
        <w:pStyle w:val="BodyText"/>
        <w:spacing w:line="269" w:lineRule="exact"/>
        <w:rPr>
          <w:rFonts w:asciiTheme="minorHAnsi" w:hAnsiTheme="minorHAnsi"/>
        </w:rPr>
      </w:pPr>
    </w:p>
    <w:p w14:paraId="62888308" w14:textId="31130A5B" w:rsidR="00B34C92" w:rsidRPr="00B34C92" w:rsidRDefault="00B34C92" w:rsidP="00BD2F0B">
      <w:pPr>
        <w:pStyle w:val="Heading3"/>
      </w:pPr>
      <w:r w:rsidRPr="0D1EDC5C">
        <w:t>Staffing</w:t>
      </w:r>
    </w:p>
    <w:p w14:paraId="6F0F6946" w14:textId="55EE087F" w:rsidR="00B34C92" w:rsidRDefault="17DB1220" w:rsidP="5A5AB876">
      <w:pPr>
        <w:rPr>
          <w:rFonts w:asciiTheme="minorHAnsi" w:hAnsiTheme="minorHAnsi"/>
          <w:szCs w:val="24"/>
        </w:rPr>
      </w:pPr>
      <w:r>
        <w:rPr>
          <w:rFonts w:asciiTheme="minorHAnsi" w:hAnsiTheme="minorHAnsi"/>
          <w:szCs w:val="24"/>
        </w:rPr>
        <w:t xml:space="preserve">The Applicant states that on average, the Center requires 30 full-time employees (FTEs). The additional three endoscopy procedure rooms will require </w:t>
      </w:r>
      <w:r w:rsidR="002E70B0">
        <w:rPr>
          <w:rFonts w:asciiTheme="minorHAnsi" w:hAnsiTheme="minorHAnsi"/>
          <w:szCs w:val="24"/>
        </w:rPr>
        <w:t xml:space="preserve">the following FTEs: </w:t>
      </w:r>
      <w:r>
        <w:rPr>
          <w:rFonts w:asciiTheme="minorHAnsi" w:hAnsiTheme="minorHAnsi"/>
          <w:szCs w:val="24"/>
        </w:rPr>
        <w:t xml:space="preserve">an additional seven Registered Nurses, one Endoscopy Technician, one Anesthesia Technician, one Administrative Assistant, and one Surgery Scheduler. The Applicant anticipates most positions </w:t>
      </w:r>
      <w:r w:rsidR="009A7854">
        <w:rPr>
          <w:rFonts w:asciiTheme="minorHAnsi" w:hAnsiTheme="minorHAnsi"/>
          <w:szCs w:val="24"/>
        </w:rPr>
        <w:t xml:space="preserve">at the Center </w:t>
      </w:r>
      <w:r>
        <w:rPr>
          <w:rFonts w:asciiTheme="minorHAnsi" w:hAnsiTheme="minorHAnsi"/>
          <w:szCs w:val="24"/>
        </w:rPr>
        <w:t>will be filled by internal applicants</w:t>
      </w:r>
      <w:r w:rsidR="006F358B">
        <w:rPr>
          <w:rFonts w:asciiTheme="minorHAnsi" w:hAnsiTheme="minorHAnsi"/>
          <w:szCs w:val="24"/>
        </w:rPr>
        <w:t xml:space="preserve"> </w:t>
      </w:r>
      <w:r w:rsidR="00496CBB">
        <w:rPr>
          <w:rFonts w:asciiTheme="minorHAnsi" w:hAnsiTheme="minorHAnsi"/>
          <w:szCs w:val="24"/>
        </w:rPr>
        <w:t>who are currently employed by Winchester Hospital</w:t>
      </w:r>
      <w:r>
        <w:rPr>
          <w:rFonts w:asciiTheme="minorHAnsi" w:hAnsiTheme="minorHAnsi"/>
          <w:szCs w:val="24"/>
        </w:rPr>
        <w:t>. The Applicant notes that the Center offers career advancement from medical</w:t>
      </w:r>
      <w:r w:rsidR="6C6C0048">
        <w:rPr>
          <w:rFonts w:asciiTheme="minorHAnsi" w:hAnsiTheme="minorHAnsi"/>
          <w:szCs w:val="24"/>
        </w:rPr>
        <w:t>/</w:t>
      </w:r>
      <w:r>
        <w:rPr>
          <w:rFonts w:asciiTheme="minorHAnsi" w:hAnsiTheme="minorHAnsi"/>
          <w:szCs w:val="24"/>
        </w:rPr>
        <w:t>surgical positions, and Winchester Hospital does not anticipate any staffing challenges with the</w:t>
      </w:r>
      <w:r w:rsidR="005A36CF">
        <w:rPr>
          <w:rFonts w:asciiTheme="minorHAnsi" w:hAnsiTheme="minorHAnsi"/>
          <w:szCs w:val="24"/>
        </w:rPr>
        <w:t xml:space="preserve"> additional staff need</w:t>
      </w:r>
      <w:r w:rsidR="00664F2A">
        <w:rPr>
          <w:rFonts w:asciiTheme="minorHAnsi" w:hAnsiTheme="minorHAnsi"/>
          <w:szCs w:val="24"/>
        </w:rPr>
        <w:t>ed</w:t>
      </w:r>
      <w:r w:rsidR="005A36CF">
        <w:rPr>
          <w:rFonts w:asciiTheme="minorHAnsi" w:hAnsiTheme="minorHAnsi"/>
          <w:szCs w:val="24"/>
        </w:rPr>
        <w:t xml:space="preserve"> at the Center in connection with the</w:t>
      </w:r>
      <w:r>
        <w:rPr>
          <w:rFonts w:asciiTheme="minorHAnsi" w:hAnsiTheme="minorHAnsi"/>
          <w:szCs w:val="24"/>
        </w:rPr>
        <w:t xml:space="preserve"> proposed expansion. </w:t>
      </w:r>
      <w:r w:rsidR="00962C45">
        <w:rPr>
          <w:rFonts w:asciiTheme="minorHAnsi" w:hAnsiTheme="minorHAnsi"/>
          <w:szCs w:val="24"/>
        </w:rPr>
        <w:t>The Applicant states that Winchester GI hired one new provider in January 2026</w:t>
      </w:r>
      <w:r w:rsidR="00074B69">
        <w:rPr>
          <w:rFonts w:asciiTheme="minorHAnsi" w:hAnsiTheme="minorHAnsi"/>
          <w:szCs w:val="24"/>
        </w:rPr>
        <w:t xml:space="preserve"> to accommodate a growth in the number of GI </w:t>
      </w:r>
      <w:proofErr w:type="gramStart"/>
      <w:r w:rsidR="00074B69">
        <w:rPr>
          <w:rFonts w:asciiTheme="minorHAnsi" w:hAnsiTheme="minorHAnsi"/>
          <w:szCs w:val="24"/>
        </w:rPr>
        <w:t>referral</w:t>
      </w:r>
      <w:r w:rsidR="00A62475">
        <w:rPr>
          <w:rFonts w:asciiTheme="minorHAnsi" w:hAnsiTheme="minorHAnsi"/>
          <w:szCs w:val="24"/>
        </w:rPr>
        <w:t>s</w:t>
      </w:r>
      <w:r w:rsidR="00962C45">
        <w:rPr>
          <w:rFonts w:asciiTheme="minorHAnsi" w:hAnsiTheme="minorHAnsi"/>
          <w:szCs w:val="24"/>
        </w:rPr>
        <w:t>, and</w:t>
      </w:r>
      <w:proofErr w:type="gramEnd"/>
      <w:r w:rsidR="00962C45">
        <w:rPr>
          <w:rFonts w:asciiTheme="minorHAnsi" w:hAnsiTheme="minorHAnsi"/>
          <w:szCs w:val="24"/>
        </w:rPr>
        <w:t xml:space="preserve"> is currently recruiting an additional provider with an intended start Fall 2026. Additionally,</w:t>
      </w:r>
      <w:r w:rsidR="006B04AA">
        <w:rPr>
          <w:rFonts w:asciiTheme="minorHAnsi" w:hAnsiTheme="minorHAnsi"/>
          <w:szCs w:val="24"/>
        </w:rPr>
        <w:t xml:space="preserve"> </w:t>
      </w:r>
      <w:r w:rsidR="00962C45">
        <w:rPr>
          <w:rFonts w:asciiTheme="minorHAnsi" w:hAnsiTheme="minorHAnsi"/>
          <w:szCs w:val="24"/>
        </w:rPr>
        <w:t xml:space="preserve">Atrius will be requesting more time for an additional physician Fall 2026.  </w:t>
      </w:r>
    </w:p>
    <w:p w14:paraId="7CC3AFE9" w14:textId="77777777" w:rsidR="00056D03" w:rsidRDefault="00056D03" w:rsidP="00C316C3">
      <w:pPr>
        <w:rPr>
          <w:rFonts w:asciiTheme="minorHAnsi" w:hAnsiTheme="minorHAnsi"/>
          <w:szCs w:val="24"/>
        </w:rPr>
      </w:pPr>
    </w:p>
    <w:bookmarkEnd w:id="5"/>
    <w:p w14:paraId="70D235A0" w14:textId="19482AF2" w:rsidR="001F6F48" w:rsidRPr="000B5840" w:rsidRDefault="003D54ED" w:rsidP="00064E29">
      <w:pPr>
        <w:rPr>
          <w:b/>
          <w:bCs/>
          <w:i/>
          <w:iCs/>
        </w:rPr>
      </w:pPr>
      <w:r w:rsidRPr="003D54ED">
        <w:rPr>
          <w:b/>
          <w:bCs/>
          <w:i/>
          <w:iCs/>
        </w:rPr>
        <w:t>Analysis</w:t>
      </w:r>
    </w:p>
    <w:p w14:paraId="44DF6220" w14:textId="62191770" w:rsidR="001F6F48" w:rsidRDefault="000B5840" w:rsidP="00C316C3">
      <w:r>
        <w:t xml:space="preserve">Staff </w:t>
      </w:r>
      <w:proofErr w:type="gramStart"/>
      <w:r>
        <w:t>finds</w:t>
      </w:r>
      <w:proofErr w:type="gramEnd"/>
      <w:r>
        <w:t xml:space="preserve"> that</w:t>
      </w:r>
      <w:r w:rsidR="00CD7B6F">
        <w:t xml:space="preserve"> the Applicant has demonstrated that the Patient Panel is experiencing delayed </w:t>
      </w:r>
      <w:r w:rsidR="00CD7B6F">
        <w:lastRenderedPageBreak/>
        <w:t xml:space="preserve">access to the Center’s endoscopy services </w:t>
      </w:r>
      <w:proofErr w:type="gramStart"/>
      <w:r w:rsidR="00CD7B6F">
        <w:t>as a result of</w:t>
      </w:r>
      <w:proofErr w:type="gramEnd"/>
      <w:r w:rsidR="00CD7B6F">
        <w:t xml:space="preserve"> existing capacity constraints. In addition, the Applicant has shown </w:t>
      </w:r>
      <w:r w:rsidR="001541B0">
        <w:t>that Lahey and BIDM</w:t>
      </w:r>
      <w:r w:rsidR="008C31DD">
        <w:t>C</w:t>
      </w:r>
      <w:r w:rsidR="001541B0">
        <w:t xml:space="preserve"> GI</w:t>
      </w:r>
      <w:r w:rsidR="00CD7B6F">
        <w:t xml:space="preserve"> patients from the BILH </w:t>
      </w:r>
      <w:r w:rsidR="002101C7">
        <w:t>system</w:t>
      </w:r>
      <w:r w:rsidR="00CD7B6F">
        <w:t xml:space="preserve"> </w:t>
      </w:r>
      <w:r w:rsidR="008D3614">
        <w:t>who</w:t>
      </w:r>
      <w:r w:rsidR="00CD7B6F">
        <w:t xml:space="preserve"> </w:t>
      </w:r>
      <w:r w:rsidR="00A17305">
        <w:t>are currently experiencing long wait</w:t>
      </w:r>
      <w:r w:rsidR="006F358B">
        <w:t>-</w:t>
      </w:r>
      <w:r w:rsidR="00A17305">
        <w:t>times</w:t>
      </w:r>
      <w:r w:rsidR="001469DC">
        <w:t xml:space="preserve"> of five to 12 months</w:t>
      </w:r>
      <w:r w:rsidR="00A17305">
        <w:t xml:space="preserve"> at </w:t>
      </w:r>
      <w:r w:rsidR="00692FC4">
        <w:t xml:space="preserve">other BILH facilities providing outpatient endoscopy services, </w:t>
      </w:r>
      <w:r w:rsidR="002101C7">
        <w:t>w</w:t>
      </w:r>
      <w:r w:rsidR="00CD7B6F">
        <w:t>ould also benefit from the proposed increase in procedure room capacity, through greater receipt of timely access to endoscopy services</w:t>
      </w:r>
      <w:r w:rsidR="00A63397">
        <w:t xml:space="preserve">. </w:t>
      </w:r>
      <w:r w:rsidR="00B44612">
        <w:t>If the Proposed Project is approved, the Applicant will report annually on wait</w:t>
      </w:r>
      <w:r w:rsidR="006F358B">
        <w:t>-</w:t>
      </w:r>
      <w:r w:rsidR="00B44612">
        <w:t xml:space="preserve">times to </w:t>
      </w:r>
      <w:r w:rsidR="00834FF4">
        <w:t>track</w:t>
      </w:r>
      <w:r w:rsidR="00B44612">
        <w:t xml:space="preserve"> progress made in reducing wait</w:t>
      </w:r>
      <w:r w:rsidR="006F358B">
        <w:t>-</w:t>
      </w:r>
      <w:r w:rsidR="00B44612">
        <w:t xml:space="preserve">times through the Proposed Project. </w:t>
      </w:r>
      <w:r w:rsidR="00A63397">
        <w:t>A</w:t>
      </w:r>
      <w:r>
        <w:t>s a result, Staff finds that the Proposed Project meets the requirements of Factor 1a.</w:t>
      </w:r>
    </w:p>
    <w:p w14:paraId="322BFDDE" w14:textId="77777777" w:rsidR="001963DF" w:rsidRDefault="001963DF" w:rsidP="00C316C3"/>
    <w:p w14:paraId="0ADCD05D" w14:textId="5C692A7F" w:rsidR="00B447F3" w:rsidRPr="003436F0" w:rsidRDefault="305CB7EF" w:rsidP="00BD2F0B">
      <w:pPr>
        <w:pStyle w:val="Heading2"/>
      </w:pPr>
      <w:bookmarkStart w:id="6" w:name="_Toc226541451"/>
      <w:r w:rsidRPr="28157CC0">
        <w:t>Factor 1: b) Public health value, improved health outcomes and quality of life; assurances of health equity</w:t>
      </w:r>
      <w:bookmarkEnd w:id="6"/>
    </w:p>
    <w:p w14:paraId="26553C75" w14:textId="77777777" w:rsidR="005535AB" w:rsidRPr="005535AB" w:rsidRDefault="005535AB" w:rsidP="005535AB">
      <w:pPr>
        <w:pStyle w:val="BodyText"/>
        <w:rPr>
          <w:rFonts w:asciiTheme="minorHAnsi" w:hAnsiTheme="minorHAnsi"/>
        </w:rPr>
      </w:pPr>
      <w:r w:rsidRPr="005535AB">
        <w:rPr>
          <w:rFonts w:asciiTheme="minorHAnsi" w:hAnsiTheme="minorHAnsi"/>
        </w:rPr>
        <w:t>For this element of Factor 1, the Applicant must demonstrate that the Proposed Project adds public</w:t>
      </w:r>
    </w:p>
    <w:p w14:paraId="2EFD0954" w14:textId="77777777" w:rsidR="005535AB" w:rsidRPr="005535AB" w:rsidRDefault="005535AB" w:rsidP="005535AB">
      <w:pPr>
        <w:pStyle w:val="BodyText"/>
        <w:rPr>
          <w:rFonts w:asciiTheme="minorHAnsi" w:hAnsiTheme="minorHAnsi"/>
        </w:rPr>
      </w:pPr>
      <w:r w:rsidRPr="005535AB">
        <w:rPr>
          <w:rFonts w:asciiTheme="minorHAnsi" w:hAnsiTheme="minorHAnsi"/>
        </w:rPr>
        <w:t>health value in terms of improved health outcomes and quality of life for the Applicant’s existing</w:t>
      </w:r>
    </w:p>
    <w:p w14:paraId="0821EED9" w14:textId="3C5BB787" w:rsidR="00615885" w:rsidRPr="00E04133" w:rsidRDefault="005535AB" w:rsidP="005535AB">
      <w:pPr>
        <w:pStyle w:val="BodyText"/>
        <w:rPr>
          <w:rFonts w:asciiTheme="minorHAnsi" w:hAnsiTheme="minorHAnsi"/>
        </w:rPr>
      </w:pPr>
      <w:r w:rsidRPr="005535AB">
        <w:rPr>
          <w:rFonts w:asciiTheme="minorHAnsi" w:hAnsiTheme="minorHAnsi"/>
        </w:rPr>
        <w:t>Patient Panel, while providing reasonable assurances of health equity.</w:t>
      </w:r>
    </w:p>
    <w:p w14:paraId="7927EE6B" w14:textId="77777777" w:rsidR="0092121B" w:rsidRDefault="0092121B" w:rsidP="00C316C3">
      <w:pPr>
        <w:pStyle w:val="BodyText"/>
        <w:rPr>
          <w:rFonts w:asciiTheme="minorHAnsi" w:hAnsiTheme="minorHAnsi"/>
          <w:b/>
          <w:bCs/>
        </w:rPr>
      </w:pPr>
    </w:p>
    <w:p w14:paraId="0B47360A" w14:textId="735E9B1C" w:rsidR="00E04133" w:rsidRDefault="00750186" w:rsidP="00BD2F0B">
      <w:pPr>
        <w:pStyle w:val="Heading3"/>
      </w:pPr>
      <w:r w:rsidRPr="00750186">
        <w:t>Public Health Value: Improved Outcomes and Quality of Life</w:t>
      </w:r>
    </w:p>
    <w:p w14:paraId="4420B493" w14:textId="77777777" w:rsidR="00BF0259" w:rsidRDefault="00BF0259" w:rsidP="00C316C3">
      <w:pPr>
        <w:pStyle w:val="BodyText"/>
      </w:pPr>
    </w:p>
    <w:p w14:paraId="0B45A269" w14:textId="3EF2484D" w:rsidR="00650744" w:rsidRDefault="00244224" w:rsidP="00683BA7">
      <w:pPr>
        <w:pStyle w:val="BodyText"/>
      </w:pPr>
      <w:r>
        <w:t>An endoscopy is a procedure that uses a long thin tube or endoscope with a light and camera on the end to capture images of organs or other structures</w:t>
      </w:r>
      <w:r w:rsidR="00650744">
        <w:t xml:space="preserve"> allowing for healthcare providers to screen for conditions and diagnose disease</w:t>
      </w:r>
      <w:r>
        <w:t>.</w:t>
      </w:r>
      <w:r w:rsidR="00650744">
        <w:rPr>
          <w:rStyle w:val="EndnoteReference"/>
        </w:rPr>
        <w:endnoteReference w:id="20"/>
      </w:r>
      <w:r>
        <w:t xml:space="preserve"> </w:t>
      </w:r>
      <w:r w:rsidR="00650744">
        <w:t>Endoscopy allows providers to remove abnormal tissue for lab testing (endoscopic biopsy), and it can be used for many types of treatment (such as removing damaged tissues or tumors, sealing wounds, fixing blockages), some of which previously required surgery.</w:t>
      </w:r>
      <w:r w:rsidR="00650744" w:rsidRPr="00650744">
        <w:rPr>
          <w:vertAlign w:val="superscript"/>
        </w:rPr>
        <w:endnoteReference w:id="21"/>
      </w:r>
      <w:r w:rsidR="00650744" w:rsidRPr="00650744">
        <w:t xml:space="preserve"> </w:t>
      </w:r>
      <w:r w:rsidR="00650744">
        <w:t xml:space="preserve"> </w:t>
      </w:r>
      <w:r>
        <w:t>The most common types of endoscopy are colonoscopy</w:t>
      </w:r>
      <w:r w:rsidR="00F57988">
        <w:t xml:space="preserve"> and</w:t>
      </w:r>
      <w:r>
        <w:t xml:space="preserve"> upper endoscopy</w:t>
      </w:r>
      <w:r w:rsidR="00650744">
        <w:t>.</w:t>
      </w:r>
      <w:r w:rsidR="00650744" w:rsidRPr="00650744">
        <w:rPr>
          <w:vertAlign w:val="superscript"/>
        </w:rPr>
        <w:endnoteReference w:id="22"/>
      </w:r>
    </w:p>
    <w:p w14:paraId="4FA04EC2" w14:textId="77777777" w:rsidR="00650744" w:rsidRDefault="00650744" w:rsidP="00683BA7">
      <w:pPr>
        <w:pStyle w:val="BodyText"/>
      </w:pPr>
    </w:p>
    <w:p w14:paraId="0E46552F" w14:textId="674B2F68" w:rsidR="00173148" w:rsidRPr="00173148" w:rsidRDefault="00173148" w:rsidP="00E4630F">
      <w:pPr>
        <w:pStyle w:val="BodyText"/>
      </w:pPr>
      <w:r w:rsidRPr="47ABDD47">
        <w:rPr>
          <w:b/>
        </w:rPr>
        <w:t>Improved Outcomes:</w:t>
      </w:r>
      <w:r w:rsidR="00E4630F">
        <w:rPr>
          <w:szCs w:val="20"/>
        </w:rPr>
        <w:t xml:space="preserve"> </w:t>
      </w:r>
      <w:r w:rsidR="00F302BC" w:rsidRPr="47ABDD47">
        <w:t xml:space="preserve">The Applicant states that </w:t>
      </w:r>
      <w:r w:rsidR="00812C97" w:rsidRPr="47ABDD47">
        <w:t xml:space="preserve">the Proposed Project will </w:t>
      </w:r>
      <w:r w:rsidR="00F302BC" w:rsidRPr="47ABDD47">
        <w:t xml:space="preserve">expand access to endoscopy services at the Center, which will encourage greater adherence to recommended screenings, allowing patients to be diagnosed </w:t>
      </w:r>
      <w:r w:rsidR="00500F37" w:rsidRPr="47ABDD47">
        <w:t>earlier when treatment is less invasive and more effective</w:t>
      </w:r>
      <w:r w:rsidR="00F302BC">
        <w:rPr>
          <w:szCs w:val="20"/>
        </w:rPr>
        <w:t xml:space="preserve">. </w:t>
      </w:r>
      <w:r w:rsidR="00620AEB" w:rsidRPr="47ABDD47">
        <w:t xml:space="preserve">Based on 2022 Behavioral Risk Factor Surveillance System (BRFSS) data, </w:t>
      </w:r>
      <w:r w:rsidR="00E4630F" w:rsidRPr="47ABDD47">
        <w:t>70.9% of Massachusetts residents aged 45 to 75</w:t>
      </w:r>
      <w:r w:rsidR="00F5549C">
        <w:rPr>
          <w:szCs w:val="20"/>
        </w:rPr>
        <w:t xml:space="preserve"> </w:t>
      </w:r>
      <w:r w:rsidR="00E4630F" w:rsidRPr="47ABDD47">
        <w:t xml:space="preserve">received at least one recommended CRC </w:t>
      </w:r>
      <w:r w:rsidR="00620AEB" w:rsidRPr="47ABDD47">
        <w:t>t</w:t>
      </w:r>
      <w:r w:rsidR="00E4630F" w:rsidRPr="47ABDD47">
        <w:t>est</w:t>
      </w:r>
      <w:r w:rsidR="00620AEB" w:rsidRPr="47ABDD47">
        <w:t>, among the highest of all states</w:t>
      </w:r>
      <w:r w:rsidR="00620AEB" w:rsidRPr="47ABDD47">
        <w:rPr>
          <w:rStyle w:val="EndnoteReference"/>
        </w:rPr>
        <w:endnoteReference w:id="23"/>
      </w:r>
      <w:r w:rsidR="00620AEB">
        <w:rPr>
          <w:szCs w:val="20"/>
        </w:rPr>
        <w:t>,</w:t>
      </w:r>
      <w:r w:rsidR="00E4630F">
        <w:rPr>
          <w:szCs w:val="20"/>
        </w:rPr>
        <w:t xml:space="preserve"> </w:t>
      </w:r>
      <w:r w:rsidR="004D7B08" w:rsidRPr="47ABDD47">
        <w:t xml:space="preserve">but </w:t>
      </w:r>
      <w:r w:rsidR="00E4630F" w:rsidRPr="47ABDD47">
        <w:t>the Applicant notes that screening rates in Massachusetts are still below the National Colorectal Cancer Roundtable CRC screening goal of 80% of eligible patients in every community.</w:t>
      </w:r>
      <w:r w:rsidR="002E6F98" w:rsidRPr="47ABDD47">
        <w:rPr>
          <w:rStyle w:val="FootnoteReference"/>
        </w:rPr>
        <w:footnoteReference w:id="16"/>
      </w:r>
      <w:r w:rsidR="00620AEB">
        <w:rPr>
          <w:szCs w:val="20"/>
        </w:rPr>
        <w:t xml:space="preserve"> </w:t>
      </w:r>
      <w:r w:rsidR="004E4BC8" w:rsidRPr="47ABDD47">
        <w:t xml:space="preserve">Stool-based tests have a lower sensitivity for detecting CRC and </w:t>
      </w:r>
      <w:r w:rsidR="00166147" w:rsidRPr="47ABDD47">
        <w:t>precancerous</w:t>
      </w:r>
      <w:r w:rsidR="004E4BC8" w:rsidRPr="47ABDD47">
        <w:t xml:space="preserve"> polyps than</w:t>
      </w:r>
      <w:r w:rsidR="00166147" w:rsidRPr="47ABDD47">
        <w:t xml:space="preserve"> colonoscopy.</w:t>
      </w:r>
      <w:r w:rsidR="00166147" w:rsidRPr="47ABDD47">
        <w:rPr>
          <w:rStyle w:val="EndnoteReference"/>
        </w:rPr>
        <w:endnoteReference w:id="24"/>
      </w:r>
      <w:r w:rsidR="004E4BC8">
        <w:rPr>
          <w:szCs w:val="20"/>
        </w:rPr>
        <w:t xml:space="preserve"> </w:t>
      </w:r>
      <w:r w:rsidR="00166147" w:rsidRPr="47ABDD47">
        <w:t>Additionally, a</w:t>
      </w:r>
      <w:r w:rsidR="00620AEB" w:rsidRPr="47ABDD47">
        <w:t xml:space="preserve"> positive stool-based test will result in the need for a colonoscopy to investigate further.</w:t>
      </w:r>
      <w:r w:rsidR="00620AEB" w:rsidRPr="47ABDD47">
        <w:rPr>
          <w:rStyle w:val="EndnoteReference"/>
        </w:rPr>
        <w:endnoteReference w:id="25"/>
      </w:r>
      <w:r w:rsidR="00166147" w:rsidRPr="47ABDD47">
        <w:t xml:space="preserve"> The effectiveness of the stool-based test will depend on the receipt of appropriate follow-up testing following a positive result, and a study cited by the Applicant found that deferred diagnostic evaluation after positive FIT can lead to increases in mortality, which the study authors state underscores the need for timely follow-up colonoscopy after positive FIT results.</w:t>
      </w:r>
      <w:r w:rsidR="00166147" w:rsidRPr="47ABDD47">
        <w:rPr>
          <w:rStyle w:val="EndnoteReference"/>
        </w:rPr>
        <w:endnoteReference w:id="26"/>
      </w:r>
      <w:r w:rsidR="00166147">
        <w:rPr>
          <w:szCs w:val="20"/>
        </w:rPr>
        <w:t xml:space="preserve"> </w:t>
      </w:r>
      <w:r w:rsidR="00166147" w:rsidRPr="47ABDD47">
        <w:t xml:space="preserve">The Applicant </w:t>
      </w:r>
      <w:r w:rsidR="003F5B73" w:rsidRPr="47ABDD47">
        <w:t xml:space="preserve">also </w:t>
      </w:r>
      <w:r w:rsidR="0013680F" w:rsidRPr="47ABDD47">
        <w:t>cites an article that</w:t>
      </w:r>
      <w:r w:rsidR="00166147" w:rsidRPr="47ABDD47">
        <w:t xml:space="preserve"> state</w:t>
      </w:r>
      <w:r w:rsidR="0013680F" w:rsidRPr="47ABDD47">
        <w:t>s</w:t>
      </w:r>
      <w:r w:rsidR="00166147" w:rsidRPr="47ABDD47">
        <w:t xml:space="preserve"> that</w:t>
      </w:r>
      <w:r w:rsidR="003C660D" w:rsidRPr="00115AD3">
        <w:rPr>
          <w:szCs w:val="20"/>
        </w:rPr>
        <w:t xml:space="preserve"> </w:t>
      </w:r>
      <w:r w:rsidR="00115AD3" w:rsidRPr="47ABDD47">
        <w:t>long</w:t>
      </w:r>
      <w:r w:rsidR="003C660D" w:rsidRPr="00115AD3">
        <w:rPr>
          <w:szCs w:val="20"/>
        </w:rPr>
        <w:t xml:space="preserve"> </w:t>
      </w:r>
      <w:r w:rsidR="00115AD3" w:rsidRPr="47ABDD47">
        <w:t xml:space="preserve">lead time (time between the referring clinic appointment and the endoscopy appointment) </w:t>
      </w:r>
      <w:r w:rsidR="003C660D" w:rsidRPr="47ABDD47">
        <w:t>can lead to</w:t>
      </w:r>
      <w:r w:rsidR="00166147" w:rsidRPr="47ABDD47">
        <w:t xml:space="preserve"> missed </w:t>
      </w:r>
      <w:r w:rsidR="003C660D" w:rsidRPr="47ABDD47">
        <w:t xml:space="preserve">endoscopy </w:t>
      </w:r>
      <w:r w:rsidR="003C660D" w:rsidRPr="47ABDD47">
        <w:lastRenderedPageBreak/>
        <w:t xml:space="preserve">appointments which can </w:t>
      </w:r>
      <w:r w:rsidR="00115AD3" w:rsidRPr="47ABDD47">
        <w:t xml:space="preserve">further </w:t>
      </w:r>
      <w:r w:rsidR="003C660D" w:rsidRPr="47ABDD47">
        <w:t>impact patient health outcomes.</w:t>
      </w:r>
      <w:r w:rsidR="003C660D" w:rsidRPr="47ABDD47">
        <w:rPr>
          <w:rStyle w:val="EndnoteReference"/>
        </w:rPr>
        <w:endnoteReference w:id="27"/>
      </w:r>
      <w:r w:rsidR="003C660D">
        <w:rPr>
          <w:szCs w:val="20"/>
        </w:rPr>
        <w:t xml:space="preserve"> </w:t>
      </w:r>
    </w:p>
    <w:p w14:paraId="69DA80EA" w14:textId="77777777" w:rsidR="00B433B6" w:rsidRDefault="00B433B6" w:rsidP="00E4630F">
      <w:pPr>
        <w:pStyle w:val="BodyText"/>
        <w:rPr>
          <w:szCs w:val="20"/>
        </w:rPr>
      </w:pPr>
    </w:p>
    <w:p w14:paraId="5A4B6B04" w14:textId="55566AC4" w:rsidR="00B433B6" w:rsidRDefault="00B433B6" w:rsidP="00B433B6">
      <w:pPr>
        <w:pStyle w:val="BodyText"/>
      </w:pPr>
      <w:r w:rsidRPr="005B3BBE">
        <w:t>The Applicant proposed specific outcome measures</w:t>
      </w:r>
      <w:r>
        <w:t>, including wait times,</w:t>
      </w:r>
      <w:r w:rsidRPr="005B3BBE">
        <w:t xml:space="preserve"> to track the impact of the Proposed Project which staff has reviewed</w:t>
      </w:r>
      <w:r>
        <w:t>, and which</w:t>
      </w:r>
      <w:r w:rsidRPr="005B3BBE">
        <w:t xml:space="preserve"> will become a part of the reporting requirements. These measures are shown in Appendix I</w:t>
      </w:r>
      <w:r>
        <w:t>.</w:t>
      </w:r>
    </w:p>
    <w:p w14:paraId="460EB998" w14:textId="77777777" w:rsidR="00244224" w:rsidRDefault="00244224" w:rsidP="00683BA7">
      <w:pPr>
        <w:pStyle w:val="BodyText"/>
      </w:pPr>
    </w:p>
    <w:p w14:paraId="5DB718C7" w14:textId="0340181B" w:rsidR="00683BA7" w:rsidRPr="00683BA7" w:rsidRDefault="00173148" w:rsidP="00683BA7">
      <w:pPr>
        <w:pStyle w:val="BodyText"/>
      </w:pPr>
      <w:r w:rsidRPr="00173148">
        <w:rPr>
          <w:b/>
          <w:bCs/>
        </w:rPr>
        <w:t>Patient Experience:</w:t>
      </w:r>
      <w:r>
        <w:t xml:space="preserve"> </w:t>
      </w:r>
      <w:r w:rsidR="00683BA7" w:rsidRPr="00683BA7">
        <w:t xml:space="preserve">The Applicant states that the Center offers streamlined scheduling, efficient workflows that minimize delays, and that expanding access to </w:t>
      </w:r>
      <w:r w:rsidR="00261758">
        <w:t>the Center’s</w:t>
      </w:r>
      <w:r w:rsidR="00683BA7" w:rsidRPr="00683BA7">
        <w:t xml:space="preserve"> services in the community, and within BILH’s network of providers will allow more patients to access the benefits of the Center and will enhance overall patient experience. </w:t>
      </w:r>
      <w:r w:rsidR="001959B2" w:rsidRPr="001959B2">
        <w:t xml:space="preserve">The Applicant states </w:t>
      </w:r>
      <w:r w:rsidR="001959B2">
        <w:t xml:space="preserve">further </w:t>
      </w:r>
      <w:r w:rsidR="001959B2" w:rsidRPr="001959B2">
        <w:t xml:space="preserve">that patients are more likely to follow through with screening guidelines when services are available in a convenient setting, without significant wait times. </w:t>
      </w:r>
      <w:r w:rsidR="006A160F">
        <w:t xml:space="preserve">The Center’s site is easily </w:t>
      </w:r>
      <w:proofErr w:type="gramStart"/>
      <w:r w:rsidR="006A160F">
        <w:t>accessible, and</w:t>
      </w:r>
      <w:proofErr w:type="gramEnd"/>
      <w:r w:rsidR="006A160F">
        <w:t xml:space="preserve"> offers on</w:t>
      </w:r>
      <w:r w:rsidR="00107DF5">
        <w:t>-</w:t>
      </w:r>
      <w:r w:rsidR="006A160F">
        <w:t xml:space="preserve">site parking. </w:t>
      </w:r>
      <w:r w:rsidR="00107DF5">
        <w:t xml:space="preserve">The Center has designated patient waiting rooms inside the main entrance, which the Applicant states </w:t>
      </w:r>
      <w:proofErr w:type="gramStart"/>
      <w:r w:rsidR="00107DF5">
        <w:t>reduces</w:t>
      </w:r>
      <w:proofErr w:type="gramEnd"/>
      <w:r w:rsidR="00107DF5">
        <w:t xml:space="preserve"> navigation and wayfinding, which can occur in the larger hospital setting. </w:t>
      </w:r>
    </w:p>
    <w:p w14:paraId="31700723" w14:textId="77777777" w:rsidR="00683BA7" w:rsidRDefault="00683BA7" w:rsidP="00C316C3">
      <w:pPr>
        <w:pStyle w:val="BodyText"/>
      </w:pPr>
    </w:p>
    <w:p w14:paraId="75E89A6F" w14:textId="6BAEFFBF" w:rsidR="00644401" w:rsidRDefault="00946414" w:rsidP="006A160F">
      <w:pPr>
        <w:pStyle w:val="BodyText"/>
      </w:pPr>
      <w:r w:rsidRPr="00E8211B">
        <w:rPr>
          <w:b/>
          <w:bCs/>
        </w:rPr>
        <w:t>HOPD:</w:t>
      </w:r>
      <w:r>
        <w:t xml:space="preserve"> </w:t>
      </w:r>
      <w:r w:rsidR="001464BC">
        <w:t xml:space="preserve">The Applicant states that expanding access to endoscopy in existing hospital-based facilities will ensure timely access to high-quality care. </w:t>
      </w:r>
      <w:r>
        <w:t xml:space="preserve">The Applicant </w:t>
      </w:r>
      <w:r w:rsidR="004C3732">
        <w:t>cited</w:t>
      </w:r>
      <w:r>
        <w:t xml:space="preserve"> a study comparing </w:t>
      </w:r>
      <w:r w:rsidR="00E8211B">
        <w:t xml:space="preserve">quality outcomes at ASCs and HOPDs </w:t>
      </w:r>
      <w:r w:rsidR="0097607D">
        <w:t xml:space="preserve">in Florida </w:t>
      </w:r>
      <w:r w:rsidR="00E8211B" w:rsidRPr="00E8211B">
        <w:t xml:space="preserve">which </w:t>
      </w:r>
      <w:r w:rsidR="00DB0079">
        <w:t xml:space="preserve">noted that </w:t>
      </w:r>
      <w:r w:rsidR="00E8211B" w:rsidRPr="00E8211B">
        <w:t xml:space="preserve">HOPDs have an advantage </w:t>
      </w:r>
      <w:r w:rsidR="00DB0079">
        <w:t>over ASCs with respect t</w:t>
      </w:r>
      <w:r w:rsidR="0097607D">
        <w:t>o</w:t>
      </w:r>
      <w:r w:rsidR="00DB0079">
        <w:t xml:space="preserve"> quality due to their </w:t>
      </w:r>
      <w:r w:rsidR="00E8211B" w:rsidRPr="00E8211B">
        <w:t>affiliat</w:t>
      </w:r>
      <w:r w:rsidR="00DB0079">
        <w:t>ion</w:t>
      </w:r>
      <w:r w:rsidR="00E8211B" w:rsidRPr="00E8211B">
        <w:t xml:space="preserve"> with a hospital.</w:t>
      </w:r>
      <w:r w:rsidR="00E8211B">
        <w:rPr>
          <w:rStyle w:val="EndnoteReference"/>
        </w:rPr>
        <w:endnoteReference w:id="28"/>
      </w:r>
      <w:r w:rsidR="00E8211B" w:rsidRPr="00E8211B">
        <w:t xml:space="preserve"> </w:t>
      </w:r>
      <w:r w:rsidR="00E8211B">
        <w:t>For example, p</w:t>
      </w:r>
      <w:r>
        <w:t>atients treated at HOPDs had lower odds of unexpected hospitalization</w:t>
      </w:r>
      <w:r w:rsidR="00E8211B">
        <w:t xml:space="preserve"> </w:t>
      </w:r>
      <w:r>
        <w:t>after undergoing colonoscop</w:t>
      </w:r>
      <w:r w:rsidR="00E8211B">
        <w:t>y which may be attributed to the fact that</w:t>
      </w:r>
      <w:r w:rsidRPr="00946414">
        <w:t xml:space="preserve"> HOPDs may have hospital resources</w:t>
      </w:r>
      <w:r w:rsidR="00E8211B">
        <w:t xml:space="preserve"> and protocols and guidelines</w:t>
      </w:r>
      <w:r w:rsidRPr="00946414">
        <w:t xml:space="preserve"> to prevent or decrease complications including unplanned hospitalizations.</w:t>
      </w:r>
      <w:r w:rsidR="00E8211B" w:rsidRPr="00E8211B">
        <w:rPr>
          <w:vertAlign w:val="superscript"/>
        </w:rPr>
        <w:endnoteReference w:id="29"/>
      </w:r>
      <w:r w:rsidR="006A160F">
        <w:t xml:space="preserve"> </w:t>
      </w:r>
      <w:r w:rsidR="006A160F" w:rsidRPr="00282190">
        <w:t xml:space="preserve">The Applicant points to another study examining unplanned hospital visits in GI endoscopy performed in Massachusetts, comparing rates between HOPDs and ASCs, </w:t>
      </w:r>
      <w:r w:rsidR="0097607D">
        <w:t xml:space="preserve">which </w:t>
      </w:r>
      <w:r w:rsidR="006A160F" w:rsidRPr="00282190">
        <w:t>found that for screening and non-screening colonoscopy, the rates for unplanned hospital visits for “adverse events of surgical procedures or medical care”</w:t>
      </w:r>
      <w:r w:rsidR="00282190" w:rsidRPr="00282190">
        <w:t xml:space="preserve"> and abdominal pain, the most common reasons for an unplanned hospital visit after outpatient GI endoscopy,</w:t>
      </w:r>
      <w:r w:rsidR="006A160F" w:rsidRPr="00282190">
        <w:t xml:space="preserve"> were actually numerically higher in ASCs versus HOPDs even though </w:t>
      </w:r>
      <w:r w:rsidR="000461A1">
        <w:t xml:space="preserve">the </w:t>
      </w:r>
      <w:r w:rsidR="006A160F" w:rsidRPr="00282190">
        <w:t>HOPD cohort had higher comorbidities.</w:t>
      </w:r>
      <w:r w:rsidR="006A160F" w:rsidRPr="00282190">
        <w:rPr>
          <w:rStyle w:val="EndnoteReference"/>
        </w:rPr>
        <w:endnoteReference w:id="30"/>
      </w:r>
      <w:r w:rsidR="006A160F" w:rsidRPr="00282190">
        <w:t xml:space="preserve"> </w:t>
      </w:r>
    </w:p>
    <w:p w14:paraId="6E5E7DD0" w14:textId="77777777" w:rsidR="0024233D" w:rsidRDefault="0024233D" w:rsidP="006A160F">
      <w:pPr>
        <w:pStyle w:val="BodyText"/>
      </w:pPr>
    </w:p>
    <w:p w14:paraId="221DF517" w14:textId="70B789AF" w:rsidR="00B447F3" w:rsidRPr="00357E82" w:rsidRDefault="00A4110F" w:rsidP="00357E82">
      <w:pPr>
        <w:pStyle w:val="Heading3"/>
        <w:rPr>
          <w:i/>
          <w:iCs/>
        </w:rPr>
      </w:pPr>
      <w:r w:rsidRPr="00357E82">
        <w:rPr>
          <w:i/>
          <w:iCs/>
        </w:rPr>
        <w:t>Analysis</w:t>
      </w:r>
      <w:r w:rsidR="00303C0E" w:rsidRPr="00357E82">
        <w:rPr>
          <w:i/>
          <w:iCs/>
        </w:rPr>
        <w:t>:</w:t>
      </w:r>
      <w:r w:rsidR="00E04133" w:rsidRPr="00357E82">
        <w:rPr>
          <w:i/>
          <w:iCs/>
        </w:rPr>
        <w:t xml:space="preserve"> </w:t>
      </w:r>
      <w:r w:rsidR="00303C0E" w:rsidRPr="00357E82">
        <w:rPr>
          <w:i/>
          <w:iCs/>
        </w:rPr>
        <w:t>Improved Outcomes and Quality of Life</w:t>
      </w:r>
    </w:p>
    <w:p w14:paraId="70F91D93" w14:textId="1032CA49" w:rsidR="00924009" w:rsidRDefault="00A303A6" w:rsidP="00C316C3">
      <w:r w:rsidRPr="00A303A6">
        <w:t xml:space="preserve">As the Applicant noted above, colonoscopy is the Gold Standard for CRC screening. </w:t>
      </w:r>
      <w:r w:rsidR="004E4BC8">
        <w:t>A 2019 article on stool-based screening tests for CRC versus colonoscopy states that “</w:t>
      </w:r>
      <w:r w:rsidR="004E4BC8" w:rsidRPr="004E4BC8">
        <w:t>Effective screening is the product of 3 critical factors: sensitivity, compliance, and access. Currently, screening tools vary in their sensitivity or accuracy</w:t>
      </w:r>
      <w:r w:rsidR="004E4BC8">
        <w:t>.”</w:t>
      </w:r>
      <w:r w:rsidR="004E4BC8">
        <w:rPr>
          <w:rStyle w:val="EndnoteReference"/>
        </w:rPr>
        <w:endnoteReference w:id="31"/>
      </w:r>
      <w:r w:rsidR="004E4BC8" w:rsidRPr="004E4BC8">
        <w:t xml:space="preserve"> </w:t>
      </w:r>
      <w:r w:rsidR="004E4BC8">
        <w:t>The Proposed Project will increase access to a CRC screening tool that has been shown to be more sensitive and accurate than other CRC screening tools</w:t>
      </w:r>
      <w:r w:rsidR="001B15F4">
        <w:t>, leading to improved health outcomes. T</w:t>
      </w:r>
      <w:r w:rsidR="00253E1D">
        <w:t xml:space="preserve">he Applicant will report annually to the Department on the measured </w:t>
      </w:r>
      <w:r w:rsidR="00992131">
        <w:t xml:space="preserve">outcomes </w:t>
      </w:r>
      <w:r w:rsidR="00253E1D">
        <w:t xml:space="preserve">listed in Appendix I. </w:t>
      </w:r>
      <w:r w:rsidR="00333784" w:rsidRPr="00333784">
        <w:t xml:space="preserve">As a result, </w:t>
      </w:r>
      <w:r w:rsidR="0043640A">
        <w:t>s</w:t>
      </w:r>
      <w:r w:rsidR="00333784" w:rsidRPr="00333784">
        <w:t xml:space="preserve">taff </w:t>
      </w:r>
      <w:proofErr w:type="gramStart"/>
      <w:r w:rsidR="00333784" w:rsidRPr="00333784">
        <w:t>finds</w:t>
      </w:r>
      <w:proofErr w:type="gramEnd"/>
      <w:r w:rsidR="00333784" w:rsidRPr="00333784">
        <w:t xml:space="preserve"> that the Applicant meets the requirements of Public Health Value: Health Outcomes as part of Factor 1b.</w:t>
      </w:r>
    </w:p>
    <w:p w14:paraId="6733C5B7" w14:textId="77777777" w:rsidR="0054606A" w:rsidRDefault="0054606A" w:rsidP="00C316C3"/>
    <w:p w14:paraId="7E97B2EA" w14:textId="014BFB67" w:rsidR="00E04133" w:rsidRPr="00357E82" w:rsidRDefault="00303C0E" w:rsidP="00357E82">
      <w:pPr>
        <w:pStyle w:val="Heading3"/>
        <w:rPr>
          <w:i/>
          <w:iCs/>
        </w:rPr>
      </w:pPr>
      <w:r w:rsidRPr="00357E82">
        <w:rPr>
          <w:i/>
          <w:iCs/>
        </w:rPr>
        <w:t xml:space="preserve">Public Health </w:t>
      </w:r>
      <w:r w:rsidR="00F80934" w:rsidRPr="00357E82">
        <w:rPr>
          <w:i/>
          <w:iCs/>
        </w:rPr>
        <w:t>Value: Health</w:t>
      </w:r>
      <w:r w:rsidR="00E04133" w:rsidRPr="00357E82">
        <w:rPr>
          <w:i/>
          <w:iCs/>
        </w:rPr>
        <w:t xml:space="preserve"> Equity</w:t>
      </w:r>
    </w:p>
    <w:p w14:paraId="6160C6F0" w14:textId="77777777" w:rsidR="00C65DDE" w:rsidRDefault="00C65DDE" w:rsidP="00C65DDE">
      <w:pPr>
        <w:rPr>
          <w:rFonts w:cs="Calibri"/>
        </w:rPr>
      </w:pPr>
      <w:r w:rsidRPr="00455E2C">
        <w:rPr>
          <w:rFonts w:cs="Calibri"/>
        </w:rPr>
        <w:t xml:space="preserve">The following section outlines the Applicant’s processes in place to support equitable access to </w:t>
      </w:r>
      <w:r>
        <w:rPr>
          <w:rFonts w:cs="Calibri"/>
        </w:rPr>
        <w:t>the Center</w:t>
      </w:r>
      <w:r w:rsidRPr="00455E2C">
        <w:rPr>
          <w:rFonts w:cs="Calibri"/>
        </w:rPr>
        <w:t xml:space="preserve">. </w:t>
      </w:r>
    </w:p>
    <w:p w14:paraId="58BCC9AA" w14:textId="77777777" w:rsidR="00C65DDE" w:rsidRDefault="00C65DDE" w:rsidP="00C65DDE">
      <w:pPr>
        <w:rPr>
          <w:rFonts w:cs="Calibri"/>
        </w:rPr>
      </w:pPr>
    </w:p>
    <w:p w14:paraId="5D916ED9" w14:textId="7ED3F00B" w:rsidR="00C65DDE" w:rsidRDefault="00C65DDE" w:rsidP="00C65DDE">
      <w:pPr>
        <w:rPr>
          <w:rFonts w:cs="Calibri"/>
        </w:rPr>
      </w:pPr>
      <w:r w:rsidRPr="11B112D7">
        <w:rPr>
          <w:rFonts w:cs="Calibri"/>
          <w:b/>
          <w:bCs/>
        </w:rPr>
        <w:lastRenderedPageBreak/>
        <w:t>Language Access</w:t>
      </w:r>
      <w:r w:rsidRPr="11B112D7">
        <w:rPr>
          <w:rFonts w:cs="Calibri"/>
        </w:rPr>
        <w:t>: The Applicant states that Winchester Hospital offers language services to patients</w:t>
      </w:r>
      <w:r w:rsidR="00B82E7A">
        <w:rPr>
          <w:rFonts w:cs="Calibri"/>
        </w:rPr>
        <w:t>, including the Center’s patients,</w:t>
      </w:r>
      <w:r w:rsidRPr="11B112D7">
        <w:rPr>
          <w:rFonts w:cs="Calibri"/>
        </w:rPr>
        <w:t xml:space="preserve"> across various modes of patient interaction that include in-person, remote video, and telephonically, at no cost to patients. </w:t>
      </w:r>
      <w:r w:rsidR="00074B69">
        <w:rPr>
          <w:rFonts w:cs="Calibri"/>
        </w:rPr>
        <w:t>Winchester Hospital</w:t>
      </w:r>
      <w:r w:rsidR="00723B5C" w:rsidRPr="00723B5C">
        <w:rPr>
          <w:rFonts w:cs="Calibri"/>
        </w:rPr>
        <w:t xml:space="preserve"> provides all patients, including those of the Center, with access to qualified medical interpreters through in-person and video remote interpreting (VRI) so that patients </w:t>
      </w:r>
      <w:proofErr w:type="gramStart"/>
      <w:r w:rsidR="00723B5C" w:rsidRPr="00723B5C">
        <w:rPr>
          <w:rFonts w:cs="Calibri"/>
        </w:rPr>
        <w:t>are able to</w:t>
      </w:r>
      <w:proofErr w:type="gramEnd"/>
      <w:r w:rsidR="00723B5C" w:rsidRPr="00723B5C">
        <w:rPr>
          <w:rFonts w:cs="Calibri"/>
        </w:rPr>
        <w:t xml:space="preserve"> communicate in their preferred language.</w:t>
      </w:r>
      <w:r w:rsidR="00723B5C">
        <w:rPr>
          <w:rFonts w:cs="Calibri"/>
        </w:rPr>
        <w:t xml:space="preserve"> </w:t>
      </w:r>
      <w:r w:rsidRPr="11B112D7">
        <w:rPr>
          <w:rFonts w:cs="Calibri"/>
        </w:rPr>
        <w:t xml:space="preserve">Interpreter services are available for more than 100 languages, including American Sign Language. Interpreter services can be used 24 hours a </w:t>
      </w:r>
      <w:proofErr w:type="gramStart"/>
      <w:r w:rsidRPr="11B112D7">
        <w:rPr>
          <w:rFonts w:cs="Calibri"/>
        </w:rPr>
        <w:t>day</w:t>
      </w:r>
      <w:proofErr w:type="gramEnd"/>
      <w:r w:rsidRPr="11B112D7">
        <w:rPr>
          <w:rFonts w:cs="Calibri"/>
        </w:rPr>
        <w:t xml:space="preserve"> seven days a week. </w:t>
      </w:r>
      <w:r w:rsidR="006E2B38" w:rsidRPr="006E2B38">
        <w:rPr>
          <w:rFonts w:cs="Calibri"/>
        </w:rPr>
        <w:t xml:space="preserve">The Applicant states that VRI ensures timely access (less than 15 minutes) to accurate medical translation services, and arrangements for patients requiring additional assistance are made prior to the patient’s procedure. </w:t>
      </w:r>
      <w:r w:rsidR="005A26DD" w:rsidRPr="005A26DD">
        <w:rPr>
          <w:rFonts w:cs="Calibri"/>
        </w:rPr>
        <w:t xml:space="preserve">Assisted listening devices such as </w:t>
      </w:r>
      <w:proofErr w:type="spellStart"/>
      <w:r w:rsidR="005A26DD" w:rsidRPr="005A26DD">
        <w:rPr>
          <w:rFonts w:cs="Calibri"/>
        </w:rPr>
        <w:t>PocketTalkers</w:t>
      </w:r>
      <w:proofErr w:type="spellEnd"/>
      <w:r w:rsidR="005A26DD" w:rsidRPr="005A26DD">
        <w:rPr>
          <w:rFonts w:cs="Calibri"/>
        </w:rPr>
        <w:t xml:space="preserve"> and telephone volume amplifiers are available to assist deaf and hard of hearing patients and family members. </w:t>
      </w:r>
      <w:r w:rsidR="005409F8">
        <w:rPr>
          <w:rFonts w:cs="Calibri"/>
        </w:rPr>
        <w:t xml:space="preserve">The Center is a service of Winchester Hospital and as such, interpreter services are available during the Center’s hours of operation. </w:t>
      </w:r>
      <w:r w:rsidR="00723B5C" w:rsidRPr="00723B5C">
        <w:rPr>
          <w:rFonts w:cs="Calibri"/>
        </w:rPr>
        <w:t>In FY23, there were 7,109 requested and completed language services encounters, inclusive of the Winchester Hospital - Main Campus Endoscopy and the Center.</w:t>
      </w:r>
    </w:p>
    <w:p w14:paraId="1E5BDBDF" w14:textId="77777777" w:rsidR="00AA0B39" w:rsidRDefault="00AA0B39" w:rsidP="00C65DDE">
      <w:pPr>
        <w:rPr>
          <w:rFonts w:cs="Calibri"/>
        </w:rPr>
      </w:pPr>
    </w:p>
    <w:p w14:paraId="318E0F6F" w14:textId="3E145CB7" w:rsidR="00B34C92" w:rsidRDefault="00FC523F" w:rsidP="00C65DDE">
      <w:pPr>
        <w:rPr>
          <w:rFonts w:cs="Calibri"/>
        </w:rPr>
      </w:pPr>
      <w:r>
        <w:rPr>
          <w:rFonts w:cs="Calibri"/>
        </w:rPr>
        <w:t>The Applicant maintains that Winchester Hospital provides appropriate language interpretation services for the patient on a case-by-case basis</w:t>
      </w:r>
      <w:r w:rsidR="00AB5F69">
        <w:rPr>
          <w:rFonts w:cs="Calibri"/>
        </w:rPr>
        <w:t xml:space="preserve"> even at satellite locations, including the Center</w:t>
      </w:r>
      <w:r>
        <w:rPr>
          <w:rFonts w:cs="Calibri"/>
        </w:rPr>
        <w:t xml:space="preserve">. Additionally, all pre- and post- procedure instructions and consent forms required for anesthesia and treatment are translated by a medical interpreter. Discharge instructions </w:t>
      </w:r>
      <w:r w:rsidR="00121E1C">
        <w:rPr>
          <w:rFonts w:cs="Calibri"/>
        </w:rPr>
        <w:t xml:space="preserve">that are </w:t>
      </w:r>
      <w:r>
        <w:rPr>
          <w:rFonts w:cs="Calibri"/>
        </w:rPr>
        <w:t xml:space="preserve">printed in a language other than English are reviewed by a medical interpreter. </w:t>
      </w:r>
      <w:r w:rsidR="00ED09EE">
        <w:rPr>
          <w:rFonts w:cs="Calibri"/>
        </w:rPr>
        <w:t>T</w:t>
      </w:r>
      <w:r w:rsidR="00B34C92">
        <w:rPr>
          <w:rFonts w:cs="Calibri"/>
        </w:rPr>
        <w:t xml:space="preserve">he primary languages spoken by Winchester Hospital patients for the most recent year available </w:t>
      </w:r>
      <w:r w:rsidR="00ED09EE">
        <w:rPr>
          <w:rFonts w:cs="Calibri"/>
        </w:rPr>
        <w:t>are Spanish</w:t>
      </w:r>
      <w:r w:rsidR="00DD3865">
        <w:rPr>
          <w:rFonts w:cs="Calibri"/>
        </w:rPr>
        <w:t xml:space="preserve"> (16%)</w:t>
      </w:r>
      <w:r w:rsidR="00ED09EE">
        <w:rPr>
          <w:rFonts w:cs="Calibri"/>
        </w:rPr>
        <w:t>, Chinese Mandarin</w:t>
      </w:r>
      <w:r w:rsidR="00DD3865">
        <w:rPr>
          <w:rFonts w:cs="Calibri"/>
        </w:rPr>
        <w:t xml:space="preserve"> (14%)</w:t>
      </w:r>
      <w:r w:rsidR="00ED09EE">
        <w:rPr>
          <w:rFonts w:cs="Calibri"/>
        </w:rPr>
        <w:t>, Haitian Creole</w:t>
      </w:r>
      <w:r w:rsidR="00DD3865">
        <w:rPr>
          <w:rFonts w:cs="Calibri"/>
        </w:rPr>
        <w:t xml:space="preserve"> (9%)</w:t>
      </w:r>
      <w:r w:rsidR="00ED09EE">
        <w:rPr>
          <w:rFonts w:cs="Calibri"/>
        </w:rPr>
        <w:t>, and Korean</w:t>
      </w:r>
      <w:r w:rsidR="00DD3865">
        <w:rPr>
          <w:rFonts w:cs="Calibri"/>
        </w:rPr>
        <w:t xml:space="preserve"> (7%)</w:t>
      </w:r>
      <w:r w:rsidR="00ED09EE">
        <w:rPr>
          <w:rFonts w:cs="Calibri"/>
        </w:rPr>
        <w:t xml:space="preserve">. </w:t>
      </w:r>
    </w:p>
    <w:p w14:paraId="51D3EEF2" w14:textId="77777777" w:rsidR="008E3FCA" w:rsidRPr="00B34C92" w:rsidRDefault="008E3FCA" w:rsidP="00C65DDE">
      <w:pPr>
        <w:rPr>
          <w:rFonts w:cs="Calibri"/>
          <w:b/>
          <w:bCs/>
        </w:rPr>
      </w:pPr>
    </w:p>
    <w:p w14:paraId="66DD0F33" w14:textId="1589AC3D" w:rsidR="00C65DDE" w:rsidRDefault="00C65DDE" w:rsidP="00C65DDE">
      <w:pPr>
        <w:rPr>
          <w:rFonts w:cs="Calibri"/>
        </w:rPr>
      </w:pPr>
      <w:r w:rsidRPr="00F00102">
        <w:rPr>
          <w:rFonts w:cs="Calibri"/>
          <w:b/>
          <w:bCs/>
        </w:rPr>
        <w:t>Social Determinants of Health</w:t>
      </w:r>
      <w:r w:rsidR="00282BE3">
        <w:rPr>
          <w:rFonts w:cs="Calibri"/>
          <w:b/>
          <w:bCs/>
        </w:rPr>
        <w:t xml:space="preserve"> (</w:t>
      </w:r>
      <w:proofErr w:type="spellStart"/>
      <w:r w:rsidR="00282BE3">
        <w:rPr>
          <w:rFonts w:cs="Calibri"/>
          <w:b/>
          <w:bCs/>
        </w:rPr>
        <w:t>SDoH</w:t>
      </w:r>
      <w:proofErr w:type="spellEnd"/>
      <w:r w:rsidR="00282BE3">
        <w:rPr>
          <w:rFonts w:cs="Calibri"/>
          <w:b/>
          <w:bCs/>
        </w:rPr>
        <w:t>)</w:t>
      </w:r>
      <w:r w:rsidRPr="00F00102">
        <w:rPr>
          <w:rFonts w:cs="Calibri"/>
          <w:b/>
          <w:bCs/>
        </w:rPr>
        <w:t>:</w:t>
      </w:r>
      <w:r>
        <w:rPr>
          <w:rFonts w:cs="Calibri"/>
          <w:b/>
          <w:bCs/>
        </w:rPr>
        <w:t xml:space="preserve"> </w:t>
      </w:r>
      <w:r>
        <w:rPr>
          <w:rFonts w:cs="Calibri"/>
        </w:rPr>
        <w:t>The Applicant states that all Winchester Hospital patients are screened</w:t>
      </w:r>
      <w:r w:rsidR="00147A05">
        <w:rPr>
          <w:rFonts w:cs="Calibri"/>
        </w:rPr>
        <w:t xml:space="preserve"> for </w:t>
      </w:r>
      <w:proofErr w:type="spellStart"/>
      <w:r w:rsidR="00147A05">
        <w:rPr>
          <w:rFonts w:cs="Calibri"/>
        </w:rPr>
        <w:t>SDoH</w:t>
      </w:r>
      <w:proofErr w:type="spellEnd"/>
      <w:r>
        <w:rPr>
          <w:rFonts w:cs="Calibri"/>
        </w:rPr>
        <w:t xml:space="preserve"> during the initial consultation by nurse staff </w:t>
      </w:r>
      <w:r w:rsidR="005F1693">
        <w:rPr>
          <w:rFonts w:cs="Calibri"/>
        </w:rPr>
        <w:t>and that</w:t>
      </w:r>
      <w:r>
        <w:rPr>
          <w:rFonts w:cs="Calibri"/>
        </w:rPr>
        <w:t xml:space="preserve"> </w:t>
      </w:r>
      <w:r w:rsidR="00991DB2">
        <w:rPr>
          <w:rFonts w:cs="Calibri"/>
        </w:rPr>
        <w:t xml:space="preserve">Winchester </w:t>
      </w:r>
      <w:r>
        <w:rPr>
          <w:rFonts w:cs="Calibri"/>
        </w:rPr>
        <w:t xml:space="preserve">Hospital coordinates necessary interventions, </w:t>
      </w:r>
      <w:r w:rsidR="00991DB2">
        <w:rPr>
          <w:rFonts w:cs="Calibri"/>
        </w:rPr>
        <w:t xml:space="preserve">and </w:t>
      </w:r>
      <w:r>
        <w:rPr>
          <w:rFonts w:cs="Calibri"/>
        </w:rPr>
        <w:t>referrals to social work or other appropriate services are made as needed via the BILH Find Help platform, a patient resource that connects people to free or low-cost services near them.</w:t>
      </w:r>
      <w:r w:rsidR="003F10CC">
        <w:rPr>
          <w:rFonts w:cs="Calibri"/>
        </w:rPr>
        <w:t xml:space="preserve"> </w:t>
      </w:r>
      <w:r w:rsidR="004C30E5">
        <w:rPr>
          <w:rFonts w:cs="Calibri"/>
        </w:rPr>
        <w:t>A</w:t>
      </w:r>
      <w:r w:rsidR="00F513C6">
        <w:rPr>
          <w:rFonts w:cs="Calibri"/>
        </w:rPr>
        <w:t>dditionally, a</w:t>
      </w:r>
      <w:r w:rsidR="004C30E5">
        <w:rPr>
          <w:rFonts w:cs="Calibri"/>
        </w:rPr>
        <w:t xml:space="preserve">ll the Center’s patients are screened for </w:t>
      </w:r>
      <w:r w:rsidR="008F6C40" w:rsidRPr="008F6C40">
        <w:rPr>
          <w:rFonts w:cs="Calibri"/>
        </w:rPr>
        <w:t xml:space="preserve">safety at home and BILH Find Help Resources are included </w:t>
      </w:r>
      <w:r w:rsidR="000C2046">
        <w:rPr>
          <w:rFonts w:cs="Calibri"/>
        </w:rPr>
        <w:t>i</w:t>
      </w:r>
      <w:r w:rsidR="008F6C40" w:rsidRPr="008F6C40">
        <w:rPr>
          <w:rFonts w:cs="Calibri"/>
        </w:rPr>
        <w:t>n every patient’s After Visit Summary at discharge</w:t>
      </w:r>
      <w:r w:rsidR="004C30E5">
        <w:rPr>
          <w:rFonts w:cs="Calibri"/>
        </w:rPr>
        <w:t>, regardless of how they screen for safety at home</w:t>
      </w:r>
      <w:r w:rsidR="00D246EA">
        <w:rPr>
          <w:rFonts w:cs="Calibri"/>
        </w:rPr>
        <w:t xml:space="preserve">. </w:t>
      </w:r>
      <w:r w:rsidR="002A3CDE">
        <w:rPr>
          <w:rFonts w:cs="Calibri"/>
        </w:rPr>
        <w:t>When any issue o</w:t>
      </w:r>
      <w:r w:rsidR="00E175C6">
        <w:rPr>
          <w:rFonts w:cs="Calibri"/>
        </w:rPr>
        <w:t>r</w:t>
      </w:r>
      <w:r w:rsidR="002A3CDE">
        <w:rPr>
          <w:rFonts w:cs="Calibri"/>
        </w:rPr>
        <w:t xml:space="preserve"> concern is disclosed to</w:t>
      </w:r>
      <w:r w:rsidR="00D246EA">
        <w:rPr>
          <w:rFonts w:cs="Calibri"/>
        </w:rPr>
        <w:t xml:space="preserve"> Center staff</w:t>
      </w:r>
      <w:r w:rsidR="002A3CDE">
        <w:rPr>
          <w:rFonts w:cs="Calibri"/>
        </w:rPr>
        <w:t xml:space="preserve"> during a patient’s visit</w:t>
      </w:r>
      <w:r w:rsidR="00D246EA">
        <w:rPr>
          <w:rFonts w:cs="Calibri"/>
        </w:rPr>
        <w:t>, a referral is made to the appropriate resource</w:t>
      </w:r>
      <w:r w:rsidR="002A3CDE">
        <w:rPr>
          <w:rFonts w:cs="Calibri"/>
        </w:rPr>
        <w:t xml:space="preserve">s, </w:t>
      </w:r>
      <w:r w:rsidR="00E175C6">
        <w:rPr>
          <w:rFonts w:cs="Calibri"/>
        </w:rPr>
        <w:t>which include</w:t>
      </w:r>
      <w:r w:rsidR="002A3CDE">
        <w:rPr>
          <w:rFonts w:cs="Calibri"/>
        </w:rPr>
        <w:t xml:space="preserve"> social work</w:t>
      </w:r>
      <w:r w:rsidR="00D246EA">
        <w:rPr>
          <w:rFonts w:cs="Calibri"/>
        </w:rPr>
        <w:t xml:space="preserve">. </w:t>
      </w:r>
    </w:p>
    <w:p w14:paraId="499CF5DD" w14:textId="77777777" w:rsidR="00C65DDE" w:rsidRDefault="00C65DDE" w:rsidP="00C65DDE">
      <w:pPr>
        <w:rPr>
          <w:rFonts w:cs="Calibri"/>
        </w:rPr>
      </w:pPr>
    </w:p>
    <w:p w14:paraId="2590ED10" w14:textId="7152EF18" w:rsidR="00C65DDE" w:rsidRDefault="00C65DDE" w:rsidP="00C65DDE">
      <w:pPr>
        <w:rPr>
          <w:rFonts w:cs="Calibri"/>
        </w:rPr>
      </w:pPr>
      <w:r w:rsidRPr="006817AD">
        <w:rPr>
          <w:rFonts w:cs="Calibri"/>
          <w:b/>
          <w:bCs/>
        </w:rPr>
        <w:t xml:space="preserve">RELD/SOGI Data Collection: </w:t>
      </w:r>
      <w:r>
        <w:rPr>
          <w:rFonts w:cs="Calibri"/>
        </w:rPr>
        <w:t xml:space="preserve">The Applicant states that BILH has implemented an initiative to collect detailed information on patient demographics that include race, ethnicity, language, disability status, sexual orientation, and gender identity (RELD/SOGI), which the Applicant states is essential for identifying, monitoring, and addressing health disparities within the community. BILH collects RELD/SOGI data during patient registration and through self-reporting in MyChart. To ensure consistent and reliable data collection in </w:t>
      </w:r>
      <w:r w:rsidR="00905BDD">
        <w:rPr>
          <w:rFonts w:cs="Calibri"/>
        </w:rPr>
        <w:t xml:space="preserve">its </w:t>
      </w:r>
      <w:r>
        <w:rPr>
          <w:rFonts w:cs="Calibri"/>
        </w:rPr>
        <w:t xml:space="preserve">electronic medical record system (EMR), BILH assembled a multidisciplinary team including representatives from patient access services, information services, nursing, social work, community benefits, and community relations, </w:t>
      </w:r>
      <w:r w:rsidR="00C77F6B">
        <w:rPr>
          <w:rFonts w:cs="Calibri"/>
        </w:rPr>
        <w:t>to work</w:t>
      </w:r>
      <w:r>
        <w:rPr>
          <w:rFonts w:cs="Calibri"/>
        </w:rPr>
        <w:t xml:space="preserve"> with patient representatives to develop a standardized set of demographic data elements and establish best practices and processes. </w:t>
      </w:r>
      <w:r w:rsidR="00A26796">
        <w:rPr>
          <w:rFonts w:cs="Calibri"/>
        </w:rPr>
        <w:t>Winchester Hospital</w:t>
      </w:r>
      <w:r w:rsidR="00AD0E31">
        <w:rPr>
          <w:rFonts w:cs="Calibri"/>
        </w:rPr>
        <w:t xml:space="preserve">, including </w:t>
      </w:r>
      <w:r w:rsidR="00A26796">
        <w:rPr>
          <w:rFonts w:cs="Calibri"/>
        </w:rPr>
        <w:t>Center staff</w:t>
      </w:r>
      <w:r w:rsidR="00707297">
        <w:rPr>
          <w:rFonts w:cs="Calibri"/>
        </w:rPr>
        <w:t xml:space="preserve">, </w:t>
      </w:r>
      <w:r>
        <w:rPr>
          <w:rFonts w:cs="Calibri"/>
        </w:rPr>
        <w:t xml:space="preserve">receive ongoing training on health equity, disability, interpreter services, and </w:t>
      </w:r>
      <w:proofErr w:type="spellStart"/>
      <w:r w:rsidR="00481DD8">
        <w:rPr>
          <w:rFonts w:cs="Calibri"/>
        </w:rPr>
        <w:t>SDoHs</w:t>
      </w:r>
      <w:proofErr w:type="spellEnd"/>
      <w:r>
        <w:rPr>
          <w:rFonts w:cs="Calibri"/>
        </w:rPr>
        <w:t xml:space="preserve">, through department meetings and online </w:t>
      </w:r>
      <w:r>
        <w:rPr>
          <w:rFonts w:cs="Calibri"/>
        </w:rPr>
        <w:lastRenderedPageBreak/>
        <w:t xml:space="preserve">learning modules. </w:t>
      </w:r>
    </w:p>
    <w:p w14:paraId="6E2B1600" w14:textId="77777777" w:rsidR="00B34C92" w:rsidRDefault="00B34C92" w:rsidP="00C65DDE">
      <w:pPr>
        <w:rPr>
          <w:rFonts w:cs="Calibri"/>
        </w:rPr>
      </w:pPr>
    </w:p>
    <w:p w14:paraId="16333ED1" w14:textId="118E8E49" w:rsidR="00B34C92" w:rsidRPr="00E637F5" w:rsidRDefault="008E3FCA" w:rsidP="00E637F5">
      <w:pPr>
        <w:rPr>
          <w:rFonts w:cs="Calibri"/>
        </w:rPr>
      </w:pPr>
      <w:r>
        <w:rPr>
          <w:rFonts w:cs="Calibri"/>
        </w:rPr>
        <w:t xml:space="preserve">The Applicant states that BILH Performance Network (BILHPN) </w:t>
      </w:r>
      <w:r w:rsidR="002B102A">
        <w:rPr>
          <w:rFonts w:cs="Calibri"/>
        </w:rPr>
        <w:t xml:space="preserve">is </w:t>
      </w:r>
      <w:r w:rsidRPr="008E3FCA">
        <w:rPr>
          <w:rFonts w:cs="Calibri"/>
        </w:rPr>
        <w:t>commit</w:t>
      </w:r>
      <w:r w:rsidR="002B102A">
        <w:rPr>
          <w:rFonts w:cs="Calibri"/>
        </w:rPr>
        <w:t>ted</w:t>
      </w:r>
      <w:r w:rsidRPr="008E3FCA">
        <w:rPr>
          <w:rFonts w:cs="Calibri"/>
        </w:rPr>
        <w:t xml:space="preserve"> to the quality performance measures outlined in at-risk payer contracts, that include colonoscopy. The payer contracts support accountability in providing appropriate screening for all patients, and include focused effort to address disparities among Asian, Black, and Hispanic populations.</w:t>
      </w:r>
      <w:r w:rsidR="00E637F5">
        <w:rPr>
          <w:rFonts w:cs="Calibri"/>
        </w:rPr>
        <w:t xml:space="preserve"> BILHPN </w:t>
      </w:r>
      <w:r w:rsidRPr="00E637F5">
        <w:rPr>
          <w:rFonts w:cs="Calibri"/>
        </w:rPr>
        <w:t>collaborat</w:t>
      </w:r>
      <w:r w:rsidR="00E637F5">
        <w:rPr>
          <w:rFonts w:cs="Calibri"/>
        </w:rPr>
        <w:t>es</w:t>
      </w:r>
      <w:r w:rsidRPr="00E637F5">
        <w:rPr>
          <w:rFonts w:cs="Calibri"/>
        </w:rPr>
        <w:t xml:space="preserve"> with multiple </w:t>
      </w:r>
      <w:proofErr w:type="gramStart"/>
      <w:r w:rsidRPr="00E637F5">
        <w:rPr>
          <w:rFonts w:cs="Calibri"/>
        </w:rPr>
        <w:t>payer</w:t>
      </w:r>
      <w:proofErr w:type="gramEnd"/>
      <w:r w:rsidRPr="00E637F5">
        <w:rPr>
          <w:rFonts w:cs="Calibri"/>
        </w:rPr>
        <w:t xml:space="preserve"> plans to expand access to at-home screening options and timely follow-up care, including colonoscopy for patients with positive results. Population health specialists review monthly reports of positive cases and confirm appropriate follow-care for patients. </w:t>
      </w:r>
      <w:r w:rsidR="00E637F5">
        <w:rPr>
          <w:rFonts w:cs="Calibri"/>
        </w:rPr>
        <w:t xml:space="preserve">BILHPN </w:t>
      </w:r>
      <w:r w:rsidR="001D204C">
        <w:rPr>
          <w:rFonts w:cs="Calibri"/>
        </w:rPr>
        <w:t xml:space="preserve">also </w:t>
      </w:r>
      <w:r w:rsidRPr="00E637F5">
        <w:rPr>
          <w:rFonts w:cs="Calibri"/>
        </w:rPr>
        <w:t>collaborat</w:t>
      </w:r>
      <w:r w:rsidR="00E637F5">
        <w:rPr>
          <w:rFonts w:cs="Calibri"/>
        </w:rPr>
        <w:t>es</w:t>
      </w:r>
      <w:r w:rsidRPr="00E637F5">
        <w:rPr>
          <w:rFonts w:cs="Calibri"/>
        </w:rPr>
        <w:t xml:space="preserve"> with the BILH Ambulatory SafetyNet (ASN) team to address gaps in care, through ASN navigators that conduct outreach to patients. </w:t>
      </w:r>
      <w:r w:rsidR="00641674">
        <w:rPr>
          <w:rFonts w:cs="Calibri"/>
        </w:rPr>
        <w:t>As a satellite of Winchester Hospital, the Center is included in BI</w:t>
      </w:r>
      <w:r w:rsidR="00673842">
        <w:rPr>
          <w:rFonts w:cs="Calibri"/>
        </w:rPr>
        <w:t>L</w:t>
      </w:r>
      <w:r w:rsidR="00641674">
        <w:rPr>
          <w:rFonts w:cs="Calibri"/>
        </w:rPr>
        <w:t xml:space="preserve">HPN’s work. </w:t>
      </w:r>
    </w:p>
    <w:p w14:paraId="43E3471E" w14:textId="77777777" w:rsidR="00C65DDE" w:rsidRPr="001768CD" w:rsidRDefault="00C65DDE" w:rsidP="00C65DDE">
      <w:pPr>
        <w:rPr>
          <w:rFonts w:cs="Calibri"/>
          <w:szCs w:val="24"/>
        </w:rPr>
      </w:pPr>
    </w:p>
    <w:p w14:paraId="4F867B59" w14:textId="77777777" w:rsidR="00A63397" w:rsidRPr="00357E82" w:rsidRDefault="00E04133" w:rsidP="00357E82">
      <w:pPr>
        <w:pStyle w:val="Heading3"/>
        <w:rPr>
          <w:i/>
          <w:iCs/>
        </w:rPr>
      </w:pPr>
      <w:r w:rsidRPr="00357E82">
        <w:rPr>
          <w:i/>
          <w:iCs/>
        </w:rPr>
        <w:t>Analysis</w:t>
      </w:r>
      <w:r w:rsidR="00303C0E" w:rsidRPr="00357E82">
        <w:rPr>
          <w:i/>
          <w:iCs/>
        </w:rPr>
        <w:t>:</w:t>
      </w:r>
      <w:r w:rsidRPr="00357E82">
        <w:rPr>
          <w:i/>
          <w:iCs/>
        </w:rPr>
        <w:t xml:space="preserve"> Health Equity </w:t>
      </w:r>
      <w:bookmarkStart w:id="7" w:name="Factor_1:_c)_Efficiency,_Continuity_of_C"/>
      <w:bookmarkEnd w:id="7"/>
    </w:p>
    <w:p w14:paraId="6923BEF4" w14:textId="3EC84603" w:rsidR="00F90CBB" w:rsidRPr="00A63397" w:rsidRDefault="00702AE9" w:rsidP="00C316C3">
      <w:pPr>
        <w:rPr>
          <w:rFonts w:asciiTheme="minorHAnsi" w:hAnsiTheme="minorHAnsi"/>
          <w:b/>
          <w:bCs/>
          <w:i/>
          <w:iCs/>
          <w:szCs w:val="24"/>
        </w:rPr>
      </w:pPr>
      <w:r>
        <w:t xml:space="preserve">Staff finds that the Applicant has adequately described processes in place to support equitable access to the Center. </w:t>
      </w:r>
      <w:r w:rsidR="0050666D" w:rsidRPr="0050666D">
        <w:t xml:space="preserve">In order to ensure that the Proposed Project increases access to care for patients insured by MassHealth, as a Condition of Approval, the Applicant will </w:t>
      </w:r>
      <w:r w:rsidR="00F04719">
        <w:t>report annually on the Center’s payer mix</w:t>
      </w:r>
      <w:r w:rsidR="00430C0F">
        <w:t xml:space="preserve"> </w:t>
      </w:r>
      <w:r w:rsidR="0050666D" w:rsidRPr="0050666D">
        <w:t>to demonstrate measurable progress</w:t>
      </w:r>
      <w:r w:rsidR="008E7574">
        <w:t xml:space="preserve"> and will submit a plan to the Department </w:t>
      </w:r>
      <w:r w:rsidR="00922FB7">
        <w:t xml:space="preserve">to increase the Center’s payer mix </w:t>
      </w:r>
      <w:r w:rsidR="008E7574">
        <w:t xml:space="preserve">in </w:t>
      </w:r>
      <w:r w:rsidR="0013046C">
        <w:t>the event of a material</w:t>
      </w:r>
      <w:r w:rsidR="008E7574">
        <w:t xml:space="preserve"> decrease in the Center’s payer mix</w:t>
      </w:r>
      <w:r w:rsidR="0013046C">
        <w:t xml:space="preserve"> during the reporting period</w:t>
      </w:r>
      <w:r w:rsidR="0050666D" w:rsidRPr="0050666D">
        <w:t xml:space="preserve">. The Applicant will also report annually on </w:t>
      </w:r>
      <w:r w:rsidR="00BF242B">
        <w:t xml:space="preserve">the Center’s </w:t>
      </w:r>
      <w:r w:rsidR="0050666D" w:rsidRPr="0050666D">
        <w:t>patien</w:t>
      </w:r>
      <w:r w:rsidR="00BF242B">
        <w:t>ts stratified by</w:t>
      </w:r>
      <w:r w:rsidR="0050666D" w:rsidRPr="0050666D">
        <w:t xml:space="preserve"> race and ethnicity</w:t>
      </w:r>
      <w:r w:rsidR="004C01E6">
        <w:t>,</w:t>
      </w:r>
      <w:r w:rsidR="004C01E6" w:rsidRPr="004C01E6">
        <w:rPr>
          <w:bdr w:val="none" w:sz="0" w:space="0" w:color="auto" w:frame="1"/>
        </w:rPr>
        <w:t xml:space="preserve"> </w:t>
      </w:r>
      <w:r w:rsidR="004C01E6" w:rsidRPr="004C01E6">
        <w:t>language, zip code of residence, and payer mix</w:t>
      </w:r>
      <w:r w:rsidR="0050666D" w:rsidRPr="0050666D">
        <w:t xml:space="preserve">. The full text of the Conditions is listed in the “Other Conditions” section of this report. </w:t>
      </w:r>
      <w:r w:rsidR="1C48E955">
        <w:t>Staff finds that</w:t>
      </w:r>
      <w:r w:rsidR="67DFE0D9">
        <w:t xml:space="preserve"> with the “Other Condition</w:t>
      </w:r>
      <w:r w:rsidR="00437675">
        <w:t>s</w:t>
      </w:r>
      <w:r w:rsidR="67DFE0D9">
        <w:t xml:space="preserve">” listed </w:t>
      </w:r>
      <w:r w:rsidR="008E455F">
        <w:t>below</w:t>
      </w:r>
      <w:r w:rsidR="00B23070">
        <w:t>,</w:t>
      </w:r>
      <w:r w:rsidR="1C48E955">
        <w:t xml:space="preserve"> the Applicant sufficiently demonstrated </w:t>
      </w:r>
      <w:r w:rsidR="5A06DAFF">
        <w:t xml:space="preserve">reasonable </w:t>
      </w:r>
      <w:r w:rsidR="1C48E955">
        <w:t xml:space="preserve">efforts to </w:t>
      </w:r>
      <w:r w:rsidR="44715C06">
        <w:t>provide</w:t>
      </w:r>
      <w:r w:rsidR="4AAD2A96">
        <w:t xml:space="preserve"> equitable access to</w:t>
      </w:r>
      <w:r w:rsidR="00352585">
        <w:t xml:space="preserve"> the Center’s</w:t>
      </w:r>
      <w:r w:rsidR="4AAD2A96">
        <w:t xml:space="preserve"> services</w:t>
      </w:r>
      <w:r w:rsidR="1C48E955">
        <w:t>. As a result, Staff finds that the Applicant meets the requirements of the Public Health Value: Health Equity part of Factor 1b.</w:t>
      </w:r>
    </w:p>
    <w:p w14:paraId="364FCEC6" w14:textId="77777777" w:rsidR="00EF0836" w:rsidRDefault="00EF0836" w:rsidP="00C316C3"/>
    <w:p w14:paraId="4D6A5DD0" w14:textId="18456510" w:rsidR="006B4691" w:rsidRDefault="00A4110F" w:rsidP="00357E82">
      <w:pPr>
        <w:pStyle w:val="Heading2"/>
      </w:pPr>
      <w:bookmarkStart w:id="8" w:name="_Toc226541452"/>
      <w:r w:rsidRPr="003436F0">
        <w:t>Factor 1: c) Efficiency, Continuity of Care, Coordination of Care</w:t>
      </w:r>
      <w:bookmarkEnd w:id="8"/>
    </w:p>
    <w:p w14:paraId="217D5144" w14:textId="6ED1EFB1" w:rsidR="00B36F42" w:rsidRPr="00B36F42" w:rsidRDefault="49701A81" w:rsidP="00C316C3">
      <w:r>
        <w:t>The Applicant states that the Proposed Project will operate efficiently and effectively by furthering the continuity and coordination of care for the Applicant’s Patient Panel.</w:t>
      </w:r>
      <w:r w:rsidR="62BC9E5D">
        <w:t xml:space="preserve"> The Applicant states </w:t>
      </w:r>
      <w:r w:rsidR="008E3FCA">
        <w:t xml:space="preserve">further </w:t>
      </w:r>
      <w:r w:rsidR="62BC9E5D">
        <w:t xml:space="preserve">that its care coordination </w:t>
      </w:r>
      <w:r w:rsidR="00791F15">
        <w:t xml:space="preserve">systems </w:t>
      </w:r>
      <w:r w:rsidR="00A9100C">
        <w:t>support</w:t>
      </w:r>
      <w:r w:rsidR="62BC9E5D">
        <w:t xml:space="preserve"> </w:t>
      </w:r>
      <w:r w:rsidR="00791F15">
        <w:t>e</w:t>
      </w:r>
      <w:r w:rsidR="62BC9E5D">
        <w:t>ffective communicat</w:t>
      </w:r>
      <w:r w:rsidR="00791F15">
        <w:t xml:space="preserve">ion between </w:t>
      </w:r>
      <w:r w:rsidR="62BC9E5D">
        <w:t>providers and connect</w:t>
      </w:r>
      <w:r w:rsidR="00791F15">
        <w:t>ion</w:t>
      </w:r>
      <w:r w:rsidR="62BC9E5D">
        <w:t xml:space="preserve"> to other </w:t>
      </w:r>
      <w:r w:rsidR="00791F15">
        <w:t xml:space="preserve">appropriate </w:t>
      </w:r>
      <w:r w:rsidR="62BC9E5D">
        <w:t xml:space="preserve">services outside of the </w:t>
      </w:r>
      <w:r w:rsidR="0092476B">
        <w:t>Center.</w:t>
      </w:r>
      <w:r w:rsidR="008E3FCA">
        <w:t xml:space="preserve"> </w:t>
      </w:r>
    </w:p>
    <w:p w14:paraId="560BD714" w14:textId="77777777" w:rsidR="00910780" w:rsidRDefault="00910780" w:rsidP="00C316C3"/>
    <w:p w14:paraId="15546072" w14:textId="4278C1FD" w:rsidR="008F28C1" w:rsidRDefault="76A4CDE3" w:rsidP="007C047F">
      <w:r w:rsidRPr="28157CC0">
        <w:rPr>
          <w:b/>
          <w:bCs/>
        </w:rPr>
        <w:t>Care Coordination</w:t>
      </w:r>
      <w:r>
        <w:t xml:space="preserve">: </w:t>
      </w:r>
      <w:r w:rsidR="004E388D">
        <w:t>BILH and Winchester Hospital use a shared EMR system, and this will further continuity of care at the Cente</w:t>
      </w:r>
      <w:r w:rsidR="007B7C88">
        <w:t>r.</w:t>
      </w:r>
      <w:r w:rsidR="007C047F">
        <w:t xml:space="preserve"> </w:t>
      </w:r>
      <w:r w:rsidR="007B7C88">
        <w:t>T</w:t>
      </w:r>
      <w:r w:rsidR="004E388D">
        <w:t>he EMR connects patient information from endoscopy services to the</w:t>
      </w:r>
      <w:r w:rsidR="00A64A5D">
        <w:t>ir</w:t>
      </w:r>
      <w:r w:rsidR="004E388D">
        <w:t xml:space="preserve"> Winchester Hospital profile, allowing for coordination of care between endoscopy providers and other members of the patient’s care team. </w:t>
      </w:r>
      <w:r w:rsidR="00EE1FEB">
        <w:t xml:space="preserve">All </w:t>
      </w:r>
      <w:r w:rsidR="004E388D">
        <w:t>BILH-affiliated providers</w:t>
      </w:r>
      <w:r w:rsidR="00C36DDD">
        <w:t xml:space="preserve">, </w:t>
      </w:r>
      <w:r w:rsidR="00882677">
        <w:t xml:space="preserve">which </w:t>
      </w:r>
      <w:r w:rsidR="00C36DDD">
        <w:t>includ</w:t>
      </w:r>
      <w:r w:rsidR="00882677">
        <w:t>e</w:t>
      </w:r>
      <w:r w:rsidR="00C36DDD">
        <w:t xml:space="preserve"> DHA and Atrius providers,</w:t>
      </w:r>
      <w:r w:rsidR="004E388D">
        <w:t xml:space="preserve"> receive case notes following the endoscopy procedure at the Center, and the information is uploaded to the EMR system, and can be quickly shared to the patient’s portal. The notes and results in the EMR system can be easily shared with providers in other networks, supporting comprehensive care across care teams. </w:t>
      </w:r>
    </w:p>
    <w:p w14:paraId="133E4EAA" w14:textId="77777777" w:rsidR="004E388D" w:rsidRDefault="004E388D" w:rsidP="004E388D"/>
    <w:p w14:paraId="544A0DF9" w14:textId="7E4BABCD" w:rsidR="008E3FCA" w:rsidRDefault="00973DB8" w:rsidP="004E388D">
      <w:r>
        <w:t>The Applicant states that p</w:t>
      </w:r>
      <w:r w:rsidRPr="00973DB8">
        <w:t xml:space="preserve">atients who have </w:t>
      </w:r>
      <w:proofErr w:type="gramStart"/>
      <w:r w:rsidRPr="00973DB8">
        <w:t>their endoscopy</w:t>
      </w:r>
      <w:proofErr w:type="gramEnd"/>
      <w:r w:rsidRPr="00973DB8">
        <w:t xml:space="preserve"> at the </w:t>
      </w:r>
      <w:proofErr w:type="gramStart"/>
      <w:r w:rsidRPr="00973DB8">
        <w:t>Center,</w:t>
      </w:r>
      <w:proofErr w:type="gramEnd"/>
      <w:r w:rsidRPr="00973DB8">
        <w:t xml:space="preserve"> are captured in the EMR maintained by the Center, but </w:t>
      </w:r>
      <w:r w:rsidR="00A9283C">
        <w:t xml:space="preserve">the </w:t>
      </w:r>
      <w:r w:rsidRPr="00973DB8">
        <w:t>patient’s provider is the primary responsible part</w:t>
      </w:r>
      <w:r w:rsidR="00A9283C">
        <w:t>y</w:t>
      </w:r>
      <w:r w:rsidRPr="00973DB8">
        <w:t xml:space="preserve"> for maintaining the patient’s health record. </w:t>
      </w:r>
      <w:r w:rsidR="007C047F">
        <w:t>A</w:t>
      </w:r>
      <w:r w:rsidR="00F73826" w:rsidRPr="00F73826">
        <w:t xml:space="preserve">ll providers who operate at the Center are affiliated with BILH and </w:t>
      </w:r>
      <w:proofErr w:type="gramStart"/>
      <w:r w:rsidR="00F73826" w:rsidRPr="00F73826">
        <w:t xml:space="preserve">are </w:t>
      </w:r>
      <w:r w:rsidR="00F73826" w:rsidRPr="00F73826">
        <w:lastRenderedPageBreak/>
        <w:t>able to</w:t>
      </w:r>
      <w:proofErr w:type="gramEnd"/>
      <w:r w:rsidR="00F73826" w:rsidRPr="00F73826">
        <w:t xml:space="preserve"> access its EMR, however the Center itself does not </w:t>
      </w:r>
      <w:r w:rsidR="007C047F" w:rsidRPr="00F73826">
        <w:t>play</w:t>
      </w:r>
      <w:r w:rsidR="00F73826" w:rsidRPr="00F73826">
        <w:t xml:space="preserve"> a role in patient record sharing. </w:t>
      </w:r>
      <w:r w:rsidR="008E3FCA">
        <w:t xml:space="preserve">All patients of the Center are treated by a GI provider with whom they have an established relationship prior to their endoscopy procedure. The </w:t>
      </w:r>
      <w:r w:rsidR="00F73826">
        <w:t xml:space="preserve">GI provider is responsible for all documentation prior to, during and after the procedure and is responsible for ensuring that patients receive access to their follow-up notes and test results. </w:t>
      </w:r>
      <w:r w:rsidR="00DF5FD9">
        <w:t>The Center’s staff update the EMR maintained by the Center with all actions taken by the Center’s staff, such as pre- and post-operative care</w:t>
      </w:r>
      <w:r w:rsidR="004A7F15">
        <w:t xml:space="preserve">, and </w:t>
      </w:r>
      <w:r w:rsidR="00DF5FD9">
        <w:t xml:space="preserve">the endoscopy provider is responsible for surgery notes, discharge instructions, and </w:t>
      </w:r>
      <w:proofErr w:type="gramStart"/>
      <w:r w:rsidR="00DF5FD9">
        <w:t>pathology</w:t>
      </w:r>
      <w:proofErr w:type="gramEnd"/>
      <w:r w:rsidR="00DF5FD9">
        <w:t xml:space="preserve"> results. </w:t>
      </w:r>
    </w:p>
    <w:p w14:paraId="7C5E9FDD" w14:textId="77777777" w:rsidR="008E3FCA" w:rsidRDefault="008E3FCA" w:rsidP="004E388D"/>
    <w:p w14:paraId="4322E61B" w14:textId="635F41A2" w:rsidR="00D6746F" w:rsidRDefault="00D6746F" w:rsidP="004E388D">
      <w:r>
        <w:t xml:space="preserve">Winchester Hospital participates in the MassHealth ACO Program through Beth Israel Deaconess Care Organization (BIDCO), </w:t>
      </w:r>
      <w:r w:rsidR="00FC3BE1" w:rsidRPr="00FC3BE1">
        <w:t xml:space="preserve">a value-based physician and hospital network and </w:t>
      </w:r>
      <w:r w:rsidR="00FC3BE1">
        <w:t xml:space="preserve">ACO that </w:t>
      </w:r>
      <w:r w:rsidR="00383590">
        <w:t xml:space="preserve">leverages </w:t>
      </w:r>
      <w:r w:rsidR="00B524E5">
        <w:t xml:space="preserve">the skills of </w:t>
      </w:r>
      <w:r w:rsidR="00383590">
        <w:t xml:space="preserve">PCPs, specialists, and community </w:t>
      </w:r>
      <w:r w:rsidR="00623D6C">
        <w:t xml:space="preserve">hospitals to </w:t>
      </w:r>
      <w:r w:rsidR="00B524E5">
        <w:t>improve patient care and care management</w:t>
      </w:r>
      <w:r w:rsidR="00623D6C">
        <w:t>.</w:t>
      </w:r>
      <w:r w:rsidR="00B524E5">
        <w:t xml:space="preserve"> </w:t>
      </w:r>
      <w:r w:rsidR="00AD0034">
        <w:t xml:space="preserve">The Applicant maintains that BIDCO is committed to expanding access to high-quality care for members who are more likely </w:t>
      </w:r>
      <w:r w:rsidR="0028600D" w:rsidRPr="0028600D">
        <w:t xml:space="preserve">to experience unmet </w:t>
      </w:r>
      <w:proofErr w:type="spellStart"/>
      <w:r w:rsidR="0028600D" w:rsidRPr="0028600D">
        <w:t>SDoH</w:t>
      </w:r>
      <w:proofErr w:type="spellEnd"/>
      <w:r w:rsidR="0028600D" w:rsidRPr="0028600D">
        <w:t xml:space="preserve"> need</w:t>
      </w:r>
      <w:r w:rsidR="0028600D">
        <w:t xml:space="preserve">s </w:t>
      </w:r>
      <w:r w:rsidR="00AD0034">
        <w:t xml:space="preserve">than the commercially insured population. </w:t>
      </w:r>
      <w:r w:rsidR="00B524E5">
        <w:t xml:space="preserve">BIDCO advances health care through its robust care coordination efforts, </w:t>
      </w:r>
      <w:proofErr w:type="gramStart"/>
      <w:r w:rsidR="00B524E5">
        <w:t>and in particular, through</w:t>
      </w:r>
      <w:proofErr w:type="gramEnd"/>
      <w:r w:rsidR="00B524E5">
        <w:t xml:space="preserve"> providing data analysis and risk management tools to BILH providers, including a Population Health Management Tool that assists PCPs in monitoring patient health and managing chronic conditions. The Applicant asserts that primary care linkages will improve care for BILH patients and support provision of high-quality care and effective care coordination. </w:t>
      </w:r>
      <w:r w:rsidR="00623D6C">
        <w:t xml:space="preserve"> </w:t>
      </w:r>
    </w:p>
    <w:p w14:paraId="22AB510D" w14:textId="77777777" w:rsidR="00D6746F" w:rsidRPr="00E55F87" w:rsidRDefault="00D6746F" w:rsidP="004E388D"/>
    <w:p w14:paraId="550AD8B9" w14:textId="08F93E52" w:rsidR="00B447F3" w:rsidRDefault="00A4110F" w:rsidP="00C316C3">
      <w:pPr>
        <w:tabs>
          <w:tab w:val="left" w:pos="1390"/>
        </w:tabs>
        <w:rPr>
          <w:rFonts w:asciiTheme="minorHAnsi" w:hAnsiTheme="minorHAnsi"/>
          <w:b/>
          <w:bCs/>
          <w:i/>
          <w:iCs/>
          <w:szCs w:val="24"/>
        </w:rPr>
      </w:pPr>
      <w:r w:rsidRPr="00F06B37">
        <w:rPr>
          <w:rFonts w:asciiTheme="minorHAnsi" w:hAnsiTheme="minorHAnsi"/>
          <w:b/>
          <w:bCs/>
          <w:i/>
          <w:iCs/>
          <w:szCs w:val="24"/>
        </w:rPr>
        <w:t>Analysis</w:t>
      </w:r>
      <w:r w:rsidR="0064204E">
        <w:rPr>
          <w:rFonts w:asciiTheme="minorHAnsi" w:hAnsiTheme="minorHAnsi"/>
          <w:b/>
          <w:bCs/>
          <w:i/>
          <w:iCs/>
          <w:szCs w:val="24"/>
        </w:rPr>
        <w:tab/>
      </w:r>
    </w:p>
    <w:p w14:paraId="77887A9C" w14:textId="2DB6EB51" w:rsidR="00006497" w:rsidRDefault="00921F22" w:rsidP="00C316C3">
      <w:pPr>
        <w:rPr>
          <w:rFonts w:asciiTheme="minorHAnsi" w:hAnsiTheme="minorHAnsi"/>
          <w:szCs w:val="24"/>
        </w:rPr>
      </w:pPr>
      <w:r w:rsidRPr="00921F22">
        <w:rPr>
          <w:rFonts w:asciiTheme="minorHAnsi" w:hAnsiTheme="minorHAnsi"/>
          <w:szCs w:val="24"/>
        </w:rPr>
        <w:t xml:space="preserve">Staff </w:t>
      </w:r>
      <w:proofErr w:type="gramStart"/>
      <w:r w:rsidRPr="00921F22">
        <w:rPr>
          <w:rFonts w:asciiTheme="minorHAnsi" w:hAnsiTheme="minorHAnsi"/>
          <w:szCs w:val="24"/>
        </w:rPr>
        <w:t>finds</w:t>
      </w:r>
      <w:proofErr w:type="gramEnd"/>
      <w:r w:rsidRPr="00921F22">
        <w:rPr>
          <w:rFonts w:asciiTheme="minorHAnsi" w:hAnsiTheme="minorHAnsi"/>
          <w:szCs w:val="24"/>
        </w:rPr>
        <w:t xml:space="preserve"> that</w:t>
      </w:r>
      <w:r w:rsidR="00BE64D5" w:rsidRPr="00BE64D5">
        <w:t xml:space="preserve"> </w:t>
      </w:r>
      <w:r w:rsidR="00BE64D5" w:rsidRPr="00BE64D5">
        <w:rPr>
          <w:rFonts w:asciiTheme="minorHAnsi" w:hAnsiTheme="minorHAnsi"/>
          <w:szCs w:val="24"/>
        </w:rPr>
        <w:t>the Applicant’s care coordination will continue to contribute to efficiency, continuity, and coordination of care. The Applicant demonstrated appropriate maintenance of patient records as well as communication with patients and providers</w:t>
      </w:r>
      <w:r w:rsidR="00752683">
        <w:rPr>
          <w:rFonts w:asciiTheme="minorHAnsi" w:hAnsiTheme="minorHAnsi"/>
          <w:szCs w:val="24"/>
        </w:rPr>
        <w:t xml:space="preserve"> </w:t>
      </w:r>
      <w:r w:rsidR="00BE64D5" w:rsidRPr="00BE64D5">
        <w:rPr>
          <w:rFonts w:asciiTheme="minorHAnsi" w:hAnsiTheme="minorHAnsi"/>
          <w:szCs w:val="24"/>
        </w:rPr>
        <w:t xml:space="preserve">to </w:t>
      </w:r>
      <w:r w:rsidR="003460FC">
        <w:rPr>
          <w:rFonts w:asciiTheme="minorHAnsi" w:hAnsiTheme="minorHAnsi"/>
          <w:szCs w:val="24"/>
        </w:rPr>
        <w:t>improve patient care</w:t>
      </w:r>
      <w:r w:rsidR="00BE64D5" w:rsidRPr="00BE64D5">
        <w:rPr>
          <w:rFonts w:asciiTheme="minorHAnsi" w:hAnsiTheme="minorHAnsi"/>
          <w:szCs w:val="24"/>
        </w:rPr>
        <w:t xml:space="preserve"> and promote better health outcomes.</w:t>
      </w:r>
      <w:r>
        <w:rPr>
          <w:rFonts w:asciiTheme="minorHAnsi" w:hAnsiTheme="minorHAnsi"/>
          <w:szCs w:val="24"/>
        </w:rPr>
        <w:t xml:space="preserve"> </w:t>
      </w:r>
      <w:r w:rsidR="00006497" w:rsidRPr="00006497">
        <w:rPr>
          <w:rFonts w:asciiTheme="minorHAnsi" w:hAnsiTheme="minorHAnsi"/>
          <w:szCs w:val="24"/>
        </w:rPr>
        <w:t>As a result, Staff finds that the Proposed Project meets the requirements of Factor 1c.</w:t>
      </w:r>
    </w:p>
    <w:p w14:paraId="47753AFA" w14:textId="77777777" w:rsidR="009758DC" w:rsidRDefault="009758DC" w:rsidP="00C316C3">
      <w:pPr>
        <w:rPr>
          <w:rFonts w:asciiTheme="minorHAnsi" w:hAnsiTheme="minorHAnsi"/>
          <w:szCs w:val="24"/>
        </w:rPr>
      </w:pPr>
    </w:p>
    <w:p w14:paraId="1C366B98" w14:textId="4A874E8F" w:rsidR="00B447F3" w:rsidRPr="003436F0" w:rsidRDefault="00A4110F" w:rsidP="00357E82">
      <w:pPr>
        <w:pStyle w:val="Heading2"/>
      </w:pPr>
      <w:bookmarkStart w:id="9" w:name="Factor_1:_d)_Consultation"/>
      <w:bookmarkStart w:id="10" w:name="_Toc226541453"/>
      <w:bookmarkEnd w:id="9"/>
      <w:r w:rsidRPr="003436F0">
        <w:t>Factor 1: d) Consultation</w:t>
      </w:r>
      <w:bookmarkEnd w:id="10"/>
    </w:p>
    <w:p w14:paraId="0984AA01" w14:textId="5930CA35" w:rsidR="0024233D" w:rsidRDefault="00A4110F" w:rsidP="00C316C3">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32569FE3" w14:textId="77777777" w:rsidR="0024233D" w:rsidRDefault="0024233D" w:rsidP="00C316C3">
      <w:pPr>
        <w:pStyle w:val="BodyText"/>
        <w:ind w:right="484"/>
        <w:jc w:val="both"/>
        <w:rPr>
          <w:rFonts w:asciiTheme="minorHAnsi" w:hAnsiTheme="minorHAnsi"/>
        </w:rPr>
      </w:pPr>
    </w:p>
    <w:p w14:paraId="3BE4534C" w14:textId="6B11C073" w:rsidR="00B447F3" w:rsidRPr="003436F0" w:rsidRDefault="00A4110F" w:rsidP="00357E82">
      <w:pPr>
        <w:pStyle w:val="Heading2"/>
      </w:pPr>
      <w:bookmarkStart w:id="11" w:name="Factor_1:_e)_Evidence_of_Sound_Community"/>
      <w:bookmarkStart w:id="12" w:name="_Toc226541454"/>
      <w:bookmarkEnd w:id="11"/>
      <w:r w:rsidRPr="003436F0">
        <w:t>Factor 1: e) Evidence of Sound Community Engagement through the Patient Panel</w:t>
      </w:r>
      <w:bookmarkEnd w:id="12"/>
    </w:p>
    <w:p w14:paraId="141CD647" w14:textId="77777777" w:rsidR="00232313" w:rsidRDefault="00232313" w:rsidP="00C316C3">
      <w:pPr>
        <w:pStyle w:val="BodyText"/>
        <w:ind w:right="259"/>
        <w:rPr>
          <w:rFonts w:asciiTheme="minorHAnsi" w:hAnsiTheme="minorHAnsi"/>
        </w:rPr>
      </w:pPr>
    </w:p>
    <w:p w14:paraId="415C51CB" w14:textId="584E594D" w:rsidR="00B447F3" w:rsidRDefault="00A4110F" w:rsidP="00C316C3">
      <w:pPr>
        <w:pStyle w:val="BodyText"/>
        <w:ind w:right="259"/>
        <w:rPr>
          <w:rFonts w:asciiTheme="minorHAnsi" w:hAnsiTheme="minorHAnsi"/>
          <w:position w:val="10"/>
          <w:sz w:val="14"/>
          <w:szCs w:val="14"/>
        </w:rPr>
      </w:pPr>
      <w:r w:rsidRPr="0162C5FD">
        <w:rPr>
          <w:rFonts w:asciiTheme="minorHAnsi" w:hAnsiTheme="minorHAnsi"/>
        </w:rPr>
        <w:t>The Department’s Guideline</w:t>
      </w:r>
      <w:r w:rsidR="00F95A30">
        <w:rPr>
          <w:rFonts w:asciiTheme="minorHAnsi" w:hAnsiTheme="minorHAnsi"/>
          <w:position w:val="10"/>
          <w:sz w:val="14"/>
          <w:szCs w:val="14"/>
          <w:vertAlign w:val="superscript"/>
        </w:rPr>
        <w:t xml:space="preserve"> </w:t>
      </w:r>
      <w:r w:rsidRPr="0162C5FD">
        <w:rPr>
          <w:rFonts w:asciiTheme="minorHAnsi" w:hAnsiTheme="minorHAnsi"/>
        </w:rPr>
        <w:t>for community engagement defines “community” as the Patient Panel,</w:t>
      </w:r>
      <w:r w:rsidRPr="0162C5FD">
        <w:rPr>
          <w:rFonts w:asciiTheme="minorHAnsi" w:hAnsiTheme="minorHAnsi"/>
          <w:spacing w:val="-3"/>
        </w:rPr>
        <w:t xml:space="preserve"> </w:t>
      </w:r>
      <w:r w:rsidRPr="0162C5FD">
        <w:rPr>
          <w:rFonts w:asciiTheme="minorHAnsi" w:hAnsiTheme="minorHAnsi"/>
        </w:rPr>
        <w:t>and</w:t>
      </w:r>
      <w:r w:rsidRPr="0162C5FD">
        <w:rPr>
          <w:rFonts w:asciiTheme="minorHAnsi" w:hAnsiTheme="minorHAnsi"/>
          <w:spacing w:val="-4"/>
        </w:rPr>
        <w:t xml:space="preserve"> </w:t>
      </w:r>
      <w:r w:rsidRPr="0162C5FD">
        <w:rPr>
          <w:rFonts w:asciiTheme="minorHAnsi" w:hAnsiTheme="minorHAnsi"/>
        </w:rPr>
        <w:t>requires</w:t>
      </w:r>
      <w:r w:rsidRPr="0162C5FD">
        <w:rPr>
          <w:rFonts w:asciiTheme="minorHAnsi" w:hAnsiTheme="minorHAnsi"/>
          <w:spacing w:val="-4"/>
        </w:rPr>
        <w:t xml:space="preserve"> </w:t>
      </w:r>
      <w:r w:rsidRPr="0162C5FD">
        <w:rPr>
          <w:rFonts w:asciiTheme="minorHAnsi" w:hAnsiTheme="minorHAnsi"/>
        </w:rPr>
        <w:t>that</w:t>
      </w:r>
      <w:r w:rsidRPr="0162C5FD">
        <w:rPr>
          <w:rFonts w:asciiTheme="minorHAnsi" w:hAnsiTheme="minorHAnsi"/>
          <w:spacing w:val="-4"/>
        </w:rPr>
        <w:t xml:space="preserve"> </w:t>
      </w:r>
      <w:r w:rsidRPr="0162C5FD">
        <w:rPr>
          <w:rFonts w:asciiTheme="minorHAnsi" w:hAnsiTheme="minorHAnsi"/>
        </w:rPr>
        <w:t>at</w:t>
      </w:r>
      <w:r w:rsidRPr="0162C5FD">
        <w:rPr>
          <w:rFonts w:asciiTheme="minorHAnsi" w:hAnsiTheme="minorHAnsi"/>
          <w:spacing w:val="-5"/>
        </w:rPr>
        <w:t xml:space="preserve"> </w:t>
      </w:r>
      <w:r w:rsidRPr="0162C5FD">
        <w:rPr>
          <w:rFonts w:asciiTheme="minorHAnsi" w:hAnsiTheme="minorHAnsi"/>
        </w:rPr>
        <w:t>minimum,</w:t>
      </w:r>
      <w:r w:rsidRPr="0162C5FD">
        <w:rPr>
          <w:rFonts w:asciiTheme="minorHAnsi" w:hAnsiTheme="minorHAnsi"/>
          <w:spacing w:val="-3"/>
        </w:rPr>
        <w:t xml:space="preserve"> </w:t>
      </w:r>
      <w:r w:rsidRPr="0162C5FD">
        <w:rPr>
          <w:rFonts w:asciiTheme="minorHAnsi" w:hAnsiTheme="minorHAnsi"/>
        </w:rPr>
        <w:t>the</w:t>
      </w:r>
      <w:r w:rsidRPr="0162C5FD">
        <w:rPr>
          <w:rFonts w:asciiTheme="minorHAnsi" w:hAnsiTheme="minorHAnsi"/>
          <w:spacing w:val="-3"/>
        </w:rPr>
        <w:t xml:space="preserve"> </w:t>
      </w:r>
      <w:r w:rsidRPr="0162C5FD">
        <w:rPr>
          <w:rFonts w:asciiTheme="minorHAnsi" w:hAnsiTheme="minorHAnsi"/>
        </w:rPr>
        <w:t>Applicant</w:t>
      </w:r>
      <w:r w:rsidRPr="0162C5FD">
        <w:rPr>
          <w:rFonts w:asciiTheme="minorHAnsi" w:hAnsiTheme="minorHAnsi"/>
          <w:spacing w:val="-5"/>
        </w:rPr>
        <w:t xml:space="preserve"> </w:t>
      </w:r>
      <w:r w:rsidRPr="0162C5FD">
        <w:rPr>
          <w:rFonts w:asciiTheme="minorHAnsi" w:hAnsiTheme="minorHAnsi"/>
        </w:rPr>
        <w:t>must</w:t>
      </w:r>
      <w:r w:rsidRPr="0162C5FD">
        <w:rPr>
          <w:rFonts w:asciiTheme="minorHAnsi" w:hAnsiTheme="minorHAnsi"/>
          <w:spacing w:val="-4"/>
        </w:rPr>
        <w:t xml:space="preserve"> </w:t>
      </w:r>
      <w:r w:rsidRPr="0162C5FD">
        <w:rPr>
          <w:rFonts w:asciiTheme="minorHAnsi" w:hAnsiTheme="minorHAnsi"/>
        </w:rPr>
        <w:t>“consult”</w:t>
      </w:r>
      <w:r w:rsidRPr="0162C5FD">
        <w:rPr>
          <w:rFonts w:asciiTheme="minorHAnsi" w:hAnsiTheme="minorHAnsi"/>
          <w:spacing w:val="-3"/>
        </w:rPr>
        <w:t xml:space="preserve"> </w:t>
      </w:r>
      <w:r w:rsidRPr="0162C5FD">
        <w:rPr>
          <w:rFonts w:asciiTheme="minorHAnsi" w:hAnsiTheme="minorHAnsi"/>
        </w:rPr>
        <w:t>with</w:t>
      </w:r>
      <w:r w:rsidRPr="0162C5FD">
        <w:rPr>
          <w:rFonts w:asciiTheme="minorHAnsi" w:hAnsiTheme="minorHAnsi"/>
          <w:spacing w:val="-3"/>
        </w:rPr>
        <w:t xml:space="preserve"> </w:t>
      </w:r>
      <w:r w:rsidRPr="0162C5FD">
        <w:rPr>
          <w:rFonts w:asciiTheme="minorHAnsi" w:hAnsiTheme="minorHAnsi"/>
        </w:rPr>
        <w:t>groups</w:t>
      </w:r>
      <w:r w:rsidRPr="0162C5FD">
        <w:rPr>
          <w:rFonts w:asciiTheme="minorHAnsi" w:hAnsiTheme="minorHAnsi"/>
          <w:spacing w:val="-5"/>
        </w:rPr>
        <w:t xml:space="preserve"> </w:t>
      </w:r>
      <w:r w:rsidRPr="0162C5FD">
        <w:rPr>
          <w:rFonts w:asciiTheme="minorHAnsi" w:hAnsiTheme="minorHAnsi"/>
        </w:rPr>
        <w:t>representative</w:t>
      </w:r>
      <w:r w:rsidRPr="0162C5FD">
        <w:rPr>
          <w:rFonts w:asciiTheme="minorHAnsi" w:hAnsiTheme="minorHAnsi"/>
          <w:spacing w:val="-2"/>
        </w:rPr>
        <w:t xml:space="preserve"> </w:t>
      </w:r>
      <w:r w:rsidRPr="0162C5FD">
        <w:rPr>
          <w:rFonts w:asciiTheme="minorHAnsi" w:hAnsiTheme="minorHAnsi"/>
        </w:rPr>
        <w:t>of</w:t>
      </w:r>
      <w:r w:rsidRPr="0162C5FD">
        <w:rPr>
          <w:rFonts w:asciiTheme="minorHAnsi" w:hAnsiTheme="minorHAnsi"/>
          <w:spacing w:val="-4"/>
        </w:rPr>
        <w:t xml:space="preserve"> </w:t>
      </w:r>
      <w:r w:rsidRPr="0162C5FD">
        <w:rPr>
          <w:rFonts w:asciiTheme="minorHAnsi" w:hAnsiTheme="minorHAnsi"/>
        </w:rPr>
        <w:t>the Applicant's Patient Panel. Regulations state that efforts in such consultation should consist of engaging “community coalitions statistically representative of the Patient</w:t>
      </w:r>
      <w:r w:rsidRPr="0162C5FD">
        <w:rPr>
          <w:rFonts w:asciiTheme="minorHAnsi" w:hAnsiTheme="minorHAnsi"/>
          <w:spacing w:val="-14"/>
        </w:rPr>
        <w:t xml:space="preserve"> </w:t>
      </w:r>
      <w:r w:rsidRPr="0162C5FD">
        <w:rPr>
          <w:rFonts w:asciiTheme="minorHAnsi" w:hAnsiTheme="minorHAnsi"/>
        </w:rPr>
        <w:t>Panel.”</w:t>
      </w:r>
    </w:p>
    <w:p w14:paraId="68FBA6FA" w14:textId="77777777" w:rsidR="001833D2" w:rsidRDefault="001833D2" w:rsidP="00C316C3">
      <w:pPr>
        <w:pStyle w:val="BodyText"/>
        <w:ind w:right="259"/>
        <w:rPr>
          <w:rFonts w:asciiTheme="minorHAnsi" w:hAnsiTheme="minorHAnsi"/>
          <w:position w:val="10"/>
          <w:sz w:val="14"/>
          <w:szCs w:val="14"/>
        </w:rPr>
      </w:pPr>
    </w:p>
    <w:p w14:paraId="567CBF8C" w14:textId="77777777" w:rsidR="00252BB9" w:rsidRDefault="006E4ADF" w:rsidP="00C316C3">
      <w:r>
        <w:t>To fulfill the community engagement requirement, the Applicant took the actions described below.</w:t>
      </w:r>
    </w:p>
    <w:p w14:paraId="00EC7C87" w14:textId="77777777" w:rsidR="00252BB9" w:rsidRDefault="00252BB9" w:rsidP="00C316C3"/>
    <w:p w14:paraId="01FC677E" w14:textId="1B61A5EF" w:rsidR="006E7488" w:rsidRDefault="00E40A6E" w:rsidP="00C316C3">
      <w:r w:rsidRPr="00F65A17">
        <w:rPr>
          <w:b/>
          <w:bCs/>
        </w:rPr>
        <w:t>Community Meeting</w:t>
      </w:r>
      <w:r>
        <w:t>: October 7, 2025, the Applicant presented the Proposed Project to the community through a meeting with the Community Benefits Advisory Committee. Seventeen members of the Committee attended, and the Applicant states that they expressed strong support for the Proposed Project.</w:t>
      </w:r>
    </w:p>
    <w:p w14:paraId="63AE9B68" w14:textId="77777777" w:rsidR="00E40A6E" w:rsidRDefault="00E40A6E" w:rsidP="00C316C3"/>
    <w:p w14:paraId="00AA3238" w14:textId="4E020753" w:rsidR="00E40A6E" w:rsidRDefault="00DE4ED4" w:rsidP="00C316C3">
      <w:r w:rsidRPr="00F65A17">
        <w:rPr>
          <w:b/>
          <w:bCs/>
        </w:rPr>
        <w:t>Patient and Family Advisory Council (PFAC) Meeting</w:t>
      </w:r>
      <w:r>
        <w:t>: On November 5, 2025, the Applicant presented the Proposed Project to the Winchester Hospital PFAC</w:t>
      </w:r>
      <w:r w:rsidR="005B4A70">
        <w:t xml:space="preserve">. Discussion topics </w:t>
      </w:r>
      <w:r w:rsidR="000E29AF">
        <w:t>included</w:t>
      </w:r>
      <w:r w:rsidR="000C3EE1">
        <w:t xml:space="preserve"> the current backlog of patients with endoscopy orders and the Proposed Project’s impact on improving health outcomes. Six PFAC members were in </w:t>
      </w:r>
      <w:proofErr w:type="gramStart"/>
      <w:r w:rsidR="000C3EE1">
        <w:t>attendance, and</w:t>
      </w:r>
      <w:proofErr w:type="gramEnd"/>
      <w:r w:rsidR="000C3EE1">
        <w:t xml:space="preserve"> expressed their support for the Proposed Project. </w:t>
      </w:r>
      <w:r>
        <w:t xml:space="preserve"> </w:t>
      </w:r>
    </w:p>
    <w:p w14:paraId="5AA835D3" w14:textId="77777777" w:rsidR="00A63397" w:rsidRDefault="00A63397" w:rsidP="00C316C3"/>
    <w:p w14:paraId="23103747" w14:textId="66F90D0E" w:rsidR="006D7595" w:rsidRDefault="006D7595" w:rsidP="00C316C3">
      <w:r w:rsidRPr="000E29AF">
        <w:rPr>
          <w:b/>
          <w:bCs/>
        </w:rPr>
        <w:t>Published Notice</w:t>
      </w:r>
      <w:r>
        <w:t xml:space="preserve">: The Applicant published a local notice announcing the Proposed Project in the Daily Times Chronicle, on October 16, 2025, and posted a copy of the legal notice on the Winchester Hospital website. </w:t>
      </w:r>
    </w:p>
    <w:p w14:paraId="7707E23D" w14:textId="77777777" w:rsidR="006D7595" w:rsidRDefault="006D7595" w:rsidP="00C316C3"/>
    <w:p w14:paraId="022ADCAE" w14:textId="57217F3E" w:rsidR="000B6D84" w:rsidRDefault="00343E95" w:rsidP="00343E95">
      <w:r>
        <w:t xml:space="preserve">The Applicant submitted the presentation materials used for its community engagement activities. </w:t>
      </w:r>
    </w:p>
    <w:p w14:paraId="351B8278" w14:textId="77777777" w:rsidR="000B6D84" w:rsidRPr="00556DCC" w:rsidRDefault="000B6D84" w:rsidP="00C316C3"/>
    <w:p w14:paraId="1B7CB00F" w14:textId="0E446AC9" w:rsidR="003A7B86" w:rsidRDefault="00A4110F" w:rsidP="00C316C3">
      <w:pPr>
        <w:rPr>
          <w:rFonts w:asciiTheme="minorHAnsi" w:hAnsiTheme="minorHAnsi"/>
          <w:b/>
          <w:bCs/>
          <w:i/>
          <w:iCs/>
          <w:szCs w:val="24"/>
        </w:rPr>
      </w:pPr>
      <w:r w:rsidRPr="004D5540">
        <w:rPr>
          <w:rFonts w:asciiTheme="minorHAnsi" w:hAnsiTheme="minorHAnsi"/>
          <w:b/>
          <w:bCs/>
          <w:i/>
          <w:iCs/>
          <w:szCs w:val="24"/>
        </w:rPr>
        <w:t>Analysis</w:t>
      </w:r>
    </w:p>
    <w:p w14:paraId="0999036E" w14:textId="3C0EB684" w:rsidR="003346BB" w:rsidRPr="003A7B86" w:rsidRDefault="003346BB" w:rsidP="00C316C3">
      <w:pPr>
        <w:rPr>
          <w:rFonts w:asciiTheme="minorHAnsi" w:hAnsiTheme="minorHAnsi"/>
          <w:b/>
          <w:bCs/>
          <w:i/>
          <w:iCs/>
          <w:szCs w:val="24"/>
        </w:rPr>
      </w:pPr>
      <w:r w:rsidRPr="004D5540">
        <w:rPr>
          <w:rFonts w:asciiTheme="minorHAnsi" w:hAnsiTheme="minorHAnsi"/>
          <w:szCs w:val="24"/>
        </w:rPr>
        <w:t xml:space="preserve">Staff reviewed the information on the Applicant’s community engagement and </w:t>
      </w:r>
      <w:proofErr w:type="gramStart"/>
      <w:r w:rsidRPr="004D5540">
        <w:rPr>
          <w:rFonts w:asciiTheme="minorHAnsi" w:hAnsiTheme="minorHAnsi"/>
          <w:szCs w:val="24"/>
        </w:rPr>
        <w:t>finds</w:t>
      </w:r>
      <w:proofErr w:type="gramEnd"/>
      <w:r w:rsidRPr="004D5540">
        <w:rPr>
          <w:rFonts w:asciiTheme="minorHAnsi" w:hAnsiTheme="minorHAnsi"/>
          <w:szCs w:val="24"/>
        </w:rPr>
        <w:t xml:space="preserve"> that </w:t>
      </w:r>
    </w:p>
    <w:p w14:paraId="694BB32B" w14:textId="522F1850" w:rsidR="00D9518F" w:rsidRDefault="003346BB" w:rsidP="00C316C3">
      <w:pPr>
        <w:rPr>
          <w:rFonts w:asciiTheme="minorHAnsi" w:hAnsiTheme="minorHAnsi"/>
        </w:rPr>
      </w:pPr>
      <w:r w:rsidRPr="6A75FF2F">
        <w:rPr>
          <w:rFonts w:asciiTheme="minorHAnsi" w:hAnsiTheme="minorHAnsi"/>
        </w:rPr>
        <w:t>the Applicant has met the required community engagement standard of Consult</w:t>
      </w:r>
      <w:r w:rsidR="003A7B86" w:rsidRPr="6A75FF2F">
        <w:rPr>
          <w:rFonts w:asciiTheme="minorHAnsi" w:hAnsiTheme="minorHAnsi"/>
        </w:rPr>
        <w:t xml:space="preserve"> </w:t>
      </w:r>
      <w:r w:rsidRPr="6A75FF2F">
        <w:rPr>
          <w:rFonts w:asciiTheme="minorHAnsi" w:hAnsiTheme="minorHAnsi"/>
        </w:rPr>
        <w:t>in the planning phase of the Proposed Project.</w:t>
      </w:r>
      <w:r w:rsidR="00D9518F" w:rsidRPr="6A75FF2F">
        <w:rPr>
          <w:rFonts w:asciiTheme="minorHAnsi" w:eastAsia="Times New Roman" w:hAnsiTheme="minorHAnsi"/>
        </w:rPr>
        <w:t xml:space="preserve"> </w:t>
      </w:r>
      <w:r w:rsidR="00D9518F" w:rsidRPr="6A75FF2F">
        <w:rPr>
          <w:rFonts w:asciiTheme="minorHAnsi" w:hAnsiTheme="minorHAnsi"/>
        </w:rPr>
        <w:t>As a result, Staff finds that the Proposed Project meets the requirements of Factor 1e.</w:t>
      </w:r>
    </w:p>
    <w:p w14:paraId="7160CDA7" w14:textId="77777777" w:rsidR="0024233D" w:rsidRDefault="0024233D" w:rsidP="00C316C3">
      <w:pPr>
        <w:rPr>
          <w:rFonts w:asciiTheme="minorHAnsi" w:hAnsiTheme="minorHAnsi"/>
          <w:szCs w:val="24"/>
        </w:rPr>
      </w:pPr>
    </w:p>
    <w:p w14:paraId="1284B21B" w14:textId="77777777" w:rsidR="004A2BD8" w:rsidRDefault="00A4110F" w:rsidP="00A75660">
      <w:pPr>
        <w:pStyle w:val="Heading2"/>
      </w:pPr>
      <w:bookmarkStart w:id="13" w:name="Factor_1:_f)_Competition_on_price,_total"/>
      <w:bookmarkStart w:id="14" w:name="_Toc226541455"/>
      <w:bookmarkEnd w:id="13"/>
      <w:r w:rsidRPr="00771386">
        <w:t>Factor 1: f) Competition on price, total medical expenses (TME), costs and other measures of health care spending</w:t>
      </w:r>
      <w:bookmarkEnd w:id="14"/>
    </w:p>
    <w:p w14:paraId="08E52864" w14:textId="77777777" w:rsidR="00A63397" w:rsidRDefault="00A63397" w:rsidP="00C316C3">
      <w:pPr>
        <w:rPr>
          <w:rFonts w:asciiTheme="minorHAnsi" w:hAnsiTheme="minorHAnsi"/>
          <w:b/>
          <w:bCs/>
          <w:i/>
          <w:iCs/>
          <w:szCs w:val="24"/>
        </w:rPr>
      </w:pPr>
    </w:p>
    <w:p w14:paraId="31AC483B" w14:textId="4C2FAFCA" w:rsidR="007714A5" w:rsidRDefault="00124042" w:rsidP="11B112D7">
      <w:pPr>
        <w:rPr>
          <w:rFonts w:asciiTheme="minorHAnsi" w:hAnsiTheme="minorHAnsi"/>
        </w:rPr>
      </w:pPr>
      <w:r w:rsidRPr="11B112D7">
        <w:rPr>
          <w:rFonts w:asciiTheme="minorHAnsi" w:hAnsiTheme="minorHAnsi"/>
        </w:rPr>
        <w:t xml:space="preserve">The Applicant states that the Proposed Project will limit TME by allowing the Applicant to build on proven operational efficiencies, staff expertise, and established care pathways to quickly expand access to preventative and diagnostic endoscopy. The Applicant states that TME will also be lowered through expanding timely access to preventative care, which contributes to early detection of gastrointestinal cancers, </w:t>
      </w:r>
      <w:r w:rsidR="00683BA7" w:rsidRPr="11B112D7">
        <w:rPr>
          <w:rFonts w:asciiTheme="minorHAnsi" w:hAnsiTheme="minorHAnsi"/>
        </w:rPr>
        <w:t>which when detected early, can lead to curative treatments.</w:t>
      </w:r>
      <w:r w:rsidR="00683BA7" w:rsidRPr="11B112D7">
        <w:rPr>
          <w:rStyle w:val="EndnoteReference"/>
          <w:rFonts w:asciiTheme="minorHAnsi" w:hAnsiTheme="minorHAnsi"/>
        </w:rPr>
        <w:endnoteReference w:id="32"/>
      </w:r>
      <w:r w:rsidR="00683BA7" w:rsidRPr="11B112D7">
        <w:rPr>
          <w:rFonts w:asciiTheme="minorHAnsi" w:hAnsiTheme="minorHAnsi"/>
        </w:rPr>
        <w:t xml:space="preserve"> Regular screening for CRC </w:t>
      </w:r>
      <w:r w:rsidRPr="11B112D7">
        <w:rPr>
          <w:rFonts w:asciiTheme="minorHAnsi" w:hAnsiTheme="minorHAnsi"/>
        </w:rPr>
        <w:t xml:space="preserve">allows for the removal of precancerous polyps, which </w:t>
      </w:r>
      <w:r w:rsidR="00683BA7" w:rsidRPr="11B112D7">
        <w:rPr>
          <w:rFonts w:asciiTheme="minorHAnsi" w:hAnsiTheme="minorHAnsi"/>
        </w:rPr>
        <w:t xml:space="preserve">can prevent disease or detect it earlier when treatment is more effective, and when it is not as </w:t>
      </w:r>
      <w:r w:rsidRPr="11B112D7">
        <w:rPr>
          <w:rFonts w:asciiTheme="minorHAnsi" w:hAnsiTheme="minorHAnsi"/>
        </w:rPr>
        <w:t>costly to treat.</w:t>
      </w:r>
      <w:r w:rsidR="00683BA7" w:rsidRPr="11B112D7">
        <w:rPr>
          <w:rStyle w:val="EndnoteReference"/>
          <w:rFonts w:asciiTheme="minorHAnsi" w:hAnsiTheme="minorHAnsi"/>
        </w:rPr>
        <w:endnoteReference w:id="33"/>
      </w:r>
      <w:r w:rsidRPr="11B112D7">
        <w:rPr>
          <w:rFonts w:asciiTheme="minorHAnsi" w:hAnsiTheme="minorHAnsi"/>
        </w:rPr>
        <w:t xml:space="preserve"> </w:t>
      </w:r>
      <w:r w:rsidR="00683BA7" w:rsidRPr="11B112D7">
        <w:rPr>
          <w:rFonts w:asciiTheme="minorHAnsi" w:hAnsiTheme="minorHAnsi"/>
        </w:rPr>
        <w:t xml:space="preserve">Preventive </w:t>
      </w:r>
      <w:r w:rsidRPr="11B112D7">
        <w:rPr>
          <w:rFonts w:asciiTheme="minorHAnsi" w:hAnsiTheme="minorHAnsi"/>
        </w:rPr>
        <w:t xml:space="preserve">endoscopy can reduce the need for later, more expensive intervention, hospital admissions, and complex oncologic </w:t>
      </w:r>
      <w:r w:rsidR="00683BA7" w:rsidRPr="11B112D7">
        <w:rPr>
          <w:rFonts w:asciiTheme="minorHAnsi" w:hAnsiTheme="minorHAnsi"/>
        </w:rPr>
        <w:t>treatments</w:t>
      </w:r>
      <w:r w:rsidRPr="11B112D7">
        <w:rPr>
          <w:rFonts w:asciiTheme="minorHAnsi" w:hAnsiTheme="minorHAnsi"/>
        </w:rPr>
        <w:t xml:space="preserve"> associated with late-stage disease. </w:t>
      </w:r>
      <w:r w:rsidR="00683BA7" w:rsidRPr="11B112D7">
        <w:rPr>
          <w:rFonts w:asciiTheme="minorHAnsi" w:hAnsiTheme="minorHAnsi"/>
        </w:rPr>
        <w:t>Increasing access to care earlier, that is less invasive</w:t>
      </w:r>
      <w:r w:rsidR="00EB5BC7">
        <w:rPr>
          <w:rFonts w:asciiTheme="minorHAnsi" w:hAnsiTheme="minorHAnsi"/>
        </w:rPr>
        <w:t xml:space="preserve"> and </w:t>
      </w:r>
      <w:r w:rsidR="00683BA7" w:rsidRPr="11B112D7">
        <w:rPr>
          <w:rFonts w:asciiTheme="minorHAnsi" w:hAnsiTheme="minorHAnsi"/>
        </w:rPr>
        <w:t xml:space="preserve">more cost-effective, will decrease the financial burden on patients, payers, and the Commonwealth’s healthcare system. </w:t>
      </w:r>
    </w:p>
    <w:p w14:paraId="7390832F" w14:textId="77777777" w:rsidR="007714A5" w:rsidRDefault="007714A5" w:rsidP="11B112D7">
      <w:pPr>
        <w:rPr>
          <w:rFonts w:asciiTheme="minorHAnsi" w:hAnsiTheme="minorHAnsi"/>
        </w:rPr>
      </w:pPr>
    </w:p>
    <w:p w14:paraId="3E71CD56" w14:textId="21BF0CB2" w:rsidR="00124042" w:rsidRPr="00124042" w:rsidRDefault="00267443" w:rsidP="11B112D7">
      <w:pPr>
        <w:rPr>
          <w:rFonts w:asciiTheme="minorHAnsi" w:hAnsiTheme="minorHAnsi"/>
        </w:rPr>
      </w:pPr>
      <w:r>
        <w:rPr>
          <w:rFonts w:asciiTheme="minorHAnsi" w:hAnsiTheme="minorHAnsi"/>
        </w:rPr>
        <w:t>Staff note s</w:t>
      </w:r>
      <w:r w:rsidR="007714A5" w:rsidRPr="007714A5">
        <w:rPr>
          <w:rFonts w:asciiTheme="minorHAnsi" w:hAnsiTheme="minorHAnsi"/>
        </w:rPr>
        <w:t xml:space="preserve">tudies have </w:t>
      </w:r>
      <w:r>
        <w:rPr>
          <w:rFonts w:asciiTheme="minorHAnsi" w:hAnsiTheme="minorHAnsi"/>
        </w:rPr>
        <w:t>demonstrated</w:t>
      </w:r>
      <w:r w:rsidR="007714A5" w:rsidRPr="007714A5">
        <w:rPr>
          <w:rFonts w:asciiTheme="minorHAnsi" w:hAnsiTheme="minorHAnsi"/>
        </w:rPr>
        <w:t xml:space="preserve"> price differential</w:t>
      </w:r>
      <w:r w:rsidR="00882677">
        <w:rPr>
          <w:rFonts w:asciiTheme="minorHAnsi" w:hAnsiTheme="minorHAnsi"/>
        </w:rPr>
        <w:t>s</w:t>
      </w:r>
      <w:r w:rsidR="007714A5" w:rsidRPr="007714A5">
        <w:rPr>
          <w:rFonts w:asciiTheme="minorHAnsi" w:hAnsiTheme="minorHAnsi"/>
        </w:rPr>
        <w:t xml:space="preserve"> across HOPD and ASC settings, where prices for common ambulatory procedures performed in HOPDs </w:t>
      </w:r>
      <w:r w:rsidR="00AD5BD7">
        <w:rPr>
          <w:rFonts w:asciiTheme="minorHAnsi" w:hAnsiTheme="minorHAnsi"/>
        </w:rPr>
        <w:t xml:space="preserve">are </w:t>
      </w:r>
      <w:r w:rsidR="007714A5" w:rsidRPr="007714A5">
        <w:rPr>
          <w:rFonts w:asciiTheme="minorHAnsi" w:hAnsiTheme="minorHAnsi"/>
        </w:rPr>
        <w:t>higher than when the same procedures are performed in the ASC setting, with the facility fee component of the HOPD payment contributing to higher HOPD prices.</w:t>
      </w:r>
      <w:r w:rsidR="007714A5" w:rsidRPr="007714A5">
        <w:rPr>
          <w:rFonts w:asciiTheme="minorHAnsi" w:hAnsiTheme="minorHAnsi"/>
          <w:vertAlign w:val="superscript"/>
        </w:rPr>
        <w:endnoteReference w:id="34"/>
      </w:r>
      <w:r w:rsidR="007714A5" w:rsidRPr="007714A5">
        <w:rPr>
          <w:rFonts w:asciiTheme="minorHAnsi" w:hAnsiTheme="minorHAnsi"/>
          <w:vertAlign w:val="superscript"/>
        </w:rPr>
        <w:t>,</w:t>
      </w:r>
      <w:r w:rsidR="007714A5" w:rsidRPr="007714A5">
        <w:rPr>
          <w:rFonts w:asciiTheme="minorHAnsi" w:hAnsiTheme="minorHAnsi"/>
          <w:vertAlign w:val="superscript"/>
        </w:rPr>
        <w:endnoteReference w:id="35"/>
      </w:r>
      <w:r w:rsidR="007714A5" w:rsidRPr="007714A5">
        <w:rPr>
          <w:rFonts w:asciiTheme="minorHAnsi" w:hAnsiTheme="minorHAnsi"/>
        </w:rPr>
        <w:t xml:space="preserve"> </w:t>
      </w:r>
      <w:r w:rsidR="006952F3">
        <w:rPr>
          <w:rFonts w:asciiTheme="minorHAnsi" w:hAnsiTheme="minorHAnsi"/>
        </w:rPr>
        <w:t xml:space="preserve">The Applicant affirms that cost implications other than price were important considerations for the Applicant when determining where to expand endoscopy procedure room capacity to meet Patient Panel need. </w:t>
      </w:r>
      <w:r w:rsidR="008B5D56">
        <w:rPr>
          <w:rFonts w:asciiTheme="minorHAnsi" w:hAnsiTheme="minorHAnsi"/>
        </w:rPr>
        <w:t>The Applicant</w:t>
      </w:r>
      <w:r w:rsidR="0089661E">
        <w:rPr>
          <w:rFonts w:asciiTheme="minorHAnsi" w:hAnsiTheme="minorHAnsi"/>
        </w:rPr>
        <w:t xml:space="preserve"> states that the Center is a well-established endoscopy provider, with existing staff and payer infrastructure</w:t>
      </w:r>
      <w:r w:rsidR="00AA74DB">
        <w:rPr>
          <w:rFonts w:asciiTheme="minorHAnsi" w:hAnsiTheme="minorHAnsi"/>
        </w:rPr>
        <w:t xml:space="preserve">. The Applicant </w:t>
      </w:r>
      <w:r w:rsidR="008B5D56">
        <w:rPr>
          <w:rFonts w:asciiTheme="minorHAnsi" w:hAnsiTheme="minorHAnsi"/>
        </w:rPr>
        <w:t xml:space="preserve">maintains that expanding procedural capacity at the Center represents the most cost-effective and timely means of increasing access to endoscopy services, and that establishing a new ASC to provide such services, would increase the timeline to address Patient Panel need for </w:t>
      </w:r>
      <w:r w:rsidR="00AD5BD7">
        <w:rPr>
          <w:rFonts w:asciiTheme="minorHAnsi" w:hAnsiTheme="minorHAnsi"/>
        </w:rPr>
        <w:t xml:space="preserve">endoscopy </w:t>
      </w:r>
      <w:r w:rsidR="008B5D56">
        <w:rPr>
          <w:rFonts w:asciiTheme="minorHAnsi" w:hAnsiTheme="minorHAnsi"/>
        </w:rPr>
        <w:t xml:space="preserve">services to </w:t>
      </w:r>
      <w:r w:rsidR="008B5D56">
        <w:rPr>
          <w:rFonts w:asciiTheme="minorHAnsi" w:hAnsiTheme="minorHAnsi"/>
        </w:rPr>
        <w:lastRenderedPageBreak/>
        <w:t>several years</w:t>
      </w:r>
      <w:r w:rsidR="0089661E">
        <w:rPr>
          <w:rFonts w:asciiTheme="minorHAnsi" w:hAnsiTheme="minorHAnsi"/>
        </w:rPr>
        <w:t xml:space="preserve"> and would entail a significantly higher capital expenditure</w:t>
      </w:r>
      <w:r w:rsidR="008B5D56">
        <w:rPr>
          <w:rFonts w:asciiTheme="minorHAnsi" w:hAnsiTheme="minorHAnsi"/>
        </w:rPr>
        <w:t>.</w:t>
      </w:r>
      <w:r w:rsidR="00752BD7">
        <w:rPr>
          <w:rFonts w:asciiTheme="minorHAnsi" w:hAnsiTheme="minorHAnsi"/>
        </w:rPr>
        <w:t xml:space="preserve"> </w:t>
      </w:r>
      <w:r w:rsidR="00870B8F">
        <w:rPr>
          <w:rFonts w:asciiTheme="minorHAnsi" w:hAnsiTheme="minorHAnsi"/>
        </w:rPr>
        <w:t>Furthermore, a</w:t>
      </w:r>
      <w:r w:rsidR="00870B8F" w:rsidRPr="00870B8F">
        <w:rPr>
          <w:rFonts w:asciiTheme="minorHAnsi" w:hAnsiTheme="minorHAnsi"/>
        </w:rPr>
        <w:t xml:space="preserve">s noted above, expanding access to preventative care can lower health care spending. </w:t>
      </w:r>
      <w:r w:rsidR="00683BA7" w:rsidRPr="11B112D7">
        <w:rPr>
          <w:rFonts w:asciiTheme="minorHAnsi" w:hAnsiTheme="minorHAnsi"/>
        </w:rPr>
        <w:t xml:space="preserve">The Applicant asserts that </w:t>
      </w:r>
      <w:r w:rsidR="00870B8F">
        <w:rPr>
          <w:rFonts w:asciiTheme="minorHAnsi" w:hAnsiTheme="minorHAnsi"/>
        </w:rPr>
        <w:t xml:space="preserve">as an existing provider of endoscopy services, </w:t>
      </w:r>
      <w:r w:rsidR="00683BA7" w:rsidRPr="11B112D7">
        <w:rPr>
          <w:rFonts w:asciiTheme="minorHAnsi" w:hAnsiTheme="minorHAnsi"/>
        </w:rPr>
        <w:t xml:space="preserve">there will be no change in price of endoscopy services </w:t>
      </w:r>
      <w:proofErr w:type="gramStart"/>
      <w:r w:rsidR="00683BA7" w:rsidRPr="11B112D7">
        <w:rPr>
          <w:rFonts w:asciiTheme="minorHAnsi" w:hAnsiTheme="minorHAnsi"/>
        </w:rPr>
        <w:t>as a result of</w:t>
      </w:r>
      <w:proofErr w:type="gramEnd"/>
      <w:r w:rsidR="00683BA7" w:rsidRPr="11B112D7">
        <w:rPr>
          <w:rFonts w:asciiTheme="minorHAnsi" w:hAnsiTheme="minorHAnsi"/>
        </w:rPr>
        <w:t xml:space="preserve"> the Proposed Project. </w:t>
      </w:r>
    </w:p>
    <w:p w14:paraId="13C25ED6" w14:textId="77777777" w:rsidR="00A63397" w:rsidRDefault="00A63397" w:rsidP="00C316C3">
      <w:pPr>
        <w:rPr>
          <w:rFonts w:asciiTheme="minorHAnsi" w:hAnsiTheme="minorHAnsi"/>
          <w:b/>
          <w:bCs/>
          <w:i/>
          <w:iCs/>
          <w:szCs w:val="24"/>
        </w:rPr>
      </w:pPr>
    </w:p>
    <w:p w14:paraId="6AF82A6F" w14:textId="5A4B3F25" w:rsidR="00B447F3" w:rsidRDefault="00A4110F" w:rsidP="00C316C3">
      <w:pPr>
        <w:rPr>
          <w:rFonts w:asciiTheme="minorHAnsi" w:hAnsiTheme="minorHAnsi"/>
          <w:b/>
          <w:bCs/>
          <w:i/>
          <w:iCs/>
          <w:szCs w:val="24"/>
        </w:rPr>
      </w:pPr>
      <w:r w:rsidRPr="009A0C61">
        <w:rPr>
          <w:rFonts w:asciiTheme="minorHAnsi" w:hAnsiTheme="minorHAnsi"/>
          <w:b/>
          <w:bCs/>
          <w:i/>
          <w:iCs/>
          <w:szCs w:val="24"/>
        </w:rPr>
        <w:t>Analysis</w:t>
      </w:r>
    </w:p>
    <w:p w14:paraId="0A7F0A56" w14:textId="57B66A9A" w:rsidR="002102E6" w:rsidRDefault="002002B8" w:rsidP="28157CC0">
      <w:pPr>
        <w:rPr>
          <w:rFonts w:asciiTheme="minorHAnsi" w:hAnsiTheme="minorHAnsi"/>
        </w:rPr>
      </w:pPr>
      <w:r>
        <w:rPr>
          <w:rFonts w:asciiTheme="minorHAnsi" w:hAnsiTheme="minorHAnsi"/>
        </w:rPr>
        <w:t xml:space="preserve">Staff find that the Applicant has demonstrated that the Proposed Project </w:t>
      </w:r>
      <w:r w:rsidR="00332AEC">
        <w:rPr>
          <w:rFonts w:asciiTheme="minorHAnsi" w:hAnsiTheme="minorHAnsi"/>
        </w:rPr>
        <w:t xml:space="preserve">provides a </w:t>
      </w:r>
      <w:r w:rsidR="00CE7475">
        <w:rPr>
          <w:rFonts w:asciiTheme="minorHAnsi" w:hAnsiTheme="minorHAnsi"/>
        </w:rPr>
        <w:t>timely option</w:t>
      </w:r>
      <w:r w:rsidR="00332AEC">
        <w:rPr>
          <w:rFonts w:asciiTheme="minorHAnsi" w:hAnsiTheme="minorHAnsi"/>
        </w:rPr>
        <w:t xml:space="preserve"> for expanding </w:t>
      </w:r>
      <w:r w:rsidR="00CE7475">
        <w:rPr>
          <w:rFonts w:asciiTheme="minorHAnsi" w:hAnsiTheme="minorHAnsi"/>
        </w:rPr>
        <w:t xml:space="preserve">Patient Panel </w:t>
      </w:r>
      <w:r w:rsidR="00332AEC">
        <w:rPr>
          <w:rFonts w:asciiTheme="minorHAnsi" w:hAnsiTheme="minorHAnsi"/>
        </w:rPr>
        <w:t xml:space="preserve">access to endoscopy services, the benefits of which include improved health outcomes </w:t>
      </w:r>
      <w:r w:rsidR="003C2512">
        <w:rPr>
          <w:rFonts w:asciiTheme="minorHAnsi" w:hAnsiTheme="minorHAnsi"/>
        </w:rPr>
        <w:t xml:space="preserve">that can result in </w:t>
      </w:r>
      <w:r w:rsidR="00332AEC">
        <w:rPr>
          <w:rFonts w:asciiTheme="minorHAnsi" w:hAnsiTheme="minorHAnsi"/>
        </w:rPr>
        <w:t xml:space="preserve">lower health care spending. </w:t>
      </w:r>
      <w:r w:rsidR="0041066B">
        <w:rPr>
          <w:rFonts w:asciiTheme="minorHAnsi" w:hAnsiTheme="minorHAnsi"/>
        </w:rPr>
        <w:t>Therefore, s</w:t>
      </w:r>
      <w:r w:rsidR="47EA00A6" w:rsidRPr="28157CC0">
        <w:rPr>
          <w:rFonts w:asciiTheme="minorHAnsi" w:hAnsiTheme="minorHAnsi"/>
        </w:rPr>
        <w:t xml:space="preserve">taff </w:t>
      </w:r>
      <w:proofErr w:type="gramStart"/>
      <w:r w:rsidR="47EA00A6" w:rsidRPr="28157CC0">
        <w:rPr>
          <w:rFonts w:asciiTheme="minorHAnsi" w:hAnsiTheme="minorHAnsi"/>
        </w:rPr>
        <w:t>finds</w:t>
      </w:r>
      <w:proofErr w:type="gramEnd"/>
      <w:r w:rsidR="47EA00A6" w:rsidRPr="28157CC0">
        <w:rPr>
          <w:rFonts w:asciiTheme="minorHAnsi" w:hAnsiTheme="minorHAnsi"/>
        </w:rPr>
        <w:t xml:space="preserve"> that, on balance, the requirement that the Proposed Project will likely compete </w:t>
      </w:r>
      <w:proofErr w:type="gramStart"/>
      <w:r w:rsidR="47EA00A6" w:rsidRPr="28157CC0">
        <w:rPr>
          <w:rFonts w:asciiTheme="minorHAnsi" w:hAnsiTheme="minorHAnsi"/>
        </w:rPr>
        <w:t>on the basis of</w:t>
      </w:r>
      <w:proofErr w:type="gramEnd"/>
      <w:r w:rsidR="47EA00A6" w:rsidRPr="28157CC0">
        <w:rPr>
          <w:rFonts w:asciiTheme="minorHAnsi" w:hAnsiTheme="minorHAnsi"/>
        </w:rPr>
        <w:t xml:space="preserve"> price, TME provider costs, and other measures of health care spending and therefore, </w:t>
      </w:r>
      <w:r w:rsidR="0E5A8D97" w:rsidRPr="28157CC0">
        <w:rPr>
          <w:rFonts w:asciiTheme="minorHAnsi" w:hAnsiTheme="minorHAnsi"/>
        </w:rPr>
        <w:t>the requirements of Factor 1</w:t>
      </w:r>
      <w:r w:rsidR="00024A9E">
        <w:rPr>
          <w:rFonts w:asciiTheme="minorHAnsi" w:hAnsiTheme="minorHAnsi"/>
        </w:rPr>
        <w:t>(</w:t>
      </w:r>
      <w:r w:rsidR="0E5A8D97" w:rsidRPr="28157CC0">
        <w:rPr>
          <w:rFonts w:asciiTheme="minorHAnsi" w:hAnsiTheme="minorHAnsi"/>
        </w:rPr>
        <w:t>f</w:t>
      </w:r>
      <w:r w:rsidR="00024A9E">
        <w:rPr>
          <w:rFonts w:asciiTheme="minorHAnsi" w:hAnsiTheme="minorHAnsi"/>
        </w:rPr>
        <w:t>)</w:t>
      </w:r>
      <w:r w:rsidR="0E5A8D97" w:rsidRPr="28157CC0">
        <w:rPr>
          <w:rFonts w:asciiTheme="minorHAnsi" w:hAnsiTheme="minorHAnsi"/>
        </w:rPr>
        <w:t xml:space="preserve"> </w:t>
      </w:r>
      <w:r w:rsidR="47EA00A6" w:rsidRPr="28157CC0">
        <w:rPr>
          <w:rFonts w:asciiTheme="minorHAnsi" w:hAnsiTheme="minorHAnsi"/>
        </w:rPr>
        <w:t>have been met.</w:t>
      </w:r>
    </w:p>
    <w:p w14:paraId="7AF6CC77" w14:textId="77777777" w:rsidR="00F9056B" w:rsidRPr="002102E6" w:rsidRDefault="00F9056B" w:rsidP="00C316C3">
      <w:pPr>
        <w:rPr>
          <w:rFonts w:asciiTheme="minorHAnsi" w:hAnsiTheme="minorHAnsi"/>
          <w:szCs w:val="24"/>
        </w:rPr>
      </w:pPr>
    </w:p>
    <w:p w14:paraId="7A94A1AC" w14:textId="5F05B601" w:rsidR="00B447F3" w:rsidRPr="00771386" w:rsidRDefault="0060024E" w:rsidP="00A75660">
      <w:pPr>
        <w:pStyle w:val="Heading2"/>
      </w:pPr>
      <w:bookmarkStart w:id="15" w:name="_Toc226541456"/>
      <w:r w:rsidRPr="00771386">
        <w:t>Summary</w:t>
      </w:r>
      <w:r w:rsidR="00A63487">
        <w:t>, Factor 1</w:t>
      </w:r>
      <w:bookmarkEnd w:id="15"/>
      <w:r w:rsidR="00A63487">
        <w:t xml:space="preserve"> </w:t>
      </w:r>
      <w:r w:rsidRPr="00771386">
        <w:t xml:space="preserve"> </w:t>
      </w:r>
    </w:p>
    <w:p w14:paraId="15015229" w14:textId="0B9CD0CE" w:rsidR="00D47105" w:rsidRDefault="0060024E" w:rsidP="11B112D7">
      <w:pPr>
        <w:rPr>
          <w:rFonts w:asciiTheme="minorHAnsi" w:hAnsiTheme="minorHAnsi"/>
        </w:rPr>
      </w:pPr>
      <w:r w:rsidRPr="11B112D7">
        <w:rPr>
          <w:rFonts w:asciiTheme="minorHAnsi" w:hAnsiTheme="minorHAnsi"/>
        </w:rPr>
        <w:t xml:space="preserve">As a result of information provided by the Applicant and additional analysis, staff finds that with the </w:t>
      </w:r>
      <w:r w:rsidR="00E61330" w:rsidRPr="11B112D7">
        <w:rPr>
          <w:rFonts w:asciiTheme="minorHAnsi" w:hAnsiTheme="minorHAnsi"/>
        </w:rPr>
        <w:t xml:space="preserve">“Other </w:t>
      </w:r>
      <w:r w:rsidR="00974F1C" w:rsidRPr="11B112D7">
        <w:rPr>
          <w:rFonts w:asciiTheme="minorHAnsi" w:hAnsiTheme="minorHAnsi"/>
        </w:rPr>
        <w:t>Conditions</w:t>
      </w:r>
      <w:r w:rsidR="00E61330" w:rsidRPr="11B112D7">
        <w:rPr>
          <w:rFonts w:asciiTheme="minorHAnsi" w:hAnsiTheme="minorHAnsi"/>
        </w:rPr>
        <w:t>”</w:t>
      </w:r>
      <w:r w:rsidR="00974F1C" w:rsidRPr="11B112D7">
        <w:rPr>
          <w:rFonts w:asciiTheme="minorHAnsi" w:hAnsiTheme="minorHAnsi"/>
        </w:rPr>
        <w:t xml:space="preserve"> outlined below </w:t>
      </w:r>
      <w:r w:rsidR="00C035CD">
        <w:rPr>
          <w:rFonts w:asciiTheme="minorHAnsi" w:hAnsiTheme="minorHAnsi"/>
        </w:rPr>
        <w:t>regarding Factor 6</w:t>
      </w:r>
      <w:r w:rsidR="002B2768">
        <w:rPr>
          <w:rFonts w:asciiTheme="minorHAnsi" w:hAnsiTheme="minorHAnsi"/>
        </w:rPr>
        <w:t xml:space="preserve"> and the Applicant’s </w:t>
      </w:r>
      <w:r w:rsidR="00C035CD">
        <w:rPr>
          <w:rFonts w:asciiTheme="minorHAnsi" w:hAnsiTheme="minorHAnsi"/>
        </w:rPr>
        <w:t>CHI contribution, and Factor 1b</w:t>
      </w:r>
      <w:r w:rsidR="002B2768">
        <w:rPr>
          <w:rFonts w:asciiTheme="minorHAnsi" w:hAnsiTheme="minorHAnsi"/>
        </w:rPr>
        <w:t xml:space="preserve">:Health Equity, specifically the Applicant’s </w:t>
      </w:r>
      <w:r w:rsidR="00695F33">
        <w:rPr>
          <w:rFonts w:asciiTheme="minorHAnsi" w:hAnsiTheme="minorHAnsi"/>
        </w:rPr>
        <w:t xml:space="preserve">MassHealth </w:t>
      </w:r>
      <w:r w:rsidR="002B2768">
        <w:rPr>
          <w:rFonts w:asciiTheme="minorHAnsi" w:hAnsiTheme="minorHAnsi"/>
        </w:rPr>
        <w:t>participation and stratified reporting on the Center’s patients,</w:t>
      </w:r>
      <w:r w:rsidR="00C035CD">
        <w:rPr>
          <w:rFonts w:asciiTheme="minorHAnsi" w:hAnsiTheme="minorHAnsi"/>
        </w:rPr>
        <w:t xml:space="preserve"> </w:t>
      </w:r>
      <w:r w:rsidR="00974F1C" w:rsidRPr="11B112D7">
        <w:rPr>
          <w:rFonts w:asciiTheme="minorHAnsi" w:hAnsiTheme="minorHAnsi"/>
        </w:rPr>
        <w:t>and</w:t>
      </w:r>
      <w:r w:rsidR="00B70B81">
        <w:rPr>
          <w:rFonts w:asciiTheme="minorHAnsi" w:hAnsiTheme="minorHAnsi"/>
        </w:rPr>
        <w:t xml:space="preserve"> with</w:t>
      </w:r>
      <w:r w:rsidR="00974F1C" w:rsidRPr="11B112D7">
        <w:rPr>
          <w:rFonts w:asciiTheme="minorHAnsi" w:hAnsiTheme="minorHAnsi"/>
        </w:rPr>
        <w:t xml:space="preserve"> </w:t>
      </w:r>
      <w:r w:rsidR="00D961C8" w:rsidRPr="11B112D7">
        <w:rPr>
          <w:rFonts w:asciiTheme="minorHAnsi" w:hAnsiTheme="minorHAnsi"/>
        </w:rPr>
        <w:t xml:space="preserve">the </w:t>
      </w:r>
      <w:r w:rsidRPr="11B112D7">
        <w:rPr>
          <w:rFonts w:asciiTheme="minorHAnsi" w:hAnsiTheme="minorHAnsi"/>
        </w:rPr>
        <w:t>standard reporting requirements, the Applicant has demonstrated that the Proposed Project has met Factor 1(a-f).</w:t>
      </w:r>
    </w:p>
    <w:p w14:paraId="370AA59D" w14:textId="77777777" w:rsidR="00A75660" w:rsidRDefault="00A75660" w:rsidP="11B112D7">
      <w:pPr>
        <w:rPr>
          <w:rFonts w:asciiTheme="minorHAnsi" w:hAnsiTheme="minorHAnsi"/>
        </w:rPr>
      </w:pPr>
    </w:p>
    <w:p w14:paraId="48C2065F" w14:textId="77777777" w:rsidR="00B447F3" w:rsidRPr="003436F0" w:rsidRDefault="00A4110F" w:rsidP="00A75660">
      <w:pPr>
        <w:pStyle w:val="Heading2"/>
      </w:pPr>
      <w:bookmarkStart w:id="16" w:name="Factor_2:_Cost_containment,_Improved_Pub"/>
      <w:bookmarkStart w:id="17" w:name="_Toc226541457"/>
      <w:bookmarkEnd w:id="16"/>
      <w:r w:rsidRPr="003436F0">
        <w:t>Factor 2: Cost containment, Improved Public Health Outcomes and Delivery System Transformation</w:t>
      </w:r>
      <w:bookmarkEnd w:id="17"/>
    </w:p>
    <w:p w14:paraId="1CE0B37B" w14:textId="77777777" w:rsidR="009A0C61" w:rsidRDefault="009A0C61" w:rsidP="00C316C3"/>
    <w:p w14:paraId="567B3969" w14:textId="4051CADF" w:rsidR="00B447F3" w:rsidRDefault="00A4110F" w:rsidP="007E2B14">
      <w:pPr>
        <w:pStyle w:val="Heading3"/>
      </w:pPr>
      <w:r w:rsidRPr="009A0C61">
        <w:t>Cost Containment</w:t>
      </w:r>
    </w:p>
    <w:p w14:paraId="6B47E84E" w14:textId="13D859B9" w:rsidR="004162D6" w:rsidRDefault="00C66870" w:rsidP="00C316C3">
      <w:pPr>
        <w:pStyle w:val="BodyText"/>
        <w:rPr>
          <w:rFonts w:asciiTheme="minorHAnsi" w:hAnsiTheme="minorHAnsi"/>
        </w:rPr>
      </w:pPr>
      <w:r>
        <w:rPr>
          <w:rFonts w:asciiTheme="minorHAnsi" w:hAnsiTheme="minorHAnsi"/>
        </w:rPr>
        <w:t xml:space="preserve">The Applicant states that the Proposed Project will meaningfully contribute to the Commonwealth’s cost containment goals by expanding access to high-quality endoscopy services in the community setting. </w:t>
      </w:r>
      <w:r w:rsidR="00476147">
        <w:rPr>
          <w:rFonts w:asciiTheme="minorHAnsi" w:hAnsiTheme="minorHAnsi"/>
        </w:rPr>
        <w:t xml:space="preserve">As noted above, increasing access to the Center’s </w:t>
      </w:r>
      <w:r w:rsidR="00B442DB">
        <w:rPr>
          <w:rFonts w:asciiTheme="minorHAnsi" w:hAnsiTheme="minorHAnsi"/>
        </w:rPr>
        <w:t>services</w:t>
      </w:r>
      <w:r w:rsidR="00476147">
        <w:rPr>
          <w:rFonts w:asciiTheme="minorHAnsi" w:hAnsiTheme="minorHAnsi"/>
        </w:rPr>
        <w:t xml:space="preserve"> will increase patient timely access to high-quality screening and diagnostic endoscopy services, which will in turn improve health outcomes and which can also minimize avoidable health care costs resulting from delays in accessing treatment. </w:t>
      </w:r>
      <w:proofErr w:type="gramStart"/>
      <w:r w:rsidR="00476147">
        <w:rPr>
          <w:rFonts w:asciiTheme="minorHAnsi" w:hAnsiTheme="minorHAnsi"/>
        </w:rPr>
        <w:t>Colonoscopy in particular, is</w:t>
      </w:r>
      <w:proofErr w:type="gramEnd"/>
      <w:r w:rsidR="00476147">
        <w:rPr>
          <w:rFonts w:asciiTheme="minorHAnsi" w:hAnsiTheme="minorHAnsi"/>
        </w:rPr>
        <w:t xml:space="preserve"> the most effective method for </w:t>
      </w:r>
      <w:r w:rsidR="005703AD">
        <w:rPr>
          <w:rFonts w:asciiTheme="minorHAnsi" w:hAnsiTheme="minorHAnsi"/>
        </w:rPr>
        <w:t>screening for</w:t>
      </w:r>
      <w:r w:rsidR="00476147">
        <w:rPr>
          <w:rFonts w:asciiTheme="minorHAnsi" w:hAnsiTheme="minorHAnsi"/>
        </w:rPr>
        <w:t xml:space="preserve"> CRC</w:t>
      </w:r>
      <w:r w:rsidR="00593BA9">
        <w:rPr>
          <w:rFonts w:asciiTheme="minorHAnsi" w:hAnsiTheme="minorHAnsi"/>
        </w:rPr>
        <w:t xml:space="preserve">, allowing for both the detection and removal of precancerous polyps. </w:t>
      </w:r>
      <w:r w:rsidR="00A5281F">
        <w:rPr>
          <w:rFonts w:asciiTheme="minorHAnsi" w:hAnsiTheme="minorHAnsi"/>
        </w:rPr>
        <w:t xml:space="preserve">The Applicant cites an article </w:t>
      </w:r>
      <w:r w:rsidR="0009248E">
        <w:rPr>
          <w:rFonts w:asciiTheme="minorHAnsi" w:hAnsiTheme="minorHAnsi"/>
        </w:rPr>
        <w:t>predict</w:t>
      </w:r>
      <w:r w:rsidR="00D70234">
        <w:rPr>
          <w:rFonts w:asciiTheme="minorHAnsi" w:hAnsiTheme="minorHAnsi"/>
        </w:rPr>
        <w:t>ing</w:t>
      </w:r>
      <w:r w:rsidR="0009248E">
        <w:rPr>
          <w:rFonts w:asciiTheme="minorHAnsi" w:hAnsiTheme="minorHAnsi"/>
        </w:rPr>
        <w:t xml:space="preserve"> the </w:t>
      </w:r>
      <w:r w:rsidR="0009248E" w:rsidRPr="0009248E">
        <w:rPr>
          <w:rFonts w:asciiTheme="minorHAnsi" w:hAnsiTheme="minorHAnsi"/>
        </w:rPr>
        <w:t>effect of enhanced screening participation on treatment costs</w:t>
      </w:r>
      <w:r w:rsidR="009A34F9">
        <w:rPr>
          <w:rFonts w:asciiTheme="minorHAnsi" w:hAnsiTheme="minorHAnsi"/>
        </w:rPr>
        <w:t>. The study</w:t>
      </w:r>
      <w:r w:rsidR="0009248E" w:rsidRPr="0009248E">
        <w:rPr>
          <w:rFonts w:asciiTheme="minorHAnsi" w:hAnsiTheme="minorHAnsi"/>
        </w:rPr>
        <w:t xml:space="preserve"> </w:t>
      </w:r>
      <w:r w:rsidR="00A5281F">
        <w:rPr>
          <w:rFonts w:asciiTheme="minorHAnsi" w:hAnsiTheme="minorHAnsi"/>
        </w:rPr>
        <w:t>f</w:t>
      </w:r>
      <w:r w:rsidR="0009248E">
        <w:rPr>
          <w:rFonts w:asciiTheme="minorHAnsi" w:hAnsiTheme="minorHAnsi"/>
        </w:rPr>
        <w:t>ound</w:t>
      </w:r>
      <w:r w:rsidR="00A5281F">
        <w:rPr>
          <w:rFonts w:asciiTheme="minorHAnsi" w:hAnsiTheme="minorHAnsi"/>
        </w:rPr>
        <w:t xml:space="preserve"> that increas</w:t>
      </w:r>
      <w:r w:rsidR="0009248E">
        <w:rPr>
          <w:rFonts w:asciiTheme="minorHAnsi" w:hAnsiTheme="minorHAnsi"/>
        </w:rPr>
        <w:t>ing</w:t>
      </w:r>
      <w:r w:rsidR="00A5281F">
        <w:rPr>
          <w:rFonts w:asciiTheme="minorHAnsi" w:hAnsiTheme="minorHAnsi"/>
        </w:rPr>
        <w:t xml:space="preserve"> CRC screening in the pre-Medicare population (age</w:t>
      </w:r>
      <w:r w:rsidR="001D2584">
        <w:rPr>
          <w:rFonts w:asciiTheme="minorHAnsi" w:hAnsiTheme="minorHAnsi"/>
        </w:rPr>
        <w:t>d</w:t>
      </w:r>
      <w:r w:rsidR="00A5281F">
        <w:rPr>
          <w:rFonts w:asciiTheme="minorHAnsi" w:hAnsiTheme="minorHAnsi"/>
        </w:rPr>
        <w:t xml:space="preserve"> 50 to 64), </w:t>
      </w:r>
      <w:r w:rsidR="00CC4885">
        <w:rPr>
          <w:rFonts w:asciiTheme="minorHAnsi" w:hAnsiTheme="minorHAnsi"/>
        </w:rPr>
        <w:t xml:space="preserve">can result in </w:t>
      </w:r>
      <w:r w:rsidR="00750708">
        <w:rPr>
          <w:rFonts w:asciiTheme="minorHAnsi" w:hAnsiTheme="minorHAnsi"/>
        </w:rPr>
        <w:t>potential</w:t>
      </w:r>
      <w:r w:rsidR="00CC4885">
        <w:rPr>
          <w:rFonts w:asciiTheme="minorHAnsi" w:hAnsiTheme="minorHAnsi"/>
        </w:rPr>
        <w:t xml:space="preserve"> savings to the Medicare program of $14 billion, resulting from a reduction </w:t>
      </w:r>
      <w:r w:rsidR="009A34F9">
        <w:rPr>
          <w:rFonts w:asciiTheme="minorHAnsi" w:hAnsiTheme="minorHAnsi"/>
        </w:rPr>
        <w:t xml:space="preserve">in </w:t>
      </w:r>
      <w:r w:rsidR="009F0778">
        <w:rPr>
          <w:rFonts w:asciiTheme="minorHAnsi" w:hAnsiTheme="minorHAnsi"/>
        </w:rPr>
        <w:t>treatment costs</w:t>
      </w:r>
      <w:r w:rsidR="0010111E">
        <w:rPr>
          <w:rFonts w:asciiTheme="minorHAnsi" w:hAnsiTheme="minorHAnsi"/>
        </w:rPr>
        <w:t xml:space="preserve"> ($24 billion)</w:t>
      </w:r>
      <w:r w:rsidR="00A77C70">
        <w:rPr>
          <w:rFonts w:asciiTheme="minorHAnsi" w:hAnsiTheme="minorHAnsi"/>
        </w:rPr>
        <w:t xml:space="preserve"> in the Medicare population</w:t>
      </w:r>
      <w:r w:rsidR="00DA3959">
        <w:rPr>
          <w:rFonts w:asciiTheme="minorHAnsi" w:hAnsiTheme="minorHAnsi"/>
        </w:rPr>
        <w:t>,</w:t>
      </w:r>
      <w:r w:rsidR="00DE7ADB">
        <w:rPr>
          <w:rFonts w:asciiTheme="minorHAnsi" w:hAnsiTheme="minorHAnsi"/>
        </w:rPr>
        <w:t xml:space="preserve"> and the reduction in treatment cos</w:t>
      </w:r>
      <w:r w:rsidR="00A77C70">
        <w:rPr>
          <w:rFonts w:asciiTheme="minorHAnsi" w:hAnsiTheme="minorHAnsi"/>
        </w:rPr>
        <w:t>t</w:t>
      </w:r>
      <w:r w:rsidR="00DE7ADB">
        <w:rPr>
          <w:rFonts w:asciiTheme="minorHAnsi" w:hAnsiTheme="minorHAnsi"/>
        </w:rPr>
        <w:t>s offset the increased costs associated with enhanced screening</w:t>
      </w:r>
      <w:r w:rsidR="00CC4885">
        <w:rPr>
          <w:rFonts w:asciiTheme="minorHAnsi" w:hAnsiTheme="minorHAnsi"/>
        </w:rPr>
        <w:t>.</w:t>
      </w:r>
      <w:r w:rsidR="00CC4885">
        <w:rPr>
          <w:rStyle w:val="EndnoteReference"/>
          <w:rFonts w:asciiTheme="minorHAnsi" w:hAnsiTheme="minorHAnsi"/>
        </w:rPr>
        <w:endnoteReference w:id="36"/>
      </w:r>
      <w:r w:rsidR="00476147">
        <w:rPr>
          <w:rFonts w:asciiTheme="minorHAnsi" w:hAnsiTheme="minorHAnsi"/>
        </w:rPr>
        <w:t xml:space="preserve"> </w:t>
      </w:r>
    </w:p>
    <w:p w14:paraId="1373CA8E" w14:textId="77777777" w:rsidR="00FA76D2" w:rsidRDefault="00FA76D2" w:rsidP="00C316C3">
      <w:pPr>
        <w:pStyle w:val="BodyText"/>
        <w:rPr>
          <w:rFonts w:asciiTheme="minorHAnsi" w:hAnsiTheme="minorHAnsi"/>
        </w:rPr>
      </w:pPr>
    </w:p>
    <w:p w14:paraId="33FC7E4D" w14:textId="26C09E20" w:rsidR="00B447F3" w:rsidRPr="007E2B14" w:rsidRDefault="00A4110F" w:rsidP="007E2B14">
      <w:pPr>
        <w:pStyle w:val="Heading3"/>
        <w:rPr>
          <w:i/>
          <w:iCs/>
        </w:rPr>
      </w:pPr>
      <w:r w:rsidRPr="007E2B14">
        <w:rPr>
          <w:i/>
          <w:iCs/>
        </w:rPr>
        <w:t>Analysis: Cost Containment</w:t>
      </w:r>
    </w:p>
    <w:p w14:paraId="4E5249FC" w14:textId="5CD22FC3" w:rsidR="00B447F3" w:rsidRPr="00517020" w:rsidRDefault="003548E4" w:rsidP="11B112D7">
      <w:pPr>
        <w:pStyle w:val="BodyText"/>
        <w:rPr>
          <w:rFonts w:asciiTheme="minorHAnsi" w:hAnsiTheme="minorHAnsi"/>
        </w:rPr>
      </w:pPr>
      <w:r w:rsidRPr="11B112D7">
        <w:rPr>
          <w:rFonts w:asciiTheme="minorHAnsi" w:hAnsiTheme="minorHAnsi"/>
        </w:rPr>
        <w:t xml:space="preserve">Staff finds that the Applicant demonstrated how the Proposed Project aligns with the Commonwealth’s cost containment goals through the expansion of access to high-quality </w:t>
      </w:r>
      <w:r w:rsidR="00F40E11">
        <w:rPr>
          <w:rFonts w:asciiTheme="minorHAnsi" w:hAnsiTheme="minorHAnsi"/>
        </w:rPr>
        <w:t>endoscopy</w:t>
      </w:r>
      <w:r w:rsidRPr="11B112D7">
        <w:rPr>
          <w:rFonts w:asciiTheme="minorHAnsi" w:hAnsiTheme="minorHAnsi"/>
        </w:rPr>
        <w:t xml:space="preserve">, and through reducing delays in access to endoscopy services. </w:t>
      </w:r>
      <w:r w:rsidR="00B44C55">
        <w:rPr>
          <w:rFonts w:asciiTheme="minorHAnsi" w:hAnsiTheme="minorHAnsi"/>
        </w:rPr>
        <w:t>Through increasing access to preventative endoscopy services, the Center will help to</w:t>
      </w:r>
      <w:r w:rsidR="00CB49BF">
        <w:rPr>
          <w:rFonts w:asciiTheme="minorHAnsi" w:hAnsiTheme="minorHAnsi"/>
        </w:rPr>
        <w:t xml:space="preserve"> reduce incidence of advanced cancers that can increase treatment costs. </w:t>
      </w:r>
      <w:r w:rsidR="7AE78C2B" w:rsidRPr="11B112D7">
        <w:rPr>
          <w:rFonts w:asciiTheme="minorHAnsi" w:hAnsiTheme="minorHAnsi"/>
        </w:rPr>
        <w:t xml:space="preserve">Therefore, </w:t>
      </w:r>
      <w:proofErr w:type="spellStart"/>
      <w:r w:rsidR="7AE78C2B" w:rsidRPr="11B112D7">
        <w:rPr>
          <w:rFonts w:asciiTheme="minorHAnsi" w:hAnsiTheme="minorHAnsi"/>
        </w:rPr>
        <w:t>DoN</w:t>
      </w:r>
      <w:proofErr w:type="spellEnd"/>
      <w:r w:rsidR="7AE78C2B" w:rsidRPr="11B112D7">
        <w:rPr>
          <w:rFonts w:asciiTheme="minorHAnsi" w:hAnsiTheme="minorHAnsi"/>
        </w:rPr>
        <w:t xml:space="preserve"> Staff conclude that the Proposed Project will likely meet the cost containment component of Factor 2.</w:t>
      </w:r>
    </w:p>
    <w:p w14:paraId="04479D09" w14:textId="77777777" w:rsidR="00517020" w:rsidRDefault="00517020" w:rsidP="00C316C3">
      <w:pPr>
        <w:pStyle w:val="BodyText"/>
        <w:rPr>
          <w:rFonts w:asciiTheme="minorHAnsi" w:hAnsiTheme="minorHAnsi"/>
          <w:sz w:val="25"/>
        </w:rPr>
      </w:pPr>
    </w:p>
    <w:p w14:paraId="539AD4E0" w14:textId="0E47D07D" w:rsidR="0048470A" w:rsidRDefault="00A4110F" w:rsidP="007E2B14">
      <w:pPr>
        <w:pStyle w:val="Heading3"/>
      </w:pPr>
      <w:r w:rsidRPr="003436F0">
        <w:t>Improved Public Health Outcomes</w:t>
      </w:r>
    </w:p>
    <w:p w14:paraId="440D07CB" w14:textId="008067B0" w:rsidR="006E4733" w:rsidRDefault="00D74FDA" w:rsidP="007E2B14">
      <w:r>
        <w:t xml:space="preserve">As noted above in Factor b: Public Health Value, increasing timely access to endoscopy services, can lead to earlier detection of disease, and reduced reliance on more extensive treatments. Endoscopy itself </w:t>
      </w:r>
      <w:proofErr w:type="gramStart"/>
      <w:r>
        <w:t>has the ability to</w:t>
      </w:r>
      <w:proofErr w:type="gramEnd"/>
      <w:r>
        <w:t xml:space="preserve"> treat </w:t>
      </w:r>
      <w:r w:rsidR="00107DF5">
        <w:t>many</w:t>
      </w:r>
      <w:r>
        <w:t xml:space="preserve"> conditions</w:t>
      </w:r>
      <w:r w:rsidR="00107DF5">
        <w:t xml:space="preserve">, avoiding more extensive surgery. The benefits of colonoscopy </w:t>
      </w:r>
      <w:proofErr w:type="gramStart"/>
      <w:r w:rsidR="00107DF5">
        <w:t>in particular have</w:t>
      </w:r>
      <w:proofErr w:type="gramEnd"/>
      <w:r w:rsidR="00107DF5">
        <w:t xml:space="preserve"> been well-documented, and increasing access to endoscopy services will </w:t>
      </w:r>
      <w:r w:rsidR="007623D1">
        <w:t>advance</w:t>
      </w:r>
      <w:r w:rsidR="00107DF5">
        <w:t xml:space="preserve"> the </w:t>
      </w:r>
      <w:r w:rsidR="007623D1" w:rsidRPr="007623D1">
        <w:t>National Colorectal Cancer Roundtable CRC screening goal of 80% of eligible patients in every community for CRC</w:t>
      </w:r>
      <w:r w:rsidR="00107DF5">
        <w:t xml:space="preserve">, </w:t>
      </w:r>
      <w:r w:rsidR="007623D1">
        <w:t>and support</w:t>
      </w:r>
      <w:r w:rsidR="00107DF5">
        <w:t xml:space="preserve"> reductions in </w:t>
      </w:r>
      <w:r w:rsidR="007623D1">
        <w:t xml:space="preserve">CRC </w:t>
      </w:r>
      <w:r w:rsidR="00107DF5">
        <w:t xml:space="preserve">incidence and mortality. </w:t>
      </w:r>
    </w:p>
    <w:p w14:paraId="50BA0622" w14:textId="77777777" w:rsidR="007E2B14" w:rsidRPr="005C1E53" w:rsidRDefault="007E2B14" w:rsidP="007E2B14"/>
    <w:p w14:paraId="259E9A4D" w14:textId="1B37272B" w:rsidR="00B447F3" w:rsidRPr="007E2B14" w:rsidRDefault="00A4110F" w:rsidP="007E2B14">
      <w:pPr>
        <w:pStyle w:val="Heading3"/>
        <w:rPr>
          <w:i/>
          <w:iCs/>
        </w:rPr>
      </w:pPr>
      <w:r w:rsidRPr="007E2B14">
        <w:rPr>
          <w:i/>
          <w:iCs/>
        </w:rPr>
        <w:t>Analysis: Public Health Outcomes</w:t>
      </w:r>
    </w:p>
    <w:p w14:paraId="0F0EDC1B" w14:textId="1D1C9234" w:rsidR="00A903C8" w:rsidRDefault="00641876" w:rsidP="28157CC0">
      <w:pPr>
        <w:pStyle w:val="BodyText"/>
        <w:rPr>
          <w:rFonts w:asciiTheme="minorHAnsi" w:hAnsiTheme="minorHAnsi"/>
        </w:rPr>
      </w:pPr>
      <w:r w:rsidRPr="00641876">
        <w:rPr>
          <w:rFonts w:asciiTheme="minorHAnsi" w:hAnsiTheme="minorHAnsi"/>
        </w:rPr>
        <w:t xml:space="preserve">Staff </w:t>
      </w:r>
      <w:proofErr w:type="gramStart"/>
      <w:r w:rsidRPr="00641876">
        <w:rPr>
          <w:rFonts w:asciiTheme="minorHAnsi" w:hAnsiTheme="minorHAnsi"/>
        </w:rPr>
        <w:t>finds</w:t>
      </w:r>
      <w:proofErr w:type="gramEnd"/>
      <w:r w:rsidRPr="00641876">
        <w:rPr>
          <w:rFonts w:asciiTheme="minorHAnsi" w:hAnsiTheme="minorHAnsi"/>
        </w:rPr>
        <w:t xml:space="preserve"> that the Applicant demonstrated how the Proposed Project will improve health outcomes through increasing access to the Center’s services, which the Applicant has shown to be high-quality, and through reducing scheduling delays, and delays in diagnosis and treatment. </w:t>
      </w:r>
      <w:r w:rsidR="5C2AE65A" w:rsidRPr="28157CC0">
        <w:rPr>
          <w:rFonts w:asciiTheme="minorHAnsi" w:hAnsiTheme="minorHAnsi"/>
        </w:rPr>
        <w:t xml:space="preserve">Therefore, </w:t>
      </w:r>
      <w:proofErr w:type="spellStart"/>
      <w:r w:rsidR="5C2AE65A" w:rsidRPr="28157CC0">
        <w:rPr>
          <w:rFonts w:asciiTheme="minorHAnsi" w:hAnsiTheme="minorHAnsi"/>
        </w:rPr>
        <w:t>DoN</w:t>
      </w:r>
      <w:proofErr w:type="spellEnd"/>
      <w:r w:rsidR="5C2AE65A" w:rsidRPr="28157CC0">
        <w:rPr>
          <w:rFonts w:asciiTheme="minorHAnsi" w:hAnsiTheme="minorHAnsi"/>
        </w:rPr>
        <w:t xml:space="preserve"> Staff</w:t>
      </w:r>
      <w:r w:rsidR="5C2AE65A" w:rsidRPr="28157CC0" w:rsidDel="00A123C8">
        <w:rPr>
          <w:rFonts w:asciiTheme="minorHAnsi" w:hAnsiTheme="minorHAnsi"/>
        </w:rPr>
        <w:t xml:space="preserve"> </w:t>
      </w:r>
      <w:r w:rsidR="5C2AE65A" w:rsidRPr="28157CC0">
        <w:rPr>
          <w:rFonts w:asciiTheme="minorHAnsi" w:hAnsiTheme="minorHAnsi"/>
        </w:rPr>
        <w:t>conclude that the Proposed Project will likely meet the Public Health Outcomes component of Factor 2.</w:t>
      </w:r>
    </w:p>
    <w:p w14:paraId="451016C6" w14:textId="77777777" w:rsidR="00EE2998" w:rsidRDefault="00EE2998" w:rsidP="00C316C3">
      <w:pPr>
        <w:pStyle w:val="BodyText"/>
        <w:rPr>
          <w:rFonts w:asciiTheme="minorHAnsi" w:hAnsiTheme="minorHAnsi"/>
        </w:rPr>
      </w:pPr>
    </w:p>
    <w:p w14:paraId="5A5B5207" w14:textId="15BDBFAC" w:rsidR="00B447F3" w:rsidRPr="00E71F7C" w:rsidRDefault="00A4110F" w:rsidP="007E2B14">
      <w:pPr>
        <w:pStyle w:val="Heading3"/>
      </w:pPr>
      <w:r w:rsidRPr="00E71F7C">
        <w:t>Delivery System Transformation</w:t>
      </w:r>
    </w:p>
    <w:p w14:paraId="117874D5" w14:textId="2993058B" w:rsidR="004053CE" w:rsidRDefault="00277346" w:rsidP="00C316C3">
      <w:pPr>
        <w:pStyle w:val="BodyText"/>
        <w:rPr>
          <w:rFonts w:asciiTheme="minorHAnsi" w:hAnsiTheme="minorHAnsi"/>
        </w:rPr>
      </w:pPr>
      <w:r w:rsidRPr="11B112D7">
        <w:rPr>
          <w:rFonts w:asciiTheme="minorHAnsi" w:hAnsiTheme="minorHAnsi"/>
        </w:rPr>
        <w:t>As noted above in Factor 1b: Public Health Value, the Applicant screens</w:t>
      </w:r>
      <w:r w:rsidR="00EC7CAF">
        <w:rPr>
          <w:rFonts w:asciiTheme="minorHAnsi" w:hAnsiTheme="minorHAnsi"/>
        </w:rPr>
        <w:t xml:space="preserve"> the Center’s patients</w:t>
      </w:r>
      <w:r w:rsidRPr="11B112D7">
        <w:rPr>
          <w:rFonts w:asciiTheme="minorHAnsi" w:hAnsiTheme="minorHAnsi"/>
        </w:rPr>
        <w:t xml:space="preserve"> for</w:t>
      </w:r>
      <w:r w:rsidR="00572319">
        <w:rPr>
          <w:rFonts w:asciiTheme="minorHAnsi" w:hAnsiTheme="minorHAnsi"/>
        </w:rPr>
        <w:t xml:space="preserve"> safety at home</w:t>
      </w:r>
      <w:r w:rsidR="00543320">
        <w:rPr>
          <w:rFonts w:asciiTheme="minorHAnsi" w:hAnsiTheme="minorHAnsi"/>
        </w:rPr>
        <w:t xml:space="preserve"> and BILH Find Help Resources are included on every patient’s After Visit Summary at discharge.</w:t>
      </w:r>
      <w:r w:rsidRPr="11B112D7">
        <w:rPr>
          <w:rFonts w:asciiTheme="minorHAnsi" w:hAnsiTheme="minorHAnsi"/>
        </w:rPr>
        <w:t xml:space="preserve"> </w:t>
      </w:r>
      <w:r w:rsidR="000B46A2">
        <w:rPr>
          <w:rFonts w:asciiTheme="minorHAnsi" w:hAnsiTheme="minorHAnsi"/>
        </w:rPr>
        <w:t xml:space="preserve">The Applicant points to </w:t>
      </w:r>
      <w:r w:rsidR="008D6E7B">
        <w:rPr>
          <w:rFonts w:asciiTheme="minorHAnsi" w:hAnsiTheme="minorHAnsi"/>
        </w:rPr>
        <w:t>studies finding that</w:t>
      </w:r>
      <w:r w:rsidR="00DE71E0">
        <w:rPr>
          <w:rFonts w:asciiTheme="minorHAnsi" w:hAnsiTheme="minorHAnsi"/>
        </w:rPr>
        <w:t xml:space="preserve"> </w:t>
      </w:r>
      <w:r w:rsidR="003E79A2">
        <w:rPr>
          <w:rFonts w:asciiTheme="minorHAnsi" w:hAnsiTheme="minorHAnsi"/>
        </w:rPr>
        <w:t xml:space="preserve">while timely access to cancer care is </w:t>
      </w:r>
      <w:r w:rsidR="00F84876">
        <w:rPr>
          <w:rFonts w:asciiTheme="minorHAnsi" w:hAnsiTheme="minorHAnsi"/>
        </w:rPr>
        <w:t>instrumental</w:t>
      </w:r>
      <w:r w:rsidR="003E79A2">
        <w:rPr>
          <w:rFonts w:asciiTheme="minorHAnsi" w:hAnsiTheme="minorHAnsi"/>
        </w:rPr>
        <w:t xml:space="preserve"> in health </w:t>
      </w:r>
      <w:r w:rsidR="00F84876">
        <w:rPr>
          <w:rFonts w:asciiTheme="minorHAnsi" w:hAnsiTheme="minorHAnsi"/>
        </w:rPr>
        <w:t>outcomes</w:t>
      </w:r>
      <w:r w:rsidR="003E79A2">
        <w:rPr>
          <w:rFonts w:asciiTheme="minorHAnsi" w:hAnsiTheme="minorHAnsi"/>
        </w:rPr>
        <w:t xml:space="preserve">, individuals experiencing socioeconomic disadvantage </w:t>
      </w:r>
      <w:r w:rsidR="004053CE">
        <w:rPr>
          <w:rFonts w:asciiTheme="minorHAnsi" w:hAnsiTheme="minorHAnsi"/>
        </w:rPr>
        <w:t xml:space="preserve">experience barriers to accessing cancer care, </w:t>
      </w:r>
      <w:r w:rsidR="002B3ED6">
        <w:rPr>
          <w:rFonts w:asciiTheme="minorHAnsi" w:hAnsiTheme="minorHAnsi"/>
        </w:rPr>
        <w:t xml:space="preserve">resulting in inequitable access to treatment including </w:t>
      </w:r>
      <w:r w:rsidR="004053CE">
        <w:rPr>
          <w:rFonts w:asciiTheme="minorHAnsi" w:hAnsiTheme="minorHAnsi"/>
        </w:rPr>
        <w:t xml:space="preserve">delays in </w:t>
      </w:r>
      <w:r w:rsidR="00F84876">
        <w:rPr>
          <w:rFonts w:asciiTheme="minorHAnsi" w:hAnsiTheme="minorHAnsi"/>
        </w:rPr>
        <w:t>starting</w:t>
      </w:r>
      <w:r w:rsidR="004053CE">
        <w:rPr>
          <w:rFonts w:asciiTheme="minorHAnsi" w:hAnsiTheme="minorHAnsi"/>
        </w:rPr>
        <w:t xml:space="preserve"> treatment, </w:t>
      </w:r>
      <w:r w:rsidR="002B3ED6">
        <w:rPr>
          <w:rFonts w:asciiTheme="minorHAnsi" w:hAnsiTheme="minorHAnsi"/>
        </w:rPr>
        <w:t xml:space="preserve">and </w:t>
      </w:r>
      <w:r w:rsidR="004053CE">
        <w:rPr>
          <w:rFonts w:asciiTheme="minorHAnsi" w:hAnsiTheme="minorHAnsi"/>
        </w:rPr>
        <w:t>experience</w:t>
      </w:r>
      <w:r w:rsidR="002B3ED6">
        <w:rPr>
          <w:rFonts w:asciiTheme="minorHAnsi" w:hAnsiTheme="minorHAnsi"/>
        </w:rPr>
        <w:t>s of</w:t>
      </w:r>
      <w:r w:rsidR="004053CE">
        <w:rPr>
          <w:rFonts w:asciiTheme="minorHAnsi" w:hAnsiTheme="minorHAnsi"/>
        </w:rPr>
        <w:t xml:space="preserve"> lower quality of care.</w:t>
      </w:r>
      <w:r w:rsidR="00F84876">
        <w:rPr>
          <w:rStyle w:val="EndnoteReference"/>
          <w:rFonts w:asciiTheme="minorHAnsi" w:hAnsiTheme="minorHAnsi"/>
        </w:rPr>
        <w:endnoteReference w:id="37"/>
      </w:r>
      <w:r w:rsidR="00D9439F" w:rsidRPr="00D9439F">
        <w:rPr>
          <w:rFonts w:asciiTheme="minorHAnsi" w:hAnsiTheme="minorHAnsi"/>
          <w:vertAlign w:val="superscript"/>
        </w:rPr>
        <w:t>,</w:t>
      </w:r>
      <w:r w:rsidR="00D9439F">
        <w:rPr>
          <w:rStyle w:val="EndnoteReference"/>
          <w:rFonts w:asciiTheme="minorHAnsi" w:hAnsiTheme="minorHAnsi"/>
        </w:rPr>
        <w:endnoteReference w:id="38"/>
      </w:r>
      <w:r w:rsidR="004053CE">
        <w:rPr>
          <w:rFonts w:asciiTheme="minorHAnsi" w:hAnsiTheme="minorHAnsi"/>
        </w:rPr>
        <w:t xml:space="preserve"> The Applicant states its intent to address barrier challenges </w:t>
      </w:r>
      <w:r w:rsidR="00D3526B">
        <w:rPr>
          <w:rFonts w:asciiTheme="minorHAnsi" w:hAnsiTheme="minorHAnsi"/>
        </w:rPr>
        <w:t>resulting</w:t>
      </w:r>
      <w:r w:rsidR="004053CE">
        <w:rPr>
          <w:rFonts w:asciiTheme="minorHAnsi" w:hAnsiTheme="minorHAnsi"/>
        </w:rPr>
        <w:t xml:space="preserve"> from socioeconomic disadvantage by expanding access to endoscopy services at the Center.</w:t>
      </w:r>
    </w:p>
    <w:p w14:paraId="329CEC8F" w14:textId="77777777" w:rsidR="007623D1" w:rsidRDefault="007623D1" w:rsidP="00C316C3">
      <w:pPr>
        <w:pStyle w:val="BodyText"/>
        <w:rPr>
          <w:rFonts w:asciiTheme="minorHAnsi" w:hAnsiTheme="minorHAnsi"/>
        </w:rPr>
      </w:pPr>
    </w:p>
    <w:p w14:paraId="070B40EB" w14:textId="77777777" w:rsidR="00B447F3" w:rsidRPr="007E2B14" w:rsidRDefault="00A4110F" w:rsidP="007E2B14">
      <w:pPr>
        <w:pStyle w:val="Heading3"/>
        <w:rPr>
          <w:i/>
          <w:iCs/>
        </w:rPr>
      </w:pPr>
      <w:r w:rsidRPr="007E2B14">
        <w:rPr>
          <w:i/>
          <w:iCs/>
        </w:rPr>
        <w:t>Analysis: Delivery System Transformation</w:t>
      </w:r>
    </w:p>
    <w:p w14:paraId="20D413FB" w14:textId="4119C7BA" w:rsidR="006E5ABF" w:rsidRDefault="00F25B2F" w:rsidP="28157CC0">
      <w:pPr>
        <w:rPr>
          <w:rFonts w:asciiTheme="minorHAnsi" w:hAnsiTheme="minorHAnsi"/>
        </w:rPr>
      </w:pPr>
      <w:r>
        <w:rPr>
          <w:rFonts w:asciiTheme="minorHAnsi" w:hAnsiTheme="minorHAnsi"/>
        </w:rPr>
        <w:t xml:space="preserve">Staff find that the Applicant has </w:t>
      </w:r>
      <w:r w:rsidR="00115037">
        <w:rPr>
          <w:rFonts w:asciiTheme="minorHAnsi" w:hAnsiTheme="minorHAnsi"/>
        </w:rPr>
        <w:t xml:space="preserve">processes in place to identify and help address patient barriers to accessing the Center’s services. </w:t>
      </w:r>
      <w:r w:rsidR="00614347" w:rsidRPr="00614347">
        <w:rPr>
          <w:rFonts w:asciiTheme="minorHAnsi" w:hAnsiTheme="minorHAnsi"/>
        </w:rPr>
        <w:t xml:space="preserve">Therefore, </w:t>
      </w:r>
      <w:proofErr w:type="spellStart"/>
      <w:r w:rsidR="00614347" w:rsidRPr="00614347">
        <w:rPr>
          <w:rFonts w:asciiTheme="minorHAnsi" w:hAnsiTheme="minorHAnsi"/>
        </w:rPr>
        <w:t>DoN</w:t>
      </w:r>
      <w:proofErr w:type="spellEnd"/>
      <w:r w:rsidR="00614347" w:rsidRPr="00614347">
        <w:rPr>
          <w:rFonts w:asciiTheme="minorHAnsi" w:hAnsiTheme="minorHAnsi"/>
        </w:rPr>
        <w:t xml:space="preserve"> Staff can conclude that the Proposed Project will meet the Delivery System Transformation component of Factor 2.</w:t>
      </w:r>
    </w:p>
    <w:p w14:paraId="0BCCFFD0" w14:textId="77777777" w:rsidR="005B3BBE" w:rsidRDefault="005B3BBE" w:rsidP="28157CC0">
      <w:pPr>
        <w:rPr>
          <w:rFonts w:asciiTheme="minorHAnsi" w:hAnsiTheme="minorHAnsi"/>
        </w:rPr>
      </w:pPr>
    </w:p>
    <w:p w14:paraId="62929AAA" w14:textId="419763CD" w:rsidR="00B447F3" w:rsidRDefault="0037406F" w:rsidP="007E2B14">
      <w:pPr>
        <w:pStyle w:val="Heading2"/>
      </w:pPr>
      <w:bookmarkStart w:id="18" w:name="_Toc226541458"/>
      <w:r>
        <w:t>Summary</w:t>
      </w:r>
      <w:r w:rsidR="00A63487">
        <w:t>, Factor 2</w:t>
      </w:r>
      <w:bookmarkEnd w:id="18"/>
      <w:r>
        <w:t xml:space="preserve"> </w:t>
      </w:r>
    </w:p>
    <w:p w14:paraId="285765B0" w14:textId="0AC5F093" w:rsidR="0037406F" w:rsidRPr="00000607" w:rsidRDefault="003563D6" w:rsidP="28157CC0">
      <w:pPr>
        <w:rPr>
          <w:rFonts w:asciiTheme="minorHAnsi" w:hAnsiTheme="minorHAnsi"/>
          <w:szCs w:val="24"/>
        </w:rPr>
      </w:pPr>
      <w:r w:rsidRPr="003563D6">
        <w:rPr>
          <w:rFonts w:asciiTheme="minorHAnsi" w:hAnsiTheme="minorHAnsi"/>
          <w:szCs w:val="24"/>
        </w:rPr>
        <w:t>The Applicant</w:t>
      </w:r>
      <w:r w:rsidR="001C03D1">
        <w:rPr>
          <w:rFonts w:asciiTheme="minorHAnsi" w:hAnsiTheme="minorHAnsi"/>
          <w:szCs w:val="24"/>
        </w:rPr>
        <w:t>,</w:t>
      </w:r>
      <w:r w:rsidRPr="003563D6">
        <w:rPr>
          <w:rFonts w:asciiTheme="minorHAnsi" w:hAnsiTheme="minorHAnsi"/>
          <w:szCs w:val="24"/>
        </w:rPr>
        <w:t xml:space="preserve"> through the </w:t>
      </w:r>
      <w:r w:rsidR="001C03D1">
        <w:rPr>
          <w:rFonts w:asciiTheme="minorHAnsi" w:hAnsiTheme="minorHAnsi"/>
          <w:szCs w:val="24"/>
        </w:rPr>
        <w:t>P</w:t>
      </w:r>
      <w:r w:rsidRPr="003563D6">
        <w:rPr>
          <w:rFonts w:asciiTheme="minorHAnsi" w:hAnsiTheme="minorHAnsi"/>
          <w:szCs w:val="24"/>
        </w:rPr>
        <w:t xml:space="preserve">roposed </w:t>
      </w:r>
      <w:r w:rsidR="001C03D1">
        <w:rPr>
          <w:rFonts w:asciiTheme="minorHAnsi" w:hAnsiTheme="minorHAnsi"/>
          <w:szCs w:val="24"/>
        </w:rPr>
        <w:t>P</w:t>
      </w:r>
      <w:r w:rsidRPr="003563D6">
        <w:rPr>
          <w:rFonts w:asciiTheme="minorHAnsi" w:hAnsiTheme="minorHAnsi"/>
          <w:szCs w:val="24"/>
        </w:rPr>
        <w:t>roject, has appropriately considered cost</w:t>
      </w:r>
      <w:r w:rsidR="0016547C">
        <w:rPr>
          <w:rFonts w:asciiTheme="minorHAnsi" w:hAnsiTheme="minorHAnsi"/>
          <w:szCs w:val="24"/>
        </w:rPr>
        <w:t xml:space="preserve">, </w:t>
      </w:r>
      <w:r w:rsidRPr="003563D6">
        <w:rPr>
          <w:rFonts w:asciiTheme="minorHAnsi" w:hAnsiTheme="minorHAnsi"/>
          <w:szCs w:val="24"/>
        </w:rPr>
        <w:t>quality</w:t>
      </w:r>
      <w:r w:rsidR="0016547C">
        <w:rPr>
          <w:rFonts w:asciiTheme="minorHAnsi" w:hAnsiTheme="minorHAnsi"/>
          <w:szCs w:val="24"/>
        </w:rPr>
        <w:t>,</w:t>
      </w:r>
      <w:r w:rsidRPr="003563D6">
        <w:rPr>
          <w:rFonts w:asciiTheme="minorHAnsi" w:hAnsiTheme="minorHAnsi"/>
          <w:szCs w:val="24"/>
        </w:rPr>
        <w:t xml:space="preserve"> and access and their impact on public health outcomes. </w:t>
      </w:r>
      <w:r w:rsidR="0037406F" w:rsidRPr="0037406F">
        <w:rPr>
          <w:rFonts w:asciiTheme="minorHAnsi" w:hAnsiTheme="minorHAnsi"/>
          <w:szCs w:val="24"/>
        </w:rPr>
        <w:t xml:space="preserve">As a result of information provided by the Applicant and additional analysis, staff </w:t>
      </w:r>
      <w:proofErr w:type="gramStart"/>
      <w:r w:rsidR="0037406F" w:rsidRPr="0037406F">
        <w:rPr>
          <w:rFonts w:asciiTheme="minorHAnsi" w:hAnsiTheme="minorHAnsi"/>
          <w:szCs w:val="24"/>
        </w:rPr>
        <w:t>finds</w:t>
      </w:r>
      <w:proofErr w:type="gramEnd"/>
      <w:r w:rsidR="0037406F" w:rsidRPr="0037406F">
        <w:rPr>
          <w:rFonts w:asciiTheme="minorHAnsi" w:hAnsiTheme="minorHAnsi"/>
          <w:szCs w:val="24"/>
        </w:rPr>
        <w:t xml:space="preserve"> that</w:t>
      </w:r>
      <w:r w:rsidR="25D2D344" w:rsidRPr="28157CC0">
        <w:rPr>
          <w:rFonts w:asciiTheme="minorHAnsi" w:hAnsiTheme="minorHAnsi"/>
        </w:rPr>
        <w:t xml:space="preserve"> the Applicant demonstrated that the Proposed Project</w:t>
      </w:r>
      <w:r w:rsidR="74B4F20B" w:rsidRPr="28157CC0">
        <w:rPr>
          <w:rFonts w:asciiTheme="minorHAnsi" w:hAnsiTheme="minorHAnsi"/>
        </w:rPr>
        <w:t xml:space="preserve"> </w:t>
      </w:r>
      <w:r w:rsidR="25D2D344" w:rsidRPr="28157CC0">
        <w:rPr>
          <w:rFonts w:asciiTheme="minorHAnsi" w:hAnsiTheme="minorHAnsi"/>
        </w:rPr>
        <w:t>has met Factor 2.</w:t>
      </w:r>
    </w:p>
    <w:p w14:paraId="26EE917E" w14:textId="77777777" w:rsidR="00361238" w:rsidRDefault="00361238" w:rsidP="00C316C3">
      <w:pPr>
        <w:rPr>
          <w:rFonts w:asciiTheme="minorHAnsi" w:hAnsiTheme="minorHAnsi"/>
          <w:szCs w:val="24"/>
        </w:rPr>
      </w:pPr>
    </w:p>
    <w:p w14:paraId="0BE36815" w14:textId="77777777" w:rsidR="00B447F3" w:rsidRPr="003436F0" w:rsidRDefault="00A4110F" w:rsidP="007E2B14">
      <w:pPr>
        <w:pStyle w:val="Heading2"/>
      </w:pPr>
      <w:bookmarkStart w:id="19" w:name="Factor_3:_Relevant_Licensure/Oversight_C"/>
      <w:bookmarkStart w:id="20" w:name="_Toc226541459"/>
      <w:bookmarkEnd w:id="19"/>
      <w:r w:rsidRPr="003436F0">
        <w:t>Factor 3: Relevant Licensure/Oversight Compliance</w:t>
      </w:r>
      <w:bookmarkEnd w:id="20"/>
    </w:p>
    <w:p w14:paraId="01533F5A" w14:textId="16FF34CB" w:rsidR="00B447F3" w:rsidRDefault="305CB7EF" w:rsidP="28157CC0">
      <w:pPr>
        <w:pStyle w:val="BodyText"/>
        <w:ind w:right="321"/>
        <w:rPr>
          <w:rFonts w:asciiTheme="minorHAnsi" w:hAnsiTheme="minorHAnsi"/>
        </w:rPr>
      </w:pPr>
      <w:r w:rsidRPr="28157CC0">
        <w:rPr>
          <w:rFonts w:asciiTheme="minorHAnsi" w:hAnsiTheme="minorHAnsi"/>
        </w:rPr>
        <w:t>The Applicant provided evidence of compliance and good standing with federal, state, and local laws and regulation</w:t>
      </w:r>
      <w:r w:rsidR="5F57E9ED" w:rsidRPr="28157CC0">
        <w:rPr>
          <w:rFonts w:asciiTheme="minorHAnsi" w:hAnsiTheme="minorHAnsi"/>
        </w:rPr>
        <w:t xml:space="preserve">s. This </w:t>
      </w:r>
      <w:r w:rsidRPr="28157CC0">
        <w:rPr>
          <w:rFonts w:asciiTheme="minorHAnsi" w:hAnsiTheme="minorHAnsi"/>
        </w:rPr>
        <w:t>will not be addressed further in this report. As a result of information provided by the Applicant, staff finds the Applicant has reasonably met the standards of Factor 3.</w:t>
      </w:r>
    </w:p>
    <w:p w14:paraId="0F6A597B" w14:textId="77777777" w:rsidR="001750B6" w:rsidRDefault="001750B6" w:rsidP="00C316C3">
      <w:pPr>
        <w:pStyle w:val="BodyText"/>
        <w:ind w:right="321"/>
        <w:rPr>
          <w:rFonts w:asciiTheme="minorHAnsi" w:hAnsiTheme="minorHAnsi"/>
        </w:rPr>
      </w:pPr>
    </w:p>
    <w:p w14:paraId="3DDFCA58" w14:textId="4840B850" w:rsidR="00B447F3" w:rsidRPr="003436F0" w:rsidRDefault="00A4110F" w:rsidP="007E2B14">
      <w:pPr>
        <w:pStyle w:val="Heading2"/>
      </w:pPr>
      <w:bookmarkStart w:id="21" w:name="Factor_4:_Demonstration_of_Sufficient_Fu"/>
      <w:bookmarkStart w:id="22" w:name="_Toc226541460"/>
      <w:bookmarkEnd w:id="21"/>
      <w:r w:rsidRPr="003436F0">
        <w:t xml:space="preserve">Factor 4: </w:t>
      </w:r>
      <w:r w:rsidR="0076798C">
        <w:t xml:space="preserve">Financial </w:t>
      </w:r>
      <w:r w:rsidR="00AE7940">
        <w:t>Feasibility</w:t>
      </w:r>
      <w:bookmarkEnd w:id="22"/>
    </w:p>
    <w:p w14:paraId="4D625B2C" w14:textId="40AFCFC9" w:rsidR="00B447F3" w:rsidRPr="003436F0" w:rsidRDefault="00A4110F" w:rsidP="00725175">
      <w:pPr>
        <w:pStyle w:val="BodyText"/>
        <w:ind w:right="306"/>
        <w:rPr>
          <w:rFonts w:asciiTheme="minorHAnsi" w:hAnsiTheme="minorHAnsi"/>
        </w:rPr>
      </w:pPr>
      <w:r w:rsidRPr="003436F0">
        <w:rPr>
          <w:rFonts w:asciiTheme="minorHAnsi" w:hAnsiTheme="minorHAnsi"/>
        </w:rPr>
        <w:t xml:space="preserve">Under Factor 4, the Applicant must demonstrate that it has sufficient funds available for capital </w:t>
      </w:r>
      <w:r w:rsidRPr="003436F0">
        <w:rPr>
          <w:rFonts w:asciiTheme="minorHAnsi" w:hAnsiTheme="minorHAnsi"/>
        </w:rPr>
        <w:lastRenderedPageBreak/>
        <w:t xml:space="preserve">and operating costs necessary to support the Proposed Project without negative effects or consequences to the existing Patient Panel. Documentation sufficient to make such </w:t>
      </w:r>
      <w:proofErr w:type="gramStart"/>
      <w:r w:rsidRPr="003436F0">
        <w:rPr>
          <w:rFonts w:asciiTheme="minorHAnsi" w:hAnsiTheme="minorHAnsi"/>
        </w:rPr>
        <w:t>finding</w:t>
      </w:r>
      <w:proofErr w:type="gramEnd"/>
      <w:r w:rsidRPr="003436F0">
        <w:rPr>
          <w:rFonts w:asciiTheme="minorHAnsi" w:hAnsiTheme="minorHAnsi"/>
        </w:rPr>
        <w:t xml:space="preserve"> must be supported by an analysis conducted by an independent </w:t>
      </w:r>
      <w:r w:rsidR="00A90BE7">
        <w:rPr>
          <w:rFonts w:asciiTheme="minorHAnsi" w:hAnsiTheme="minorHAnsi"/>
        </w:rPr>
        <w:t>certified public accountant (</w:t>
      </w:r>
      <w:r w:rsidRPr="003436F0">
        <w:rPr>
          <w:rFonts w:asciiTheme="minorHAnsi" w:hAnsiTheme="minorHAnsi"/>
        </w:rPr>
        <w:t>CPA</w:t>
      </w:r>
      <w:r w:rsidR="00A90BE7">
        <w:rPr>
          <w:rFonts w:asciiTheme="minorHAnsi" w:hAnsiTheme="minorHAnsi"/>
        </w:rPr>
        <w:t>)</w:t>
      </w:r>
      <w:r w:rsidRPr="003436F0">
        <w:rPr>
          <w:rFonts w:asciiTheme="minorHAnsi" w:hAnsiTheme="minorHAnsi"/>
        </w:rPr>
        <w:t xml:space="preserve">. The Applicant submitted a report performed </w:t>
      </w:r>
      <w:r w:rsidR="00B2636C">
        <w:rPr>
          <w:rFonts w:asciiTheme="minorHAnsi" w:hAnsiTheme="minorHAnsi"/>
        </w:rPr>
        <w:t xml:space="preserve">by </w:t>
      </w:r>
      <w:r w:rsidR="00725175" w:rsidRPr="00725175">
        <w:rPr>
          <w:rFonts w:asciiTheme="minorHAnsi" w:hAnsiTheme="minorHAnsi"/>
        </w:rPr>
        <w:t>Meyers Brothers Kalicka, P.C.</w:t>
      </w:r>
      <w:r w:rsidR="00DA7D8E">
        <w:rPr>
          <w:rFonts w:asciiTheme="minorHAnsi" w:hAnsiTheme="minorHAnsi"/>
        </w:rPr>
        <w:t xml:space="preserve"> </w:t>
      </w:r>
      <w:r w:rsidRPr="003436F0">
        <w:rPr>
          <w:rFonts w:asciiTheme="minorHAnsi" w:hAnsiTheme="minorHAnsi"/>
        </w:rPr>
        <w:t>(CPA Report).</w:t>
      </w:r>
      <w:r w:rsidR="004466F3">
        <w:rPr>
          <w:rFonts w:asciiTheme="minorHAnsi" w:hAnsiTheme="minorHAnsi"/>
        </w:rPr>
        <w:t xml:space="preserve"> </w:t>
      </w:r>
    </w:p>
    <w:p w14:paraId="51509295" w14:textId="119CD433" w:rsidR="00B447F3" w:rsidRDefault="00B447F3" w:rsidP="00C316C3">
      <w:pPr>
        <w:pStyle w:val="BodyText"/>
        <w:rPr>
          <w:rFonts w:asciiTheme="minorHAnsi" w:hAnsiTheme="minorHAnsi"/>
        </w:rPr>
      </w:pPr>
    </w:p>
    <w:p w14:paraId="777F0109" w14:textId="2149C594" w:rsidR="007E6079" w:rsidRDefault="29DC4F6C" w:rsidP="28157CC0">
      <w:pPr>
        <w:pStyle w:val="BodyText"/>
        <w:rPr>
          <w:rFonts w:asciiTheme="minorHAnsi" w:hAnsiTheme="minorHAnsi"/>
        </w:rPr>
      </w:pPr>
      <w:r w:rsidRPr="28157CC0">
        <w:rPr>
          <w:rFonts w:asciiTheme="minorHAnsi" w:hAnsiTheme="minorHAnsi"/>
        </w:rPr>
        <w:t xml:space="preserve">The CPA analysis included a review of numerous documents </w:t>
      </w:r>
      <w:r w:rsidR="002E0C7F">
        <w:rPr>
          <w:rFonts w:asciiTheme="minorHAnsi" w:hAnsiTheme="minorHAnsi"/>
        </w:rPr>
        <w:t xml:space="preserve">and an analysis of the projected operations of the Center </w:t>
      </w:r>
      <w:proofErr w:type="gramStart"/>
      <w:r w:rsidRPr="28157CC0">
        <w:rPr>
          <w:rFonts w:asciiTheme="minorHAnsi" w:hAnsiTheme="minorHAnsi"/>
        </w:rPr>
        <w:t>in order to</w:t>
      </w:r>
      <w:proofErr w:type="gramEnd"/>
      <w:r w:rsidRPr="28157CC0">
        <w:rPr>
          <w:rFonts w:asciiTheme="minorHAnsi" w:hAnsiTheme="minorHAnsi"/>
        </w:rPr>
        <w:t xml:space="preserve"> form an opinion as to the reasonableness and feasibility of the projections regarding the Proposed Project.</w:t>
      </w:r>
      <w:r w:rsidR="09D689D9" w:rsidRPr="28157CC0">
        <w:rPr>
          <w:rFonts w:asciiTheme="minorHAnsi" w:hAnsiTheme="minorHAnsi"/>
        </w:rPr>
        <w:t xml:space="preserve"> </w:t>
      </w:r>
      <w:r w:rsidR="095FE5B2" w:rsidRPr="28157CC0">
        <w:rPr>
          <w:rFonts w:asciiTheme="minorHAnsi" w:hAnsiTheme="minorHAnsi"/>
        </w:rPr>
        <w:t xml:space="preserve">The projections are deemed </w:t>
      </w:r>
      <w:r w:rsidR="0C984ED9" w:rsidRPr="28157CC0">
        <w:rPr>
          <w:rFonts w:asciiTheme="minorHAnsi" w:hAnsiTheme="minorHAnsi"/>
        </w:rPr>
        <w:t>r</w:t>
      </w:r>
      <w:r w:rsidR="09D689D9" w:rsidRPr="28157CC0">
        <w:rPr>
          <w:rFonts w:asciiTheme="minorHAnsi" w:hAnsiTheme="minorHAnsi"/>
        </w:rPr>
        <w:t>easonable</w:t>
      </w:r>
      <w:r w:rsidR="0A9A72EC" w:rsidRPr="28157CC0">
        <w:rPr>
          <w:rFonts w:asciiTheme="minorHAnsi" w:hAnsiTheme="minorHAnsi"/>
        </w:rPr>
        <w:t>,</w:t>
      </w:r>
      <w:r w:rsidR="00FF745B">
        <w:rPr>
          <w:rFonts w:asciiTheme="minorHAnsi" w:hAnsiTheme="minorHAnsi"/>
        </w:rPr>
        <w:t xml:space="preserve"> </w:t>
      </w:r>
      <w:r w:rsidR="09D689D9" w:rsidRPr="28157CC0">
        <w:rPr>
          <w:rFonts w:asciiTheme="minorHAnsi" w:hAnsiTheme="minorHAnsi"/>
        </w:rPr>
        <w:t>within the context of this report</w:t>
      </w:r>
      <w:r w:rsidR="12A7FE06" w:rsidRPr="28157CC0">
        <w:rPr>
          <w:rFonts w:asciiTheme="minorHAnsi" w:hAnsiTheme="minorHAnsi"/>
        </w:rPr>
        <w:t>, if they are</w:t>
      </w:r>
      <w:r w:rsidR="004E50A3">
        <w:rPr>
          <w:rFonts w:asciiTheme="minorHAnsi" w:hAnsiTheme="minorHAnsi"/>
        </w:rPr>
        <w:t xml:space="preserve"> </w:t>
      </w:r>
      <w:r w:rsidR="012D5763" w:rsidRPr="28157CC0">
        <w:rPr>
          <w:rFonts w:asciiTheme="minorHAnsi" w:hAnsiTheme="minorHAnsi"/>
        </w:rPr>
        <w:t>supportable and proper</w:t>
      </w:r>
      <w:r w:rsidR="00FF745B">
        <w:rPr>
          <w:rFonts w:asciiTheme="minorHAnsi" w:hAnsiTheme="minorHAnsi"/>
        </w:rPr>
        <w:t xml:space="preserve"> </w:t>
      </w:r>
      <w:r w:rsidR="012D5763" w:rsidRPr="28157CC0">
        <w:rPr>
          <w:rFonts w:asciiTheme="minorHAnsi" w:hAnsiTheme="minorHAnsi"/>
        </w:rPr>
        <w:t xml:space="preserve">given the underlying information. </w:t>
      </w:r>
      <w:r w:rsidR="3EFB719C" w:rsidRPr="28157CC0">
        <w:rPr>
          <w:rFonts w:asciiTheme="minorHAnsi" w:hAnsiTheme="minorHAnsi"/>
        </w:rPr>
        <w:t xml:space="preserve">The Proposed Project is </w:t>
      </w:r>
      <w:r w:rsidR="00FE6B46" w:rsidRPr="28157CC0">
        <w:rPr>
          <w:rFonts w:asciiTheme="minorHAnsi" w:hAnsiTheme="minorHAnsi"/>
        </w:rPr>
        <w:t>feasible</w:t>
      </w:r>
      <w:r w:rsidR="012D5763" w:rsidRPr="28157CC0">
        <w:rPr>
          <w:rFonts w:asciiTheme="minorHAnsi" w:hAnsiTheme="minorHAnsi"/>
        </w:rPr>
        <w:t xml:space="preserve"> </w:t>
      </w:r>
      <w:r w:rsidR="3E999E48" w:rsidRPr="28157CC0">
        <w:rPr>
          <w:rFonts w:asciiTheme="minorHAnsi" w:hAnsiTheme="minorHAnsi"/>
        </w:rPr>
        <w:t>if,</w:t>
      </w:r>
      <w:r w:rsidR="012D5763" w:rsidRPr="28157CC0">
        <w:rPr>
          <w:rFonts w:asciiTheme="minorHAnsi" w:hAnsiTheme="minorHAnsi"/>
        </w:rPr>
        <w:t xml:space="preserve"> based on the assumptions used, the plan is not likely to result in insufficient funds available for capital and ongoing operating costs necessary to support the Proposed Project without negative impacts o</w:t>
      </w:r>
      <w:r w:rsidR="3C5C26BD" w:rsidRPr="28157CC0">
        <w:rPr>
          <w:rFonts w:asciiTheme="minorHAnsi" w:hAnsiTheme="minorHAnsi"/>
        </w:rPr>
        <w:t>r</w:t>
      </w:r>
      <w:r w:rsidR="012D5763" w:rsidRPr="28157CC0">
        <w:rPr>
          <w:rFonts w:asciiTheme="minorHAnsi" w:hAnsiTheme="minorHAnsi"/>
        </w:rPr>
        <w:t xml:space="preserve"> consequences to </w:t>
      </w:r>
      <w:r w:rsidR="00811FDC">
        <w:rPr>
          <w:rFonts w:asciiTheme="minorHAnsi" w:hAnsiTheme="minorHAnsi"/>
        </w:rPr>
        <w:t>the Applicant’s existing Patient Panel</w:t>
      </w:r>
      <w:r w:rsidR="012D5763" w:rsidRPr="28157CC0">
        <w:rPr>
          <w:rFonts w:asciiTheme="minorHAnsi" w:hAnsiTheme="minorHAnsi"/>
        </w:rPr>
        <w:t>.</w:t>
      </w:r>
    </w:p>
    <w:p w14:paraId="22027425" w14:textId="77777777" w:rsidR="007B3A5E" w:rsidRDefault="007B3A5E" w:rsidP="28157CC0">
      <w:pPr>
        <w:pStyle w:val="BodyText"/>
        <w:rPr>
          <w:rFonts w:asciiTheme="minorHAnsi" w:hAnsiTheme="minorHAnsi"/>
        </w:rPr>
      </w:pPr>
    </w:p>
    <w:p w14:paraId="3DCA145D" w14:textId="0BEC8068" w:rsidR="00916F14" w:rsidRDefault="6290250B" w:rsidP="28157CC0">
      <w:pPr>
        <w:pStyle w:val="BodyText"/>
        <w:rPr>
          <w:rFonts w:asciiTheme="minorHAnsi" w:hAnsiTheme="minorHAnsi"/>
        </w:rPr>
      </w:pPr>
      <w:r w:rsidRPr="28157CC0">
        <w:rPr>
          <w:rFonts w:asciiTheme="minorHAnsi" w:hAnsiTheme="minorHAnsi"/>
        </w:rPr>
        <w:t xml:space="preserve">To arrive at its conclusions, the scope of the CPA report is limited to an analysis of the five-year Projections for the fiscal years ending </w:t>
      </w:r>
      <w:r w:rsidR="0035010F">
        <w:rPr>
          <w:rFonts w:asciiTheme="minorHAnsi" w:hAnsiTheme="minorHAnsi"/>
        </w:rPr>
        <w:t>September</w:t>
      </w:r>
      <w:r w:rsidR="2EB87948" w:rsidRPr="28157CC0">
        <w:rPr>
          <w:rFonts w:asciiTheme="minorHAnsi" w:hAnsiTheme="minorHAnsi"/>
        </w:rPr>
        <w:t xml:space="preserve"> </w:t>
      </w:r>
      <w:r w:rsidR="006A707D">
        <w:rPr>
          <w:rFonts w:asciiTheme="minorHAnsi" w:hAnsiTheme="minorHAnsi"/>
        </w:rPr>
        <w:t>3</w:t>
      </w:r>
      <w:r w:rsidR="0035010F">
        <w:rPr>
          <w:rFonts w:asciiTheme="minorHAnsi" w:hAnsiTheme="minorHAnsi"/>
        </w:rPr>
        <w:t>0</w:t>
      </w:r>
      <w:r w:rsidR="006A707D">
        <w:rPr>
          <w:rFonts w:asciiTheme="minorHAnsi" w:hAnsiTheme="minorHAnsi"/>
        </w:rPr>
        <w:t xml:space="preserve">, </w:t>
      </w:r>
      <w:proofErr w:type="gramStart"/>
      <w:r w:rsidR="44F2EA15" w:rsidRPr="28157CC0">
        <w:rPr>
          <w:rFonts w:asciiTheme="minorHAnsi" w:hAnsiTheme="minorHAnsi"/>
        </w:rPr>
        <w:t>202</w:t>
      </w:r>
      <w:r w:rsidR="0035010F">
        <w:rPr>
          <w:rFonts w:asciiTheme="minorHAnsi" w:hAnsiTheme="minorHAnsi"/>
        </w:rPr>
        <w:t>8</w:t>
      </w:r>
      <w:proofErr w:type="gramEnd"/>
      <w:r w:rsidRPr="28157CC0">
        <w:rPr>
          <w:rFonts w:asciiTheme="minorHAnsi" w:hAnsiTheme="minorHAnsi"/>
        </w:rPr>
        <w:t xml:space="preserve"> through </w:t>
      </w:r>
      <w:r w:rsidR="00F74120">
        <w:rPr>
          <w:rFonts w:asciiTheme="minorHAnsi" w:hAnsiTheme="minorHAnsi"/>
        </w:rPr>
        <w:t>September</w:t>
      </w:r>
      <w:r w:rsidR="2EB87948" w:rsidRPr="28157CC0">
        <w:rPr>
          <w:rFonts w:asciiTheme="minorHAnsi" w:hAnsiTheme="minorHAnsi"/>
        </w:rPr>
        <w:t xml:space="preserve"> </w:t>
      </w:r>
      <w:r w:rsidR="006A707D">
        <w:rPr>
          <w:rFonts w:asciiTheme="minorHAnsi" w:hAnsiTheme="minorHAnsi"/>
        </w:rPr>
        <w:t>3</w:t>
      </w:r>
      <w:r w:rsidR="00F74120">
        <w:rPr>
          <w:rFonts w:asciiTheme="minorHAnsi" w:hAnsiTheme="minorHAnsi"/>
        </w:rPr>
        <w:t>0</w:t>
      </w:r>
      <w:r w:rsidR="006A707D">
        <w:rPr>
          <w:rFonts w:asciiTheme="minorHAnsi" w:hAnsiTheme="minorHAnsi"/>
        </w:rPr>
        <w:t xml:space="preserve">, </w:t>
      </w:r>
      <w:r w:rsidRPr="28157CC0">
        <w:rPr>
          <w:rFonts w:asciiTheme="minorHAnsi" w:hAnsiTheme="minorHAnsi"/>
        </w:rPr>
        <w:t>20</w:t>
      </w:r>
      <w:r w:rsidR="00794B2B">
        <w:rPr>
          <w:rFonts w:asciiTheme="minorHAnsi" w:hAnsiTheme="minorHAnsi"/>
        </w:rPr>
        <w:t>3</w:t>
      </w:r>
      <w:r w:rsidR="00F74120">
        <w:rPr>
          <w:rFonts w:asciiTheme="minorHAnsi" w:hAnsiTheme="minorHAnsi"/>
        </w:rPr>
        <w:t>2</w:t>
      </w:r>
      <w:r w:rsidR="00660C03">
        <w:rPr>
          <w:rFonts w:asciiTheme="minorHAnsi" w:hAnsiTheme="minorHAnsi"/>
        </w:rPr>
        <w:t xml:space="preserve"> (Projection Period)</w:t>
      </w:r>
      <w:r w:rsidRPr="28157CC0">
        <w:rPr>
          <w:rFonts w:asciiTheme="minorHAnsi" w:hAnsiTheme="minorHAnsi"/>
        </w:rPr>
        <w:t xml:space="preserve">, prepared </w:t>
      </w:r>
      <w:r w:rsidR="00D24275">
        <w:rPr>
          <w:rFonts w:asciiTheme="minorHAnsi" w:hAnsiTheme="minorHAnsi"/>
        </w:rPr>
        <w:t>the Management of Winchester Hospital</w:t>
      </w:r>
      <w:r w:rsidR="002E0C7F">
        <w:rPr>
          <w:rFonts w:asciiTheme="minorHAnsi" w:hAnsiTheme="minorHAnsi"/>
        </w:rPr>
        <w:t xml:space="preserve"> (Management). </w:t>
      </w:r>
    </w:p>
    <w:p w14:paraId="01E7229D" w14:textId="77777777" w:rsidR="009F1476" w:rsidRDefault="009F1476" w:rsidP="00C316C3">
      <w:pPr>
        <w:pStyle w:val="BodyText"/>
        <w:rPr>
          <w:rFonts w:asciiTheme="minorHAnsi" w:hAnsiTheme="minorHAnsi"/>
        </w:rPr>
      </w:pPr>
    </w:p>
    <w:p w14:paraId="72021D92" w14:textId="3FD9C473" w:rsidR="00AB690C" w:rsidRDefault="009F1476" w:rsidP="00C316C3">
      <w:pPr>
        <w:pStyle w:val="BodyText"/>
        <w:rPr>
          <w:rFonts w:asciiTheme="minorHAnsi" w:hAnsiTheme="minorHAnsi"/>
        </w:rPr>
      </w:pPr>
      <w:r>
        <w:rPr>
          <w:rFonts w:asciiTheme="minorHAnsi" w:hAnsiTheme="minorHAnsi"/>
        </w:rPr>
        <w:t>Sources of information used and relied upon in the report:</w:t>
      </w:r>
    </w:p>
    <w:p w14:paraId="52790A9C" w14:textId="53B04525" w:rsidR="00705090" w:rsidRPr="00705090" w:rsidRDefault="00705090" w:rsidP="00C9571B">
      <w:pPr>
        <w:pStyle w:val="BodyText"/>
        <w:numPr>
          <w:ilvl w:val="0"/>
          <w:numId w:val="9"/>
        </w:numPr>
        <w:rPr>
          <w:rFonts w:asciiTheme="minorHAnsi" w:hAnsiTheme="minorHAnsi"/>
        </w:rPr>
      </w:pPr>
      <w:r w:rsidRPr="00705090">
        <w:rPr>
          <w:rFonts w:asciiTheme="minorHAnsi" w:hAnsiTheme="minorHAnsi"/>
        </w:rPr>
        <w:t xml:space="preserve">Historical volume of patients and procedures for the existing endoscopy center at the Woburn, MA location for the fiscal years ended September 30, 2023, 2024, and year-to-date June 30, 2025. </w:t>
      </w:r>
    </w:p>
    <w:p w14:paraId="6F277308" w14:textId="3C1E3A8B" w:rsidR="00705090" w:rsidRPr="00705090" w:rsidRDefault="00705090" w:rsidP="00C9571B">
      <w:pPr>
        <w:pStyle w:val="BodyText"/>
        <w:numPr>
          <w:ilvl w:val="0"/>
          <w:numId w:val="9"/>
        </w:numPr>
        <w:rPr>
          <w:rFonts w:asciiTheme="minorHAnsi" w:hAnsiTheme="minorHAnsi"/>
        </w:rPr>
      </w:pPr>
      <w:r w:rsidRPr="00705090">
        <w:rPr>
          <w:rFonts w:asciiTheme="minorHAnsi" w:hAnsiTheme="minorHAnsi"/>
        </w:rPr>
        <w:t xml:space="preserve">Historical revenue and expenses for the existing endoscopy center at the Woburn, MA location for the fiscal years ended September 30, 2023, 2024, and year-to-date June 30, 2025. </w:t>
      </w:r>
    </w:p>
    <w:p w14:paraId="395C0795" w14:textId="0EB308C7" w:rsidR="00705090" w:rsidRDefault="00705090" w:rsidP="00C9571B">
      <w:pPr>
        <w:pStyle w:val="BodyText"/>
        <w:numPr>
          <w:ilvl w:val="0"/>
          <w:numId w:val="9"/>
        </w:numPr>
        <w:rPr>
          <w:rFonts w:asciiTheme="minorHAnsi" w:hAnsiTheme="minorHAnsi"/>
        </w:rPr>
      </w:pPr>
      <w:r w:rsidRPr="00705090">
        <w:rPr>
          <w:rFonts w:asciiTheme="minorHAnsi" w:hAnsiTheme="minorHAnsi"/>
        </w:rPr>
        <w:t xml:space="preserve">Winchester Hospital’s Form 990 for the years ended September 30, </w:t>
      </w:r>
      <w:proofErr w:type="gramStart"/>
      <w:r w:rsidRPr="00705090">
        <w:rPr>
          <w:rFonts w:asciiTheme="minorHAnsi" w:hAnsiTheme="minorHAnsi"/>
        </w:rPr>
        <w:t>2024</w:t>
      </w:r>
      <w:proofErr w:type="gramEnd"/>
      <w:r w:rsidRPr="00705090">
        <w:rPr>
          <w:rFonts w:asciiTheme="minorHAnsi" w:hAnsiTheme="minorHAnsi"/>
        </w:rPr>
        <w:t xml:space="preserve"> and 2023.</w:t>
      </w:r>
    </w:p>
    <w:p w14:paraId="48803B9D" w14:textId="1ACD1D4E" w:rsidR="00FB0326" w:rsidRPr="00705090" w:rsidRDefault="00FB0326" w:rsidP="00C9571B">
      <w:pPr>
        <w:pStyle w:val="BodyText"/>
        <w:numPr>
          <w:ilvl w:val="0"/>
          <w:numId w:val="9"/>
        </w:numPr>
        <w:rPr>
          <w:rFonts w:asciiTheme="minorHAnsi" w:hAnsiTheme="minorHAnsi"/>
        </w:rPr>
      </w:pPr>
      <w:r w:rsidRPr="00FB0326">
        <w:rPr>
          <w:rFonts w:asciiTheme="minorHAnsi" w:hAnsiTheme="minorHAnsi"/>
        </w:rPr>
        <w:t xml:space="preserve">Beth Israel Lahey Health, Inc. and Affiliates audited consolidated financial statements as of and for the years ended September 30, </w:t>
      </w:r>
      <w:proofErr w:type="gramStart"/>
      <w:r w:rsidRPr="00FB0326">
        <w:rPr>
          <w:rFonts w:asciiTheme="minorHAnsi" w:hAnsiTheme="minorHAnsi"/>
        </w:rPr>
        <w:t>2024</w:t>
      </w:r>
      <w:proofErr w:type="gramEnd"/>
      <w:r w:rsidRPr="00FB0326">
        <w:rPr>
          <w:rFonts w:asciiTheme="minorHAnsi" w:hAnsiTheme="minorHAnsi"/>
        </w:rPr>
        <w:t xml:space="preserve"> and 2023.</w:t>
      </w:r>
    </w:p>
    <w:p w14:paraId="5FBE1A2C" w14:textId="239EBC7F" w:rsidR="00705090" w:rsidRPr="00705090" w:rsidRDefault="00705090" w:rsidP="00C9571B">
      <w:pPr>
        <w:pStyle w:val="BodyText"/>
        <w:numPr>
          <w:ilvl w:val="0"/>
          <w:numId w:val="9"/>
        </w:numPr>
        <w:rPr>
          <w:rFonts w:asciiTheme="minorHAnsi" w:hAnsiTheme="minorHAnsi"/>
        </w:rPr>
      </w:pPr>
      <w:r w:rsidRPr="00705090">
        <w:rPr>
          <w:rFonts w:asciiTheme="minorHAnsi" w:hAnsiTheme="minorHAnsi"/>
        </w:rPr>
        <w:t xml:space="preserve">Projected outpatient volume for the Project for the fiscal years ending September 30, 2028, 2029, 2030, 2031, and 2032. </w:t>
      </w:r>
    </w:p>
    <w:p w14:paraId="44988C39" w14:textId="2F8EE981" w:rsidR="00705090" w:rsidRPr="00705090" w:rsidRDefault="00705090" w:rsidP="00C9571B">
      <w:pPr>
        <w:pStyle w:val="BodyText"/>
        <w:numPr>
          <w:ilvl w:val="0"/>
          <w:numId w:val="9"/>
        </w:numPr>
        <w:rPr>
          <w:rFonts w:asciiTheme="minorHAnsi" w:hAnsiTheme="minorHAnsi"/>
        </w:rPr>
      </w:pPr>
      <w:r w:rsidRPr="00705090">
        <w:rPr>
          <w:rFonts w:asciiTheme="minorHAnsi" w:hAnsiTheme="minorHAnsi"/>
        </w:rPr>
        <w:t>Projected revenue and expenses for the Project for the fiscal years ending September 30, 2028, 2029, 2030, 2031, and 2032.</w:t>
      </w:r>
    </w:p>
    <w:p w14:paraId="0D48B364" w14:textId="70F2022C" w:rsidR="00705090" w:rsidRPr="00705090" w:rsidRDefault="00705090" w:rsidP="00C9571B">
      <w:pPr>
        <w:pStyle w:val="BodyText"/>
        <w:numPr>
          <w:ilvl w:val="0"/>
          <w:numId w:val="9"/>
        </w:numPr>
        <w:rPr>
          <w:rFonts w:asciiTheme="minorHAnsi" w:hAnsiTheme="minorHAnsi"/>
        </w:rPr>
      </w:pPr>
      <w:r w:rsidRPr="00705090">
        <w:rPr>
          <w:rFonts w:asciiTheme="minorHAnsi" w:hAnsiTheme="minorHAnsi"/>
        </w:rPr>
        <w:t>Projected statements of cash flows from operations for the Project for the fiscal years ending September 30, 2028, 2029, 2030, 2031, and 2032.</w:t>
      </w:r>
    </w:p>
    <w:p w14:paraId="359B4397" w14:textId="765007AB" w:rsidR="00705090" w:rsidRPr="00705090" w:rsidRDefault="00705090" w:rsidP="00C9571B">
      <w:pPr>
        <w:pStyle w:val="BodyText"/>
        <w:numPr>
          <w:ilvl w:val="0"/>
          <w:numId w:val="9"/>
        </w:numPr>
        <w:rPr>
          <w:rFonts w:asciiTheme="minorHAnsi" w:hAnsiTheme="minorHAnsi"/>
        </w:rPr>
      </w:pPr>
      <w:r w:rsidRPr="00705090">
        <w:rPr>
          <w:rFonts w:asciiTheme="minorHAnsi" w:hAnsiTheme="minorHAnsi"/>
        </w:rPr>
        <w:t>Quote for equipment, installation and service agreements from STERIS Corporation totaling $971,130.</w:t>
      </w:r>
    </w:p>
    <w:p w14:paraId="6CA2AC92" w14:textId="0E0D8F39" w:rsidR="00705090" w:rsidRPr="00705090" w:rsidRDefault="00705090" w:rsidP="00C9571B">
      <w:pPr>
        <w:pStyle w:val="BodyText"/>
        <w:numPr>
          <w:ilvl w:val="0"/>
          <w:numId w:val="9"/>
        </w:numPr>
        <w:rPr>
          <w:rFonts w:asciiTheme="minorHAnsi" w:hAnsiTheme="minorHAnsi"/>
        </w:rPr>
      </w:pPr>
      <w:r w:rsidRPr="00705090">
        <w:rPr>
          <w:rFonts w:asciiTheme="minorHAnsi" w:hAnsiTheme="minorHAnsi"/>
        </w:rPr>
        <w:t xml:space="preserve">Quote for equipment and installation from Nihon </w:t>
      </w:r>
      <w:proofErr w:type="spellStart"/>
      <w:r w:rsidRPr="00705090">
        <w:rPr>
          <w:rFonts w:asciiTheme="minorHAnsi" w:hAnsiTheme="minorHAnsi"/>
        </w:rPr>
        <w:t>Kohden</w:t>
      </w:r>
      <w:proofErr w:type="spellEnd"/>
      <w:r w:rsidRPr="00705090">
        <w:rPr>
          <w:rFonts w:asciiTheme="minorHAnsi" w:hAnsiTheme="minorHAnsi"/>
        </w:rPr>
        <w:t xml:space="preserve"> totaling $119,232.</w:t>
      </w:r>
    </w:p>
    <w:p w14:paraId="37C34DBB" w14:textId="77777777" w:rsidR="00705090" w:rsidRDefault="00705090" w:rsidP="00C9571B">
      <w:pPr>
        <w:pStyle w:val="BodyText"/>
        <w:numPr>
          <w:ilvl w:val="0"/>
          <w:numId w:val="9"/>
        </w:numPr>
        <w:rPr>
          <w:rFonts w:asciiTheme="minorHAnsi" w:hAnsiTheme="minorHAnsi"/>
        </w:rPr>
      </w:pPr>
      <w:r w:rsidRPr="00705090">
        <w:rPr>
          <w:rFonts w:asciiTheme="minorHAnsi" w:hAnsiTheme="minorHAnsi"/>
        </w:rPr>
        <w:t>Quote for Anesthesia machines from Coast to Coast Medical totaling $39,000.</w:t>
      </w:r>
    </w:p>
    <w:p w14:paraId="233D58BC" w14:textId="6263FA18" w:rsidR="005F1C78" w:rsidRPr="005F1C78" w:rsidRDefault="005F1C78" w:rsidP="00C9571B">
      <w:pPr>
        <w:pStyle w:val="BodyText"/>
        <w:numPr>
          <w:ilvl w:val="0"/>
          <w:numId w:val="9"/>
        </w:numPr>
        <w:rPr>
          <w:rFonts w:asciiTheme="minorHAnsi" w:hAnsiTheme="minorHAnsi"/>
        </w:rPr>
      </w:pPr>
      <w:r w:rsidRPr="005F1C78">
        <w:rPr>
          <w:rFonts w:asciiTheme="minorHAnsi" w:hAnsiTheme="minorHAnsi"/>
        </w:rPr>
        <w:t>Lease Extension #8 between W</w:t>
      </w:r>
      <w:r w:rsidR="00572254">
        <w:rPr>
          <w:rFonts w:asciiTheme="minorHAnsi" w:hAnsiTheme="minorHAnsi"/>
        </w:rPr>
        <w:t>inchester Hospital</w:t>
      </w:r>
      <w:r w:rsidRPr="005F1C78">
        <w:rPr>
          <w:rFonts w:asciiTheme="minorHAnsi" w:hAnsiTheme="minorHAnsi"/>
        </w:rPr>
        <w:t xml:space="preserve"> and Cummings Properties, LLC, which includes an extension of the existing lease for ten years following the completion of the construction. Following the completion of the construction, a renovation charge of approximately $1,954,000, which agrees to the quote provided by Cummings Property, LLC dated May 2, 2025, will be added to the lease repayment schedule to be paid back over the term of the lease. The total construction charge related to the addition of the </w:t>
      </w:r>
      <w:r w:rsidRPr="005F1C78">
        <w:rPr>
          <w:rFonts w:asciiTheme="minorHAnsi" w:hAnsiTheme="minorHAnsi"/>
        </w:rPr>
        <w:lastRenderedPageBreak/>
        <w:t>three endoscopy rooms and seven pre/post procedure bays (1,970 sq ft) and to be included with capital expenditures on the DON application will be $941,443.</w:t>
      </w:r>
    </w:p>
    <w:p w14:paraId="2BC3249D" w14:textId="2BFE5057" w:rsidR="005F1C78" w:rsidRPr="005F1C78" w:rsidRDefault="005F1C78" w:rsidP="00C9571B">
      <w:pPr>
        <w:pStyle w:val="BodyText"/>
        <w:numPr>
          <w:ilvl w:val="0"/>
          <w:numId w:val="9"/>
        </w:numPr>
        <w:rPr>
          <w:rFonts w:asciiTheme="minorHAnsi" w:hAnsiTheme="minorHAnsi"/>
        </w:rPr>
      </w:pPr>
      <w:r w:rsidRPr="005F1C78">
        <w:rPr>
          <w:rFonts w:asciiTheme="minorHAnsi" w:hAnsiTheme="minorHAnsi"/>
        </w:rPr>
        <w:t>DON Application Instructions dated July 2023.</w:t>
      </w:r>
    </w:p>
    <w:p w14:paraId="265113FB" w14:textId="244BA072" w:rsidR="005F1C78" w:rsidRPr="005F1C78" w:rsidRDefault="005F1C78" w:rsidP="00C9571B">
      <w:pPr>
        <w:pStyle w:val="BodyText"/>
        <w:numPr>
          <w:ilvl w:val="0"/>
          <w:numId w:val="9"/>
        </w:numPr>
        <w:rPr>
          <w:rFonts w:asciiTheme="minorHAnsi" w:hAnsiTheme="minorHAnsi"/>
        </w:rPr>
      </w:pPr>
      <w:r w:rsidRPr="005F1C78">
        <w:rPr>
          <w:rFonts w:asciiTheme="minorHAnsi" w:hAnsiTheme="minorHAnsi"/>
        </w:rPr>
        <w:t>DON Narrative draft provided November 19, 2025.</w:t>
      </w:r>
    </w:p>
    <w:p w14:paraId="1634EF71" w14:textId="525DA606" w:rsidR="005F1C78" w:rsidRPr="005F1C78" w:rsidRDefault="005F1C78" w:rsidP="00C9571B">
      <w:pPr>
        <w:pStyle w:val="BodyText"/>
        <w:numPr>
          <w:ilvl w:val="0"/>
          <w:numId w:val="9"/>
        </w:numPr>
        <w:rPr>
          <w:rFonts w:asciiTheme="minorHAnsi" w:hAnsiTheme="minorHAnsi"/>
        </w:rPr>
      </w:pPr>
      <w:r w:rsidRPr="005F1C78">
        <w:rPr>
          <w:rFonts w:asciiTheme="minorHAnsi" w:hAnsiTheme="minorHAnsi"/>
        </w:rPr>
        <w:t xml:space="preserve">DON Application Form. </w:t>
      </w:r>
    </w:p>
    <w:p w14:paraId="4DA6E76C" w14:textId="2DB0915A" w:rsidR="00A741FF" w:rsidRPr="00705090" w:rsidRDefault="005F1C78" w:rsidP="00C9571B">
      <w:pPr>
        <w:pStyle w:val="BodyText"/>
        <w:numPr>
          <w:ilvl w:val="0"/>
          <w:numId w:val="9"/>
        </w:numPr>
        <w:rPr>
          <w:rFonts w:asciiTheme="minorHAnsi" w:hAnsiTheme="minorHAnsi"/>
        </w:rPr>
      </w:pPr>
      <w:r w:rsidRPr="005F1C78">
        <w:rPr>
          <w:rFonts w:asciiTheme="minorHAnsi" w:hAnsiTheme="minorHAnsi"/>
        </w:rPr>
        <w:t>Total project costs</w:t>
      </w:r>
    </w:p>
    <w:p w14:paraId="03FCF442" w14:textId="666186CA" w:rsidR="0091437D" w:rsidRPr="005B7711" w:rsidRDefault="0091437D" w:rsidP="001E2C3A">
      <w:pPr>
        <w:pStyle w:val="BodyText"/>
        <w:rPr>
          <w:rFonts w:asciiTheme="minorHAnsi" w:hAnsiTheme="minorHAnsi"/>
        </w:rPr>
      </w:pPr>
    </w:p>
    <w:p w14:paraId="5BDDB87A" w14:textId="56F8F452" w:rsidR="00921B6D" w:rsidRDefault="7F5687B1" w:rsidP="00A63397">
      <w:pPr>
        <w:pStyle w:val="BodyText"/>
        <w:rPr>
          <w:rFonts w:asciiTheme="minorHAnsi" w:hAnsiTheme="minorHAnsi"/>
        </w:rPr>
      </w:pPr>
      <w:r w:rsidRPr="3980F530">
        <w:rPr>
          <w:rFonts w:asciiTheme="minorHAnsi" w:hAnsiTheme="minorHAnsi"/>
          <w:b/>
          <w:bCs/>
        </w:rPr>
        <w:t>Revenues:</w:t>
      </w:r>
      <w:r w:rsidRPr="3980F530">
        <w:rPr>
          <w:rFonts w:asciiTheme="minorHAnsi" w:hAnsiTheme="minorHAnsi"/>
        </w:rPr>
        <w:t xml:space="preserve"> </w:t>
      </w:r>
      <w:r w:rsidR="00921B6D">
        <w:rPr>
          <w:rFonts w:asciiTheme="minorHAnsi" w:hAnsiTheme="minorHAnsi"/>
        </w:rPr>
        <w:t xml:space="preserve">The CPA reviewed and analyzed net operating revenues in the historical and projected financial information. Volume at the Center is based on total outpatient visits. Historical volume of outpatient visits for the Center average 10 patients per </w:t>
      </w:r>
      <w:r w:rsidR="006F4182">
        <w:rPr>
          <w:rFonts w:asciiTheme="minorHAnsi" w:hAnsiTheme="minorHAnsi"/>
        </w:rPr>
        <w:t>weekday</w:t>
      </w:r>
      <w:r w:rsidR="00921B6D">
        <w:rPr>
          <w:rFonts w:asciiTheme="minorHAnsi" w:hAnsiTheme="minorHAnsi"/>
        </w:rPr>
        <w:t xml:space="preserve"> per room for the nine months </w:t>
      </w:r>
      <w:proofErr w:type="gramStart"/>
      <w:r w:rsidR="00921B6D">
        <w:rPr>
          <w:rFonts w:asciiTheme="minorHAnsi" w:hAnsiTheme="minorHAnsi"/>
        </w:rPr>
        <w:t>ended</w:t>
      </w:r>
      <w:proofErr w:type="gramEnd"/>
      <w:r w:rsidR="00921B6D">
        <w:rPr>
          <w:rFonts w:asciiTheme="minorHAnsi" w:hAnsiTheme="minorHAnsi"/>
        </w:rPr>
        <w:t xml:space="preserve"> June 30, 2025. Winchester </w:t>
      </w:r>
      <w:r w:rsidR="005F4678">
        <w:rPr>
          <w:rFonts w:asciiTheme="minorHAnsi" w:hAnsiTheme="minorHAnsi"/>
        </w:rPr>
        <w:t>Hospital</w:t>
      </w:r>
      <w:r w:rsidR="00921B6D">
        <w:rPr>
          <w:rFonts w:asciiTheme="minorHAnsi" w:hAnsiTheme="minorHAnsi"/>
        </w:rPr>
        <w:t xml:space="preserve"> Management</w:t>
      </w:r>
      <w:r w:rsidR="003648DE">
        <w:rPr>
          <w:rFonts w:asciiTheme="minorHAnsi" w:hAnsiTheme="minorHAnsi"/>
        </w:rPr>
        <w:t xml:space="preserve"> (Management)</w:t>
      </w:r>
      <w:r w:rsidR="00921B6D">
        <w:rPr>
          <w:rFonts w:asciiTheme="minorHAnsi" w:hAnsiTheme="minorHAnsi"/>
        </w:rPr>
        <w:t xml:space="preserve"> believes that based on historical volume, an average of six patients per day per room (1,140 patients per room per year) is a reasonable projection for the year ending September 30, </w:t>
      </w:r>
      <w:proofErr w:type="gramStart"/>
      <w:r w:rsidR="00921B6D">
        <w:rPr>
          <w:rFonts w:asciiTheme="minorHAnsi" w:hAnsiTheme="minorHAnsi"/>
        </w:rPr>
        <w:t>2028</w:t>
      </w:r>
      <w:proofErr w:type="gramEnd"/>
      <w:r w:rsidR="00921B6D">
        <w:rPr>
          <w:rFonts w:asciiTheme="minorHAnsi" w:hAnsiTheme="minorHAnsi"/>
        </w:rPr>
        <w:t xml:space="preserve"> for the addition of three endoscopy procedure rooms and seven pre/post procedure bays. </w:t>
      </w:r>
      <w:r w:rsidR="005F4678">
        <w:rPr>
          <w:rFonts w:asciiTheme="minorHAnsi" w:hAnsiTheme="minorHAnsi"/>
        </w:rPr>
        <w:t>Management</w:t>
      </w:r>
      <w:r w:rsidR="00921B6D">
        <w:rPr>
          <w:rFonts w:asciiTheme="minorHAnsi" w:hAnsiTheme="minorHAnsi"/>
        </w:rPr>
        <w:t xml:space="preserve"> assumes 11% and 17% increases in outpatient cases for the years ended September 30, </w:t>
      </w:r>
      <w:proofErr w:type="gramStart"/>
      <w:r w:rsidR="00921B6D">
        <w:rPr>
          <w:rFonts w:asciiTheme="minorHAnsi" w:hAnsiTheme="minorHAnsi"/>
        </w:rPr>
        <w:t>2029</w:t>
      </w:r>
      <w:proofErr w:type="gramEnd"/>
      <w:r w:rsidR="00921B6D">
        <w:rPr>
          <w:rFonts w:asciiTheme="minorHAnsi" w:hAnsiTheme="minorHAnsi"/>
        </w:rPr>
        <w:t xml:space="preserve"> through September 20, 2032. Winchester Hospital projected revenue at a rate of $1,179 per outpatient </w:t>
      </w:r>
      <w:r w:rsidR="005F4678">
        <w:rPr>
          <w:rFonts w:asciiTheme="minorHAnsi" w:hAnsiTheme="minorHAnsi"/>
        </w:rPr>
        <w:t>visit</w:t>
      </w:r>
      <w:r w:rsidR="00921B6D">
        <w:rPr>
          <w:rFonts w:asciiTheme="minorHAnsi" w:hAnsiTheme="minorHAnsi"/>
        </w:rPr>
        <w:t xml:space="preserve"> for </w:t>
      </w:r>
      <w:r w:rsidR="005F4678">
        <w:rPr>
          <w:rFonts w:asciiTheme="minorHAnsi" w:hAnsiTheme="minorHAnsi"/>
        </w:rPr>
        <w:t>the</w:t>
      </w:r>
      <w:r w:rsidR="00921B6D">
        <w:rPr>
          <w:rFonts w:asciiTheme="minorHAnsi" w:hAnsiTheme="minorHAnsi"/>
        </w:rPr>
        <w:t xml:space="preserve"> year ending </w:t>
      </w:r>
      <w:r w:rsidR="005F4678">
        <w:rPr>
          <w:rFonts w:asciiTheme="minorHAnsi" w:hAnsiTheme="minorHAnsi"/>
        </w:rPr>
        <w:t>September</w:t>
      </w:r>
      <w:r w:rsidR="00921B6D">
        <w:rPr>
          <w:rFonts w:asciiTheme="minorHAnsi" w:hAnsiTheme="minorHAnsi"/>
        </w:rPr>
        <w:t xml:space="preserve"> 30, </w:t>
      </w:r>
      <w:proofErr w:type="gramStart"/>
      <w:r w:rsidR="00921B6D">
        <w:rPr>
          <w:rFonts w:asciiTheme="minorHAnsi" w:hAnsiTheme="minorHAnsi"/>
        </w:rPr>
        <w:t>2028</w:t>
      </w:r>
      <w:proofErr w:type="gramEnd"/>
      <w:r w:rsidR="00921B6D">
        <w:rPr>
          <w:rFonts w:asciiTheme="minorHAnsi" w:hAnsiTheme="minorHAnsi"/>
        </w:rPr>
        <w:t xml:space="preserve"> with an annual increase of 2% for the years ending September 30, </w:t>
      </w:r>
      <w:proofErr w:type="gramStart"/>
      <w:r w:rsidR="00921B6D">
        <w:rPr>
          <w:rFonts w:asciiTheme="minorHAnsi" w:hAnsiTheme="minorHAnsi"/>
        </w:rPr>
        <w:t>2029</w:t>
      </w:r>
      <w:proofErr w:type="gramEnd"/>
      <w:r w:rsidR="00921B6D">
        <w:rPr>
          <w:rFonts w:asciiTheme="minorHAnsi" w:hAnsiTheme="minorHAnsi"/>
        </w:rPr>
        <w:t xml:space="preserve"> through </w:t>
      </w:r>
      <w:r w:rsidR="005F4678">
        <w:rPr>
          <w:rFonts w:asciiTheme="minorHAnsi" w:hAnsiTheme="minorHAnsi"/>
        </w:rPr>
        <w:t>September</w:t>
      </w:r>
      <w:r w:rsidR="00921B6D">
        <w:rPr>
          <w:rFonts w:asciiTheme="minorHAnsi" w:hAnsiTheme="minorHAnsi"/>
        </w:rPr>
        <w:t xml:space="preserve"> 30, 2032. </w:t>
      </w:r>
      <w:r w:rsidR="005F4678">
        <w:rPr>
          <w:rFonts w:asciiTheme="minorHAnsi" w:hAnsiTheme="minorHAnsi"/>
        </w:rPr>
        <w:t xml:space="preserve">The CPA analyzed the net projected/pro-forma incremental net revenue for the Proposed Project for the fiscal years ending September 30, </w:t>
      </w:r>
      <w:proofErr w:type="gramStart"/>
      <w:r w:rsidR="005F4678">
        <w:rPr>
          <w:rFonts w:asciiTheme="minorHAnsi" w:hAnsiTheme="minorHAnsi"/>
        </w:rPr>
        <w:t>2028</w:t>
      </w:r>
      <w:proofErr w:type="gramEnd"/>
      <w:r w:rsidR="005F4678">
        <w:rPr>
          <w:rFonts w:asciiTheme="minorHAnsi" w:hAnsiTheme="minorHAnsi"/>
        </w:rPr>
        <w:t xml:space="preserve"> through September 30, </w:t>
      </w:r>
      <w:proofErr w:type="gramStart"/>
      <w:r w:rsidR="005F4678">
        <w:rPr>
          <w:rFonts w:asciiTheme="minorHAnsi" w:hAnsiTheme="minorHAnsi"/>
        </w:rPr>
        <w:t>2032</w:t>
      </w:r>
      <w:proofErr w:type="gramEnd"/>
      <w:r w:rsidR="005F4678">
        <w:rPr>
          <w:rFonts w:asciiTheme="minorHAnsi" w:hAnsiTheme="minorHAnsi"/>
        </w:rPr>
        <w:t xml:space="preserve"> and found the pro-forma net revenue projected by Management to be a reasonable estimation and conservative. </w:t>
      </w:r>
    </w:p>
    <w:p w14:paraId="5D4E7950" w14:textId="3CD731D7" w:rsidR="0021544F" w:rsidRDefault="0021544F" w:rsidP="00C316C3">
      <w:pPr>
        <w:pStyle w:val="BodyText"/>
        <w:rPr>
          <w:rFonts w:asciiTheme="minorHAnsi" w:hAnsiTheme="minorHAnsi"/>
        </w:rPr>
      </w:pPr>
    </w:p>
    <w:p w14:paraId="4C5BEDD7" w14:textId="576CFEFC" w:rsidR="00840281" w:rsidRDefault="0021544F" w:rsidP="00A63397">
      <w:pPr>
        <w:pStyle w:val="BodyText"/>
        <w:rPr>
          <w:rFonts w:asciiTheme="minorHAnsi" w:hAnsiTheme="minorHAnsi"/>
        </w:rPr>
      </w:pPr>
      <w:r w:rsidRPr="003A7B86">
        <w:rPr>
          <w:rFonts w:asciiTheme="minorHAnsi" w:hAnsiTheme="minorHAnsi"/>
          <w:b/>
          <w:bCs/>
        </w:rPr>
        <w:t>Expenses:</w:t>
      </w:r>
      <w:r w:rsidR="00FD641B">
        <w:rPr>
          <w:rFonts w:asciiTheme="minorHAnsi" w:hAnsiTheme="minorHAnsi"/>
        </w:rPr>
        <w:t xml:space="preserve"> </w:t>
      </w:r>
      <w:r w:rsidR="005F4678">
        <w:rPr>
          <w:rFonts w:asciiTheme="minorHAnsi" w:hAnsiTheme="minorHAnsi"/>
        </w:rPr>
        <w:t xml:space="preserve">The CPA analyzed each of the categorized expenses for reasonableness and feasibility as it related to the projected revenue. </w:t>
      </w:r>
    </w:p>
    <w:p w14:paraId="3C4F097E" w14:textId="402BDEE3" w:rsidR="000E488A" w:rsidRDefault="00EB3E1F" w:rsidP="00C9571B">
      <w:pPr>
        <w:pStyle w:val="BodyText"/>
        <w:numPr>
          <w:ilvl w:val="0"/>
          <w:numId w:val="10"/>
        </w:numPr>
        <w:rPr>
          <w:rFonts w:asciiTheme="minorHAnsi" w:hAnsiTheme="minorHAnsi"/>
        </w:rPr>
      </w:pPr>
      <w:r w:rsidRPr="008E45E4">
        <w:rPr>
          <w:rFonts w:asciiTheme="minorHAnsi" w:hAnsiTheme="minorHAnsi"/>
          <w:b/>
          <w:bCs/>
        </w:rPr>
        <w:t>Salaries and wages</w:t>
      </w:r>
      <w:r>
        <w:rPr>
          <w:rFonts w:asciiTheme="minorHAnsi" w:hAnsiTheme="minorHAnsi"/>
        </w:rPr>
        <w:t xml:space="preserve"> in the fiscal year ending September 30, </w:t>
      </w:r>
      <w:proofErr w:type="gramStart"/>
      <w:r>
        <w:rPr>
          <w:rFonts w:asciiTheme="minorHAnsi" w:hAnsiTheme="minorHAnsi"/>
        </w:rPr>
        <w:t>2028</w:t>
      </w:r>
      <w:proofErr w:type="gramEnd"/>
      <w:r>
        <w:rPr>
          <w:rFonts w:asciiTheme="minorHAnsi" w:hAnsiTheme="minorHAnsi"/>
        </w:rPr>
        <w:t xml:space="preserve"> </w:t>
      </w:r>
      <w:proofErr w:type="gramStart"/>
      <w:r>
        <w:rPr>
          <w:rFonts w:asciiTheme="minorHAnsi" w:hAnsiTheme="minorHAnsi"/>
        </w:rPr>
        <w:t>represents</w:t>
      </w:r>
      <w:proofErr w:type="gramEnd"/>
      <w:r>
        <w:rPr>
          <w:rFonts w:asciiTheme="minorHAnsi" w:hAnsiTheme="minorHAnsi"/>
        </w:rPr>
        <w:t xml:space="preserve"> wages of eight full-time employees (FTEs), including registered nurses and technicians, for the three endoscopy rooms and seven pre/post procedure bays.</w:t>
      </w:r>
    </w:p>
    <w:p w14:paraId="521B5EA6" w14:textId="62F9A3F7" w:rsidR="00EB3E1F" w:rsidRDefault="00EB3E1F" w:rsidP="00C9571B">
      <w:pPr>
        <w:pStyle w:val="BodyText"/>
        <w:numPr>
          <w:ilvl w:val="1"/>
          <w:numId w:val="10"/>
        </w:numPr>
        <w:rPr>
          <w:rFonts w:asciiTheme="minorHAnsi" w:hAnsiTheme="minorHAnsi"/>
        </w:rPr>
      </w:pPr>
      <w:r>
        <w:rPr>
          <w:rFonts w:asciiTheme="minorHAnsi" w:hAnsiTheme="minorHAnsi"/>
        </w:rPr>
        <w:t xml:space="preserve">Management assumed the hourly rates for these employees will range from $28 for technicians to $78 for registered nurses, based on historical rates of $26 and $56, respectively. Management estimated pay rates will increase 2% annually for the years September 30, </w:t>
      </w:r>
      <w:proofErr w:type="gramStart"/>
      <w:r>
        <w:rPr>
          <w:rFonts w:asciiTheme="minorHAnsi" w:hAnsiTheme="minorHAnsi"/>
        </w:rPr>
        <w:t>2029</w:t>
      </w:r>
      <w:proofErr w:type="gramEnd"/>
      <w:r>
        <w:rPr>
          <w:rFonts w:asciiTheme="minorHAnsi" w:hAnsiTheme="minorHAnsi"/>
        </w:rPr>
        <w:t xml:space="preserve"> to September 30, 2032. </w:t>
      </w:r>
    </w:p>
    <w:p w14:paraId="77828488" w14:textId="77777777" w:rsidR="006F5F37" w:rsidRDefault="006F5F37" w:rsidP="00C9571B">
      <w:pPr>
        <w:pStyle w:val="BodyText"/>
        <w:numPr>
          <w:ilvl w:val="1"/>
          <w:numId w:val="10"/>
        </w:numPr>
        <w:rPr>
          <w:rFonts w:asciiTheme="minorHAnsi" w:hAnsiTheme="minorHAnsi"/>
        </w:rPr>
      </w:pPr>
      <w:r w:rsidRPr="00BE0083">
        <w:rPr>
          <w:rFonts w:asciiTheme="minorHAnsi" w:hAnsiTheme="minorHAnsi"/>
        </w:rPr>
        <w:t>FTEs:</w:t>
      </w:r>
      <w:r>
        <w:rPr>
          <w:rFonts w:asciiTheme="minorHAnsi" w:hAnsiTheme="minorHAnsi"/>
          <w:b/>
          <w:bCs/>
        </w:rPr>
        <w:t xml:space="preserve"> </w:t>
      </w:r>
      <w:r w:rsidR="00EB3E1F">
        <w:rPr>
          <w:rFonts w:asciiTheme="minorHAnsi" w:hAnsiTheme="minorHAnsi"/>
        </w:rPr>
        <w:t>Management expects the hiring of an additional nurse for the year ending September 30, 2029, resulting in a total of nine FTEs.</w:t>
      </w:r>
      <w:r>
        <w:rPr>
          <w:rFonts w:asciiTheme="minorHAnsi" w:hAnsiTheme="minorHAnsi"/>
        </w:rPr>
        <w:t xml:space="preserve"> </w:t>
      </w:r>
      <w:r w:rsidR="00F11339" w:rsidRPr="006F5F37">
        <w:rPr>
          <w:rFonts w:asciiTheme="minorHAnsi" w:hAnsiTheme="minorHAnsi"/>
        </w:rPr>
        <w:t xml:space="preserve">For the year ending September 30, 2030, Management assumes the hiring of two additional registered nurses, and the total 11 FTEs will stay consistent for the years ending September 30, 2031, and 2032. </w:t>
      </w:r>
    </w:p>
    <w:p w14:paraId="38BF0799" w14:textId="6B19C8B8" w:rsidR="00F11339" w:rsidRPr="006F5F37" w:rsidRDefault="00F11339" w:rsidP="00C9571B">
      <w:pPr>
        <w:pStyle w:val="BodyText"/>
        <w:numPr>
          <w:ilvl w:val="1"/>
          <w:numId w:val="10"/>
        </w:numPr>
        <w:rPr>
          <w:rFonts w:asciiTheme="minorHAnsi" w:hAnsiTheme="minorHAnsi"/>
        </w:rPr>
      </w:pPr>
      <w:r w:rsidRPr="006F5F37">
        <w:rPr>
          <w:rFonts w:asciiTheme="minorHAnsi" w:hAnsiTheme="minorHAnsi"/>
        </w:rPr>
        <w:t xml:space="preserve">For the nine months </w:t>
      </w:r>
      <w:proofErr w:type="gramStart"/>
      <w:r w:rsidRPr="006F5F37">
        <w:rPr>
          <w:rFonts w:asciiTheme="minorHAnsi" w:hAnsiTheme="minorHAnsi"/>
        </w:rPr>
        <w:t>ended</w:t>
      </w:r>
      <w:proofErr w:type="gramEnd"/>
      <w:r w:rsidRPr="006F5F37">
        <w:rPr>
          <w:rFonts w:asciiTheme="minorHAnsi" w:hAnsiTheme="minorHAnsi"/>
        </w:rPr>
        <w:t xml:space="preserve"> June 30, 2025, there </w:t>
      </w:r>
      <w:proofErr w:type="gramStart"/>
      <w:r w:rsidRPr="006F5F37">
        <w:rPr>
          <w:rFonts w:asciiTheme="minorHAnsi" w:hAnsiTheme="minorHAnsi"/>
        </w:rPr>
        <w:t>was</w:t>
      </w:r>
      <w:proofErr w:type="gramEnd"/>
      <w:r w:rsidRPr="006F5F37">
        <w:rPr>
          <w:rFonts w:asciiTheme="minorHAnsi" w:hAnsiTheme="minorHAnsi"/>
        </w:rPr>
        <w:t xml:space="preserve"> approximately 28 FTEs for the five existing endoscopy procedure rooms at the Center, an average of five FTEs per room. Management believe that three to four FTEs per </w:t>
      </w:r>
      <w:r w:rsidR="00F266ED">
        <w:rPr>
          <w:rFonts w:asciiTheme="minorHAnsi" w:hAnsiTheme="minorHAnsi"/>
        </w:rPr>
        <w:t>r</w:t>
      </w:r>
      <w:r w:rsidRPr="006F5F37">
        <w:rPr>
          <w:rFonts w:asciiTheme="minorHAnsi" w:hAnsiTheme="minorHAnsi"/>
        </w:rPr>
        <w:t>oo</w:t>
      </w:r>
      <w:r w:rsidR="00FC523F">
        <w:rPr>
          <w:rFonts w:asciiTheme="minorHAnsi" w:hAnsiTheme="minorHAnsi"/>
        </w:rPr>
        <w:t>m</w:t>
      </w:r>
      <w:r w:rsidRPr="006F5F37">
        <w:rPr>
          <w:rFonts w:asciiTheme="minorHAnsi" w:hAnsiTheme="minorHAnsi"/>
        </w:rPr>
        <w:t xml:space="preserve"> is reasonable for the Projection Period, for the additiona</w:t>
      </w:r>
      <w:r w:rsidR="0020584A">
        <w:rPr>
          <w:rFonts w:asciiTheme="minorHAnsi" w:hAnsiTheme="minorHAnsi"/>
        </w:rPr>
        <w:t>l</w:t>
      </w:r>
      <w:r w:rsidRPr="006F5F37">
        <w:rPr>
          <w:rFonts w:asciiTheme="minorHAnsi" w:hAnsiTheme="minorHAnsi"/>
        </w:rPr>
        <w:t xml:space="preserve"> three endoscopy procedure rooms and seven pre/post procedure bays. </w:t>
      </w:r>
    </w:p>
    <w:p w14:paraId="57197816" w14:textId="3DB00782" w:rsidR="006F311E" w:rsidRDefault="008E45E4" w:rsidP="00C9571B">
      <w:pPr>
        <w:pStyle w:val="BodyText"/>
        <w:numPr>
          <w:ilvl w:val="0"/>
          <w:numId w:val="10"/>
        </w:numPr>
        <w:rPr>
          <w:rFonts w:asciiTheme="minorHAnsi" w:hAnsiTheme="minorHAnsi"/>
        </w:rPr>
      </w:pPr>
      <w:r w:rsidRPr="008E45E4">
        <w:rPr>
          <w:rFonts w:asciiTheme="minorHAnsi" w:hAnsiTheme="minorHAnsi"/>
          <w:b/>
          <w:bCs/>
        </w:rPr>
        <w:t>Fringe Benefits</w:t>
      </w:r>
      <w:r>
        <w:rPr>
          <w:rFonts w:asciiTheme="minorHAnsi" w:hAnsiTheme="minorHAnsi"/>
        </w:rPr>
        <w:t xml:space="preserve">: </w:t>
      </w:r>
      <w:r w:rsidR="006F311E" w:rsidRPr="006F311E">
        <w:rPr>
          <w:rFonts w:asciiTheme="minorHAnsi" w:hAnsiTheme="minorHAnsi"/>
        </w:rPr>
        <w:t>Management estimated the projected fringe benefits at approximately 26% of salary and wages for the</w:t>
      </w:r>
      <w:r w:rsidR="006F311E">
        <w:rPr>
          <w:rFonts w:asciiTheme="minorHAnsi" w:hAnsiTheme="minorHAnsi"/>
        </w:rPr>
        <w:t xml:space="preserve"> Projection Period, based on historical fringe benefits for the years ended September 30, 2023, September 30, 2024, and the nine months ended June 30, 2025. </w:t>
      </w:r>
    </w:p>
    <w:p w14:paraId="1611FCE3" w14:textId="4A325FF4" w:rsidR="007B4B6A" w:rsidRDefault="008E45E4" w:rsidP="00C9571B">
      <w:pPr>
        <w:pStyle w:val="BodyText"/>
        <w:numPr>
          <w:ilvl w:val="0"/>
          <w:numId w:val="10"/>
        </w:numPr>
        <w:rPr>
          <w:rFonts w:asciiTheme="minorHAnsi" w:hAnsiTheme="minorHAnsi"/>
        </w:rPr>
      </w:pPr>
      <w:r w:rsidRPr="008E45E4">
        <w:rPr>
          <w:rFonts w:asciiTheme="minorHAnsi" w:hAnsiTheme="minorHAnsi"/>
          <w:b/>
          <w:bCs/>
        </w:rPr>
        <w:lastRenderedPageBreak/>
        <w:t>Supplies</w:t>
      </w:r>
      <w:r>
        <w:rPr>
          <w:rFonts w:asciiTheme="minorHAnsi" w:hAnsiTheme="minorHAnsi"/>
        </w:rPr>
        <w:t xml:space="preserve">: </w:t>
      </w:r>
      <w:r w:rsidR="007B4B6A">
        <w:rPr>
          <w:rFonts w:asciiTheme="minorHAnsi" w:hAnsiTheme="minorHAnsi"/>
        </w:rPr>
        <w:t>Management projects that s</w:t>
      </w:r>
      <w:r w:rsidR="007B4B6A" w:rsidRPr="007B4B6A">
        <w:rPr>
          <w:rFonts w:asciiTheme="minorHAnsi" w:hAnsiTheme="minorHAnsi"/>
        </w:rPr>
        <w:t>upplies</w:t>
      </w:r>
      <w:r w:rsidR="007B4B6A">
        <w:rPr>
          <w:rFonts w:asciiTheme="minorHAnsi" w:hAnsiTheme="minorHAnsi"/>
        </w:rPr>
        <w:t>, which</w:t>
      </w:r>
      <w:r w:rsidR="007B4B6A" w:rsidRPr="007B4B6A">
        <w:rPr>
          <w:rFonts w:asciiTheme="minorHAnsi" w:hAnsiTheme="minorHAnsi"/>
        </w:rPr>
        <w:t xml:space="preserve"> include endoscopic supplies, medical and surgical supplies, pharmaceuticals, and other items needed to operate the endoscopy center</w:t>
      </w:r>
      <w:r w:rsidR="007B4B6A">
        <w:rPr>
          <w:rFonts w:asciiTheme="minorHAnsi" w:hAnsiTheme="minorHAnsi"/>
        </w:rPr>
        <w:t xml:space="preserve">, will be $75 per procedure for the year ending September 30, 2028, based on historical supply expenses of $72, with a 2% inflation of costs annually for the remainder of the Projection Period. </w:t>
      </w:r>
    </w:p>
    <w:p w14:paraId="32C01348" w14:textId="2924E0DB" w:rsidR="007B4B6A" w:rsidRDefault="007B4B6A" w:rsidP="00C9571B">
      <w:pPr>
        <w:pStyle w:val="BodyText"/>
        <w:numPr>
          <w:ilvl w:val="0"/>
          <w:numId w:val="10"/>
        </w:numPr>
        <w:rPr>
          <w:rFonts w:asciiTheme="minorHAnsi" w:hAnsiTheme="minorHAnsi"/>
        </w:rPr>
      </w:pPr>
      <w:r w:rsidRPr="008E45E4">
        <w:rPr>
          <w:rFonts w:asciiTheme="minorHAnsi" w:hAnsiTheme="minorHAnsi"/>
          <w:b/>
          <w:bCs/>
        </w:rPr>
        <w:t>Professional fees</w:t>
      </w:r>
      <w:r>
        <w:rPr>
          <w:rFonts w:asciiTheme="minorHAnsi" w:hAnsiTheme="minorHAnsi"/>
        </w:rPr>
        <w:t xml:space="preserve">, which include the anesthesia expense, are estimated to be $400,000 for the year ending September 30, 2028, and </w:t>
      </w:r>
      <w:proofErr w:type="gramStart"/>
      <w:r>
        <w:rPr>
          <w:rFonts w:asciiTheme="minorHAnsi" w:hAnsiTheme="minorHAnsi"/>
        </w:rPr>
        <w:t>is</w:t>
      </w:r>
      <w:proofErr w:type="gramEnd"/>
      <w:r>
        <w:rPr>
          <w:rFonts w:asciiTheme="minorHAnsi" w:hAnsiTheme="minorHAnsi"/>
        </w:rPr>
        <w:t xml:space="preserve"> based on three new </w:t>
      </w:r>
      <w:r w:rsidR="00264D0A">
        <w:rPr>
          <w:rFonts w:asciiTheme="minorHAnsi" w:hAnsiTheme="minorHAnsi"/>
        </w:rPr>
        <w:t>anesthesiologists</w:t>
      </w:r>
      <w:r>
        <w:rPr>
          <w:rFonts w:asciiTheme="minorHAnsi" w:hAnsiTheme="minorHAnsi"/>
        </w:rPr>
        <w:t xml:space="preserve"> at approximately $133,000 each with fees increasing annually at a rate of 2% for the remainder of the Projection Period. </w:t>
      </w:r>
      <w:r w:rsidR="00264D0A">
        <w:rPr>
          <w:rFonts w:asciiTheme="minorHAnsi" w:hAnsiTheme="minorHAnsi"/>
        </w:rPr>
        <w:t>Professional fees include a fee related to the Strategic A</w:t>
      </w:r>
      <w:r w:rsidR="007F3BB3">
        <w:rPr>
          <w:rFonts w:asciiTheme="minorHAnsi" w:hAnsiTheme="minorHAnsi"/>
        </w:rPr>
        <w:t xml:space="preserve">ffiliation </w:t>
      </w:r>
      <w:r w:rsidR="00264D0A">
        <w:rPr>
          <w:rFonts w:asciiTheme="minorHAnsi" w:hAnsiTheme="minorHAnsi"/>
        </w:rPr>
        <w:t>Agreement with Atrius Health. The</w:t>
      </w:r>
      <w:r w:rsidR="00BE18A3">
        <w:rPr>
          <w:rFonts w:asciiTheme="minorHAnsi" w:hAnsiTheme="minorHAnsi"/>
        </w:rPr>
        <w:t xml:space="preserve"> CPA report states that the</w:t>
      </w:r>
      <w:r w:rsidR="00264D0A">
        <w:rPr>
          <w:rFonts w:asciiTheme="minorHAnsi" w:hAnsiTheme="minorHAnsi"/>
        </w:rPr>
        <w:t xml:space="preserve"> fee to Atrius is 25.53% of net revenue for the Projection Period, based on the second letter of agreement with Atrius, effective for fiscal years 2025 </w:t>
      </w:r>
      <w:r w:rsidR="007F3BB3">
        <w:rPr>
          <w:rFonts w:asciiTheme="minorHAnsi" w:hAnsiTheme="minorHAnsi"/>
        </w:rPr>
        <w:t>through</w:t>
      </w:r>
      <w:r w:rsidR="00264D0A">
        <w:rPr>
          <w:rFonts w:asciiTheme="minorHAnsi" w:hAnsiTheme="minorHAnsi"/>
        </w:rPr>
        <w:t xml:space="preserve"> 2028. Management anticipates 20% of patients will be covered by Atrius Health Insurance. </w:t>
      </w:r>
    </w:p>
    <w:p w14:paraId="57B7E22F" w14:textId="2B77ABD3" w:rsidR="007D2071" w:rsidRPr="00894021" w:rsidRDefault="00987223" w:rsidP="00C9571B">
      <w:pPr>
        <w:pStyle w:val="BodyText"/>
        <w:numPr>
          <w:ilvl w:val="0"/>
          <w:numId w:val="10"/>
        </w:numPr>
        <w:rPr>
          <w:rFonts w:asciiTheme="minorHAnsi" w:hAnsiTheme="minorHAnsi"/>
          <w:b/>
          <w:bCs/>
        </w:rPr>
      </w:pPr>
      <w:r w:rsidRPr="00987223">
        <w:rPr>
          <w:rFonts w:asciiTheme="minorHAnsi" w:hAnsiTheme="minorHAnsi"/>
          <w:b/>
          <w:bCs/>
        </w:rPr>
        <w:t>Lease:</w:t>
      </w:r>
      <w:r>
        <w:rPr>
          <w:rFonts w:asciiTheme="minorHAnsi" w:hAnsiTheme="minorHAnsi"/>
          <w:b/>
          <w:bCs/>
        </w:rPr>
        <w:t xml:space="preserve"> </w:t>
      </w:r>
      <w:r>
        <w:rPr>
          <w:rFonts w:asciiTheme="minorHAnsi" w:hAnsiTheme="minorHAnsi"/>
        </w:rPr>
        <w:t xml:space="preserve">The existing lease for the Center is approximately 9,780 square feet, out of a total of 17,000 square feet in total in the Woburn location, at a rate of $27.05 per square foot. The new lease for the Proposed Project will include an additional 1,970 square feet of space, and the new rate will be $42.60 per square foot or approximately $84,000 annually. </w:t>
      </w:r>
      <w:r w:rsidR="00C53D86">
        <w:rPr>
          <w:rFonts w:asciiTheme="minorHAnsi" w:hAnsiTheme="minorHAnsi"/>
        </w:rPr>
        <w:t xml:space="preserve">Annual rent is expected to be approximately $236,000 for the Projection Period and includes the new rate of $42.60 and an increase in the rate of $15.55 of approximately $152,000 for the existing 9,780 square feet. </w:t>
      </w:r>
      <w:r w:rsidR="009E1EFC">
        <w:rPr>
          <w:rFonts w:asciiTheme="minorHAnsi" w:hAnsiTheme="minorHAnsi"/>
        </w:rPr>
        <w:t xml:space="preserve">Utilities are estimated at $17,000 for the year ending September 30, </w:t>
      </w:r>
      <w:proofErr w:type="gramStart"/>
      <w:r w:rsidR="009E1EFC">
        <w:rPr>
          <w:rFonts w:asciiTheme="minorHAnsi" w:hAnsiTheme="minorHAnsi"/>
        </w:rPr>
        <w:t>2028</w:t>
      </w:r>
      <w:proofErr w:type="gramEnd"/>
      <w:r w:rsidR="009E1EFC">
        <w:rPr>
          <w:rFonts w:asciiTheme="minorHAnsi" w:hAnsiTheme="minorHAnsi"/>
        </w:rPr>
        <w:t xml:space="preserve"> with an expected 2% annual increase in costs for the remainder of the Projection Period. Utility expenses are based on historical expenses of approximately $15,000 for the year </w:t>
      </w:r>
      <w:proofErr w:type="gramStart"/>
      <w:r w:rsidR="009E1EFC">
        <w:rPr>
          <w:rFonts w:asciiTheme="minorHAnsi" w:hAnsiTheme="minorHAnsi"/>
        </w:rPr>
        <w:t>ended</w:t>
      </w:r>
      <w:proofErr w:type="gramEnd"/>
      <w:r w:rsidR="009E1EFC">
        <w:rPr>
          <w:rFonts w:asciiTheme="minorHAnsi" w:hAnsiTheme="minorHAnsi"/>
        </w:rPr>
        <w:t xml:space="preserve"> September 30, 2024. </w:t>
      </w:r>
    </w:p>
    <w:p w14:paraId="7A8D546A" w14:textId="64B55E49" w:rsidR="00894021" w:rsidRPr="00156777" w:rsidRDefault="00894021" w:rsidP="00C9571B">
      <w:pPr>
        <w:pStyle w:val="BodyText"/>
        <w:numPr>
          <w:ilvl w:val="0"/>
          <w:numId w:val="10"/>
        </w:numPr>
        <w:rPr>
          <w:rFonts w:asciiTheme="minorHAnsi" w:hAnsiTheme="minorHAnsi"/>
          <w:b/>
          <w:bCs/>
        </w:rPr>
      </w:pPr>
      <w:r>
        <w:rPr>
          <w:rFonts w:asciiTheme="minorHAnsi" w:hAnsiTheme="minorHAnsi"/>
          <w:b/>
          <w:bCs/>
        </w:rPr>
        <w:t xml:space="preserve">Repairs and Maintenance: </w:t>
      </w:r>
      <w:r>
        <w:rPr>
          <w:rFonts w:asciiTheme="minorHAnsi" w:hAnsiTheme="minorHAnsi"/>
        </w:rPr>
        <w:t xml:space="preserve">Management expects a service contract with Steris Corporation for an equipment care plan to </w:t>
      </w:r>
      <w:r w:rsidR="00B442DB">
        <w:rPr>
          <w:rFonts w:asciiTheme="minorHAnsi" w:hAnsiTheme="minorHAnsi"/>
        </w:rPr>
        <w:t>begin</w:t>
      </w:r>
      <w:r>
        <w:rPr>
          <w:rFonts w:asciiTheme="minorHAnsi" w:hAnsiTheme="minorHAnsi"/>
        </w:rPr>
        <w:t xml:space="preserve"> during the year ending September 30, 2031, with expenses </w:t>
      </w:r>
      <w:r w:rsidR="002D64B8">
        <w:rPr>
          <w:rFonts w:asciiTheme="minorHAnsi" w:hAnsiTheme="minorHAnsi"/>
        </w:rPr>
        <w:t>totaling</w:t>
      </w:r>
      <w:r>
        <w:rPr>
          <w:rFonts w:asciiTheme="minorHAnsi" w:hAnsiTheme="minorHAnsi"/>
        </w:rPr>
        <w:t xml:space="preserve"> approximately $240,000, to be paid over a two-year period. Additional contracts include a $3,300 month contract</w:t>
      </w:r>
      <w:r w:rsidR="00156777">
        <w:rPr>
          <w:rFonts w:asciiTheme="minorHAnsi" w:hAnsiTheme="minorHAnsi"/>
        </w:rPr>
        <w:t xml:space="preserve"> for scope services</w:t>
      </w:r>
      <w:r>
        <w:rPr>
          <w:rFonts w:asciiTheme="minorHAnsi" w:hAnsiTheme="minorHAnsi"/>
        </w:rPr>
        <w:t xml:space="preserve"> for the year ending September 30, 2028, with 2% annual increases for the remainder of the Projection Period.</w:t>
      </w:r>
      <w:r w:rsidR="00156777">
        <w:rPr>
          <w:rFonts w:asciiTheme="minorHAnsi" w:hAnsiTheme="minorHAnsi"/>
        </w:rPr>
        <w:t xml:space="preserve"> Management expects purchased services (laundry and linen expenses, courier services, cable television and other services) expenses to be $12 per procedure for the year ending September 30, 2028, with a 2% increase annually. Management’s projection for purchase</w:t>
      </w:r>
      <w:r w:rsidR="00956FB0">
        <w:rPr>
          <w:rFonts w:asciiTheme="minorHAnsi" w:hAnsiTheme="minorHAnsi"/>
        </w:rPr>
        <w:t>d</w:t>
      </w:r>
      <w:r w:rsidR="00156777">
        <w:rPr>
          <w:rFonts w:asciiTheme="minorHAnsi" w:hAnsiTheme="minorHAnsi"/>
        </w:rPr>
        <w:t xml:space="preserve"> services is based on historical purchased services cost of $11 per procedure for the year ended </w:t>
      </w:r>
      <w:r w:rsidR="002D64B8">
        <w:rPr>
          <w:rFonts w:asciiTheme="minorHAnsi" w:hAnsiTheme="minorHAnsi"/>
        </w:rPr>
        <w:t>September</w:t>
      </w:r>
      <w:r w:rsidR="00156777">
        <w:rPr>
          <w:rFonts w:asciiTheme="minorHAnsi" w:hAnsiTheme="minorHAnsi"/>
        </w:rPr>
        <w:t xml:space="preserve"> 30, 2024. </w:t>
      </w:r>
    </w:p>
    <w:p w14:paraId="6BFA57DE" w14:textId="4E9E6D75" w:rsidR="00156777" w:rsidRPr="00156777" w:rsidRDefault="00156777" w:rsidP="00C9571B">
      <w:pPr>
        <w:pStyle w:val="BodyText"/>
        <w:numPr>
          <w:ilvl w:val="0"/>
          <w:numId w:val="10"/>
        </w:numPr>
        <w:rPr>
          <w:rFonts w:asciiTheme="minorHAnsi" w:hAnsiTheme="minorHAnsi"/>
          <w:b/>
          <w:bCs/>
        </w:rPr>
      </w:pPr>
      <w:r>
        <w:rPr>
          <w:rFonts w:asciiTheme="minorHAnsi" w:hAnsiTheme="minorHAnsi"/>
          <w:b/>
          <w:bCs/>
        </w:rPr>
        <w:t>Other Expenses:</w:t>
      </w:r>
      <w:r>
        <w:rPr>
          <w:rFonts w:asciiTheme="minorHAnsi" w:hAnsiTheme="minorHAnsi"/>
        </w:rPr>
        <w:t xml:space="preserve"> </w:t>
      </w:r>
      <w:r w:rsidR="002D64B8">
        <w:rPr>
          <w:rFonts w:asciiTheme="minorHAnsi" w:hAnsiTheme="minorHAnsi"/>
        </w:rPr>
        <w:t>Monthly</w:t>
      </w:r>
      <w:r>
        <w:rPr>
          <w:rFonts w:asciiTheme="minorHAnsi" w:hAnsiTheme="minorHAnsi"/>
        </w:rPr>
        <w:t xml:space="preserve"> lease payments for various equipment, of approximately $16,000 per month. Management anticipates the lease expenses to be approximately $192,000 for the year ending September 30, </w:t>
      </w:r>
      <w:proofErr w:type="gramStart"/>
      <w:r>
        <w:rPr>
          <w:rFonts w:asciiTheme="minorHAnsi" w:hAnsiTheme="minorHAnsi"/>
        </w:rPr>
        <w:t>2028</w:t>
      </w:r>
      <w:proofErr w:type="gramEnd"/>
      <w:r>
        <w:rPr>
          <w:rFonts w:asciiTheme="minorHAnsi" w:hAnsiTheme="minorHAnsi"/>
        </w:rPr>
        <w:t xml:space="preserve"> with a 2% increase in the lease expense annually. </w:t>
      </w:r>
    </w:p>
    <w:p w14:paraId="603BDFAF" w14:textId="163CC961" w:rsidR="00156777" w:rsidRPr="002D64B8" w:rsidRDefault="00156777" w:rsidP="00C9571B">
      <w:pPr>
        <w:pStyle w:val="BodyText"/>
        <w:numPr>
          <w:ilvl w:val="0"/>
          <w:numId w:val="10"/>
        </w:numPr>
        <w:rPr>
          <w:rFonts w:asciiTheme="minorHAnsi" w:hAnsiTheme="minorHAnsi"/>
          <w:b/>
          <w:bCs/>
        </w:rPr>
      </w:pPr>
      <w:r>
        <w:rPr>
          <w:rFonts w:asciiTheme="minorHAnsi" w:hAnsiTheme="minorHAnsi"/>
        </w:rPr>
        <w:t xml:space="preserve">The estimated costs of the endoscopy rooms, pre/post procedure bays and </w:t>
      </w:r>
      <w:r w:rsidR="002D64B8">
        <w:rPr>
          <w:rFonts w:asciiTheme="minorHAnsi" w:hAnsiTheme="minorHAnsi"/>
        </w:rPr>
        <w:t>equipment</w:t>
      </w:r>
      <w:r>
        <w:rPr>
          <w:rFonts w:asciiTheme="minorHAnsi" w:hAnsiTheme="minorHAnsi"/>
        </w:rPr>
        <w:t xml:space="preserve"> of $1,543,843, include a 10% contingency which the CPA states will be depreciate on a straight-line bases over ten years </w:t>
      </w:r>
      <w:r w:rsidR="002D64B8">
        <w:rPr>
          <w:rFonts w:asciiTheme="minorHAnsi" w:hAnsiTheme="minorHAnsi"/>
        </w:rPr>
        <w:t>beginning</w:t>
      </w:r>
      <w:r>
        <w:rPr>
          <w:rFonts w:asciiTheme="minorHAnsi" w:hAnsiTheme="minorHAnsi"/>
        </w:rPr>
        <w:t xml:space="preserve"> in the year ending September 30, 2028.</w:t>
      </w:r>
    </w:p>
    <w:p w14:paraId="04A138D8" w14:textId="77777777" w:rsidR="002D64B8" w:rsidRDefault="002D64B8" w:rsidP="002D64B8">
      <w:pPr>
        <w:pStyle w:val="BodyText"/>
        <w:rPr>
          <w:rFonts w:asciiTheme="minorHAnsi" w:hAnsiTheme="minorHAnsi"/>
        </w:rPr>
      </w:pPr>
    </w:p>
    <w:p w14:paraId="19AA759E" w14:textId="1E2E5ECE" w:rsidR="002D64B8" w:rsidRDefault="002D64B8" w:rsidP="002D64B8">
      <w:pPr>
        <w:pStyle w:val="BodyText"/>
        <w:rPr>
          <w:rFonts w:asciiTheme="minorHAnsi" w:hAnsiTheme="minorHAnsi"/>
        </w:rPr>
      </w:pPr>
      <w:r>
        <w:rPr>
          <w:rFonts w:asciiTheme="minorHAnsi" w:hAnsiTheme="minorHAnsi"/>
        </w:rPr>
        <w:t xml:space="preserve">Based on their analysis, the CPA found the projected pro-forma expenses for the Projection Period to be a reasonable estimation and conservative. </w:t>
      </w:r>
    </w:p>
    <w:p w14:paraId="36C5DE74" w14:textId="77777777" w:rsidR="00A5193D" w:rsidRDefault="00A5193D" w:rsidP="002D64B8">
      <w:pPr>
        <w:pStyle w:val="BodyText"/>
        <w:rPr>
          <w:rFonts w:asciiTheme="minorHAnsi" w:hAnsiTheme="minorHAnsi"/>
        </w:rPr>
      </w:pPr>
    </w:p>
    <w:p w14:paraId="29EC2EF6" w14:textId="5A292740" w:rsidR="00A5193D" w:rsidRPr="009E1EFC" w:rsidRDefault="00A5193D" w:rsidP="002D64B8">
      <w:pPr>
        <w:pStyle w:val="BodyText"/>
        <w:rPr>
          <w:rFonts w:asciiTheme="minorHAnsi" w:hAnsiTheme="minorHAnsi"/>
          <w:b/>
          <w:bCs/>
        </w:rPr>
      </w:pPr>
      <w:r w:rsidRPr="0086051A">
        <w:rPr>
          <w:rFonts w:asciiTheme="minorHAnsi" w:hAnsiTheme="minorHAnsi"/>
          <w:b/>
          <w:bCs/>
        </w:rPr>
        <w:t>Ne</w:t>
      </w:r>
      <w:r w:rsidR="0086051A">
        <w:rPr>
          <w:rFonts w:asciiTheme="minorHAnsi" w:hAnsiTheme="minorHAnsi"/>
          <w:b/>
          <w:bCs/>
        </w:rPr>
        <w:t>t</w:t>
      </w:r>
      <w:r w:rsidRPr="0086051A">
        <w:rPr>
          <w:rFonts w:asciiTheme="minorHAnsi" w:hAnsiTheme="minorHAnsi"/>
          <w:b/>
          <w:bCs/>
        </w:rPr>
        <w:t xml:space="preserve"> Income and Cash Flows</w:t>
      </w:r>
      <w:r>
        <w:rPr>
          <w:rFonts w:asciiTheme="minorHAnsi" w:hAnsiTheme="minorHAnsi"/>
        </w:rPr>
        <w:t xml:space="preserve">: The CPA states that based on </w:t>
      </w:r>
      <w:r w:rsidR="00B442DB">
        <w:rPr>
          <w:rFonts w:asciiTheme="minorHAnsi" w:hAnsiTheme="minorHAnsi"/>
        </w:rPr>
        <w:t>its</w:t>
      </w:r>
      <w:r>
        <w:rPr>
          <w:rFonts w:asciiTheme="minorHAnsi" w:hAnsiTheme="minorHAnsi"/>
        </w:rPr>
        <w:t xml:space="preserve"> discussion with Management, and the </w:t>
      </w:r>
      <w:r>
        <w:rPr>
          <w:rFonts w:asciiTheme="minorHAnsi" w:hAnsiTheme="minorHAnsi"/>
        </w:rPr>
        <w:lastRenderedPageBreak/>
        <w:t xml:space="preserve">information provided, the capital needs and ongoing operating costs for the Proposed Project are not likely to result in a scenario where there is negative cash </w:t>
      </w:r>
      <w:r w:rsidR="00B442DB">
        <w:rPr>
          <w:rFonts w:asciiTheme="minorHAnsi" w:hAnsiTheme="minorHAnsi"/>
        </w:rPr>
        <w:t>flow</w:t>
      </w:r>
      <w:r>
        <w:rPr>
          <w:rFonts w:asciiTheme="minorHAnsi" w:hAnsiTheme="minorHAnsi"/>
        </w:rPr>
        <w:t xml:space="preserve"> over the Projection Period</w:t>
      </w:r>
      <w:r w:rsidR="002E6F4E">
        <w:rPr>
          <w:rFonts w:asciiTheme="minorHAnsi" w:hAnsiTheme="minorHAnsi"/>
        </w:rPr>
        <w:t xml:space="preserve">, and states that the Applicant has the resources to fund the capital needs and ongoing operating costs of the Proposed Project. </w:t>
      </w:r>
    </w:p>
    <w:p w14:paraId="20AAECB6" w14:textId="77777777" w:rsidR="009E1EFC" w:rsidRPr="009E1EFC" w:rsidRDefault="009E1EFC" w:rsidP="009E1EFC">
      <w:pPr>
        <w:pStyle w:val="BodyText"/>
        <w:ind w:left="720"/>
        <w:rPr>
          <w:rFonts w:asciiTheme="minorHAnsi" w:hAnsiTheme="minorHAnsi"/>
          <w:b/>
          <w:bCs/>
        </w:rPr>
      </w:pPr>
    </w:p>
    <w:p w14:paraId="453A4170" w14:textId="4A55CF16" w:rsidR="001923DD" w:rsidRDefault="007C430B" w:rsidP="00C316C3">
      <w:pPr>
        <w:pStyle w:val="BodyText"/>
        <w:rPr>
          <w:rFonts w:asciiTheme="minorHAnsi" w:hAnsiTheme="minorHAnsi"/>
          <w:b/>
          <w:bCs/>
        </w:rPr>
      </w:pPr>
      <w:r w:rsidRPr="003A7B86">
        <w:rPr>
          <w:rFonts w:asciiTheme="minorHAnsi" w:hAnsiTheme="minorHAnsi"/>
          <w:b/>
          <w:bCs/>
        </w:rPr>
        <w:t>CPA’s Conclusion of Feasibility</w:t>
      </w:r>
      <w:r w:rsidR="003B67F5">
        <w:rPr>
          <w:rFonts w:asciiTheme="minorHAnsi" w:hAnsiTheme="minorHAnsi"/>
          <w:b/>
          <w:bCs/>
        </w:rPr>
        <w:t>:</w:t>
      </w:r>
    </w:p>
    <w:p w14:paraId="7C92A25E" w14:textId="15237F9D" w:rsidR="003B67F5" w:rsidRPr="003B67F5" w:rsidRDefault="003B67F5" w:rsidP="00C316C3">
      <w:pPr>
        <w:pStyle w:val="BodyText"/>
        <w:rPr>
          <w:rFonts w:asciiTheme="minorHAnsi" w:hAnsiTheme="minorHAnsi"/>
        </w:rPr>
      </w:pPr>
      <w:r w:rsidRPr="003B67F5">
        <w:rPr>
          <w:rFonts w:asciiTheme="minorHAnsi" w:hAnsiTheme="minorHAnsi"/>
        </w:rPr>
        <w:t>The CPA concluded</w:t>
      </w:r>
      <w:r>
        <w:rPr>
          <w:rFonts w:asciiTheme="minorHAnsi" w:hAnsiTheme="minorHAnsi"/>
        </w:rPr>
        <w:t>. “</w:t>
      </w:r>
      <w:r w:rsidRPr="00587FC6">
        <w:rPr>
          <w:rFonts w:asciiTheme="minorHAnsi" w:hAnsiTheme="minorHAnsi"/>
          <w:i/>
          <w:iCs/>
        </w:rPr>
        <w:t>We determined that the projections were not likely to result in insufficient funds available for ongoing operating costs necessary for the Applicant to support the Project. Based upon our review of the projections and relevant supporting documentation, we determined the addition of three endoscopy procedure rooms and seven pre/post procedure bays to the existing hospital-based endoscopy center a</w:t>
      </w:r>
      <w:r w:rsidRPr="00587FC6">
        <w:rPr>
          <w:rFonts w:asciiTheme="minorHAnsi" w:hAnsiTheme="minorHAnsi"/>
          <w:bCs/>
          <w:i/>
          <w:iCs/>
        </w:rPr>
        <w:t xml:space="preserve">t </w:t>
      </w:r>
      <w:r w:rsidRPr="00587FC6">
        <w:rPr>
          <w:rFonts w:asciiTheme="minorHAnsi" w:hAnsiTheme="minorHAnsi"/>
          <w:i/>
          <w:iCs/>
        </w:rPr>
        <w:t>WH is financially feasible, not likely to have a negative impact on the existing patient panel of the Applicant and within the financial capability of the Applicant</w:t>
      </w:r>
      <w:r w:rsidRPr="003B67F5">
        <w:rPr>
          <w:rFonts w:asciiTheme="minorHAnsi" w:hAnsiTheme="minorHAnsi"/>
        </w:rPr>
        <w:t>.</w:t>
      </w:r>
      <w:r>
        <w:rPr>
          <w:rFonts w:asciiTheme="minorHAnsi" w:hAnsiTheme="minorHAnsi"/>
        </w:rPr>
        <w:t>”</w:t>
      </w:r>
    </w:p>
    <w:p w14:paraId="6BC3FA97" w14:textId="77777777" w:rsidR="00B90EAA" w:rsidRDefault="00B90EAA" w:rsidP="004F67F1">
      <w:pPr>
        <w:pStyle w:val="BodyText"/>
        <w:rPr>
          <w:rFonts w:asciiTheme="minorHAnsi" w:hAnsiTheme="minorHAnsi"/>
        </w:rPr>
      </w:pPr>
    </w:p>
    <w:p w14:paraId="6E40EA66" w14:textId="2E3B0600" w:rsidR="00B447F3" w:rsidRPr="009A0C61" w:rsidRDefault="00A4110F" w:rsidP="005656E3">
      <w:pPr>
        <w:pStyle w:val="BodyText"/>
        <w:ind w:left="-144" w:firstLine="144"/>
        <w:rPr>
          <w:rFonts w:asciiTheme="minorHAnsi" w:hAnsiTheme="minorHAnsi"/>
          <w:b/>
          <w:bCs/>
          <w:i/>
          <w:iCs/>
        </w:rPr>
      </w:pPr>
      <w:r w:rsidRPr="009A0C61">
        <w:rPr>
          <w:rFonts w:asciiTheme="minorHAnsi" w:hAnsiTheme="minorHAnsi"/>
          <w:b/>
          <w:bCs/>
          <w:i/>
          <w:iCs/>
        </w:rPr>
        <w:t>Analysis</w:t>
      </w:r>
    </w:p>
    <w:p w14:paraId="30653C8F" w14:textId="3475CE27" w:rsidR="00FE3BD6" w:rsidRDefault="00FE3BD6" w:rsidP="005656E3">
      <w:pPr>
        <w:pStyle w:val="BodyText"/>
        <w:rPr>
          <w:rFonts w:asciiTheme="minorHAnsi" w:hAnsiTheme="minorHAnsi"/>
        </w:rPr>
      </w:pPr>
      <w:r w:rsidRPr="00FE3BD6">
        <w:rPr>
          <w:rFonts w:asciiTheme="minorHAnsi" w:hAnsiTheme="minorHAnsi"/>
        </w:rPr>
        <w:t xml:space="preserve">Staff </w:t>
      </w:r>
      <w:proofErr w:type="gramStart"/>
      <w:r w:rsidRPr="00FE3BD6">
        <w:rPr>
          <w:rFonts w:asciiTheme="minorHAnsi" w:hAnsiTheme="minorHAnsi"/>
        </w:rPr>
        <w:t>is</w:t>
      </w:r>
      <w:proofErr w:type="gramEnd"/>
      <w:r w:rsidRPr="00FE3BD6">
        <w:rPr>
          <w:rFonts w:asciiTheme="minorHAnsi" w:hAnsiTheme="minorHAnsi"/>
        </w:rPr>
        <w:t xml:space="preserve"> satisfied with the CPA’s analysis of the Proposed</w:t>
      </w:r>
      <w:r w:rsidR="009409FB">
        <w:rPr>
          <w:rFonts w:asciiTheme="minorHAnsi" w:hAnsiTheme="minorHAnsi"/>
        </w:rPr>
        <w:t xml:space="preserve"> </w:t>
      </w:r>
      <w:r w:rsidRPr="00FE3BD6">
        <w:rPr>
          <w:rFonts w:asciiTheme="minorHAnsi" w:hAnsiTheme="minorHAnsi"/>
        </w:rPr>
        <w:t xml:space="preserve">Project. As a </w:t>
      </w:r>
      <w:proofErr w:type="gramStart"/>
      <w:r w:rsidRPr="00FE3BD6">
        <w:rPr>
          <w:rFonts w:asciiTheme="minorHAnsi" w:hAnsiTheme="minorHAnsi"/>
        </w:rPr>
        <w:t>result</w:t>
      </w:r>
      <w:proofErr w:type="gramEnd"/>
      <w:r w:rsidR="000D3D4E" w:rsidRPr="000D3D4E">
        <w:rPr>
          <w:szCs w:val="20"/>
        </w:rPr>
        <w:t xml:space="preserve"> </w:t>
      </w:r>
      <w:r w:rsidR="000D3D4E" w:rsidRPr="000D3D4E">
        <w:rPr>
          <w:rFonts w:asciiTheme="minorHAnsi" w:hAnsiTheme="minorHAnsi"/>
        </w:rPr>
        <w:t>information provided by the Applican</w:t>
      </w:r>
      <w:r w:rsidR="000D3D4E">
        <w:rPr>
          <w:rFonts w:asciiTheme="minorHAnsi" w:hAnsiTheme="minorHAnsi"/>
        </w:rPr>
        <w:t>t</w:t>
      </w:r>
      <w:r w:rsidR="0090183E">
        <w:rPr>
          <w:rFonts w:asciiTheme="minorHAnsi" w:hAnsiTheme="minorHAnsi"/>
        </w:rPr>
        <w:t xml:space="preserve"> and additional analysis, </w:t>
      </w:r>
      <w:r w:rsidRPr="00FE3BD6">
        <w:rPr>
          <w:rFonts w:asciiTheme="minorHAnsi" w:hAnsiTheme="minorHAnsi"/>
        </w:rPr>
        <w:t>staff finds the Applicant has met the</w:t>
      </w:r>
      <w:r w:rsidR="0090183E">
        <w:rPr>
          <w:rFonts w:asciiTheme="minorHAnsi" w:hAnsiTheme="minorHAnsi"/>
        </w:rPr>
        <w:t xml:space="preserve"> </w:t>
      </w:r>
      <w:r w:rsidRPr="00FE3BD6">
        <w:rPr>
          <w:rFonts w:asciiTheme="minorHAnsi" w:hAnsiTheme="minorHAnsi"/>
        </w:rPr>
        <w:t>requirements of Factor 4.</w:t>
      </w:r>
    </w:p>
    <w:p w14:paraId="59E22F53" w14:textId="77777777" w:rsidR="008946B8" w:rsidRDefault="008946B8" w:rsidP="005656E3">
      <w:pPr>
        <w:pStyle w:val="BodyText"/>
        <w:rPr>
          <w:rFonts w:asciiTheme="minorHAnsi" w:hAnsiTheme="minorHAnsi"/>
        </w:rPr>
      </w:pPr>
    </w:p>
    <w:p w14:paraId="39D90124" w14:textId="51480EE6" w:rsidR="00B447F3" w:rsidRPr="003436F0" w:rsidRDefault="00A4110F" w:rsidP="007E2B14">
      <w:pPr>
        <w:pStyle w:val="Heading2"/>
      </w:pPr>
      <w:bookmarkStart w:id="23" w:name="Factor_5:_Assessment_of_the_Proposed_Pro"/>
      <w:bookmarkStart w:id="24" w:name="_Toc226541461"/>
      <w:bookmarkEnd w:id="23"/>
      <w:r w:rsidRPr="003436F0">
        <w:t>Factor 5: Assessment of the Proposed Project’s Relative Merit</w:t>
      </w:r>
      <w:bookmarkEnd w:id="24"/>
    </w:p>
    <w:p w14:paraId="4FC717A7" w14:textId="24946567" w:rsidR="00B447F3" w:rsidRDefault="006D7D58" w:rsidP="005656E3">
      <w:pPr>
        <w:pStyle w:val="BodyText"/>
        <w:rPr>
          <w:rFonts w:asciiTheme="minorHAnsi" w:hAnsiTheme="minorHAnsi"/>
        </w:rPr>
      </w:pPr>
      <w:r w:rsidRPr="6ACB936F">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25" w:name="_Int_BedYxzXG"/>
      <w:proofErr w:type="gramStart"/>
      <w:r w:rsidRPr="6ACB936F">
        <w:rPr>
          <w:rFonts w:asciiTheme="minorHAnsi" w:hAnsiTheme="minorHAnsi"/>
        </w:rPr>
        <w:t>take into account</w:t>
      </w:r>
      <w:bookmarkEnd w:id="25"/>
      <w:proofErr w:type="gramEnd"/>
      <w:r w:rsidRPr="6ACB936F">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C02E44D" w14:textId="45FD4D8A" w:rsidR="006D7D58" w:rsidRDefault="006D7D58" w:rsidP="00C316C3">
      <w:pPr>
        <w:pStyle w:val="BodyText"/>
        <w:rPr>
          <w:rFonts w:asciiTheme="minorHAnsi" w:hAnsiTheme="minorHAnsi"/>
        </w:rPr>
      </w:pPr>
    </w:p>
    <w:p w14:paraId="219492CF" w14:textId="7C410D73" w:rsidR="006D7D58" w:rsidRDefault="00697135" w:rsidP="00C316C3">
      <w:pPr>
        <w:pStyle w:val="BodyText"/>
        <w:rPr>
          <w:rFonts w:asciiTheme="minorHAnsi" w:hAnsiTheme="minorHAnsi"/>
        </w:rPr>
      </w:pPr>
      <w:r w:rsidRPr="00697135">
        <w:rPr>
          <w:rFonts w:asciiTheme="minorHAnsi" w:hAnsiTheme="minorHAnsi"/>
        </w:rPr>
        <w:t xml:space="preserve">The Applicant considered and rejected </w:t>
      </w:r>
      <w:r w:rsidR="0061268B">
        <w:rPr>
          <w:rFonts w:asciiTheme="minorHAnsi" w:hAnsiTheme="minorHAnsi"/>
        </w:rPr>
        <w:t>two</w:t>
      </w:r>
      <w:r w:rsidRPr="00697135">
        <w:rPr>
          <w:rFonts w:asciiTheme="minorHAnsi" w:hAnsiTheme="minorHAnsi"/>
        </w:rPr>
        <w:t xml:space="preserve"> alternative</w:t>
      </w:r>
      <w:r w:rsidR="0061268B">
        <w:rPr>
          <w:rFonts w:asciiTheme="minorHAnsi" w:hAnsiTheme="minorHAnsi"/>
        </w:rPr>
        <w:t>s</w:t>
      </w:r>
      <w:r w:rsidRPr="00697135">
        <w:rPr>
          <w:rFonts w:asciiTheme="minorHAnsi" w:hAnsiTheme="minorHAnsi"/>
        </w:rPr>
        <w:t xml:space="preserve"> to the Proposed Project.</w:t>
      </w:r>
    </w:p>
    <w:p w14:paraId="62E2D3EA" w14:textId="77777777" w:rsidR="00F4306A" w:rsidRDefault="00F4306A" w:rsidP="00C316C3">
      <w:pPr>
        <w:pStyle w:val="BodyText"/>
        <w:rPr>
          <w:rFonts w:asciiTheme="minorHAnsi" w:hAnsiTheme="minorHAnsi"/>
        </w:rPr>
      </w:pPr>
    </w:p>
    <w:p w14:paraId="2A777278" w14:textId="34E2B81E" w:rsidR="006B3BB3" w:rsidRDefault="0FB04589" w:rsidP="28157CC0">
      <w:pPr>
        <w:pStyle w:val="BodyText"/>
        <w:rPr>
          <w:rFonts w:asciiTheme="minorHAnsi" w:hAnsiTheme="minorHAnsi"/>
        </w:rPr>
      </w:pPr>
      <w:r w:rsidRPr="28157CC0">
        <w:rPr>
          <w:rFonts w:asciiTheme="minorHAnsi" w:hAnsiTheme="minorHAnsi"/>
          <w:b/>
          <w:bCs/>
          <w:u w:val="single"/>
        </w:rPr>
        <w:t>Alternative #1</w:t>
      </w:r>
      <w:r w:rsidRPr="28157CC0">
        <w:rPr>
          <w:rFonts w:asciiTheme="minorHAnsi" w:hAnsiTheme="minorHAnsi"/>
        </w:rPr>
        <w:t>:</w:t>
      </w:r>
      <w:r w:rsidR="00D3526B">
        <w:rPr>
          <w:rFonts w:asciiTheme="minorHAnsi" w:hAnsiTheme="minorHAnsi"/>
        </w:rPr>
        <w:t xml:space="preserve"> Expanding operating hours</w:t>
      </w:r>
      <w:r w:rsidR="00072182">
        <w:rPr>
          <w:rFonts w:asciiTheme="minorHAnsi" w:hAnsiTheme="minorHAnsi"/>
        </w:rPr>
        <w:t xml:space="preserve"> </w:t>
      </w:r>
      <w:r w:rsidR="00D3526B">
        <w:rPr>
          <w:rFonts w:asciiTheme="minorHAnsi" w:hAnsiTheme="minorHAnsi"/>
        </w:rPr>
        <w:t xml:space="preserve">at the Center </w:t>
      </w:r>
      <w:r w:rsidR="005C63EA">
        <w:rPr>
          <w:rFonts w:asciiTheme="minorHAnsi" w:hAnsiTheme="minorHAnsi"/>
        </w:rPr>
        <w:t>to include evenings and/or Saturday hours.</w:t>
      </w:r>
    </w:p>
    <w:p w14:paraId="0EEFF152" w14:textId="77777777" w:rsidR="00DC3E63" w:rsidRDefault="00DC3E63" w:rsidP="28157CC0">
      <w:pPr>
        <w:pStyle w:val="BodyText"/>
        <w:rPr>
          <w:rFonts w:asciiTheme="minorHAnsi" w:hAnsiTheme="minorHAnsi"/>
        </w:rPr>
      </w:pPr>
    </w:p>
    <w:p w14:paraId="0365CE13" w14:textId="0C2469B8" w:rsidR="00E16E9C" w:rsidRDefault="00E16E9C" w:rsidP="00C9571B">
      <w:pPr>
        <w:pStyle w:val="BodyText"/>
        <w:numPr>
          <w:ilvl w:val="0"/>
          <w:numId w:val="2"/>
        </w:numPr>
        <w:rPr>
          <w:rFonts w:asciiTheme="minorHAnsi" w:hAnsiTheme="minorHAnsi"/>
        </w:rPr>
      </w:pPr>
      <w:r w:rsidRPr="00E16E9C">
        <w:rPr>
          <w:rFonts w:asciiTheme="minorHAnsi" w:hAnsiTheme="minorHAnsi"/>
          <w:u w:val="single"/>
        </w:rPr>
        <w:t>Quality</w:t>
      </w:r>
      <w:r>
        <w:rPr>
          <w:rFonts w:asciiTheme="minorHAnsi" w:hAnsiTheme="minorHAnsi"/>
        </w:rPr>
        <w:t>:</w:t>
      </w:r>
      <w:r w:rsidR="00D3526B">
        <w:rPr>
          <w:rFonts w:asciiTheme="minorHAnsi" w:hAnsiTheme="minorHAnsi"/>
        </w:rPr>
        <w:t xml:space="preserve"> </w:t>
      </w:r>
      <w:r w:rsidR="009F54AB">
        <w:rPr>
          <w:rFonts w:asciiTheme="minorHAnsi" w:hAnsiTheme="minorHAnsi"/>
        </w:rPr>
        <w:t xml:space="preserve">The expanded operating hours </w:t>
      </w:r>
      <w:r w:rsidR="00FF0D98">
        <w:rPr>
          <w:rFonts w:asciiTheme="minorHAnsi" w:hAnsiTheme="minorHAnsi"/>
        </w:rPr>
        <w:t>were</w:t>
      </w:r>
      <w:r w:rsidR="009F54AB">
        <w:rPr>
          <w:rFonts w:asciiTheme="minorHAnsi" w:hAnsiTheme="minorHAnsi"/>
        </w:rPr>
        <w:t xml:space="preserve"> determined to be inconvenient, with adverse impact </w:t>
      </w:r>
      <w:proofErr w:type="gramStart"/>
      <w:r w:rsidR="009F54AB">
        <w:rPr>
          <w:rFonts w:asciiTheme="minorHAnsi" w:hAnsiTheme="minorHAnsi"/>
        </w:rPr>
        <w:t>to</w:t>
      </w:r>
      <w:proofErr w:type="gramEnd"/>
      <w:r w:rsidR="009F54AB">
        <w:rPr>
          <w:rFonts w:asciiTheme="minorHAnsi" w:hAnsiTheme="minorHAnsi"/>
        </w:rPr>
        <w:t xml:space="preserve"> patient quality and experience.</w:t>
      </w:r>
      <w:r w:rsidR="00ED349D">
        <w:rPr>
          <w:rFonts w:asciiTheme="minorHAnsi" w:hAnsiTheme="minorHAnsi"/>
        </w:rPr>
        <w:t xml:space="preserve"> </w:t>
      </w:r>
      <w:r w:rsidR="00072182">
        <w:rPr>
          <w:rFonts w:asciiTheme="minorHAnsi" w:hAnsiTheme="minorHAnsi"/>
        </w:rPr>
        <w:t xml:space="preserve">This alternative would reduce the quality of patient care as the fasting required for some procedures would be uncomfortably longer for those patients scheduled during extended evening hours. The Applicant also states that some patients are reluctant to schedule procedures on a holiday, and the same would be true for patients scheduled on extending operating hours on a Saturday. </w:t>
      </w:r>
    </w:p>
    <w:p w14:paraId="5062B8C3" w14:textId="6C1FF00E" w:rsidR="00E16E9C" w:rsidRDefault="00E16E9C" w:rsidP="00C9571B">
      <w:pPr>
        <w:pStyle w:val="BodyText"/>
        <w:numPr>
          <w:ilvl w:val="0"/>
          <w:numId w:val="2"/>
        </w:numPr>
        <w:rPr>
          <w:rFonts w:asciiTheme="minorHAnsi" w:hAnsiTheme="minorHAnsi"/>
        </w:rPr>
      </w:pPr>
      <w:r w:rsidRPr="00E16E9C">
        <w:rPr>
          <w:rFonts w:asciiTheme="minorHAnsi" w:hAnsiTheme="minorHAnsi"/>
          <w:u w:val="single"/>
        </w:rPr>
        <w:t>Efficiency</w:t>
      </w:r>
      <w:r>
        <w:rPr>
          <w:rFonts w:asciiTheme="minorHAnsi" w:hAnsiTheme="minorHAnsi"/>
        </w:rPr>
        <w:t xml:space="preserve">: </w:t>
      </w:r>
      <w:proofErr w:type="gramStart"/>
      <w:r w:rsidR="00FF3B18">
        <w:rPr>
          <w:rFonts w:asciiTheme="minorHAnsi" w:hAnsiTheme="minorHAnsi"/>
        </w:rPr>
        <w:t>This alternative introduced inefficiencies</w:t>
      </w:r>
      <w:proofErr w:type="gramEnd"/>
      <w:r w:rsidR="00FF3B18">
        <w:rPr>
          <w:rFonts w:asciiTheme="minorHAnsi" w:hAnsiTheme="minorHAnsi"/>
        </w:rPr>
        <w:t xml:space="preserve"> related to scheduling and staffing because weekend and evening hours are typically </w:t>
      </w:r>
      <w:r w:rsidR="009F54AB">
        <w:rPr>
          <w:rFonts w:asciiTheme="minorHAnsi" w:hAnsiTheme="minorHAnsi"/>
        </w:rPr>
        <w:t>underutilized</w:t>
      </w:r>
      <w:r w:rsidR="00FF3B18">
        <w:rPr>
          <w:rFonts w:asciiTheme="minorHAnsi" w:hAnsiTheme="minorHAnsi"/>
        </w:rPr>
        <w:t xml:space="preserve">, which would lead to a suboptimal use of </w:t>
      </w:r>
      <w:r w:rsidR="009F54AB">
        <w:rPr>
          <w:rFonts w:asciiTheme="minorHAnsi" w:hAnsiTheme="minorHAnsi"/>
        </w:rPr>
        <w:t>resources</w:t>
      </w:r>
      <w:r w:rsidR="00FF3B18">
        <w:rPr>
          <w:rFonts w:asciiTheme="minorHAnsi" w:hAnsiTheme="minorHAnsi"/>
        </w:rPr>
        <w:t xml:space="preserve">. Also, scheduling procedures outside of the Center’s standard operating hours could increase the number of cancellations or no-shows, as patients may be more reluctant to undergo procedures during these more inconvenient times. </w:t>
      </w:r>
    </w:p>
    <w:p w14:paraId="4599406B" w14:textId="425A3331" w:rsidR="00E16E9C" w:rsidRDefault="00E16E9C" w:rsidP="00C9571B">
      <w:pPr>
        <w:pStyle w:val="BodyText"/>
        <w:numPr>
          <w:ilvl w:val="0"/>
          <w:numId w:val="2"/>
        </w:numPr>
        <w:rPr>
          <w:rFonts w:asciiTheme="minorHAnsi" w:hAnsiTheme="minorHAnsi"/>
        </w:rPr>
      </w:pPr>
      <w:r w:rsidRPr="00E16E9C">
        <w:rPr>
          <w:rFonts w:asciiTheme="minorHAnsi" w:hAnsiTheme="minorHAnsi"/>
          <w:u w:val="single"/>
        </w:rPr>
        <w:t>Capital Expense</w:t>
      </w:r>
      <w:r>
        <w:rPr>
          <w:rFonts w:asciiTheme="minorHAnsi" w:hAnsiTheme="minorHAnsi"/>
        </w:rPr>
        <w:t xml:space="preserve">: </w:t>
      </w:r>
      <w:r w:rsidR="00FF3B18">
        <w:rPr>
          <w:rFonts w:asciiTheme="minorHAnsi" w:hAnsiTheme="minorHAnsi"/>
        </w:rPr>
        <w:t xml:space="preserve">There are no capital costs under this alternative. </w:t>
      </w:r>
    </w:p>
    <w:p w14:paraId="4A21495B" w14:textId="1F335472" w:rsidR="007036F8" w:rsidRDefault="00E16E9C" w:rsidP="00C9571B">
      <w:pPr>
        <w:pStyle w:val="BodyText"/>
        <w:numPr>
          <w:ilvl w:val="0"/>
          <w:numId w:val="2"/>
        </w:numPr>
        <w:rPr>
          <w:rFonts w:asciiTheme="minorHAnsi" w:hAnsiTheme="minorHAnsi"/>
        </w:rPr>
      </w:pPr>
      <w:r w:rsidRPr="00A63397">
        <w:rPr>
          <w:rFonts w:asciiTheme="minorHAnsi" w:hAnsiTheme="minorHAnsi"/>
          <w:u w:val="single"/>
        </w:rPr>
        <w:t>Operating Costs</w:t>
      </w:r>
      <w:r w:rsidRPr="00A63397">
        <w:rPr>
          <w:rFonts w:asciiTheme="minorHAnsi" w:hAnsiTheme="minorHAnsi"/>
        </w:rPr>
        <w:t xml:space="preserve">: </w:t>
      </w:r>
      <w:r w:rsidR="00EF6CF5">
        <w:rPr>
          <w:rFonts w:asciiTheme="minorHAnsi" w:hAnsiTheme="minorHAnsi"/>
        </w:rPr>
        <w:t xml:space="preserve">This alternative would result in higher operating costs stemming from overtime pay, shift differentials, and potential premium rates for physicians and ancillary staff as incentive to work non-standard hours. </w:t>
      </w:r>
    </w:p>
    <w:p w14:paraId="31A9E2C1" w14:textId="77777777" w:rsidR="00A63397" w:rsidRPr="00A63397" w:rsidRDefault="00A63397" w:rsidP="00A63397">
      <w:pPr>
        <w:pStyle w:val="BodyText"/>
        <w:ind w:left="720"/>
        <w:rPr>
          <w:rFonts w:asciiTheme="minorHAnsi" w:hAnsiTheme="minorHAnsi"/>
        </w:rPr>
      </w:pPr>
    </w:p>
    <w:p w14:paraId="44FBC6F2" w14:textId="68B1DF2C" w:rsidR="003567E6" w:rsidRDefault="59B67AA5" w:rsidP="28157CC0">
      <w:pPr>
        <w:pStyle w:val="BodyText"/>
        <w:rPr>
          <w:rFonts w:asciiTheme="minorHAnsi" w:hAnsiTheme="minorHAnsi"/>
        </w:rPr>
      </w:pPr>
      <w:r w:rsidRPr="28157CC0">
        <w:rPr>
          <w:rFonts w:asciiTheme="minorHAnsi" w:hAnsiTheme="minorHAnsi"/>
          <w:b/>
          <w:bCs/>
          <w:u w:val="single"/>
        </w:rPr>
        <w:t>Alternative #2</w:t>
      </w:r>
      <w:r w:rsidRPr="28157CC0">
        <w:rPr>
          <w:rFonts w:asciiTheme="minorHAnsi" w:hAnsiTheme="minorHAnsi"/>
        </w:rPr>
        <w:t xml:space="preserve">: </w:t>
      </w:r>
      <w:r w:rsidR="00EF6CF5">
        <w:rPr>
          <w:rFonts w:asciiTheme="minorHAnsi" w:hAnsiTheme="minorHAnsi"/>
        </w:rPr>
        <w:t xml:space="preserve">Expand endoscopy space at Winchester Hospital’s </w:t>
      </w:r>
      <w:r w:rsidR="00851A01">
        <w:rPr>
          <w:rFonts w:asciiTheme="minorHAnsi" w:hAnsiTheme="minorHAnsi"/>
        </w:rPr>
        <w:t>M</w:t>
      </w:r>
      <w:r w:rsidR="00EF6CF5">
        <w:rPr>
          <w:rFonts w:asciiTheme="minorHAnsi" w:hAnsiTheme="minorHAnsi"/>
        </w:rPr>
        <w:t xml:space="preserve">ain </w:t>
      </w:r>
      <w:r w:rsidR="00851A01">
        <w:rPr>
          <w:rFonts w:asciiTheme="minorHAnsi" w:hAnsiTheme="minorHAnsi"/>
        </w:rPr>
        <w:t>C</w:t>
      </w:r>
      <w:r w:rsidR="00EF6CF5">
        <w:rPr>
          <w:rFonts w:asciiTheme="minorHAnsi" w:hAnsiTheme="minorHAnsi"/>
        </w:rPr>
        <w:t>ampus</w:t>
      </w:r>
    </w:p>
    <w:p w14:paraId="5211C2AF" w14:textId="77777777" w:rsidR="00DC3E63" w:rsidRDefault="00DC3E63" w:rsidP="28157CC0">
      <w:pPr>
        <w:pStyle w:val="BodyText"/>
        <w:rPr>
          <w:rFonts w:asciiTheme="minorHAnsi" w:hAnsiTheme="minorHAnsi"/>
        </w:rPr>
      </w:pPr>
    </w:p>
    <w:p w14:paraId="1CAD0C9B" w14:textId="663EFA09" w:rsidR="00AE7940" w:rsidRDefault="00AE7940" w:rsidP="00C9571B">
      <w:pPr>
        <w:pStyle w:val="BodyText"/>
        <w:numPr>
          <w:ilvl w:val="0"/>
          <w:numId w:val="3"/>
        </w:numPr>
        <w:rPr>
          <w:rFonts w:asciiTheme="minorHAnsi" w:hAnsiTheme="minorHAnsi"/>
        </w:rPr>
      </w:pPr>
      <w:r w:rsidRPr="00C16752">
        <w:rPr>
          <w:rFonts w:asciiTheme="minorHAnsi" w:hAnsiTheme="minorHAnsi"/>
          <w:u w:val="single"/>
        </w:rPr>
        <w:t>Quality</w:t>
      </w:r>
      <w:r>
        <w:rPr>
          <w:rFonts w:asciiTheme="minorHAnsi" w:hAnsiTheme="minorHAnsi"/>
        </w:rPr>
        <w:t xml:space="preserve">: </w:t>
      </w:r>
      <w:r w:rsidR="00EF6CF5">
        <w:rPr>
          <w:rFonts w:asciiTheme="minorHAnsi" w:hAnsiTheme="minorHAnsi"/>
        </w:rPr>
        <w:t>The main campus lacks the physic</w:t>
      </w:r>
      <w:r w:rsidR="00C037A3">
        <w:rPr>
          <w:rFonts w:asciiTheme="minorHAnsi" w:hAnsiTheme="minorHAnsi"/>
        </w:rPr>
        <w:t>al</w:t>
      </w:r>
      <w:r w:rsidR="00EF6CF5">
        <w:rPr>
          <w:rFonts w:asciiTheme="minorHAnsi" w:hAnsiTheme="minorHAnsi"/>
        </w:rPr>
        <w:t xml:space="preserve"> space for expanded endoscopy services. This alternative also does not align with the Applicant’s goal of providing endoscopy services in a more convenient, stand-alone facility. The Applicant states that the hospital setting may be less comfortable, convenient, and accessible for patients seeking routin</w:t>
      </w:r>
      <w:r w:rsidR="00B26234">
        <w:rPr>
          <w:rFonts w:asciiTheme="minorHAnsi" w:hAnsiTheme="minorHAnsi"/>
        </w:rPr>
        <w:t>e</w:t>
      </w:r>
      <w:r w:rsidR="00EF6CF5">
        <w:rPr>
          <w:rFonts w:asciiTheme="minorHAnsi" w:hAnsiTheme="minorHAnsi"/>
        </w:rPr>
        <w:t xml:space="preserve"> outpatient procedures, and that this in turn could adversely impact patient satisfaction and adherence to recommended screening. </w:t>
      </w:r>
    </w:p>
    <w:p w14:paraId="0E144273" w14:textId="643F25ED" w:rsidR="00AE7940" w:rsidRDefault="00AE7940" w:rsidP="00C9571B">
      <w:pPr>
        <w:pStyle w:val="BodyText"/>
        <w:numPr>
          <w:ilvl w:val="0"/>
          <w:numId w:val="3"/>
        </w:numPr>
        <w:rPr>
          <w:rFonts w:asciiTheme="minorHAnsi" w:hAnsiTheme="minorHAnsi"/>
        </w:rPr>
      </w:pPr>
      <w:r w:rsidRPr="00C16752">
        <w:rPr>
          <w:rFonts w:asciiTheme="minorHAnsi" w:hAnsiTheme="minorHAnsi"/>
          <w:u w:val="single"/>
        </w:rPr>
        <w:t>Efficiency</w:t>
      </w:r>
      <w:r>
        <w:rPr>
          <w:rFonts w:asciiTheme="minorHAnsi" w:hAnsiTheme="minorHAnsi"/>
        </w:rPr>
        <w:t xml:space="preserve">: </w:t>
      </w:r>
      <w:r w:rsidR="00D27B42">
        <w:rPr>
          <w:rFonts w:asciiTheme="minorHAnsi" w:hAnsiTheme="minorHAnsi"/>
        </w:rPr>
        <w:t xml:space="preserve">Because the main campus does not have the existing space to expand endoscopy services, Winchester Hospital would have to reduce the capacity of other surgical service lines </w:t>
      </w:r>
      <w:proofErr w:type="gramStart"/>
      <w:r w:rsidR="00D27B42">
        <w:rPr>
          <w:rFonts w:asciiTheme="minorHAnsi" w:hAnsiTheme="minorHAnsi"/>
        </w:rPr>
        <w:t>in order to</w:t>
      </w:r>
      <w:proofErr w:type="gramEnd"/>
      <w:r w:rsidR="00D27B42">
        <w:rPr>
          <w:rFonts w:asciiTheme="minorHAnsi" w:hAnsiTheme="minorHAnsi"/>
        </w:rPr>
        <w:t xml:space="preserve"> do so, which would be disruptive for patients, increase </w:t>
      </w:r>
      <w:proofErr w:type="gramStart"/>
      <w:r w:rsidR="00D27B42">
        <w:rPr>
          <w:rFonts w:asciiTheme="minorHAnsi" w:hAnsiTheme="minorHAnsi"/>
        </w:rPr>
        <w:t>wait</w:t>
      </w:r>
      <w:proofErr w:type="gramEnd"/>
      <w:r w:rsidR="00D27B42">
        <w:rPr>
          <w:rFonts w:asciiTheme="minorHAnsi" w:hAnsiTheme="minorHAnsi"/>
        </w:rPr>
        <w:t xml:space="preserve"> times and create backlogs for those services that are reduced.  </w:t>
      </w:r>
    </w:p>
    <w:p w14:paraId="5010AC4E" w14:textId="2255586E" w:rsidR="00AE7940" w:rsidRDefault="00AE7940" w:rsidP="00C9571B">
      <w:pPr>
        <w:pStyle w:val="BodyText"/>
        <w:numPr>
          <w:ilvl w:val="0"/>
          <w:numId w:val="3"/>
        </w:numPr>
        <w:rPr>
          <w:rFonts w:asciiTheme="minorHAnsi" w:hAnsiTheme="minorHAnsi"/>
        </w:rPr>
      </w:pPr>
      <w:r w:rsidRPr="00C16752">
        <w:rPr>
          <w:rFonts w:asciiTheme="minorHAnsi" w:hAnsiTheme="minorHAnsi"/>
          <w:u w:val="single"/>
        </w:rPr>
        <w:t>Capital Expense</w:t>
      </w:r>
      <w:r>
        <w:rPr>
          <w:rFonts w:asciiTheme="minorHAnsi" w:hAnsiTheme="minorHAnsi"/>
        </w:rPr>
        <w:t xml:space="preserve">: </w:t>
      </w:r>
      <w:r w:rsidR="004D26F2">
        <w:rPr>
          <w:rFonts w:asciiTheme="minorHAnsi" w:hAnsiTheme="minorHAnsi"/>
        </w:rPr>
        <w:t xml:space="preserve">This alternative would require </w:t>
      </w:r>
      <w:proofErr w:type="gramStart"/>
      <w:r w:rsidR="004D26F2">
        <w:rPr>
          <w:rFonts w:asciiTheme="minorHAnsi" w:hAnsiTheme="minorHAnsi"/>
        </w:rPr>
        <w:t>a significant</w:t>
      </w:r>
      <w:proofErr w:type="gramEnd"/>
      <w:r w:rsidR="004D26F2">
        <w:rPr>
          <w:rFonts w:asciiTheme="minorHAnsi" w:hAnsiTheme="minorHAnsi"/>
        </w:rPr>
        <w:t xml:space="preserve"> capital expense </w:t>
      </w:r>
      <w:proofErr w:type="gramStart"/>
      <w:r w:rsidR="004D26F2">
        <w:rPr>
          <w:rFonts w:asciiTheme="minorHAnsi" w:hAnsiTheme="minorHAnsi"/>
        </w:rPr>
        <w:t>in order to</w:t>
      </w:r>
      <w:proofErr w:type="gramEnd"/>
      <w:r w:rsidR="004D26F2">
        <w:rPr>
          <w:rFonts w:asciiTheme="minorHAnsi" w:hAnsiTheme="minorHAnsi"/>
        </w:rPr>
        <w:t xml:space="preserve"> create dedicate</w:t>
      </w:r>
      <w:r w:rsidR="00545404">
        <w:rPr>
          <w:rFonts w:asciiTheme="minorHAnsi" w:hAnsiTheme="minorHAnsi"/>
        </w:rPr>
        <w:t>d</w:t>
      </w:r>
      <w:r w:rsidR="004D26F2">
        <w:rPr>
          <w:rFonts w:asciiTheme="minorHAnsi" w:hAnsiTheme="minorHAnsi"/>
        </w:rPr>
        <w:t xml:space="preserve"> space on the </w:t>
      </w:r>
      <w:proofErr w:type="gramStart"/>
      <w:r w:rsidR="004D26F2">
        <w:rPr>
          <w:rFonts w:asciiTheme="minorHAnsi" w:hAnsiTheme="minorHAnsi"/>
        </w:rPr>
        <w:t>Winchester Hospital main</w:t>
      </w:r>
      <w:proofErr w:type="gramEnd"/>
      <w:r w:rsidR="004D26F2">
        <w:rPr>
          <w:rFonts w:asciiTheme="minorHAnsi" w:hAnsiTheme="minorHAnsi"/>
        </w:rPr>
        <w:t xml:space="preserve"> campus. </w:t>
      </w:r>
    </w:p>
    <w:p w14:paraId="491346E3" w14:textId="4314D273" w:rsidR="00AE7940" w:rsidRDefault="00AE7940" w:rsidP="00C9571B">
      <w:pPr>
        <w:pStyle w:val="BodyText"/>
        <w:numPr>
          <w:ilvl w:val="0"/>
          <w:numId w:val="3"/>
        </w:numPr>
        <w:rPr>
          <w:rFonts w:asciiTheme="minorHAnsi" w:hAnsiTheme="minorHAnsi"/>
        </w:rPr>
      </w:pPr>
      <w:r w:rsidRPr="00C16752">
        <w:rPr>
          <w:rFonts w:asciiTheme="minorHAnsi" w:hAnsiTheme="minorHAnsi"/>
          <w:u w:val="single"/>
        </w:rPr>
        <w:t>Operating costs</w:t>
      </w:r>
      <w:r>
        <w:rPr>
          <w:rFonts w:asciiTheme="minorHAnsi" w:hAnsiTheme="minorHAnsi"/>
        </w:rPr>
        <w:t xml:space="preserve">: </w:t>
      </w:r>
      <w:r w:rsidR="000C3028">
        <w:rPr>
          <w:rFonts w:asciiTheme="minorHAnsi" w:hAnsiTheme="minorHAnsi"/>
        </w:rPr>
        <w:t xml:space="preserve">Operating costs would be </w:t>
      </w:r>
      <w:proofErr w:type="gramStart"/>
      <w:r w:rsidR="000C3028">
        <w:rPr>
          <w:rFonts w:asciiTheme="minorHAnsi" w:hAnsiTheme="minorHAnsi"/>
        </w:rPr>
        <w:t>similar to</w:t>
      </w:r>
      <w:proofErr w:type="gramEnd"/>
      <w:r w:rsidR="000C3028">
        <w:rPr>
          <w:rFonts w:asciiTheme="minorHAnsi" w:hAnsiTheme="minorHAnsi"/>
        </w:rPr>
        <w:t xml:space="preserve"> those for the Proposed Project if endoscopy services were offered during standard hours. </w:t>
      </w:r>
    </w:p>
    <w:p w14:paraId="615E1781" w14:textId="77777777" w:rsidR="00271A47" w:rsidRPr="003567E6" w:rsidRDefault="00271A47" w:rsidP="00271A47">
      <w:pPr>
        <w:pStyle w:val="BodyText"/>
        <w:ind w:left="720"/>
        <w:rPr>
          <w:rFonts w:asciiTheme="minorHAnsi" w:hAnsiTheme="minorHAnsi"/>
        </w:rPr>
      </w:pPr>
    </w:p>
    <w:p w14:paraId="21C287C5" w14:textId="2756C04C" w:rsidR="0033478B" w:rsidRDefault="00F73826" w:rsidP="00C316C3">
      <w:pPr>
        <w:pStyle w:val="BodyText"/>
        <w:rPr>
          <w:rFonts w:asciiTheme="minorHAnsi" w:hAnsiTheme="minorHAnsi"/>
        </w:rPr>
      </w:pPr>
      <w:r>
        <w:rPr>
          <w:rFonts w:asciiTheme="minorHAnsi" w:hAnsiTheme="minorHAnsi"/>
        </w:rPr>
        <w:t xml:space="preserve">The Applicant states that BILH considered several factors when determining where to expand outpatient endoscopy capacity, including the fact that the Center is a high-functioning outpatient center, Winchester Hospital has improved </w:t>
      </w:r>
      <w:r w:rsidR="00C87664">
        <w:rPr>
          <w:rFonts w:asciiTheme="minorHAnsi" w:hAnsiTheme="minorHAnsi"/>
        </w:rPr>
        <w:t>the Center’s operations</w:t>
      </w:r>
      <w:r>
        <w:rPr>
          <w:rFonts w:asciiTheme="minorHAnsi" w:hAnsiTheme="minorHAnsi"/>
        </w:rPr>
        <w:t xml:space="preserve"> over the years to accommodate additional volume from increasing need for screening colonoscopy, and the Center’s scheduling blocks are being used efficiently, but procedure room capacity is insufficient to meet the endoscopy needs of the region, as indicated in the wait times noted in Factor 1(a). The Applicant notes that the Center can expand within its existing footprint, and that the location is a geographically convenient option for Lahey Burlington, Peabody, and Arlington patients, and for patients of BIDMC and Mount Auburn. Finally, Lahey and Mount Auburn have long wait times, and lack space within their existing footprints for expansion. </w:t>
      </w:r>
    </w:p>
    <w:p w14:paraId="49F3B1EA" w14:textId="77777777" w:rsidR="00CE6B84" w:rsidRDefault="00CE6B84" w:rsidP="00C316C3">
      <w:pPr>
        <w:pStyle w:val="BodyText"/>
        <w:rPr>
          <w:rFonts w:asciiTheme="minorHAnsi" w:hAnsiTheme="minorHAnsi"/>
        </w:rPr>
      </w:pPr>
    </w:p>
    <w:p w14:paraId="21431812" w14:textId="06DF5AC0" w:rsidR="00CE6B84" w:rsidRDefault="00CE6B84" w:rsidP="00C316C3">
      <w:pPr>
        <w:pStyle w:val="BodyText"/>
        <w:rPr>
          <w:rFonts w:asciiTheme="minorHAnsi" w:hAnsiTheme="minorHAnsi"/>
        </w:rPr>
      </w:pPr>
      <w:r>
        <w:rPr>
          <w:rFonts w:asciiTheme="minorHAnsi" w:hAnsiTheme="minorHAnsi"/>
        </w:rPr>
        <w:t>As noted above, the Applicant de</w:t>
      </w:r>
      <w:r w:rsidR="00FC229D">
        <w:rPr>
          <w:rFonts w:asciiTheme="minorHAnsi" w:hAnsiTheme="minorHAnsi"/>
        </w:rPr>
        <w:t>t</w:t>
      </w:r>
      <w:r>
        <w:rPr>
          <w:rFonts w:asciiTheme="minorHAnsi" w:hAnsiTheme="minorHAnsi"/>
        </w:rPr>
        <w:t xml:space="preserve">ermined </w:t>
      </w:r>
      <w:r w:rsidRPr="00CE6B84">
        <w:rPr>
          <w:rFonts w:asciiTheme="minorHAnsi" w:hAnsiTheme="minorHAnsi"/>
        </w:rPr>
        <w:t>that expanding procedural capacity at the Center represents the most cost-effective and timely means of increasing access to endoscopy services</w:t>
      </w:r>
      <w:r w:rsidR="00D3167E">
        <w:rPr>
          <w:rFonts w:asciiTheme="minorHAnsi" w:hAnsiTheme="minorHAnsi"/>
        </w:rPr>
        <w:t>. The A</w:t>
      </w:r>
      <w:r w:rsidR="00AD4897">
        <w:rPr>
          <w:rFonts w:asciiTheme="minorHAnsi" w:hAnsiTheme="minorHAnsi"/>
        </w:rPr>
        <w:t>p</w:t>
      </w:r>
      <w:r w:rsidR="00D3167E">
        <w:rPr>
          <w:rFonts w:asciiTheme="minorHAnsi" w:hAnsiTheme="minorHAnsi"/>
        </w:rPr>
        <w:t>plicant states further that</w:t>
      </w:r>
      <w:r w:rsidRPr="00CE6B84">
        <w:rPr>
          <w:rFonts w:asciiTheme="minorHAnsi" w:hAnsiTheme="minorHAnsi"/>
        </w:rPr>
        <w:t xml:space="preserve"> establishing a new ASC to provide such </w:t>
      </w:r>
      <w:proofErr w:type="gramStart"/>
      <w:r w:rsidRPr="00CE6B84">
        <w:rPr>
          <w:rFonts w:asciiTheme="minorHAnsi" w:hAnsiTheme="minorHAnsi"/>
        </w:rPr>
        <w:t>services,</w:t>
      </w:r>
      <w:proofErr w:type="gramEnd"/>
      <w:r w:rsidRPr="00CE6B84">
        <w:rPr>
          <w:rFonts w:asciiTheme="minorHAnsi" w:hAnsiTheme="minorHAnsi"/>
        </w:rPr>
        <w:t xml:space="preserve"> would increase the timeline to address Patient Panel need for endoscopy services to several years and would entail a significantly higher capital expenditure</w:t>
      </w:r>
      <w:r w:rsidR="00C32A4D" w:rsidRPr="00C32A4D">
        <w:rPr>
          <w:szCs w:val="20"/>
        </w:rPr>
        <w:t xml:space="preserve"> </w:t>
      </w:r>
      <w:r w:rsidR="00C32A4D" w:rsidRPr="00C32A4D">
        <w:rPr>
          <w:rFonts w:asciiTheme="minorHAnsi" w:hAnsiTheme="minorHAnsi"/>
        </w:rPr>
        <w:t>resulting in costly and unnecessary delays in expanding access to diagnostic and preventative health care</w:t>
      </w:r>
      <w:r w:rsidR="00BF08B8">
        <w:rPr>
          <w:rFonts w:asciiTheme="minorHAnsi" w:hAnsiTheme="minorHAnsi"/>
        </w:rPr>
        <w:t xml:space="preserve">. </w:t>
      </w:r>
    </w:p>
    <w:p w14:paraId="7B9C0E84" w14:textId="77777777" w:rsidR="00F73826" w:rsidRDefault="00F73826" w:rsidP="00C316C3">
      <w:pPr>
        <w:pStyle w:val="BodyText"/>
        <w:rPr>
          <w:rFonts w:asciiTheme="minorHAnsi" w:hAnsiTheme="minorHAnsi"/>
        </w:rPr>
      </w:pPr>
    </w:p>
    <w:p w14:paraId="4517F930" w14:textId="2606992B" w:rsidR="00A4110F" w:rsidRPr="003436F0" w:rsidRDefault="00A4110F" w:rsidP="00C316C3">
      <w:pPr>
        <w:pStyle w:val="BodyText"/>
        <w:rPr>
          <w:rFonts w:asciiTheme="minorHAnsi" w:hAnsiTheme="minorHAnsi"/>
          <w:b/>
          <w:bCs/>
          <w:i/>
          <w:iCs/>
        </w:rPr>
      </w:pPr>
      <w:r w:rsidRPr="003436F0">
        <w:rPr>
          <w:rFonts w:asciiTheme="minorHAnsi" w:hAnsiTheme="minorHAnsi"/>
          <w:b/>
          <w:bCs/>
          <w:i/>
          <w:iCs/>
        </w:rPr>
        <w:t xml:space="preserve">Analysis </w:t>
      </w:r>
    </w:p>
    <w:p w14:paraId="4610C39B" w14:textId="2B1BC208" w:rsidR="00A4110F" w:rsidRDefault="00374DEC" w:rsidP="00C316C3">
      <w:pPr>
        <w:pStyle w:val="BodyText"/>
        <w:rPr>
          <w:rFonts w:asciiTheme="minorHAnsi" w:hAnsiTheme="minorHAnsi"/>
        </w:rPr>
      </w:pPr>
      <w:r w:rsidRPr="00374DEC">
        <w:rPr>
          <w:rFonts w:asciiTheme="minorHAnsi" w:hAnsiTheme="minorHAnsi"/>
        </w:rPr>
        <w:t xml:space="preserve">Staff </w:t>
      </w:r>
      <w:proofErr w:type="gramStart"/>
      <w:r w:rsidRPr="00374DEC">
        <w:rPr>
          <w:rFonts w:asciiTheme="minorHAnsi" w:hAnsiTheme="minorHAnsi"/>
        </w:rPr>
        <w:t>finds</w:t>
      </w:r>
      <w:proofErr w:type="gramEnd"/>
      <w:r w:rsidRPr="00374DEC">
        <w:rPr>
          <w:rFonts w:asciiTheme="minorHAnsi" w:hAnsiTheme="minorHAnsi"/>
        </w:rPr>
        <w:t xml:space="preserve"> that the Applicant has appropriately considered the quality, efficiency, and capital</w:t>
      </w:r>
      <w:r w:rsidR="0047754F">
        <w:rPr>
          <w:rFonts w:asciiTheme="minorHAnsi" w:hAnsiTheme="minorHAnsi"/>
        </w:rPr>
        <w:t xml:space="preserve"> </w:t>
      </w:r>
      <w:r w:rsidRPr="00374DEC">
        <w:rPr>
          <w:rFonts w:asciiTheme="minorHAnsi" w:hAnsiTheme="minorHAnsi"/>
        </w:rPr>
        <w:t>and operating costs of the Proposed Project relative to potential alternatives. As a result of</w:t>
      </w:r>
      <w:r w:rsidR="0047754F">
        <w:rPr>
          <w:rFonts w:asciiTheme="minorHAnsi" w:hAnsiTheme="minorHAnsi"/>
        </w:rPr>
        <w:t xml:space="preserve"> </w:t>
      </w:r>
      <w:r w:rsidRPr="00374DEC">
        <w:rPr>
          <w:rFonts w:asciiTheme="minorHAnsi" w:hAnsiTheme="minorHAnsi"/>
        </w:rPr>
        <w:t>information provided by the Applicant and additional analysis, staff finds the Applicant has</w:t>
      </w:r>
      <w:r w:rsidR="0047754F">
        <w:rPr>
          <w:rFonts w:asciiTheme="minorHAnsi" w:hAnsiTheme="minorHAnsi"/>
        </w:rPr>
        <w:t xml:space="preserve"> </w:t>
      </w:r>
      <w:r w:rsidRPr="00374DEC">
        <w:rPr>
          <w:rFonts w:asciiTheme="minorHAnsi" w:hAnsiTheme="minorHAnsi"/>
        </w:rPr>
        <w:t>reasonably met the standards of Factor 5.</w:t>
      </w:r>
    </w:p>
    <w:p w14:paraId="6D49ACE4" w14:textId="77777777" w:rsidR="00C9338C" w:rsidRDefault="00C9338C" w:rsidP="00C316C3">
      <w:pPr>
        <w:pStyle w:val="BodyText"/>
        <w:rPr>
          <w:rFonts w:asciiTheme="minorHAnsi" w:hAnsiTheme="minorHAnsi"/>
        </w:rPr>
      </w:pPr>
    </w:p>
    <w:p w14:paraId="23E345B3" w14:textId="0C5929E5" w:rsidR="00B447F3" w:rsidRDefault="00A4110F" w:rsidP="00B50A1D">
      <w:pPr>
        <w:pStyle w:val="Heading2"/>
      </w:pPr>
      <w:bookmarkStart w:id="26" w:name="Factor_6:_Fulfillment_of_DPH_Community-b"/>
      <w:bookmarkStart w:id="27" w:name="_Toc226541462"/>
      <w:bookmarkEnd w:id="26"/>
      <w:r w:rsidRPr="003436F0">
        <w:t>Factor 6: Fulfillment of DPH Community-based Health Initiatives Guideline</w:t>
      </w:r>
      <w:bookmarkEnd w:id="27"/>
    </w:p>
    <w:p w14:paraId="3FDFF0CC" w14:textId="2207DC86" w:rsidR="00AD1D72" w:rsidRDefault="00AD1D72" w:rsidP="00C316C3"/>
    <w:p w14:paraId="7B7F5AF6"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normaltextrun"/>
          <w:rFonts w:ascii="Calibri" w:hAnsi="Calibri" w:cs="Calibri"/>
          <w:b/>
          <w:bCs/>
          <w:i/>
          <w:iCs/>
          <w:color w:val="000000"/>
        </w:rPr>
        <w:lastRenderedPageBreak/>
        <w:t>Summary and context for this application: </w:t>
      </w:r>
      <w:r w:rsidRPr="0078049E">
        <w:rPr>
          <w:rStyle w:val="normaltextrun"/>
          <w:rFonts w:ascii="Calibri" w:hAnsi="Calibri" w:cs="Calibri"/>
          <w:color w:val="000000"/>
        </w:rPr>
        <w:t>This is a </w:t>
      </w:r>
      <w:proofErr w:type="spellStart"/>
      <w:r w:rsidRPr="0078049E">
        <w:rPr>
          <w:rStyle w:val="normaltextrun"/>
          <w:rFonts w:ascii="Calibri" w:hAnsi="Calibri" w:cs="Calibri"/>
          <w:color w:val="000000"/>
        </w:rPr>
        <w:t>DoN</w:t>
      </w:r>
      <w:proofErr w:type="spellEnd"/>
      <w:r w:rsidRPr="0078049E">
        <w:rPr>
          <w:rStyle w:val="normaltextrun"/>
          <w:rFonts w:ascii="Calibri" w:hAnsi="Calibri" w:cs="Calibri"/>
          <w:color w:val="000000"/>
        </w:rPr>
        <w:t> project that will result in a Tier 1 CHI. To fulfill Factor 6 requirements, the Applicant submitted the Winchester Hospital (WH) 2025 Community Health </w:t>
      </w:r>
      <w:r w:rsidRPr="0078049E">
        <w:rPr>
          <w:rStyle w:val="normaltextrun"/>
          <w:rFonts w:ascii="Calibri" w:hAnsi="Calibri" w:cs="Calibri"/>
        </w:rPr>
        <w:t>Needs Assessment and Implementation Strategy (CHNA), a Self-Assessment, Partner Assessments and a CHI Narrative. The CHNA highlights social determinant of health (</w:t>
      </w:r>
      <w:proofErr w:type="spellStart"/>
      <w:r w:rsidRPr="0078049E">
        <w:rPr>
          <w:rStyle w:val="normaltextrun"/>
          <w:rFonts w:ascii="Calibri" w:hAnsi="Calibri" w:cs="Calibri"/>
        </w:rPr>
        <w:t>SDoH</w:t>
      </w:r>
      <w:proofErr w:type="spellEnd"/>
      <w:r w:rsidRPr="0078049E">
        <w:rPr>
          <w:rStyle w:val="normaltextrun"/>
          <w:rFonts w:ascii="Calibri" w:hAnsi="Calibri" w:cs="Calibri"/>
        </w:rPr>
        <w:t>) needs for specific communities residing in the Applicant's Community Benefits Service Area (CBSA). The Applicant and their Community Benefits Advisory Committee (CBAC) should focus CHI planning and implementation efforts in these key areas to ensure selection of funding priorities and strategies meet the CHI Guidelines. This will allow for implementation at the </w:t>
      </w:r>
      <w:proofErr w:type="spellStart"/>
      <w:r w:rsidRPr="0078049E">
        <w:rPr>
          <w:rStyle w:val="normaltextrun"/>
          <w:rFonts w:ascii="Calibri" w:hAnsi="Calibri" w:cs="Calibri"/>
        </w:rPr>
        <w:t>SDoH</w:t>
      </w:r>
      <w:proofErr w:type="spellEnd"/>
      <w:r w:rsidRPr="0078049E">
        <w:rPr>
          <w:rStyle w:val="normaltextrun"/>
          <w:rFonts w:ascii="Calibri" w:hAnsi="Calibri" w:cs="Calibri"/>
        </w:rPr>
        <w:t> and root cause level. </w:t>
      </w:r>
      <w:r w:rsidRPr="0078049E">
        <w:rPr>
          <w:rStyle w:val="eop"/>
          <w:rFonts w:ascii="Calibri" w:hAnsi="Calibri" w:cs="Calibri"/>
        </w:rPr>
        <w:t> </w:t>
      </w:r>
    </w:p>
    <w:p w14:paraId="5FD18BD2"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eop"/>
          <w:rFonts w:ascii="Calibri" w:hAnsi="Calibri" w:cs="Calibri"/>
        </w:rPr>
        <w:t> </w:t>
      </w:r>
    </w:p>
    <w:p w14:paraId="7BA4429A" w14:textId="77777777" w:rsidR="00901757" w:rsidRDefault="0078049E" w:rsidP="0078049E">
      <w:pPr>
        <w:pStyle w:val="paragraph"/>
        <w:spacing w:before="0" w:beforeAutospacing="0" w:after="0" w:afterAutospacing="0"/>
        <w:textAlignment w:val="baseline"/>
        <w:rPr>
          <w:rStyle w:val="eop"/>
          <w:rFonts w:ascii="Calibri" w:hAnsi="Calibri" w:cs="Calibri"/>
        </w:rPr>
      </w:pPr>
      <w:r w:rsidRPr="0078049E">
        <w:rPr>
          <w:rStyle w:val="normaltextrun"/>
          <w:rFonts w:ascii="Calibri" w:hAnsi="Calibri" w:cs="Calibri"/>
        </w:rPr>
        <w:t>DPH staff have determined that if the Applicant agrees to address community conditions and root causes while engaging in ongoing work with their CBAC, the CHI investment will align appropriately with the CHI Guidelines.</w:t>
      </w:r>
      <w:r w:rsidRPr="0078049E">
        <w:rPr>
          <w:rStyle w:val="eop"/>
          <w:rFonts w:ascii="Calibri" w:hAnsi="Calibri" w:cs="Calibri"/>
        </w:rPr>
        <w:t> </w:t>
      </w:r>
    </w:p>
    <w:p w14:paraId="131DE428" w14:textId="77777777" w:rsidR="00901757" w:rsidRDefault="00901757" w:rsidP="0078049E">
      <w:pPr>
        <w:pStyle w:val="paragraph"/>
        <w:spacing w:before="0" w:beforeAutospacing="0" w:after="0" w:afterAutospacing="0"/>
        <w:textAlignment w:val="baseline"/>
        <w:rPr>
          <w:rStyle w:val="eop"/>
          <w:rFonts w:ascii="Calibri" w:hAnsi="Calibri" w:cs="Calibri"/>
          <w:color w:val="000000"/>
        </w:rPr>
      </w:pPr>
    </w:p>
    <w:p w14:paraId="6423D934" w14:textId="660619EF" w:rsidR="0078049E" w:rsidRPr="00901757" w:rsidRDefault="0078049E" w:rsidP="0078049E">
      <w:pPr>
        <w:pStyle w:val="paragraph"/>
        <w:spacing w:before="0" w:beforeAutospacing="0" w:after="0" w:afterAutospacing="0"/>
        <w:textAlignment w:val="baseline"/>
        <w:rPr>
          <w:rFonts w:ascii="Calibri" w:hAnsi="Calibri" w:cs="Calibri"/>
        </w:rPr>
      </w:pPr>
      <w:r w:rsidRPr="0078049E">
        <w:rPr>
          <w:rStyle w:val="normaltextrun"/>
          <w:rFonts w:ascii="Calibri" w:hAnsi="Calibri" w:cs="Calibri"/>
          <w:b/>
          <w:bCs/>
          <w:color w:val="000000"/>
        </w:rPr>
        <w:t>Winchester Hospital’s 2025 CHNA</w:t>
      </w:r>
      <w:r w:rsidRPr="0078049E">
        <w:rPr>
          <w:rStyle w:val="normaltextrun"/>
          <w:rFonts w:ascii="Calibri" w:hAnsi="Calibri" w:cs="Calibri"/>
          <w:color w:val="000000"/>
        </w:rPr>
        <w:t> focused on the nine communities of Medford, North Reading, Reading, Stoneham, Tewksbury, Wakefield, Wilmington, Winchester, and Woburn—cities </w:t>
      </w:r>
      <w:r w:rsidRPr="0078049E">
        <w:rPr>
          <w:rStyle w:val="normaltextrun"/>
          <w:rFonts w:ascii="Calibri" w:hAnsi="Calibri" w:cs="Calibri"/>
        </w:rPr>
        <w:t>and towns that are diverse with respect to demographics (e.g., age, race, and ethnicity), socioeconomics (e.g., income, education, and employment), and geography (e.g., urban, suburban).</w:t>
      </w:r>
      <w:r w:rsidRPr="0078049E">
        <w:rPr>
          <w:rStyle w:val="eop"/>
          <w:rFonts w:ascii="Calibri" w:hAnsi="Calibri" w:cs="Calibri"/>
        </w:rPr>
        <w:t> </w:t>
      </w:r>
    </w:p>
    <w:p w14:paraId="01B0DD38" w14:textId="228B3825"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normaltextrun"/>
          <w:rFonts w:ascii="Calibri" w:hAnsi="Calibri" w:cs="Calibri"/>
        </w:rPr>
        <w:t>The CHNA analyzed primary and secondary quantitative and qualitative data capturing community characteristics, social determinants of health (</w:t>
      </w:r>
      <w:proofErr w:type="spellStart"/>
      <w:r w:rsidRPr="0078049E">
        <w:rPr>
          <w:rStyle w:val="normaltextrun"/>
          <w:rFonts w:ascii="Calibri" w:hAnsi="Calibri" w:cs="Calibri"/>
        </w:rPr>
        <w:t>SDoH</w:t>
      </w:r>
      <w:proofErr w:type="spellEnd"/>
      <w:r w:rsidRPr="0078049E">
        <w:rPr>
          <w:rStyle w:val="normaltextrun"/>
          <w:rFonts w:ascii="Calibri" w:hAnsi="Calibri" w:cs="Calibri"/>
        </w:rPr>
        <w:t>), systemic factors, behavioral factors and health conditions. Primary data sources included interviews, focus groups, surveys and community listening sessions. With the guiding principles of equity, accountability, community engagement and impact, the CHNA highlighted the experiences priority cohorts facing barriers and inequities including low-resourced individuals, racially, ethnically and linguistically diverse populations, individuals living with disabilities, older adults, youth and individuals who identify as LGBTQIA+. </w:t>
      </w:r>
      <w:r w:rsidRPr="0078049E">
        <w:rPr>
          <w:rStyle w:val="eop"/>
          <w:rFonts w:ascii="Calibri" w:hAnsi="Calibri" w:cs="Calibri"/>
        </w:rPr>
        <w:t> </w:t>
      </w:r>
    </w:p>
    <w:p w14:paraId="792368AF"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eop"/>
          <w:rFonts w:ascii="Calibri" w:hAnsi="Calibri" w:cs="Calibri"/>
        </w:rPr>
        <w:t> </w:t>
      </w:r>
    </w:p>
    <w:p w14:paraId="5E73FC62"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normaltextrun"/>
          <w:rFonts w:ascii="Calibri" w:hAnsi="Calibri" w:cs="Calibri"/>
        </w:rPr>
        <w:t>Key </w:t>
      </w:r>
      <w:proofErr w:type="spellStart"/>
      <w:r w:rsidRPr="0078049E">
        <w:rPr>
          <w:rStyle w:val="normaltextrun"/>
          <w:rFonts w:ascii="Calibri" w:hAnsi="Calibri" w:cs="Calibri"/>
        </w:rPr>
        <w:t>SDoH</w:t>
      </w:r>
      <w:proofErr w:type="spellEnd"/>
      <w:r w:rsidRPr="0078049E">
        <w:rPr>
          <w:rStyle w:val="normaltextrun"/>
          <w:rFonts w:ascii="Calibri" w:hAnsi="Calibri" w:cs="Calibri"/>
        </w:rPr>
        <w:t> findings identified in the CHNA that align with CHI guidelines include:</w:t>
      </w:r>
      <w:r w:rsidRPr="0078049E">
        <w:rPr>
          <w:rStyle w:val="eop"/>
          <w:rFonts w:ascii="Calibri" w:hAnsi="Calibri" w:cs="Calibri"/>
        </w:rPr>
        <w:t> </w:t>
      </w:r>
    </w:p>
    <w:p w14:paraId="22A62148" w14:textId="77777777" w:rsidR="0078049E" w:rsidRPr="0078049E" w:rsidRDefault="0078049E" w:rsidP="00C9571B">
      <w:pPr>
        <w:pStyle w:val="paragraph"/>
        <w:numPr>
          <w:ilvl w:val="0"/>
          <w:numId w:val="11"/>
        </w:numPr>
        <w:spacing w:before="0" w:beforeAutospacing="0" w:after="0" w:afterAutospacing="0"/>
        <w:ind w:left="1080" w:firstLine="0"/>
        <w:textAlignment w:val="baseline"/>
        <w:rPr>
          <w:rFonts w:ascii="Calibri" w:hAnsi="Calibri" w:cs="Calibri"/>
        </w:rPr>
      </w:pPr>
      <w:r w:rsidRPr="0078049E">
        <w:rPr>
          <w:rStyle w:val="normaltextrun"/>
          <w:rFonts w:ascii="Calibri" w:hAnsi="Calibri" w:cs="Calibri"/>
        </w:rPr>
        <w:t>Economic stability</w:t>
      </w:r>
      <w:r w:rsidRPr="0078049E">
        <w:rPr>
          <w:rStyle w:val="eop"/>
          <w:rFonts w:ascii="Calibri" w:hAnsi="Calibri" w:cs="Calibri"/>
        </w:rPr>
        <w:t> </w:t>
      </w:r>
    </w:p>
    <w:p w14:paraId="5A578D4A" w14:textId="77777777" w:rsidR="0078049E" w:rsidRPr="0078049E" w:rsidRDefault="0078049E" w:rsidP="00C9571B">
      <w:pPr>
        <w:pStyle w:val="paragraph"/>
        <w:numPr>
          <w:ilvl w:val="0"/>
          <w:numId w:val="12"/>
        </w:numPr>
        <w:spacing w:before="0" w:beforeAutospacing="0" w:after="0" w:afterAutospacing="0"/>
        <w:ind w:left="1080" w:firstLine="0"/>
        <w:textAlignment w:val="baseline"/>
        <w:rPr>
          <w:rFonts w:ascii="Calibri" w:hAnsi="Calibri" w:cs="Calibri"/>
        </w:rPr>
      </w:pPr>
      <w:r w:rsidRPr="0078049E">
        <w:rPr>
          <w:rStyle w:val="normaltextrun"/>
          <w:rFonts w:ascii="Calibri" w:hAnsi="Calibri" w:cs="Calibri"/>
        </w:rPr>
        <w:t>Education</w:t>
      </w:r>
      <w:r w:rsidRPr="0078049E">
        <w:rPr>
          <w:rStyle w:val="eop"/>
          <w:rFonts w:ascii="Calibri" w:hAnsi="Calibri" w:cs="Calibri"/>
        </w:rPr>
        <w:t> </w:t>
      </w:r>
    </w:p>
    <w:p w14:paraId="6BD42A52" w14:textId="77777777" w:rsidR="0078049E" w:rsidRPr="0078049E" w:rsidRDefault="0078049E" w:rsidP="00C9571B">
      <w:pPr>
        <w:pStyle w:val="paragraph"/>
        <w:numPr>
          <w:ilvl w:val="0"/>
          <w:numId w:val="13"/>
        </w:numPr>
        <w:spacing w:before="0" w:beforeAutospacing="0" w:after="0" w:afterAutospacing="0"/>
        <w:ind w:left="1080" w:firstLine="0"/>
        <w:textAlignment w:val="baseline"/>
        <w:rPr>
          <w:rFonts w:ascii="Calibri" w:hAnsi="Calibri" w:cs="Calibri"/>
        </w:rPr>
      </w:pPr>
      <w:r w:rsidRPr="0078049E">
        <w:rPr>
          <w:rStyle w:val="normaltextrun"/>
          <w:rFonts w:ascii="Calibri" w:hAnsi="Calibri" w:cs="Calibri"/>
        </w:rPr>
        <w:t>Food security infrastructure</w:t>
      </w:r>
      <w:r w:rsidRPr="0078049E">
        <w:rPr>
          <w:rStyle w:val="eop"/>
          <w:rFonts w:ascii="Calibri" w:hAnsi="Calibri" w:cs="Calibri"/>
        </w:rPr>
        <w:t> </w:t>
      </w:r>
    </w:p>
    <w:p w14:paraId="45686ED8" w14:textId="77777777" w:rsidR="0078049E" w:rsidRPr="0078049E" w:rsidRDefault="0078049E" w:rsidP="00C9571B">
      <w:pPr>
        <w:pStyle w:val="paragraph"/>
        <w:numPr>
          <w:ilvl w:val="0"/>
          <w:numId w:val="14"/>
        </w:numPr>
        <w:spacing w:before="0" w:beforeAutospacing="0" w:after="0" w:afterAutospacing="0"/>
        <w:ind w:left="1080" w:firstLine="0"/>
        <w:textAlignment w:val="baseline"/>
        <w:rPr>
          <w:rFonts w:ascii="Calibri" w:hAnsi="Calibri" w:cs="Calibri"/>
        </w:rPr>
      </w:pPr>
      <w:r w:rsidRPr="0078049E">
        <w:rPr>
          <w:rStyle w:val="normaltextrun"/>
          <w:rFonts w:ascii="Calibri" w:hAnsi="Calibri" w:cs="Calibri"/>
        </w:rPr>
        <w:t>Neighborhood and built environment—housing and transportation</w:t>
      </w:r>
      <w:r w:rsidRPr="0078049E">
        <w:rPr>
          <w:rStyle w:val="eop"/>
          <w:rFonts w:ascii="Calibri" w:hAnsi="Calibri" w:cs="Calibri"/>
        </w:rPr>
        <w:t> </w:t>
      </w:r>
    </w:p>
    <w:p w14:paraId="52713367"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eop"/>
          <w:rFonts w:ascii="Calibri" w:hAnsi="Calibri" w:cs="Calibri"/>
        </w:rPr>
        <w:t> </w:t>
      </w:r>
    </w:p>
    <w:p w14:paraId="5BCDD593" w14:textId="77777777" w:rsidR="0078049E" w:rsidRPr="0078049E" w:rsidRDefault="0078049E" w:rsidP="0078049E">
      <w:pPr>
        <w:pStyle w:val="paragraph"/>
        <w:spacing w:before="0" w:beforeAutospacing="0" w:after="0" w:afterAutospacing="0"/>
        <w:ind w:right="540"/>
        <w:textAlignment w:val="baseline"/>
        <w:rPr>
          <w:rFonts w:ascii="Segoe UI" w:hAnsi="Segoe UI" w:cs="Segoe UI"/>
        </w:rPr>
      </w:pPr>
      <w:r w:rsidRPr="0078049E">
        <w:rPr>
          <w:rStyle w:val="normaltextrun"/>
          <w:rFonts w:ascii="Calibri" w:hAnsi="Calibri" w:cs="Calibri"/>
          <w:color w:val="000000"/>
        </w:rPr>
        <w:t>Using the 2025 CHNA findings, the Applicant will work with the community partners who make up their CBAC to select CHI health priorities and strategies that allow for implementation and intervention at the </w:t>
      </w:r>
      <w:proofErr w:type="spellStart"/>
      <w:r w:rsidRPr="0078049E">
        <w:rPr>
          <w:rStyle w:val="normaltextrun"/>
          <w:rFonts w:ascii="Calibri" w:hAnsi="Calibri" w:cs="Calibri"/>
          <w:color w:val="000000"/>
        </w:rPr>
        <w:t>SDoH</w:t>
      </w:r>
      <w:proofErr w:type="spellEnd"/>
      <w:r w:rsidRPr="0078049E">
        <w:rPr>
          <w:rStyle w:val="normaltextrun"/>
          <w:rFonts w:ascii="Calibri" w:hAnsi="Calibri" w:cs="Calibri"/>
          <w:color w:val="000000"/>
        </w:rPr>
        <w:t> and root cause level.  </w:t>
      </w:r>
      <w:r w:rsidRPr="0078049E">
        <w:rPr>
          <w:rStyle w:val="eop"/>
          <w:rFonts w:ascii="Calibri" w:hAnsi="Calibri" w:cs="Calibri"/>
          <w:color w:val="000000"/>
        </w:rPr>
        <w:t> </w:t>
      </w:r>
    </w:p>
    <w:p w14:paraId="02875C78"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eop"/>
          <w:rFonts w:ascii="Calibri" w:hAnsi="Calibri" w:cs="Calibri"/>
          <w:color w:val="000000"/>
        </w:rPr>
        <w:t> </w:t>
      </w:r>
    </w:p>
    <w:p w14:paraId="1DF328EF"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normaltextrun"/>
          <w:rFonts w:ascii="Calibri" w:hAnsi="Calibri" w:cs="Calibri"/>
          <w:b/>
          <w:bCs/>
          <w:color w:val="000000"/>
        </w:rPr>
        <w:t>The Self-Assessment </w:t>
      </w:r>
      <w:r w:rsidRPr="0078049E">
        <w:rPr>
          <w:rStyle w:val="normaltextrun"/>
          <w:rFonts w:ascii="Calibri" w:hAnsi="Calibri" w:cs="Calibri"/>
          <w:color w:val="000000"/>
        </w:rPr>
        <w:t xml:space="preserve">provided a summary of community engagement processes and socio-demographic information, data and highlights related to topics and themes of community needs related to </w:t>
      </w:r>
      <w:proofErr w:type="gramStart"/>
      <w:r w:rsidRPr="0078049E">
        <w:rPr>
          <w:rStyle w:val="normaltextrun"/>
          <w:rFonts w:ascii="Calibri" w:hAnsi="Calibri" w:cs="Calibri"/>
          <w:color w:val="000000"/>
        </w:rPr>
        <w:t>the Winchester</w:t>
      </w:r>
      <w:proofErr w:type="gramEnd"/>
      <w:r w:rsidRPr="0078049E">
        <w:rPr>
          <w:rStyle w:val="normaltextrun"/>
          <w:rFonts w:ascii="Calibri" w:hAnsi="Calibri" w:cs="Calibri"/>
          <w:color w:val="000000"/>
        </w:rPr>
        <w:t xml:space="preserve"> Hospital's CHNA. Through primary data collection and secondary data analysis, the Applicant and participating community partners identified the key needs outlined in </w:t>
      </w:r>
      <w:proofErr w:type="gramStart"/>
      <w:r w:rsidRPr="0078049E">
        <w:rPr>
          <w:rStyle w:val="normaltextrun"/>
          <w:rFonts w:ascii="Calibri" w:hAnsi="Calibri" w:cs="Calibri"/>
          <w:color w:val="000000"/>
        </w:rPr>
        <w:t>the CHNA</w:t>
      </w:r>
      <w:proofErr w:type="gramEnd"/>
      <w:r w:rsidRPr="0078049E">
        <w:rPr>
          <w:rStyle w:val="normaltextrun"/>
          <w:rFonts w:ascii="Calibri" w:hAnsi="Calibri" w:cs="Calibri"/>
          <w:color w:val="000000"/>
        </w:rPr>
        <w:t>.</w:t>
      </w:r>
      <w:r w:rsidRPr="0078049E">
        <w:rPr>
          <w:rStyle w:val="eop"/>
          <w:rFonts w:ascii="Calibri" w:hAnsi="Calibri" w:cs="Calibri"/>
          <w:color w:val="000000"/>
        </w:rPr>
        <w:t> </w:t>
      </w:r>
    </w:p>
    <w:p w14:paraId="14761B4A"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eop"/>
          <w:rFonts w:ascii="Calibri" w:hAnsi="Calibri" w:cs="Calibri"/>
          <w:color w:val="000000"/>
        </w:rPr>
        <w:t> </w:t>
      </w:r>
    </w:p>
    <w:p w14:paraId="1201B4C9"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normaltextrun"/>
          <w:rFonts w:ascii="Calibri" w:hAnsi="Calibri" w:cs="Calibri"/>
          <w:b/>
          <w:bCs/>
          <w:color w:val="000000"/>
        </w:rPr>
        <w:t>Partner Assessments</w:t>
      </w:r>
      <w:r w:rsidRPr="0078049E">
        <w:rPr>
          <w:rStyle w:val="normaltextrun"/>
          <w:rFonts w:ascii="Calibri" w:hAnsi="Calibri" w:cs="Calibri"/>
          <w:color w:val="000000"/>
        </w:rPr>
        <w:t xml:space="preserve"> submitted provided information on the individuals’ engagement levels (e.g., their personal participation and role) and their analysis of how the Applicant engaged the </w:t>
      </w:r>
      <w:r w:rsidRPr="0078049E">
        <w:rPr>
          <w:rStyle w:val="normaltextrun"/>
          <w:rFonts w:ascii="Calibri" w:hAnsi="Calibri" w:cs="Calibri"/>
          <w:color w:val="000000"/>
        </w:rPr>
        <w:lastRenderedPageBreak/>
        <w:t xml:space="preserve">community in community health improvement planning processes. The information provided in these forms </w:t>
      </w:r>
      <w:proofErr w:type="gramStart"/>
      <w:r w:rsidRPr="0078049E">
        <w:rPr>
          <w:rStyle w:val="normaltextrun"/>
          <w:rFonts w:ascii="Calibri" w:hAnsi="Calibri" w:cs="Calibri"/>
          <w:color w:val="000000"/>
        </w:rPr>
        <w:t>were</w:t>
      </w:r>
      <w:proofErr w:type="gramEnd"/>
      <w:r w:rsidRPr="0078049E">
        <w:rPr>
          <w:rStyle w:val="normaltextrun"/>
          <w:rFonts w:ascii="Calibri" w:hAnsi="Calibri" w:cs="Calibri"/>
          <w:color w:val="000000"/>
        </w:rPr>
        <w:t> largely consistent with the self-assessment conducted by the Applicant.</w:t>
      </w:r>
      <w:r w:rsidRPr="0078049E">
        <w:rPr>
          <w:rStyle w:val="eop"/>
          <w:rFonts w:ascii="Calibri" w:hAnsi="Calibri" w:cs="Calibri"/>
          <w:color w:val="000000"/>
        </w:rPr>
        <w:t> </w:t>
      </w:r>
    </w:p>
    <w:p w14:paraId="668140C2"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eop"/>
          <w:rFonts w:ascii="Calibri" w:hAnsi="Calibri" w:cs="Calibri"/>
          <w:color w:val="FF0000"/>
        </w:rPr>
        <w:t> </w:t>
      </w:r>
    </w:p>
    <w:p w14:paraId="079E4618" w14:textId="77777777" w:rsidR="0078049E" w:rsidRDefault="0078049E" w:rsidP="0078049E">
      <w:pPr>
        <w:pStyle w:val="paragraph"/>
        <w:spacing w:before="0" w:beforeAutospacing="0" w:after="0" w:afterAutospacing="0"/>
        <w:textAlignment w:val="baseline"/>
        <w:rPr>
          <w:rStyle w:val="eop"/>
          <w:rFonts w:ascii="Calibri" w:hAnsi="Calibri" w:cs="Calibri"/>
        </w:rPr>
      </w:pPr>
      <w:r w:rsidRPr="0078049E">
        <w:rPr>
          <w:rStyle w:val="normaltextrun"/>
          <w:rFonts w:ascii="Calibri" w:hAnsi="Calibri" w:cs="Calibri"/>
          <w:b/>
          <w:bCs/>
        </w:rPr>
        <w:t>The CHI Narrative</w:t>
      </w:r>
      <w:r w:rsidRPr="0078049E">
        <w:rPr>
          <w:rStyle w:val="normaltextrun"/>
          <w:rFonts w:ascii="Calibri" w:hAnsi="Calibri" w:cs="Calibri"/>
        </w:rPr>
        <w:t> provided background information for the CHI processes related to funding breakdown, advisory committee duties, timeline for CHI activities and administrative monies and evaluation plans. Administrative dollars will be used to support the promotion of meetings, interpretation/translation, community engagement efforts, stipends for community resident participation and additional staff time. WH will use 10% of the local CHI funding ($8,262.31) for evaluation efforts to develop metrics and complete evaluation of CHI-funded project(s). The proposed timeline, use of administrative funds and evaluation activities align with CHI planning guidelines.</w:t>
      </w:r>
      <w:r w:rsidRPr="0078049E">
        <w:rPr>
          <w:rStyle w:val="eop"/>
          <w:rFonts w:ascii="Calibri" w:hAnsi="Calibri" w:cs="Calibri"/>
        </w:rPr>
        <w:t> </w:t>
      </w:r>
    </w:p>
    <w:p w14:paraId="05C5B235" w14:textId="77777777" w:rsidR="00996A2F" w:rsidRPr="0078049E" w:rsidRDefault="00996A2F" w:rsidP="0078049E">
      <w:pPr>
        <w:pStyle w:val="paragraph"/>
        <w:spacing w:before="0" w:beforeAutospacing="0" w:after="0" w:afterAutospacing="0"/>
        <w:textAlignment w:val="baseline"/>
        <w:rPr>
          <w:rFonts w:ascii="Segoe UI" w:hAnsi="Segoe UI" w:cs="Segoe UI"/>
        </w:rPr>
      </w:pPr>
    </w:p>
    <w:p w14:paraId="6F26D92D" w14:textId="2AC95CAB" w:rsidR="008C7D4B" w:rsidRPr="003436F0" w:rsidRDefault="0078049E" w:rsidP="00901757">
      <w:pPr>
        <w:pStyle w:val="paragraph"/>
        <w:spacing w:before="0" w:beforeAutospacing="0" w:after="0" w:afterAutospacing="0"/>
        <w:textAlignment w:val="baseline"/>
        <w:rPr>
          <w:rFonts w:asciiTheme="minorHAnsi" w:hAnsiTheme="minorHAnsi"/>
          <w:b/>
          <w:bCs/>
          <w:i/>
          <w:iCs/>
        </w:rPr>
      </w:pPr>
      <w:r w:rsidRPr="0078049E">
        <w:rPr>
          <w:rStyle w:val="eop"/>
          <w:rFonts w:ascii="Calibri" w:hAnsi="Calibri" w:cs="Calibri"/>
          <w:color w:val="FF0000"/>
        </w:rPr>
        <w:t> </w:t>
      </w:r>
      <w:r w:rsidR="008C7D4B" w:rsidRPr="003436F0">
        <w:rPr>
          <w:rFonts w:asciiTheme="minorHAnsi" w:hAnsiTheme="minorHAnsi"/>
          <w:b/>
          <w:bCs/>
          <w:i/>
          <w:iCs/>
        </w:rPr>
        <w:t xml:space="preserve">Analysis </w:t>
      </w:r>
    </w:p>
    <w:p w14:paraId="6BCA6FDB" w14:textId="2095002D"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normaltextrun"/>
          <w:rFonts w:ascii="Calibri" w:hAnsi="Calibri" w:cs="Calibri"/>
        </w:rPr>
        <w:t xml:space="preserve">As a result of the information provided by the Applicant and additional analysis, staff </w:t>
      </w:r>
      <w:proofErr w:type="gramStart"/>
      <w:r w:rsidRPr="0078049E">
        <w:rPr>
          <w:rStyle w:val="normaltextrun"/>
          <w:rFonts w:ascii="Calibri" w:hAnsi="Calibri" w:cs="Calibri"/>
        </w:rPr>
        <w:t>finds</w:t>
      </w:r>
      <w:proofErr w:type="gramEnd"/>
      <w:r w:rsidRPr="0078049E">
        <w:rPr>
          <w:rStyle w:val="normaltextrun"/>
          <w:rFonts w:ascii="Calibri" w:hAnsi="Calibri" w:cs="Calibri"/>
        </w:rPr>
        <w:t xml:space="preserve"> that with the conditions outlined below, and ongoing communication on items outlined above, the Applicant </w:t>
      </w:r>
      <w:r w:rsidR="008C7D4B">
        <w:rPr>
          <w:rStyle w:val="normaltextrun"/>
          <w:rFonts w:ascii="Calibri" w:hAnsi="Calibri" w:cs="Calibri"/>
        </w:rPr>
        <w:t>has</w:t>
      </w:r>
      <w:r w:rsidRPr="0078049E">
        <w:rPr>
          <w:rStyle w:val="normaltextrun"/>
          <w:rFonts w:ascii="Calibri" w:hAnsi="Calibri" w:cs="Calibri"/>
        </w:rPr>
        <w:t> demonstrated that the Proposed Project has met Factor 6.  </w:t>
      </w:r>
    </w:p>
    <w:p w14:paraId="620B996B" w14:textId="77777777" w:rsidR="00E91FCD" w:rsidRDefault="00E91FCD" w:rsidP="00C316C3"/>
    <w:p w14:paraId="5DD29CEB" w14:textId="7E1D779B" w:rsidR="00B447F3" w:rsidRPr="008917DC" w:rsidRDefault="00A4110F" w:rsidP="00B50A1D">
      <w:pPr>
        <w:pStyle w:val="Heading2"/>
      </w:pPr>
      <w:bookmarkStart w:id="28" w:name="_Toc226541463"/>
      <w:r w:rsidRPr="008917DC">
        <w:t>Findings and Recommendations</w:t>
      </w:r>
      <w:bookmarkEnd w:id="28"/>
    </w:p>
    <w:p w14:paraId="427942CC" w14:textId="4C72666E" w:rsidR="00A57CB7" w:rsidRDefault="00A4110F" w:rsidP="6ACB936F">
      <w:pPr>
        <w:pStyle w:val="BodyText"/>
        <w:ind w:right="226"/>
        <w:rPr>
          <w:rFonts w:asciiTheme="minorHAnsi" w:hAnsiTheme="minorHAnsi"/>
        </w:rPr>
      </w:pPr>
      <w:r w:rsidRPr="6ACB936F">
        <w:rPr>
          <w:rFonts w:asciiTheme="minorHAnsi" w:hAnsiTheme="minorHAnsi"/>
        </w:rPr>
        <w:t xml:space="preserve">Based upon a review of the materials submitted, Staff finds that, with the addition of the recommended Conditions detailed below, the Applicant has met each </w:t>
      </w:r>
      <w:proofErr w:type="spellStart"/>
      <w:r w:rsidRPr="6ACB936F">
        <w:rPr>
          <w:rFonts w:asciiTheme="minorHAnsi" w:hAnsiTheme="minorHAnsi"/>
        </w:rPr>
        <w:t>DoN</w:t>
      </w:r>
      <w:proofErr w:type="spellEnd"/>
      <w:r w:rsidRPr="6ACB936F">
        <w:rPr>
          <w:rFonts w:asciiTheme="minorHAnsi" w:hAnsiTheme="minorHAnsi"/>
        </w:rPr>
        <w:t xml:space="preserve"> Factor for the Proposed </w:t>
      </w:r>
      <w:r w:rsidR="3A1D917F" w:rsidRPr="6ACB936F">
        <w:rPr>
          <w:rFonts w:asciiTheme="minorHAnsi" w:hAnsiTheme="minorHAnsi"/>
        </w:rPr>
        <w:t>Project and</w:t>
      </w:r>
      <w:r w:rsidRPr="6ACB936F">
        <w:rPr>
          <w:rFonts w:asciiTheme="minorHAnsi" w:hAnsiTheme="minorHAnsi"/>
        </w:rPr>
        <w:t xml:space="preserve"> recommends that the Department approve this Determination of Need, subject to all applicable Standard and Other Conditions.</w:t>
      </w:r>
    </w:p>
    <w:p w14:paraId="4566F99C" w14:textId="1D55B710" w:rsidR="00393626" w:rsidRDefault="00657122" w:rsidP="00255FC7">
      <w:pPr>
        <w:pStyle w:val="BodyText"/>
        <w:tabs>
          <w:tab w:val="left" w:pos="3000"/>
        </w:tabs>
        <w:ind w:right="226"/>
        <w:rPr>
          <w:rFonts w:asciiTheme="minorHAnsi" w:hAnsiTheme="minorHAnsi"/>
        </w:rPr>
      </w:pPr>
      <w:r>
        <w:rPr>
          <w:rFonts w:asciiTheme="minorHAnsi" w:hAnsiTheme="minorHAnsi"/>
        </w:rPr>
        <w:tab/>
      </w:r>
    </w:p>
    <w:p w14:paraId="0CD23462" w14:textId="23A9888E" w:rsidR="00B447F3" w:rsidRPr="00BF381D" w:rsidRDefault="00A4110F" w:rsidP="00B50A1D">
      <w:pPr>
        <w:pStyle w:val="Heading2"/>
      </w:pPr>
      <w:bookmarkStart w:id="29" w:name="Other_Conditions"/>
      <w:bookmarkStart w:id="30" w:name="_Toc226541464"/>
      <w:bookmarkEnd w:id="29"/>
      <w:r w:rsidRPr="2A027EB2">
        <w:t>Other Conditions</w:t>
      </w:r>
      <w:bookmarkEnd w:id="30"/>
    </w:p>
    <w:p w14:paraId="1267DFAD" w14:textId="134F08F4" w:rsidR="002D4546" w:rsidRDefault="002D4546">
      <w:pPr>
        <w:rPr>
          <w:rFonts w:asciiTheme="minorHAnsi" w:hAnsiTheme="minorHAnsi"/>
        </w:rPr>
      </w:pPr>
    </w:p>
    <w:p w14:paraId="3DE75A36" w14:textId="13213909" w:rsidR="006B3077" w:rsidRPr="001E699F" w:rsidRDefault="001E699F" w:rsidP="00C9571B">
      <w:pPr>
        <w:pStyle w:val="paragraph"/>
        <w:numPr>
          <w:ilvl w:val="0"/>
          <w:numId w:val="15"/>
        </w:numPr>
        <w:spacing w:before="0" w:beforeAutospacing="0" w:after="0" w:afterAutospacing="0"/>
        <w:ind w:left="1080" w:firstLine="0"/>
        <w:textAlignment w:val="baseline"/>
        <w:rPr>
          <w:rStyle w:val="normaltextrun"/>
          <w:rFonts w:ascii="Calibri" w:hAnsi="Calibri" w:cs="Calibri"/>
          <w:b/>
          <w:bCs/>
        </w:rPr>
      </w:pPr>
      <w:r w:rsidRPr="001E699F">
        <w:rPr>
          <w:rStyle w:val="normaltextrun"/>
          <w:rFonts w:ascii="Calibri" w:hAnsi="Calibri" w:cs="Calibri"/>
          <w:b/>
          <w:bCs/>
        </w:rPr>
        <w:t>Factor 6 CHI Contribution</w:t>
      </w:r>
    </w:p>
    <w:p w14:paraId="3060BA82" w14:textId="606A06EB" w:rsidR="0078049E" w:rsidRPr="0078049E" w:rsidRDefault="0078049E" w:rsidP="00C9571B">
      <w:pPr>
        <w:pStyle w:val="paragraph"/>
        <w:numPr>
          <w:ilvl w:val="0"/>
          <w:numId w:val="16"/>
        </w:numPr>
        <w:spacing w:before="0" w:beforeAutospacing="0" w:after="0" w:afterAutospacing="0"/>
        <w:textAlignment w:val="baseline"/>
        <w:rPr>
          <w:rFonts w:ascii="Calibri" w:hAnsi="Calibri" w:cs="Calibri"/>
        </w:rPr>
      </w:pPr>
      <w:r w:rsidRPr="0078049E">
        <w:rPr>
          <w:rStyle w:val="normaltextrun"/>
          <w:rFonts w:ascii="Calibri" w:hAnsi="Calibri" w:cs="Calibri"/>
        </w:rPr>
        <w:t>Of the total required CHI contribution of $95,628.65</w:t>
      </w:r>
      <w:r w:rsidRPr="0078049E">
        <w:rPr>
          <w:rStyle w:val="eop"/>
          <w:rFonts w:ascii="Calibri" w:hAnsi="Calibri" w:cs="Calibri"/>
        </w:rPr>
        <w:t> </w:t>
      </w:r>
    </w:p>
    <w:p w14:paraId="09DFD191" w14:textId="070AE294" w:rsidR="0078049E" w:rsidRPr="0078049E" w:rsidRDefault="0078049E" w:rsidP="00C9571B">
      <w:pPr>
        <w:pStyle w:val="paragraph"/>
        <w:numPr>
          <w:ilvl w:val="3"/>
          <w:numId w:val="15"/>
        </w:numPr>
        <w:spacing w:before="0" w:beforeAutospacing="0" w:after="0" w:afterAutospacing="0"/>
        <w:textAlignment w:val="baseline"/>
        <w:rPr>
          <w:rFonts w:ascii="Calibri" w:hAnsi="Calibri" w:cs="Calibri"/>
        </w:rPr>
      </w:pPr>
      <w:r w:rsidRPr="0078049E">
        <w:rPr>
          <w:rStyle w:val="normaltextrun"/>
          <w:rFonts w:ascii="Calibri" w:hAnsi="Calibri" w:cs="Calibri"/>
        </w:rPr>
        <w:t>$9,180.35 will be directed to the CHI Statewide Initiative.</w:t>
      </w:r>
      <w:r w:rsidRPr="0078049E">
        <w:rPr>
          <w:rStyle w:val="eop"/>
          <w:rFonts w:ascii="Calibri" w:hAnsi="Calibri" w:cs="Calibri"/>
        </w:rPr>
        <w:t> </w:t>
      </w:r>
    </w:p>
    <w:p w14:paraId="6A774DF6" w14:textId="41F9483A" w:rsidR="0078049E" w:rsidRPr="0078049E" w:rsidRDefault="0078049E" w:rsidP="00C9571B">
      <w:pPr>
        <w:pStyle w:val="paragraph"/>
        <w:numPr>
          <w:ilvl w:val="3"/>
          <w:numId w:val="15"/>
        </w:numPr>
        <w:spacing w:before="0" w:beforeAutospacing="0" w:after="0" w:afterAutospacing="0"/>
        <w:textAlignment w:val="baseline"/>
        <w:rPr>
          <w:rFonts w:ascii="Calibri" w:hAnsi="Calibri" w:cs="Calibri"/>
        </w:rPr>
      </w:pPr>
      <w:r w:rsidRPr="0078049E">
        <w:rPr>
          <w:rStyle w:val="normaltextrun"/>
          <w:rFonts w:ascii="Calibri" w:hAnsi="Calibri" w:cs="Calibri"/>
        </w:rPr>
        <w:t>$82,623.15 will be dedicated to local approaches to the </w:t>
      </w:r>
      <w:proofErr w:type="spellStart"/>
      <w:r w:rsidRPr="0078049E">
        <w:rPr>
          <w:rStyle w:val="normaltextrun"/>
          <w:rFonts w:ascii="Calibri" w:hAnsi="Calibri" w:cs="Calibri"/>
        </w:rPr>
        <w:t>DoN</w:t>
      </w:r>
      <w:proofErr w:type="spellEnd"/>
      <w:r w:rsidRPr="0078049E">
        <w:rPr>
          <w:rStyle w:val="normaltextrun"/>
          <w:rFonts w:ascii="Calibri" w:hAnsi="Calibri" w:cs="Calibri"/>
        </w:rPr>
        <w:t> Health Priorities.  </w:t>
      </w:r>
      <w:r w:rsidRPr="0078049E">
        <w:rPr>
          <w:rStyle w:val="eop"/>
          <w:rFonts w:ascii="Calibri" w:hAnsi="Calibri" w:cs="Calibri"/>
        </w:rPr>
        <w:t> </w:t>
      </w:r>
    </w:p>
    <w:p w14:paraId="7DF6CF99" w14:textId="089EE386" w:rsidR="0078049E" w:rsidRPr="0078049E" w:rsidRDefault="0078049E" w:rsidP="00C9571B">
      <w:pPr>
        <w:pStyle w:val="paragraph"/>
        <w:numPr>
          <w:ilvl w:val="3"/>
          <w:numId w:val="15"/>
        </w:numPr>
        <w:spacing w:before="0" w:beforeAutospacing="0" w:after="0" w:afterAutospacing="0"/>
        <w:textAlignment w:val="baseline"/>
        <w:rPr>
          <w:rFonts w:ascii="Calibri" w:hAnsi="Calibri" w:cs="Calibri"/>
        </w:rPr>
      </w:pPr>
      <w:r w:rsidRPr="0078049E">
        <w:rPr>
          <w:rStyle w:val="normaltextrun"/>
          <w:rFonts w:ascii="Calibri" w:hAnsi="Calibri" w:cs="Calibri"/>
        </w:rPr>
        <w:t>$3,825.15 will be designated as the administrative fee. </w:t>
      </w:r>
      <w:r w:rsidRPr="0078049E">
        <w:rPr>
          <w:rStyle w:val="eop"/>
          <w:rFonts w:ascii="Calibri" w:hAnsi="Calibri" w:cs="Calibri"/>
        </w:rPr>
        <w:t> </w:t>
      </w:r>
    </w:p>
    <w:p w14:paraId="00871CBE"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eop"/>
          <w:rFonts w:ascii="Calibri" w:hAnsi="Calibri" w:cs="Calibri"/>
          <w:color w:val="000000"/>
        </w:rPr>
        <w:t> </w:t>
      </w:r>
    </w:p>
    <w:p w14:paraId="2724CFAA" w14:textId="77777777" w:rsidR="00DD79C7" w:rsidRDefault="0078049E" w:rsidP="00C9571B">
      <w:pPr>
        <w:pStyle w:val="paragraph"/>
        <w:numPr>
          <w:ilvl w:val="0"/>
          <w:numId w:val="16"/>
        </w:numPr>
        <w:spacing w:before="0" w:beforeAutospacing="0" w:after="0" w:afterAutospacing="0"/>
        <w:textAlignment w:val="baseline"/>
        <w:rPr>
          <w:rFonts w:ascii="Calibri" w:hAnsi="Calibri" w:cs="Calibri"/>
        </w:rPr>
      </w:pPr>
      <w:r w:rsidRPr="0078049E">
        <w:rPr>
          <w:rStyle w:val="normaltextrun"/>
          <w:rFonts w:ascii="Calibri" w:hAnsi="Calibri" w:cs="Calibri"/>
          <w:color w:val="000000"/>
        </w:rPr>
        <w:t>To comply with </w:t>
      </w:r>
      <w:proofErr w:type="gramStart"/>
      <w:r w:rsidRPr="0078049E">
        <w:rPr>
          <w:rStyle w:val="normaltextrun"/>
          <w:rFonts w:ascii="Calibri" w:hAnsi="Calibri" w:cs="Calibri"/>
          <w:color w:val="000000"/>
        </w:rPr>
        <w:t>the Holder’s</w:t>
      </w:r>
      <w:proofErr w:type="gramEnd"/>
      <w:r w:rsidRPr="0078049E">
        <w:rPr>
          <w:rStyle w:val="normaltextrun"/>
          <w:rFonts w:ascii="Calibri" w:hAnsi="Calibri" w:cs="Calibri"/>
          <w:color w:val="000000"/>
        </w:rPr>
        <w:t xml:space="preserve"> obligation to contribute to the CHI Statewide Initiative, the Holder must submit a check for $</w:t>
      </w:r>
      <w:r w:rsidRPr="0078049E">
        <w:rPr>
          <w:rStyle w:val="normaltextrun"/>
          <w:rFonts w:ascii="Calibri" w:hAnsi="Calibri" w:cs="Calibri"/>
        </w:rPr>
        <w:t>9,180.35</w:t>
      </w:r>
      <w:r w:rsidRPr="0078049E">
        <w:rPr>
          <w:rStyle w:val="normaltextrun"/>
          <w:rFonts w:ascii="Calibri" w:hAnsi="Calibri" w:cs="Calibri"/>
          <w:color w:val="000000"/>
        </w:rPr>
        <w:t> to Health Resources in Action (the fiscal agent for the CHI Statewide Initiative) </w:t>
      </w:r>
      <w:r w:rsidRPr="0078049E">
        <w:rPr>
          <w:rStyle w:val="normaltextrun"/>
          <w:rFonts w:ascii="Calibri" w:hAnsi="Calibri" w:cs="Calibri"/>
          <w:b/>
          <w:bCs/>
          <w:color w:val="000000"/>
        </w:rPr>
        <w:t>within 30 days</w:t>
      </w:r>
      <w:r w:rsidRPr="0078049E">
        <w:rPr>
          <w:rStyle w:val="normaltextrun"/>
          <w:rFonts w:ascii="Calibri" w:hAnsi="Calibri" w:cs="Calibri"/>
          <w:color w:val="000000"/>
        </w:rPr>
        <w:t> from the date of the Notice of Approval.  </w:t>
      </w:r>
      <w:r w:rsidRPr="0078049E">
        <w:rPr>
          <w:rStyle w:val="eop"/>
          <w:rFonts w:ascii="Calibri" w:hAnsi="Calibri" w:cs="Calibri"/>
          <w:color w:val="000000"/>
        </w:rPr>
        <w:t> </w:t>
      </w:r>
    </w:p>
    <w:p w14:paraId="23413978" w14:textId="1FAB6AA7" w:rsidR="0078049E" w:rsidRPr="00DD79C7" w:rsidRDefault="0078049E" w:rsidP="00C9571B">
      <w:pPr>
        <w:pStyle w:val="paragraph"/>
        <w:numPr>
          <w:ilvl w:val="1"/>
          <w:numId w:val="13"/>
        </w:numPr>
        <w:spacing w:before="0" w:beforeAutospacing="0" w:after="0" w:afterAutospacing="0"/>
        <w:ind w:left="3240"/>
        <w:textAlignment w:val="baseline"/>
        <w:rPr>
          <w:rFonts w:ascii="Calibri" w:hAnsi="Calibri" w:cs="Calibri"/>
        </w:rPr>
      </w:pPr>
      <w:r w:rsidRPr="00DD79C7">
        <w:rPr>
          <w:rStyle w:val="normaltextrun"/>
          <w:rFonts w:ascii="Calibri" w:hAnsi="Calibri" w:cs="Calibri"/>
          <w:color w:val="000000"/>
        </w:rPr>
        <w:t>Payments should be made out to:</w:t>
      </w:r>
      <w:r w:rsidRPr="00DD79C7">
        <w:rPr>
          <w:rStyle w:val="eop"/>
          <w:rFonts w:ascii="Calibri" w:hAnsi="Calibri" w:cs="Calibri"/>
          <w:color w:val="000000"/>
        </w:rPr>
        <w:t> </w:t>
      </w:r>
    </w:p>
    <w:p w14:paraId="184671EF" w14:textId="77777777" w:rsidR="0078049E" w:rsidRPr="0078049E" w:rsidRDefault="0078049E" w:rsidP="00DD79C7">
      <w:pPr>
        <w:pStyle w:val="paragraph"/>
        <w:spacing w:before="0" w:beforeAutospacing="0" w:after="0" w:afterAutospacing="0"/>
        <w:ind w:left="2520" w:firstLine="720"/>
        <w:textAlignment w:val="baseline"/>
        <w:rPr>
          <w:rFonts w:ascii="Segoe UI" w:hAnsi="Segoe UI" w:cs="Segoe UI"/>
        </w:rPr>
      </w:pPr>
      <w:r w:rsidRPr="0078049E">
        <w:rPr>
          <w:rStyle w:val="normaltextrun"/>
          <w:rFonts w:ascii="Calibri" w:hAnsi="Calibri" w:cs="Calibri"/>
          <w:color w:val="000000"/>
        </w:rPr>
        <w:t>Health Resources in Action, Inc. (</w:t>
      </w:r>
      <w:proofErr w:type="spellStart"/>
      <w:r w:rsidRPr="0078049E">
        <w:rPr>
          <w:rStyle w:val="normaltextrun"/>
          <w:rFonts w:ascii="Calibri" w:hAnsi="Calibri" w:cs="Calibri"/>
          <w:color w:val="000000"/>
        </w:rPr>
        <w:t>HRiA</w:t>
      </w:r>
      <w:proofErr w:type="spellEnd"/>
      <w:r w:rsidRPr="0078049E">
        <w:rPr>
          <w:rStyle w:val="normaltextrun"/>
          <w:rFonts w:ascii="Calibri" w:hAnsi="Calibri" w:cs="Calibri"/>
          <w:color w:val="000000"/>
        </w:rPr>
        <w:t>) </w:t>
      </w:r>
      <w:r w:rsidRPr="0078049E">
        <w:rPr>
          <w:rStyle w:val="eop"/>
          <w:rFonts w:ascii="Calibri" w:hAnsi="Calibri" w:cs="Calibri"/>
          <w:color w:val="000000"/>
        </w:rPr>
        <w:t> </w:t>
      </w:r>
    </w:p>
    <w:p w14:paraId="618DA049" w14:textId="77777777" w:rsidR="0078049E" w:rsidRPr="0078049E" w:rsidRDefault="0078049E" w:rsidP="00DD79C7">
      <w:pPr>
        <w:pStyle w:val="paragraph"/>
        <w:spacing w:before="0" w:beforeAutospacing="0" w:after="0" w:afterAutospacing="0"/>
        <w:ind w:left="2520" w:firstLine="720"/>
        <w:textAlignment w:val="baseline"/>
        <w:rPr>
          <w:rFonts w:ascii="Segoe UI" w:hAnsi="Segoe UI" w:cs="Segoe UI"/>
        </w:rPr>
      </w:pPr>
      <w:r w:rsidRPr="0078049E">
        <w:rPr>
          <w:rStyle w:val="normaltextrun"/>
          <w:rFonts w:ascii="Calibri" w:hAnsi="Calibri" w:cs="Calibri"/>
          <w:color w:val="000000"/>
        </w:rPr>
        <w:t>2 Boylston Street, 4th Floor </w:t>
      </w:r>
      <w:r w:rsidRPr="0078049E">
        <w:rPr>
          <w:rStyle w:val="eop"/>
          <w:rFonts w:ascii="Calibri" w:hAnsi="Calibri" w:cs="Calibri"/>
          <w:color w:val="000000"/>
        </w:rPr>
        <w:t> </w:t>
      </w:r>
    </w:p>
    <w:p w14:paraId="114AEEC8" w14:textId="77777777" w:rsidR="0078049E" w:rsidRPr="0078049E" w:rsidRDefault="0078049E" w:rsidP="00DD79C7">
      <w:pPr>
        <w:pStyle w:val="paragraph"/>
        <w:spacing w:before="0" w:beforeAutospacing="0" w:after="0" w:afterAutospacing="0"/>
        <w:ind w:left="2520" w:firstLine="720"/>
        <w:textAlignment w:val="baseline"/>
        <w:rPr>
          <w:rFonts w:ascii="Segoe UI" w:hAnsi="Segoe UI" w:cs="Segoe UI"/>
        </w:rPr>
      </w:pPr>
      <w:r w:rsidRPr="0078049E">
        <w:rPr>
          <w:rStyle w:val="normaltextrun"/>
          <w:rFonts w:ascii="Calibri" w:hAnsi="Calibri" w:cs="Calibri"/>
          <w:color w:val="000000"/>
        </w:rPr>
        <w:t>Boston, MA 02116 Attn: MACHHAF c/o Bora Toro </w:t>
      </w:r>
      <w:r w:rsidRPr="0078049E">
        <w:rPr>
          <w:rStyle w:val="eop"/>
          <w:rFonts w:ascii="Calibri" w:hAnsi="Calibri" w:cs="Calibri"/>
          <w:color w:val="000000"/>
        </w:rPr>
        <w:t> </w:t>
      </w:r>
    </w:p>
    <w:p w14:paraId="02B73578" w14:textId="77777777" w:rsidR="0078049E" w:rsidRPr="0078049E" w:rsidRDefault="0078049E" w:rsidP="00DD79C7">
      <w:pPr>
        <w:pStyle w:val="paragraph"/>
        <w:spacing w:before="0" w:beforeAutospacing="0" w:after="0" w:afterAutospacing="0"/>
        <w:ind w:left="2520" w:firstLine="720"/>
        <w:textAlignment w:val="baseline"/>
        <w:rPr>
          <w:rFonts w:ascii="Segoe UI" w:hAnsi="Segoe UI" w:cs="Segoe UI"/>
        </w:rPr>
      </w:pPr>
      <w:proofErr w:type="spellStart"/>
      <w:r w:rsidRPr="0078049E">
        <w:rPr>
          <w:rStyle w:val="normaltextrun"/>
          <w:rFonts w:ascii="Calibri" w:hAnsi="Calibri" w:cs="Calibri"/>
        </w:rPr>
        <w:t>DoN</w:t>
      </w:r>
      <w:proofErr w:type="spellEnd"/>
      <w:r w:rsidRPr="0078049E">
        <w:rPr>
          <w:rStyle w:val="normaltextrun"/>
          <w:rFonts w:ascii="Calibri" w:hAnsi="Calibri" w:cs="Calibri"/>
        </w:rPr>
        <w:t> project #: BILH-25102211-AS</w:t>
      </w:r>
      <w:r w:rsidRPr="0078049E">
        <w:rPr>
          <w:rStyle w:val="eop"/>
          <w:rFonts w:ascii="Calibri" w:hAnsi="Calibri" w:cs="Calibri"/>
        </w:rPr>
        <w:t> </w:t>
      </w:r>
    </w:p>
    <w:p w14:paraId="498AE2A8" w14:textId="77777777" w:rsidR="0078049E" w:rsidRPr="0078049E" w:rsidRDefault="0078049E" w:rsidP="0078049E">
      <w:pPr>
        <w:pStyle w:val="paragraph"/>
        <w:spacing w:before="0" w:beforeAutospacing="0" w:after="0" w:afterAutospacing="0"/>
        <w:ind w:left="2160"/>
        <w:textAlignment w:val="baseline"/>
        <w:rPr>
          <w:rFonts w:ascii="Segoe UI" w:hAnsi="Segoe UI" w:cs="Segoe UI"/>
        </w:rPr>
      </w:pPr>
      <w:r w:rsidRPr="0078049E">
        <w:rPr>
          <w:rStyle w:val="eop"/>
          <w:rFonts w:ascii="Calibri" w:hAnsi="Calibri" w:cs="Calibri"/>
          <w:color w:val="000000"/>
        </w:rPr>
        <w:t> </w:t>
      </w:r>
    </w:p>
    <w:p w14:paraId="70262B5C" w14:textId="77777777" w:rsidR="0078049E" w:rsidRPr="0078049E" w:rsidRDefault="0078049E" w:rsidP="006976FA">
      <w:pPr>
        <w:pStyle w:val="paragraph"/>
        <w:spacing w:before="0" w:beforeAutospacing="0" w:after="0" w:afterAutospacing="0"/>
        <w:ind w:left="3240"/>
        <w:textAlignment w:val="baseline"/>
        <w:rPr>
          <w:rFonts w:ascii="Calibri" w:hAnsi="Calibri" w:cs="Calibri"/>
        </w:rPr>
      </w:pPr>
      <w:r w:rsidRPr="0078049E">
        <w:rPr>
          <w:rStyle w:val="normaltextrun"/>
          <w:rFonts w:ascii="Calibri" w:hAnsi="Calibri" w:cs="Calibri"/>
          <w:color w:val="000000"/>
        </w:rPr>
        <w:t>Please send a PDF image of the check or</w:t>
      </w:r>
      <w:r w:rsidRPr="0078049E">
        <w:rPr>
          <w:rStyle w:val="normaltextrun"/>
          <w:rFonts w:ascii="Calibri" w:hAnsi="Calibri" w:cs="Calibri"/>
          <w:b/>
          <w:bCs/>
          <w:color w:val="000000"/>
        </w:rPr>
        <w:t> confirmation of payment</w:t>
      </w:r>
      <w:r w:rsidRPr="0078049E">
        <w:rPr>
          <w:rStyle w:val="normaltextrun"/>
          <w:rFonts w:ascii="Calibri" w:hAnsi="Calibri" w:cs="Calibri"/>
          <w:color w:val="000000"/>
        </w:rPr>
        <w:t> to </w:t>
      </w:r>
      <w:hyperlink r:id="rId17" w:tgtFrame="_blank" w:history="1">
        <w:r w:rsidRPr="0078049E">
          <w:rPr>
            <w:rStyle w:val="normaltextrun"/>
            <w:rFonts w:ascii="Calibri" w:hAnsi="Calibri" w:cs="Calibri"/>
            <w:color w:val="467886"/>
            <w:u w:val="single"/>
          </w:rPr>
          <w:t>DONCHI@Mass.gov</w:t>
        </w:r>
      </w:hyperlink>
      <w:r w:rsidRPr="0078049E">
        <w:rPr>
          <w:rStyle w:val="normaltextrun"/>
          <w:rFonts w:ascii="Calibri" w:hAnsi="Calibri" w:cs="Calibri"/>
          <w:color w:val="000000"/>
        </w:rPr>
        <w:t> and </w:t>
      </w:r>
      <w:hyperlink r:id="rId18" w:tgtFrame="_blank" w:history="1">
        <w:r w:rsidRPr="0078049E">
          <w:rPr>
            <w:rStyle w:val="normaltextrun"/>
            <w:rFonts w:ascii="Calibri" w:hAnsi="Calibri" w:cs="Calibri"/>
            <w:color w:val="467886"/>
            <w:u w:val="single"/>
            <w:lang w:val="fr-FR"/>
          </w:rPr>
          <w:t>dongrants@hria.org</w:t>
        </w:r>
      </w:hyperlink>
      <w:r w:rsidRPr="0078049E">
        <w:rPr>
          <w:rStyle w:val="eop"/>
          <w:rFonts w:ascii="Calibri" w:hAnsi="Calibri" w:cs="Calibri"/>
          <w:color w:val="000000"/>
        </w:rPr>
        <w:t> </w:t>
      </w:r>
    </w:p>
    <w:p w14:paraId="035A6196" w14:textId="77777777" w:rsidR="0078049E" w:rsidRPr="0078049E" w:rsidRDefault="0078049E" w:rsidP="0078049E">
      <w:pPr>
        <w:pStyle w:val="paragraph"/>
        <w:spacing w:before="0" w:beforeAutospacing="0" w:after="0" w:afterAutospacing="0"/>
        <w:textAlignment w:val="baseline"/>
        <w:rPr>
          <w:rFonts w:ascii="Segoe UI" w:hAnsi="Segoe UI" w:cs="Segoe UI"/>
        </w:rPr>
      </w:pPr>
      <w:r w:rsidRPr="0078049E">
        <w:rPr>
          <w:rStyle w:val="eop"/>
          <w:rFonts w:ascii="Calibri" w:hAnsi="Calibri" w:cs="Calibri"/>
          <w:color w:val="000000"/>
        </w:rPr>
        <w:lastRenderedPageBreak/>
        <w:t> </w:t>
      </w:r>
    </w:p>
    <w:p w14:paraId="3D5E6007" w14:textId="77777777" w:rsidR="0078049E" w:rsidRPr="0078049E" w:rsidRDefault="0078049E" w:rsidP="006976FA">
      <w:pPr>
        <w:pStyle w:val="paragraph"/>
        <w:spacing w:before="0" w:beforeAutospacing="0" w:after="0" w:afterAutospacing="0"/>
        <w:ind w:left="3240"/>
        <w:textAlignment w:val="baseline"/>
        <w:rPr>
          <w:rFonts w:ascii="Calibri" w:hAnsi="Calibri" w:cs="Calibri"/>
        </w:rPr>
      </w:pPr>
      <w:r w:rsidRPr="0078049E">
        <w:rPr>
          <w:rStyle w:val="normaltextrun"/>
          <w:rFonts w:ascii="Calibri" w:hAnsi="Calibri" w:cs="Calibri"/>
          <w:color w:val="000000"/>
        </w:rPr>
        <w:t>If you should have any questions or concerns regarding the payment, please contact the CHI team at </w:t>
      </w:r>
      <w:hyperlink r:id="rId19" w:tgtFrame="_blank" w:history="1">
        <w:r w:rsidRPr="0078049E">
          <w:rPr>
            <w:rStyle w:val="normaltextrun"/>
            <w:rFonts w:ascii="Calibri" w:hAnsi="Calibri" w:cs="Calibri"/>
            <w:color w:val="467886"/>
            <w:u w:val="single"/>
          </w:rPr>
          <w:t>DONCHI@Mass.gov</w:t>
        </w:r>
      </w:hyperlink>
      <w:r w:rsidRPr="0078049E">
        <w:rPr>
          <w:rStyle w:val="normaltextrun"/>
          <w:rFonts w:ascii="Calibri" w:hAnsi="Calibri" w:cs="Calibri"/>
          <w:color w:val="000000"/>
        </w:rPr>
        <w:t>.</w:t>
      </w:r>
      <w:r w:rsidRPr="0078049E">
        <w:rPr>
          <w:rStyle w:val="eop"/>
          <w:rFonts w:ascii="Calibri" w:hAnsi="Calibri" w:cs="Calibri"/>
          <w:color w:val="000000"/>
        </w:rPr>
        <w:t> </w:t>
      </w:r>
    </w:p>
    <w:p w14:paraId="18B922D6" w14:textId="0128B866" w:rsidR="001E5DA1" w:rsidRDefault="0078049E" w:rsidP="006976FA">
      <w:pPr>
        <w:pStyle w:val="paragraph"/>
        <w:spacing w:before="0" w:beforeAutospacing="0" w:after="0" w:afterAutospacing="0"/>
        <w:textAlignment w:val="baseline"/>
        <w:rPr>
          <w:rStyle w:val="eop"/>
          <w:rFonts w:ascii="Aptos" w:hAnsi="Aptos" w:cs="Segoe UI"/>
        </w:rPr>
      </w:pPr>
      <w:r>
        <w:rPr>
          <w:rStyle w:val="eop"/>
          <w:rFonts w:ascii="Aptos" w:hAnsi="Aptos" w:cs="Segoe UI"/>
        </w:rPr>
        <w:t> </w:t>
      </w:r>
    </w:p>
    <w:p w14:paraId="5B1A075F" w14:textId="49B2F4D8" w:rsidR="006976FA" w:rsidRPr="006976FA" w:rsidRDefault="006976FA" w:rsidP="006976FA">
      <w:pPr>
        <w:pStyle w:val="paragraph"/>
        <w:spacing w:before="0" w:beforeAutospacing="0" w:after="0" w:afterAutospacing="0"/>
        <w:ind w:left="720"/>
        <w:textAlignment w:val="baseline"/>
        <w:rPr>
          <w:rFonts w:asciiTheme="minorHAnsi" w:hAnsiTheme="minorHAnsi" w:cstheme="minorHAnsi"/>
          <w:sz w:val="18"/>
          <w:szCs w:val="18"/>
        </w:rPr>
      </w:pPr>
    </w:p>
    <w:p w14:paraId="251FF1C6" w14:textId="77777777" w:rsidR="00A90AEC" w:rsidRPr="00A90AEC" w:rsidRDefault="006976FA" w:rsidP="00C9571B">
      <w:pPr>
        <w:pStyle w:val="ListParagraph"/>
        <w:numPr>
          <w:ilvl w:val="0"/>
          <w:numId w:val="15"/>
        </w:numPr>
        <w:ind w:left="1440"/>
        <w:rPr>
          <w:color w:val="1F497D" w:themeColor="text2"/>
          <w:bdr w:val="none" w:sz="0" w:space="0" w:color="auto" w:frame="1"/>
        </w:rPr>
      </w:pPr>
      <w:r w:rsidRPr="00CD06A2">
        <w:rPr>
          <w:b/>
          <w:bCs/>
        </w:rPr>
        <w:t>Factor 1(b):</w:t>
      </w:r>
      <w:r>
        <w:t xml:space="preserve"> </w:t>
      </w:r>
    </w:p>
    <w:p w14:paraId="4F478B64" w14:textId="2181531E" w:rsidR="0020310B" w:rsidRPr="0020310B" w:rsidRDefault="006976FA" w:rsidP="0020310B">
      <w:pPr>
        <w:pStyle w:val="ListParagraph"/>
        <w:numPr>
          <w:ilvl w:val="1"/>
          <w:numId w:val="16"/>
        </w:numPr>
        <w:ind w:left="2160"/>
        <w:rPr>
          <w:color w:val="1F497D" w:themeColor="text2"/>
          <w:bdr w:val="none" w:sz="0" w:space="0" w:color="auto" w:frame="1"/>
        </w:rPr>
      </w:pPr>
      <w:r>
        <w:t>In addition to the Center’s obligation to participate in MassHealth, pursuant to 105 CMR 100.310(11), the Holder must certify annually that all physicians and health professionals who practice at the facility</w:t>
      </w:r>
      <w:r w:rsidR="00A219EA">
        <w:t xml:space="preserve">, including those who are </w:t>
      </w:r>
      <w:r w:rsidR="0074554E">
        <w:t xml:space="preserve">physicians and health care professionals </w:t>
      </w:r>
      <w:r w:rsidR="00BE4FB1">
        <w:rPr>
          <w:rFonts w:asciiTheme="minorHAnsi" w:hAnsiTheme="minorHAnsi"/>
        </w:rPr>
        <w:t>utilizing</w:t>
      </w:r>
      <w:r w:rsidR="0094236E">
        <w:rPr>
          <w:rFonts w:asciiTheme="minorHAnsi" w:hAnsiTheme="minorHAnsi"/>
        </w:rPr>
        <w:t xml:space="preserve"> surgical block time</w:t>
      </w:r>
      <w:r w:rsidR="00A219EA">
        <w:t xml:space="preserve"> </w:t>
      </w:r>
      <w:r w:rsidR="00BE4FB1">
        <w:t>at the Center,</w:t>
      </w:r>
      <w:r w:rsidR="00A219EA">
        <w:t xml:space="preserve"> </w:t>
      </w:r>
      <w:r>
        <w:t>are enrolled as participating providers of MassHealth to support equitable access to all clinicians at the facility regardless of payer</w:t>
      </w:r>
      <w:r w:rsidR="00A14C96">
        <w:t>;</w:t>
      </w:r>
      <w:r w:rsidR="0020310B">
        <w:t xml:space="preserve"> </w:t>
      </w:r>
      <w:r w:rsidR="00423E83">
        <w:t>a</w:t>
      </w:r>
      <w:r w:rsidR="0020310B">
        <w:t>nd</w:t>
      </w:r>
    </w:p>
    <w:p w14:paraId="65381BDD" w14:textId="795E76F8" w:rsidR="00423E83" w:rsidRPr="00423E83" w:rsidRDefault="00FE1C25" w:rsidP="00423E83">
      <w:pPr>
        <w:pStyle w:val="ListParagraph"/>
        <w:numPr>
          <w:ilvl w:val="1"/>
          <w:numId w:val="16"/>
        </w:numPr>
        <w:ind w:left="2160"/>
        <w:rPr>
          <w:color w:val="1F497D" w:themeColor="text2"/>
          <w:bdr w:val="none" w:sz="0" w:space="0" w:color="auto" w:frame="1"/>
        </w:rPr>
      </w:pPr>
      <w:r w:rsidRPr="0020310B">
        <w:rPr>
          <w:bdr w:val="none" w:sz="0" w:space="0" w:color="auto" w:frame="1"/>
        </w:rPr>
        <w:t>The Holder shall report on the Center’s patients stratified by race, ethnicity, language, zip code of residence, and payer mix</w:t>
      </w:r>
      <w:r w:rsidR="0020310B" w:rsidRPr="0020310B">
        <w:rPr>
          <w:bdr w:val="none" w:sz="0" w:space="0" w:color="auto" w:frame="1"/>
        </w:rPr>
        <w:t>.</w:t>
      </w:r>
    </w:p>
    <w:p w14:paraId="308DB5ED" w14:textId="77777777" w:rsidR="00423E83" w:rsidRPr="00423E83" w:rsidRDefault="00423E83" w:rsidP="00423E83">
      <w:pPr>
        <w:pStyle w:val="ListParagraph"/>
        <w:ind w:left="2160" w:firstLine="0"/>
        <w:rPr>
          <w:color w:val="1F497D" w:themeColor="text2"/>
          <w:bdr w:val="none" w:sz="0" w:space="0" w:color="auto" w:frame="1"/>
        </w:rPr>
      </w:pPr>
    </w:p>
    <w:p w14:paraId="7B2FCB76" w14:textId="3736D5B1" w:rsidR="00CE04F6" w:rsidRPr="00255FC7" w:rsidRDefault="00D33877" w:rsidP="00423E83">
      <w:pPr>
        <w:pStyle w:val="ListParagraph"/>
        <w:numPr>
          <w:ilvl w:val="1"/>
          <w:numId w:val="17"/>
        </w:numPr>
        <w:rPr>
          <w:color w:val="1F497D" w:themeColor="text2"/>
          <w:bdr w:val="none" w:sz="0" w:space="0" w:color="auto" w:frame="1"/>
        </w:rPr>
      </w:pPr>
      <w:r w:rsidRPr="00423E83">
        <w:rPr>
          <w:b/>
          <w:bCs/>
          <w:bdr w:val="none" w:sz="0" w:space="0" w:color="auto" w:frame="1"/>
        </w:rPr>
        <w:t>Factor 1(b):</w:t>
      </w:r>
      <w:r w:rsidRPr="00423E83">
        <w:rPr>
          <w:bdr w:val="none" w:sz="0" w:space="0" w:color="auto" w:frame="1"/>
        </w:rPr>
        <w:t xml:space="preserve"> The Department requires the Center to maintain or increase the percentage of MassHealth patients within its Payer Mix as compared </w:t>
      </w:r>
      <w:r w:rsidR="008615F8">
        <w:rPr>
          <w:bdr w:val="none" w:sz="0" w:space="0" w:color="auto" w:frame="1"/>
        </w:rPr>
        <w:t>to the Center’s payer mix provided for the most recent year available (FY25)</w:t>
      </w:r>
      <w:r w:rsidRPr="00423E83">
        <w:rPr>
          <w:bdr w:val="none" w:sz="0" w:space="0" w:color="auto" w:frame="1"/>
        </w:rPr>
        <w:t xml:space="preserve">. If, during the pendency of the </w:t>
      </w:r>
      <w:proofErr w:type="spellStart"/>
      <w:r w:rsidRPr="00423E83">
        <w:rPr>
          <w:bdr w:val="none" w:sz="0" w:space="0" w:color="auto" w:frame="1"/>
        </w:rPr>
        <w:t>DoN</w:t>
      </w:r>
      <w:proofErr w:type="spellEnd"/>
      <w:r w:rsidRPr="00423E83">
        <w:rPr>
          <w:bdr w:val="none" w:sz="0" w:space="0" w:color="auto" w:frame="1"/>
        </w:rPr>
        <w:t xml:space="preserve">, the Department determines that the MassHealth </w:t>
      </w:r>
      <w:r w:rsidR="00DF7E35">
        <w:rPr>
          <w:bdr w:val="none" w:sz="0" w:space="0" w:color="auto" w:frame="1"/>
        </w:rPr>
        <w:t>P</w:t>
      </w:r>
      <w:r w:rsidRPr="00423E83">
        <w:rPr>
          <w:bdr w:val="none" w:sz="0" w:space="0" w:color="auto" w:frame="1"/>
        </w:rPr>
        <w:t xml:space="preserve">ayer </w:t>
      </w:r>
      <w:r w:rsidR="00DF7E35">
        <w:rPr>
          <w:bdr w:val="none" w:sz="0" w:space="0" w:color="auto" w:frame="1"/>
        </w:rPr>
        <w:t>M</w:t>
      </w:r>
      <w:r w:rsidRPr="00423E83">
        <w:rPr>
          <w:bdr w:val="none" w:sz="0" w:space="0" w:color="auto" w:frame="1"/>
        </w:rPr>
        <w:t xml:space="preserve">ix of the Holder </w:t>
      </w:r>
      <w:r w:rsidR="00DF7E35">
        <w:rPr>
          <w:bdr w:val="none" w:sz="0" w:space="0" w:color="auto" w:frame="1"/>
        </w:rPr>
        <w:t xml:space="preserve">at the Center </w:t>
      </w:r>
      <w:r w:rsidRPr="00423E83">
        <w:rPr>
          <w:bdr w:val="none" w:sz="0" w:space="0" w:color="auto" w:frame="1"/>
        </w:rPr>
        <w:t>is not meeting this standard or showing a material decrease over the course of the reporting period, the Holder shall submit a plan to the Department detailing its plan to increase its MassHealth payer mix. The plan shall be submitted no later than six months after such time as the Department notifies the Holder that such a plan is required. The Holder shall provide, with its annual report to the Department, a report on implementation of said plan to demonstrate measurable progress resulting from its efforts to increase its MassHealth payer mix.</w:t>
      </w:r>
    </w:p>
    <w:p w14:paraId="7A789C70" w14:textId="2DF6B9F6" w:rsidR="006976FA" w:rsidRDefault="006976FA">
      <w:pPr>
        <w:rPr>
          <w:b/>
          <w:bCs/>
          <w:color w:val="1F497D" w:themeColor="text2"/>
          <w:sz w:val="28"/>
          <w:szCs w:val="28"/>
          <w:bdr w:val="none" w:sz="0" w:space="0" w:color="auto" w:frame="1"/>
        </w:rPr>
      </w:pPr>
      <w:r>
        <w:rPr>
          <w:b/>
          <w:bCs/>
          <w:color w:val="1F497D" w:themeColor="text2"/>
          <w:sz w:val="28"/>
          <w:szCs w:val="28"/>
          <w:bdr w:val="none" w:sz="0" w:space="0" w:color="auto" w:frame="1"/>
        </w:rPr>
        <w:br w:type="page"/>
      </w:r>
    </w:p>
    <w:p w14:paraId="1681E1B5" w14:textId="230C3577" w:rsidR="00507877" w:rsidRPr="00507877" w:rsidRDefault="00507877" w:rsidP="00B50A1D">
      <w:pPr>
        <w:pStyle w:val="Heading2"/>
      </w:pPr>
      <w:bookmarkStart w:id="31" w:name="_Toc226541465"/>
      <w:r w:rsidRPr="00507877">
        <w:rPr>
          <w:bdr w:val="none" w:sz="0" w:space="0" w:color="auto" w:frame="1"/>
        </w:rPr>
        <w:lastRenderedPageBreak/>
        <w:t>Appendix I: Required Measures for Annual Reporting</w:t>
      </w:r>
      <w:bookmarkEnd w:id="31"/>
      <w:r w:rsidRPr="00507877">
        <w:rPr>
          <w:bdr w:val="none" w:sz="0" w:space="0" w:color="auto" w:frame="1"/>
        </w:rPr>
        <w:t> </w:t>
      </w:r>
    </w:p>
    <w:p w14:paraId="0FBC9447" w14:textId="4A82CE4C"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 xml:space="preserve">The Holder shall, on an annual basis, commencing with approval of this </w:t>
      </w:r>
      <w:proofErr w:type="spellStart"/>
      <w:r>
        <w:rPr>
          <w:rFonts w:eastAsia="Times New Roman" w:cs="Calibri"/>
          <w:color w:val="000000"/>
          <w:szCs w:val="24"/>
          <w:bdr w:val="none" w:sz="0" w:space="0" w:color="auto" w:frame="1"/>
        </w:rPr>
        <w:t>DoN</w:t>
      </w:r>
      <w:proofErr w:type="spellEnd"/>
      <w:r>
        <w:rPr>
          <w:rFonts w:eastAsia="Times New Roman" w:cs="Calibri"/>
          <w:color w:val="000000"/>
          <w:szCs w:val="24"/>
          <w:bdr w:val="none" w:sz="0" w:space="0" w:color="auto" w:frame="1"/>
        </w:rPr>
        <w:t>, and continuing annually for a period of five years after the Project is complete, report on the following data elements, pursuant to 105 CMR 100.310(A)(12). Reporting will include a description of numerators and denominators. </w:t>
      </w:r>
      <w:r w:rsidR="003F19E2" w:rsidRPr="003F19E2">
        <w:rPr>
          <w:rFonts w:eastAsia="Times New Roman" w:cs="Calibri"/>
          <w:color w:val="000000"/>
          <w:szCs w:val="24"/>
          <w:bdr w:val="none" w:sz="0" w:space="0" w:color="auto" w:frame="1"/>
        </w:rPr>
        <w:t xml:space="preserve">If applicable, include baseline data for measures (a year prior to implementation of </w:t>
      </w:r>
      <w:proofErr w:type="spellStart"/>
      <w:r w:rsidR="003F19E2" w:rsidRPr="003F19E2">
        <w:rPr>
          <w:rFonts w:eastAsia="Times New Roman" w:cs="Calibri"/>
          <w:color w:val="000000"/>
          <w:szCs w:val="24"/>
          <w:bdr w:val="none" w:sz="0" w:space="0" w:color="auto" w:frame="1"/>
        </w:rPr>
        <w:t>DoN</w:t>
      </w:r>
      <w:proofErr w:type="spellEnd"/>
      <w:r w:rsidR="003F19E2" w:rsidRPr="003F19E2">
        <w:rPr>
          <w:rFonts w:eastAsia="Times New Roman" w:cs="Calibri"/>
          <w:color w:val="000000"/>
          <w:szCs w:val="24"/>
          <w:bdr w:val="none" w:sz="0" w:space="0" w:color="auto" w:frame="1"/>
        </w:rPr>
        <w:t>-approved project).</w:t>
      </w:r>
    </w:p>
    <w:p w14:paraId="375EE198" w14:textId="7C21CB76" w:rsidR="00FC4602" w:rsidRPr="003F19E2" w:rsidRDefault="00507877" w:rsidP="00B50A1D">
      <w:r>
        <w:rPr>
          <w:bdr w:val="none" w:sz="0" w:space="0" w:color="auto" w:frame="1"/>
        </w:rPr>
        <w:t> </w:t>
      </w:r>
    </w:p>
    <w:p w14:paraId="600B3A85" w14:textId="3205E021" w:rsidR="00650744" w:rsidRPr="00650744" w:rsidRDefault="00650744" w:rsidP="00C9571B">
      <w:pPr>
        <w:widowControl/>
        <w:numPr>
          <w:ilvl w:val="0"/>
          <w:numId w:val="1"/>
        </w:numPr>
        <w:suppressAutoHyphens/>
        <w:autoSpaceDE/>
        <w:autoSpaceDN/>
        <w:spacing w:after="120"/>
        <w:jc w:val="both"/>
        <w:rPr>
          <w:rFonts w:eastAsia="Arial" w:cs="Calibri"/>
          <w:b/>
          <w:bCs/>
          <w:kern w:val="2"/>
          <w:szCs w:val="24"/>
        </w:rPr>
      </w:pPr>
      <w:r w:rsidRPr="00650744">
        <w:rPr>
          <w:rFonts w:eastAsia="Arial" w:cs="Calibri"/>
          <w:b/>
          <w:bCs/>
          <w:kern w:val="2"/>
          <w:szCs w:val="24"/>
        </w:rPr>
        <w:t xml:space="preserve">Wait Time to Scheduled Procedure: </w:t>
      </w:r>
      <w:r w:rsidRPr="00650744">
        <w:rPr>
          <w:rFonts w:eastAsia="Arial" w:cs="Calibri"/>
          <w:kern w:val="2"/>
          <w:szCs w:val="24"/>
        </w:rPr>
        <w:t>Timely access to endoscopic procedures is critical for early diagnosis and treatment, contributing to improved health outcomes and patient satisfaction.</w:t>
      </w:r>
      <w:r w:rsidR="0064049B">
        <w:rPr>
          <w:rStyle w:val="FootnoteReference"/>
          <w:rFonts w:eastAsia="Arial" w:cs="Calibri"/>
          <w:kern w:val="2"/>
          <w:szCs w:val="24"/>
        </w:rPr>
        <w:footnoteReference w:id="17"/>
      </w:r>
      <w:r w:rsidRPr="00650744">
        <w:rPr>
          <w:rFonts w:eastAsia="Arial" w:cs="Calibri"/>
          <w:kern w:val="2"/>
          <w:szCs w:val="24"/>
        </w:rPr>
        <w:t xml:space="preserve"> Extended </w:t>
      </w:r>
      <w:proofErr w:type="gramStart"/>
      <w:r w:rsidRPr="00650744">
        <w:rPr>
          <w:rFonts w:eastAsia="Arial" w:cs="Calibri"/>
          <w:kern w:val="2"/>
          <w:szCs w:val="24"/>
        </w:rPr>
        <w:t>wait</w:t>
      </w:r>
      <w:proofErr w:type="gramEnd"/>
      <w:r w:rsidRPr="00650744">
        <w:rPr>
          <w:rFonts w:eastAsia="Arial" w:cs="Calibri"/>
          <w:kern w:val="2"/>
          <w:szCs w:val="24"/>
        </w:rPr>
        <w:t xml:space="preserve"> times for scheduling procedures delays care and negatively impacts patient outcomes. The Applicant will monitor and report the average time patients wait from the date the procedure is ordered to the date it is scheduled. Data will be tracked to identify trends, barriers, and opportunities for improvement.</w:t>
      </w:r>
    </w:p>
    <w:p w14:paraId="29D0D92F" w14:textId="77777777" w:rsidR="00650744" w:rsidRPr="00650744" w:rsidRDefault="00650744" w:rsidP="00650744">
      <w:pPr>
        <w:widowControl/>
        <w:spacing w:after="120"/>
        <w:ind w:left="720"/>
        <w:jc w:val="both"/>
        <w:rPr>
          <w:rFonts w:eastAsia="Arial" w:cs="Calibri"/>
          <w:kern w:val="2"/>
          <w:szCs w:val="24"/>
        </w:rPr>
      </w:pPr>
      <w:bookmarkStart w:id="32" w:name="_Hlk48813784"/>
      <w:r w:rsidRPr="00650744">
        <w:rPr>
          <w:rFonts w:eastAsia="Arial" w:cs="Calibri"/>
          <w:b/>
          <w:bCs/>
          <w:kern w:val="2"/>
          <w:szCs w:val="24"/>
        </w:rPr>
        <w:t xml:space="preserve">Measure: </w:t>
      </w:r>
      <w:r w:rsidRPr="00650744">
        <w:rPr>
          <w:rFonts w:eastAsia="Arial" w:cs="Calibri"/>
          <w:kern w:val="2"/>
          <w:szCs w:val="24"/>
        </w:rPr>
        <w:t>Average number of days between the date a procedure is ordered and the date the procedure is scheduled to be performed.</w:t>
      </w:r>
    </w:p>
    <w:p w14:paraId="4C28A3E2" w14:textId="77777777" w:rsidR="00650744" w:rsidRPr="00650744" w:rsidRDefault="00650744" w:rsidP="00650744">
      <w:pPr>
        <w:widowControl/>
        <w:spacing w:after="120"/>
        <w:ind w:left="1440"/>
        <w:jc w:val="both"/>
        <w:rPr>
          <w:rFonts w:eastAsia="Arial" w:cs="Calibri"/>
          <w:kern w:val="2"/>
          <w:szCs w:val="24"/>
        </w:rPr>
      </w:pPr>
      <w:r w:rsidRPr="00650744">
        <w:rPr>
          <w:rFonts w:eastAsia="Arial" w:cs="Calibri"/>
          <w:b/>
          <w:bCs/>
          <w:kern w:val="2"/>
          <w:szCs w:val="24"/>
        </w:rPr>
        <w:t xml:space="preserve">Numerator: </w:t>
      </w:r>
      <w:r w:rsidRPr="00650744">
        <w:rPr>
          <w:rFonts w:eastAsia="Arial" w:cs="Calibri"/>
          <w:kern w:val="2"/>
          <w:szCs w:val="24"/>
        </w:rPr>
        <w:t xml:space="preserve">Total number of days waited by all patients from order to scheduled procedure date. </w:t>
      </w:r>
      <w:r w:rsidRPr="00650744">
        <w:rPr>
          <w:rFonts w:eastAsia="Arial" w:cs="Calibri"/>
          <w:b/>
          <w:bCs/>
          <w:kern w:val="2"/>
          <w:szCs w:val="24"/>
        </w:rPr>
        <w:tab/>
      </w:r>
    </w:p>
    <w:p w14:paraId="4E23FDB3" w14:textId="77777777" w:rsidR="00650744" w:rsidRPr="00650744" w:rsidRDefault="00650744" w:rsidP="00650744">
      <w:pPr>
        <w:widowControl/>
        <w:spacing w:after="120"/>
        <w:ind w:left="720" w:firstLine="720"/>
        <w:jc w:val="both"/>
        <w:rPr>
          <w:rFonts w:eastAsia="Arial" w:cs="Calibri"/>
          <w:kern w:val="2"/>
          <w:szCs w:val="24"/>
        </w:rPr>
      </w:pPr>
      <w:r w:rsidRPr="00650744">
        <w:rPr>
          <w:rFonts w:eastAsia="Arial" w:cs="Calibri"/>
          <w:b/>
          <w:bCs/>
          <w:kern w:val="2"/>
          <w:szCs w:val="24"/>
        </w:rPr>
        <w:t xml:space="preserve">Denominator: </w:t>
      </w:r>
      <w:r w:rsidRPr="00650744">
        <w:rPr>
          <w:rFonts w:eastAsia="Arial" w:cs="Calibri"/>
          <w:kern w:val="2"/>
          <w:szCs w:val="24"/>
        </w:rPr>
        <w:t>Total number of scheduled procedures.</w:t>
      </w:r>
    </w:p>
    <w:p w14:paraId="55C8ABBF" w14:textId="77777777" w:rsidR="00650744" w:rsidRDefault="00650744" w:rsidP="00650744">
      <w:pPr>
        <w:widowControl/>
        <w:spacing w:after="120"/>
        <w:ind w:left="1440"/>
        <w:jc w:val="both"/>
        <w:rPr>
          <w:rFonts w:eastAsia="Arial" w:cs="Calibri"/>
          <w:kern w:val="2"/>
          <w:szCs w:val="24"/>
        </w:rPr>
      </w:pPr>
      <w:r w:rsidRPr="00650744">
        <w:rPr>
          <w:rFonts w:eastAsia="Arial" w:cs="Calibri"/>
          <w:b/>
          <w:bCs/>
          <w:kern w:val="2"/>
          <w:szCs w:val="24"/>
        </w:rPr>
        <w:t>Baseline and Goal:</w:t>
      </w:r>
      <w:r w:rsidRPr="00650744">
        <w:rPr>
          <w:rFonts w:eastAsia="Arial" w:cs="Calibri"/>
          <w:kern w:val="2"/>
          <w:szCs w:val="24"/>
        </w:rPr>
        <w:t xml:space="preserve"> Patients currently wait between 3 to 6 months between scheduling and their procedure date, depending on their provider’s availability. The Proposed Project aims to reduce wait times by 15% per year, with a target goal of 40 days (less than 6 weeks) by Year 5. </w:t>
      </w:r>
      <w:bookmarkEnd w:id="32"/>
    </w:p>
    <w:p w14:paraId="1A980428" w14:textId="37202749" w:rsidR="006C56C4" w:rsidRPr="00650744" w:rsidRDefault="00073D9A" w:rsidP="00997420">
      <w:pPr>
        <w:widowControl/>
        <w:spacing w:after="120"/>
        <w:ind w:left="720"/>
        <w:jc w:val="both"/>
        <w:rPr>
          <w:rFonts w:eastAsia="Arial" w:cs="Calibri"/>
          <w:kern w:val="2"/>
        </w:rPr>
      </w:pPr>
      <w:r>
        <w:rPr>
          <w:rFonts w:eastAsia="Arial" w:cs="Calibri"/>
          <w:kern w:val="2"/>
          <w:szCs w:val="24"/>
        </w:rPr>
        <w:t xml:space="preserve">The Applicant will provide wait times for all </w:t>
      </w:r>
      <w:r w:rsidR="00BD053A">
        <w:rPr>
          <w:rFonts w:eastAsia="Arial" w:cs="Calibri"/>
          <w:kern w:val="2"/>
          <w:szCs w:val="24"/>
        </w:rPr>
        <w:t xml:space="preserve">patients </w:t>
      </w:r>
      <w:r>
        <w:rPr>
          <w:rFonts w:eastAsia="Arial" w:cs="Calibri"/>
          <w:kern w:val="2"/>
          <w:szCs w:val="24"/>
        </w:rPr>
        <w:t>of the</w:t>
      </w:r>
      <w:r w:rsidR="00BD053A">
        <w:rPr>
          <w:rFonts w:eastAsia="Arial" w:cs="Calibri"/>
          <w:kern w:val="2"/>
          <w:szCs w:val="24"/>
        </w:rPr>
        <w:t xml:space="preserve"> Center</w:t>
      </w:r>
      <w:r>
        <w:rPr>
          <w:rFonts w:eastAsia="Arial" w:cs="Calibri"/>
          <w:kern w:val="2"/>
          <w:szCs w:val="24"/>
        </w:rPr>
        <w:t xml:space="preserve">, and </w:t>
      </w:r>
      <w:r w:rsidR="00BD053A">
        <w:rPr>
          <w:rFonts w:eastAsia="Arial" w:cs="Calibri"/>
          <w:kern w:val="2"/>
          <w:szCs w:val="24"/>
        </w:rPr>
        <w:t xml:space="preserve">for the Center’s patients </w:t>
      </w:r>
      <w:proofErr w:type="gramStart"/>
      <w:r w:rsidR="00BD053A">
        <w:rPr>
          <w:rFonts w:eastAsia="Arial" w:cs="Calibri"/>
          <w:kern w:val="2"/>
          <w:szCs w:val="24"/>
        </w:rPr>
        <w:t>broken</w:t>
      </w:r>
      <w:proofErr w:type="gramEnd"/>
      <w:r w:rsidR="00BD053A">
        <w:rPr>
          <w:rFonts w:eastAsia="Arial" w:cs="Calibri"/>
          <w:kern w:val="2"/>
          <w:szCs w:val="24"/>
        </w:rPr>
        <w:t xml:space="preserve"> down</w:t>
      </w:r>
      <w:r>
        <w:rPr>
          <w:rFonts w:eastAsia="Arial" w:cs="Calibri"/>
          <w:kern w:val="2"/>
          <w:szCs w:val="24"/>
        </w:rPr>
        <w:t xml:space="preserve"> Winchester Hospital</w:t>
      </w:r>
      <w:r w:rsidR="00E13BBA">
        <w:rPr>
          <w:rFonts w:eastAsia="Arial" w:cs="Calibri"/>
          <w:kern w:val="2"/>
          <w:szCs w:val="24"/>
        </w:rPr>
        <w:t xml:space="preserve"> GI</w:t>
      </w:r>
      <w:r>
        <w:rPr>
          <w:rFonts w:eastAsia="Arial" w:cs="Calibri"/>
          <w:kern w:val="2"/>
          <w:szCs w:val="24"/>
        </w:rPr>
        <w:t xml:space="preserve"> patients, DHA patients, Atrius patients, Lahey patients, and BIDMC patients. </w:t>
      </w:r>
    </w:p>
    <w:p w14:paraId="157D5FEF" w14:textId="77777777" w:rsidR="00073D9A" w:rsidRPr="00650744" w:rsidRDefault="00073D9A" w:rsidP="006C56C4">
      <w:pPr>
        <w:widowControl/>
        <w:spacing w:after="120"/>
        <w:jc w:val="both"/>
        <w:rPr>
          <w:rFonts w:eastAsia="Arial" w:cs="Calibri"/>
          <w:kern w:val="2"/>
          <w:szCs w:val="24"/>
        </w:rPr>
      </w:pPr>
    </w:p>
    <w:p w14:paraId="0E71918F" w14:textId="77777777" w:rsidR="00650744" w:rsidRPr="00650744" w:rsidRDefault="00650744" w:rsidP="00C9571B">
      <w:pPr>
        <w:widowControl/>
        <w:numPr>
          <w:ilvl w:val="0"/>
          <w:numId w:val="1"/>
        </w:numPr>
        <w:suppressAutoHyphens/>
        <w:autoSpaceDE/>
        <w:autoSpaceDN/>
        <w:spacing w:after="120"/>
        <w:jc w:val="both"/>
        <w:rPr>
          <w:rFonts w:eastAsia="Arial" w:cs="Calibri"/>
          <w:b/>
          <w:bCs/>
          <w:kern w:val="2"/>
          <w:szCs w:val="24"/>
        </w:rPr>
      </w:pPr>
      <w:r w:rsidRPr="00650744">
        <w:rPr>
          <w:rFonts w:eastAsia="Arial" w:cs="Calibri"/>
          <w:b/>
          <w:bCs/>
          <w:kern w:val="2"/>
          <w:szCs w:val="24"/>
        </w:rPr>
        <w:t xml:space="preserve">Delayed Procedure Start Times: </w:t>
      </w:r>
      <w:r w:rsidRPr="00650744">
        <w:rPr>
          <w:rFonts w:eastAsia="Arial" w:cs="Calibri"/>
          <w:kern w:val="2"/>
          <w:szCs w:val="24"/>
        </w:rPr>
        <w:t xml:space="preserve">Delays in starting scheduled endoscopic procedures can disrupt patient care and impact overall operational efficiency. Monitoring the frequency and duration of delayed procedure start times will enable the Endoscopy Center to identify causes of delays and implement process improvements.  </w:t>
      </w:r>
    </w:p>
    <w:p w14:paraId="35E9E641" w14:textId="77777777" w:rsidR="00650744" w:rsidRPr="00650744" w:rsidRDefault="00650744" w:rsidP="00650744">
      <w:pPr>
        <w:spacing w:after="120"/>
        <w:ind w:left="720"/>
        <w:jc w:val="both"/>
        <w:rPr>
          <w:rFonts w:eastAsia="Arial" w:cs="Calibri"/>
          <w:kern w:val="2"/>
          <w:szCs w:val="24"/>
        </w:rPr>
      </w:pPr>
      <w:r w:rsidRPr="00650744">
        <w:rPr>
          <w:rFonts w:eastAsia="Arial" w:cs="Calibri"/>
          <w:b/>
          <w:bCs/>
          <w:kern w:val="2"/>
          <w:szCs w:val="24"/>
        </w:rPr>
        <w:t xml:space="preserve">Measure: </w:t>
      </w:r>
      <w:r w:rsidRPr="00650744">
        <w:rPr>
          <w:rFonts w:eastAsia="Arial" w:cs="Calibri"/>
          <w:kern w:val="2"/>
          <w:szCs w:val="24"/>
        </w:rPr>
        <w:t xml:space="preserve">Percentage of procedures that start more than 30 minutes after the scheduled start time. </w:t>
      </w:r>
    </w:p>
    <w:p w14:paraId="69331424" w14:textId="77777777" w:rsidR="00650744" w:rsidRPr="00650744" w:rsidRDefault="00650744" w:rsidP="00650744">
      <w:pPr>
        <w:widowControl/>
        <w:suppressAutoHyphens/>
        <w:adjustRightInd w:val="0"/>
        <w:spacing w:after="120"/>
        <w:ind w:left="1440"/>
        <w:rPr>
          <w:rFonts w:eastAsia="Times New Roman" w:cs="Calibri"/>
          <w:kern w:val="2"/>
          <w:szCs w:val="24"/>
          <w14:ligatures w14:val="standardContextual"/>
        </w:rPr>
      </w:pPr>
      <w:r w:rsidRPr="00650744">
        <w:rPr>
          <w:rFonts w:eastAsia="Times New Roman" w:cs="Calibri"/>
          <w:b/>
          <w:bCs/>
          <w:kern w:val="2"/>
          <w:szCs w:val="24"/>
          <w14:ligatures w14:val="standardContextual"/>
        </w:rPr>
        <w:t>Numerator:</w:t>
      </w:r>
      <w:r w:rsidRPr="00650744">
        <w:rPr>
          <w:rFonts w:eastAsia="Times New Roman" w:cs="Calibri"/>
          <w:kern w:val="2"/>
          <w:szCs w:val="24"/>
          <w14:ligatures w14:val="standardContextual"/>
        </w:rPr>
        <w:t xml:space="preserve"> The number of procedures that began more than 30 minutes after the scheduled start time.</w:t>
      </w:r>
    </w:p>
    <w:p w14:paraId="6798A2AF" w14:textId="77777777" w:rsidR="00650744" w:rsidRPr="00650744" w:rsidRDefault="00650744" w:rsidP="00650744">
      <w:pPr>
        <w:widowControl/>
        <w:suppressAutoHyphens/>
        <w:adjustRightInd w:val="0"/>
        <w:spacing w:after="120"/>
        <w:ind w:left="720" w:firstLine="720"/>
        <w:rPr>
          <w:rFonts w:eastAsia="Times New Roman" w:cs="Calibri"/>
          <w:kern w:val="2"/>
          <w:szCs w:val="24"/>
          <w14:ligatures w14:val="standardContextual"/>
        </w:rPr>
      </w:pPr>
      <w:r w:rsidRPr="00650744">
        <w:rPr>
          <w:rFonts w:eastAsia="Times New Roman" w:cs="Calibri"/>
          <w:b/>
          <w:bCs/>
          <w:kern w:val="2"/>
          <w:szCs w:val="24"/>
          <w14:ligatures w14:val="standardContextual"/>
        </w:rPr>
        <w:t xml:space="preserve">Denominator: </w:t>
      </w:r>
      <w:r w:rsidRPr="00650744">
        <w:rPr>
          <w:rFonts w:eastAsia="Times New Roman" w:cs="Calibri"/>
          <w:kern w:val="2"/>
          <w:szCs w:val="24"/>
          <w14:ligatures w14:val="standardContextual"/>
        </w:rPr>
        <w:t>Total number of scheduled procedures.</w:t>
      </w:r>
    </w:p>
    <w:p w14:paraId="65A60C35" w14:textId="77777777" w:rsidR="00650744" w:rsidRDefault="00650744" w:rsidP="00650744">
      <w:pPr>
        <w:widowControl/>
        <w:suppressAutoHyphens/>
        <w:adjustRightInd w:val="0"/>
        <w:spacing w:after="120"/>
        <w:ind w:left="1440"/>
        <w:rPr>
          <w:rFonts w:eastAsia="Times New Roman" w:cs="Calibri"/>
          <w:kern w:val="2"/>
          <w:szCs w:val="24"/>
          <w14:ligatures w14:val="standardContextual"/>
        </w:rPr>
      </w:pPr>
      <w:r w:rsidRPr="00650744">
        <w:rPr>
          <w:rFonts w:eastAsia="Times New Roman" w:cs="Calibri"/>
          <w:b/>
          <w:bCs/>
          <w:kern w:val="2"/>
          <w:szCs w:val="24"/>
          <w14:ligatures w14:val="standardContextual"/>
        </w:rPr>
        <w:lastRenderedPageBreak/>
        <w:t>Baseline and Goal:</w:t>
      </w:r>
      <w:r w:rsidRPr="00650744">
        <w:rPr>
          <w:rFonts w:eastAsia="Times New Roman" w:cs="Calibri"/>
          <w:kern w:val="2"/>
          <w:szCs w:val="24"/>
          <w14:ligatures w14:val="standardContextual"/>
        </w:rPr>
        <w:t xml:space="preserve"> The current baseline delayed start rate is 44%. The goal with the Proposed Project is to achieve a 15% reduction each year until less than 20% of scheduled procedures are delayed by Year 5.</w:t>
      </w:r>
    </w:p>
    <w:p w14:paraId="39D0F136" w14:textId="77777777" w:rsidR="000828F8" w:rsidRPr="00650744" w:rsidRDefault="000828F8" w:rsidP="00650744">
      <w:pPr>
        <w:widowControl/>
        <w:suppressAutoHyphens/>
        <w:adjustRightInd w:val="0"/>
        <w:spacing w:after="120"/>
        <w:ind w:left="1440"/>
        <w:rPr>
          <w:rFonts w:eastAsia="Times New Roman" w:cs="Calibri"/>
          <w:kern w:val="2"/>
          <w:szCs w:val="24"/>
          <w14:ligatures w14:val="standardContextual"/>
        </w:rPr>
      </w:pPr>
    </w:p>
    <w:p w14:paraId="2E2F3807" w14:textId="77777777" w:rsidR="00650744" w:rsidRPr="00650744" w:rsidRDefault="00650744" w:rsidP="00C9571B">
      <w:pPr>
        <w:widowControl/>
        <w:numPr>
          <w:ilvl w:val="0"/>
          <w:numId w:val="1"/>
        </w:numPr>
        <w:suppressAutoHyphens/>
        <w:autoSpaceDE/>
        <w:autoSpaceDN/>
        <w:spacing w:after="120"/>
        <w:jc w:val="both"/>
        <w:rPr>
          <w:rFonts w:eastAsia="Arial" w:cs="Calibri"/>
          <w:kern w:val="2"/>
          <w:szCs w:val="24"/>
        </w:rPr>
      </w:pPr>
      <w:r w:rsidRPr="00650744">
        <w:rPr>
          <w:rFonts w:eastAsia="Arial" w:cs="Calibri"/>
          <w:b/>
          <w:kern w:val="2"/>
          <w:szCs w:val="24"/>
        </w:rPr>
        <w:t xml:space="preserve">Patient Satisfaction: </w:t>
      </w:r>
      <w:r w:rsidRPr="00650744">
        <w:rPr>
          <w:rFonts w:eastAsia="Arial" w:cs="Calibri"/>
          <w:kern w:val="2"/>
          <w:szCs w:val="24"/>
        </w:rPr>
        <w:t xml:space="preserve">Patients who are satisfied with their care are more likely to seek additional treatment when needed. The Applicant will continue to review patient satisfaction levels of the Endoscopy Center’s patients and compare it across similar facilities and regional benchmarks. </w:t>
      </w:r>
    </w:p>
    <w:p w14:paraId="64853829" w14:textId="1642CE66" w:rsidR="00650744" w:rsidRPr="00650744" w:rsidRDefault="00650744" w:rsidP="00650744">
      <w:pPr>
        <w:widowControl/>
        <w:spacing w:after="120"/>
        <w:ind w:left="720"/>
        <w:jc w:val="both"/>
        <w:rPr>
          <w:rFonts w:eastAsia="Arial" w:cs="Calibri"/>
          <w:kern w:val="2"/>
          <w:szCs w:val="24"/>
        </w:rPr>
      </w:pPr>
      <w:r w:rsidRPr="00650744">
        <w:rPr>
          <w:rFonts w:eastAsia="Arial" w:cs="Calibri"/>
          <w:b/>
          <w:kern w:val="2"/>
          <w:szCs w:val="24"/>
        </w:rPr>
        <w:t>Measure:</w:t>
      </w:r>
      <w:r w:rsidRPr="00650744">
        <w:rPr>
          <w:rFonts w:eastAsia="Arial" w:cs="Calibri"/>
          <w:kern w:val="2"/>
          <w:szCs w:val="24"/>
        </w:rPr>
        <w:t xml:space="preserve"> A Press Ganey Patient Satisfaction survey is provided to all eligible patients following their procedure at the Endoscopy Center. This survey focuses on the patient’s experience in multiple areas, including net promoter score (NPS), wait times, facility operations, care communication, nurse/physician treatment, and discharge. The survey also allows for anonymous comments from patients to </w:t>
      </w:r>
      <w:r w:rsidR="00B442DB" w:rsidRPr="00650744">
        <w:rPr>
          <w:rFonts w:eastAsia="Arial" w:cs="Calibri"/>
          <w:kern w:val="2"/>
          <w:szCs w:val="24"/>
        </w:rPr>
        <w:t>provide further</w:t>
      </w:r>
      <w:r w:rsidRPr="00650744">
        <w:rPr>
          <w:rFonts w:eastAsia="Arial" w:cs="Calibri"/>
          <w:kern w:val="2"/>
          <w:szCs w:val="24"/>
        </w:rPr>
        <w:t xml:space="preserve"> insight into potential areas of improvements as well as patient concerns or commendations. </w:t>
      </w:r>
    </w:p>
    <w:p w14:paraId="6BFD792A" w14:textId="77777777" w:rsidR="00374E3C" w:rsidRDefault="00374E3C">
      <w:pPr>
        <w:rPr>
          <w:rFonts w:asciiTheme="minorHAnsi" w:hAnsiTheme="minorHAnsi"/>
          <w:b/>
          <w:bCs/>
          <w:color w:val="1F497D" w:themeColor="text2"/>
          <w:sz w:val="28"/>
          <w:szCs w:val="28"/>
        </w:rPr>
        <w:sectPr w:rsidR="00374E3C">
          <w:headerReference w:type="even" r:id="rId20"/>
          <w:headerReference w:type="default" r:id="rId21"/>
          <w:footerReference w:type="default" r:id="rId22"/>
          <w:headerReference w:type="first" r:id="rId23"/>
          <w:endnotePr>
            <w:numFmt w:val="lowerLetter"/>
          </w:endnotePr>
          <w:pgSz w:w="12240" w:h="15840"/>
          <w:pgMar w:top="1140" w:right="1200" w:bottom="1240" w:left="1220" w:header="0" w:footer="1058" w:gutter="0"/>
          <w:cols w:space="720"/>
        </w:sectPr>
      </w:pPr>
    </w:p>
    <w:p w14:paraId="0306810F" w14:textId="03F06830" w:rsidR="00B447F3" w:rsidRDefault="00B50A1D" w:rsidP="00B50A1D">
      <w:pPr>
        <w:pStyle w:val="Heading2"/>
      </w:pPr>
      <w:bookmarkStart w:id="33" w:name="_Toc226541466"/>
      <w:r w:rsidRPr="00F80934">
        <w:lastRenderedPageBreak/>
        <w:t>References</w:t>
      </w:r>
      <w:bookmarkEnd w:id="33"/>
    </w:p>
    <w:sectPr w:rsidR="00B447F3">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2F32" w14:textId="77777777" w:rsidR="00134B3A" w:rsidRDefault="00134B3A">
      <w:r>
        <w:separator/>
      </w:r>
    </w:p>
  </w:endnote>
  <w:endnote w:type="continuationSeparator" w:id="0">
    <w:p w14:paraId="5837FC65" w14:textId="77777777" w:rsidR="00134B3A" w:rsidRDefault="00134B3A">
      <w:r>
        <w:continuationSeparator/>
      </w:r>
    </w:p>
  </w:endnote>
  <w:endnote w:type="continuationNotice" w:id="1">
    <w:p w14:paraId="37E5A464" w14:textId="77777777" w:rsidR="00134B3A" w:rsidRDefault="00134B3A"/>
  </w:endnote>
  <w:endnote w:id="2">
    <w:p w14:paraId="3CD0C121" w14:textId="57CC7D35" w:rsidR="00620D10" w:rsidRDefault="00620D10" w:rsidP="00620D10">
      <w:pPr>
        <w:ind w:right="213"/>
      </w:pPr>
      <w:r w:rsidRPr="005B4B2E">
        <w:rPr>
          <w:rStyle w:val="EndnoteReference"/>
          <w:sz w:val="20"/>
        </w:rPr>
        <w:endnoteRef/>
      </w:r>
      <w:r w:rsidRPr="005B4B2E">
        <w:rPr>
          <w:sz w:val="20"/>
        </w:rPr>
        <w:t xml:space="preserve"> </w:t>
      </w:r>
      <w:hyperlink r:id="rId1" w:history="1">
        <w:r w:rsidRPr="00BF6969">
          <w:rPr>
            <w:rStyle w:val="Hyperlink"/>
            <w:color w:val="000000" w:themeColor="text1"/>
            <w:sz w:val="20"/>
            <w:u w:val="none"/>
          </w:rPr>
          <w:t>Center for Health Information and Analysis</w:t>
        </w:r>
      </w:hyperlink>
      <w:r w:rsidRPr="00BF6969">
        <w:rPr>
          <w:color w:val="000000" w:themeColor="text1"/>
          <w:sz w:val="20"/>
        </w:rPr>
        <w:t xml:space="preserve">. </w:t>
      </w:r>
      <w:hyperlink r:id="rId2" w:history="1">
        <w:r w:rsidRPr="002366DF">
          <w:rPr>
            <w:rStyle w:val="Hyperlink"/>
            <w:sz w:val="20"/>
          </w:rPr>
          <w:t xml:space="preserve">Massachusetts </w:t>
        </w:r>
        <w:r w:rsidR="00BF6969" w:rsidRPr="002366DF">
          <w:rPr>
            <w:rStyle w:val="Hyperlink"/>
            <w:sz w:val="20"/>
          </w:rPr>
          <w:t xml:space="preserve">Acute </w:t>
        </w:r>
        <w:r w:rsidRPr="002366DF">
          <w:rPr>
            <w:rStyle w:val="Hyperlink"/>
            <w:sz w:val="20"/>
          </w:rPr>
          <w:t xml:space="preserve">Hospital Profiles. </w:t>
        </w:r>
      </w:hyperlink>
    </w:p>
    <w:p w14:paraId="5FCCEC94" w14:textId="00C3628B" w:rsidR="00BF6969" w:rsidRPr="005B4B2E" w:rsidRDefault="00BF6969" w:rsidP="00620D10">
      <w:pPr>
        <w:ind w:right="213"/>
        <w:rPr>
          <w:sz w:val="20"/>
        </w:rPr>
      </w:pPr>
      <w:hyperlink r:id="rId3" w:history="1">
        <w:r w:rsidRPr="00D0649C">
          <w:rPr>
            <w:rStyle w:val="Hyperlink"/>
            <w:sz w:val="20"/>
          </w:rPr>
          <w:t>https://www.chiamass.gov/massachusetts-acute-hospital-profiles/</w:t>
        </w:r>
      </w:hyperlink>
      <w:r>
        <w:rPr>
          <w:sz w:val="20"/>
        </w:rPr>
        <w:t xml:space="preserve"> </w:t>
      </w:r>
    </w:p>
  </w:endnote>
  <w:endnote w:id="3">
    <w:p w14:paraId="083A7993" w14:textId="0D3010ED" w:rsidR="00500554" w:rsidRDefault="00500554" w:rsidP="00500554">
      <w:pPr>
        <w:pStyle w:val="EndnoteText"/>
      </w:pPr>
      <w:r>
        <w:rPr>
          <w:rStyle w:val="EndnoteReference"/>
        </w:rPr>
        <w:endnoteRef/>
      </w:r>
      <w:r>
        <w:t xml:space="preserve"> Center for Health Information and Analysis (CHIA). </w:t>
      </w:r>
      <w:hyperlink r:id="rId4" w:history="1">
        <w:r w:rsidRPr="002C310C">
          <w:rPr>
            <w:rStyle w:val="Hyperlink"/>
          </w:rPr>
          <w:t>Massachusetts Health Insurance Enrollment Overview, March 2023-March 2025</w:t>
        </w:r>
      </w:hyperlink>
      <w:r>
        <w:t xml:space="preserve">. </w:t>
      </w:r>
    </w:p>
    <w:p w14:paraId="46569F78" w14:textId="77777777" w:rsidR="00500554" w:rsidRDefault="00500554" w:rsidP="00500554">
      <w:pPr>
        <w:pStyle w:val="EndnoteText"/>
      </w:pPr>
      <w:hyperlink r:id="rId5" w:history="1">
        <w:r w:rsidRPr="00765E20">
          <w:rPr>
            <w:rStyle w:val="Hyperlink"/>
          </w:rPr>
          <w:t>https://www.chiamass.gov/enrollment-in-health-insurance/</w:t>
        </w:r>
      </w:hyperlink>
      <w:r>
        <w:t xml:space="preserve"> </w:t>
      </w:r>
    </w:p>
  </w:endnote>
  <w:endnote w:id="4">
    <w:p w14:paraId="142CF021" w14:textId="7A5F5214" w:rsidR="00EA5B99" w:rsidRDefault="00EA5B99">
      <w:pPr>
        <w:pStyle w:val="EndnoteText"/>
      </w:pPr>
      <w:r>
        <w:rPr>
          <w:rStyle w:val="EndnoteReference"/>
        </w:rPr>
        <w:endnoteRef/>
      </w:r>
      <w:r>
        <w:t xml:space="preserve"> </w:t>
      </w:r>
      <w:hyperlink r:id="rId6" w:history="1">
        <w:r w:rsidRPr="002C310C">
          <w:rPr>
            <w:rStyle w:val="Hyperlink"/>
          </w:rPr>
          <w:t xml:space="preserve">National Cancer Institute. </w:t>
        </w:r>
        <w:r w:rsidR="001D1925" w:rsidRPr="002C310C">
          <w:rPr>
            <w:rStyle w:val="Hyperlink"/>
          </w:rPr>
          <w:t>Cancer Stat Facts: Colorectal Cancer</w:t>
        </w:r>
      </w:hyperlink>
      <w:r w:rsidR="001D1925">
        <w:t xml:space="preserve">. </w:t>
      </w:r>
    </w:p>
    <w:p w14:paraId="652D4A57" w14:textId="1C7E8972" w:rsidR="001D1925" w:rsidRDefault="001D1925">
      <w:pPr>
        <w:pStyle w:val="EndnoteText"/>
      </w:pPr>
      <w:hyperlink r:id="rId7" w:history="1">
        <w:r w:rsidRPr="00340F03">
          <w:rPr>
            <w:rStyle w:val="Hyperlink"/>
          </w:rPr>
          <w:t>https://seer.cancer.gov/statfacts/html/colorect.html</w:t>
        </w:r>
      </w:hyperlink>
      <w:r>
        <w:t xml:space="preserve"> </w:t>
      </w:r>
    </w:p>
  </w:endnote>
  <w:endnote w:id="5">
    <w:p w14:paraId="2F0F74A1" w14:textId="070F797D" w:rsidR="005B6E13" w:rsidRDefault="00477107" w:rsidP="00F2185D">
      <w:pPr>
        <w:pStyle w:val="EndnoteText"/>
      </w:pPr>
      <w:r>
        <w:rPr>
          <w:rStyle w:val="EndnoteReference"/>
        </w:rPr>
        <w:endnoteRef/>
      </w:r>
      <w:r>
        <w:t xml:space="preserve"> </w:t>
      </w:r>
      <w:r w:rsidR="00F2185D" w:rsidRPr="00F2185D">
        <w:t>Siegel RL, Wagle NS, Jemal A. Leading Cancer Deaths in People Younger Than 50 Years. JAMA. Published online January 22, 2026. doi:10.1001/jama.2025.25467</w:t>
      </w:r>
    </w:p>
  </w:endnote>
  <w:endnote w:id="6">
    <w:p w14:paraId="3CB8AF44" w14:textId="66382017" w:rsidR="006C033B" w:rsidRDefault="006C033B" w:rsidP="006C033B">
      <w:pPr>
        <w:pStyle w:val="EndnoteText"/>
      </w:pPr>
      <w:r>
        <w:rPr>
          <w:rStyle w:val="EndnoteReference"/>
        </w:rPr>
        <w:endnoteRef/>
      </w:r>
      <w:r>
        <w:t xml:space="preserve"> American Cancer Society. </w:t>
      </w:r>
      <w:hyperlink r:id="rId8" w:history="1">
        <w:r w:rsidRPr="002C310C">
          <w:rPr>
            <w:rStyle w:val="Hyperlink"/>
          </w:rPr>
          <w:t>Colorectal Cancer Facts &amp; Figures 2023-2025.</w:t>
        </w:r>
      </w:hyperlink>
      <w:r>
        <w:t xml:space="preserve"> Atlanta: American Cancer Society; 2023.</w:t>
      </w:r>
    </w:p>
    <w:p w14:paraId="14288BB6" w14:textId="77777777" w:rsidR="006C033B" w:rsidRDefault="006C033B" w:rsidP="006C033B">
      <w:pPr>
        <w:pStyle w:val="EndnoteText"/>
      </w:pPr>
      <w:hyperlink r:id="rId9" w:history="1">
        <w:r w:rsidRPr="00340F03">
          <w:rPr>
            <w:rStyle w:val="Hyperlink"/>
          </w:rPr>
          <w:t>https://www.cancer.org/content/dam/cancer-org/research/cancer-facts-and-statistics/colorectal-cancer-facts-and-figures/colorectal-cancer-facts-and-figures-2023.pdf</w:t>
        </w:r>
      </w:hyperlink>
      <w:r>
        <w:t xml:space="preserve"> </w:t>
      </w:r>
    </w:p>
  </w:endnote>
  <w:endnote w:id="7">
    <w:p w14:paraId="78E67143" w14:textId="5015EC80" w:rsidR="009F6339" w:rsidRDefault="009F6339">
      <w:pPr>
        <w:pStyle w:val="EndnoteText"/>
      </w:pPr>
      <w:r>
        <w:rPr>
          <w:rStyle w:val="EndnoteReference"/>
        </w:rPr>
        <w:endnoteRef/>
      </w:r>
      <w:r>
        <w:t xml:space="preserve"> </w:t>
      </w:r>
      <w:r w:rsidR="00DE1931">
        <w:t xml:space="preserve">American Cancer Society. </w:t>
      </w:r>
      <w:hyperlink r:id="rId10" w:history="1">
        <w:r w:rsidR="00DE1931" w:rsidRPr="00CF4377">
          <w:rPr>
            <w:rStyle w:val="Hyperlink"/>
          </w:rPr>
          <w:t>New Research: Rectal Cancer Incidence Rising After Decades of Decline as Colorectal Cancer Shifts Toward Younger Generations</w:t>
        </w:r>
      </w:hyperlink>
      <w:r w:rsidR="00DE1931">
        <w:t xml:space="preserve">. </w:t>
      </w:r>
      <w:hyperlink r:id="rId11" w:history="1">
        <w:r w:rsidR="00DE1931" w:rsidRPr="00304693">
          <w:rPr>
            <w:rStyle w:val="Hyperlink"/>
          </w:rPr>
          <w:t>https://www.prnewswire.com/news-releases/new-research-rectal-cancer-incidence-rising-after-decades-of-decline-as-colorectal-cancer-shifts-toward-younger-generations-302700398.html</w:t>
        </w:r>
      </w:hyperlink>
      <w:r w:rsidR="00DE1931">
        <w:t xml:space="preserve"> </w:t>
      </w:r>
    </w:p>
  </w:endnote>
  <w:endnote w:id="8">
    <w:p w14:paraId="5E72A0A0" w14:textId="45AD1FBF" w:rsidR="004519A1" w:rsidRDefault="004519A1">
      <w:pPr>
        <w:pStyle w:val="EndnoteText"/>
      </w:pPr>
      <w:r>
        <w:rPr>
          <w:rStyle w:val="EndnoteReference"/>
        </w:rPr>
        <w:endnoteRef/>
      </w:r>
      <w:r>
        <w:t xml:space="preserve"> </w:t>
      </w:r>
      <w:r w:rsidR="005B0230" w:rsidRPr="005B0230">
        <w:t>Dharwadkar P, Zaki TA, Murphy CC. Colorectal Cancer in Younger Adults. Hematol Oncol Clin North Am. 2022 Jun;36(3):449-470. doi: 10.1016/j.hoc.2022.02.005. Epub 2022 May 13. PMID: 35577711; PMCID: PMC9177054.</w:t>
      </w:r>
    </w:p>
  </w:endnote>
  <w:endnote w:id="9">
    <w:p w14:paraId="00A00B7C" w14:textId="06E08B42" w:rsidR="00173148" w:rsidRDefault="00173148">
      <w:pPr>
        <w:pStyle w:val="EndnoteText"/>
      </w:pPr>
      <w:r>
        <w:rPr>
          <w:rStyle w:val="EndnoteReference"/>
        </w:rPr>
        <w:endnoteRef/>
      </w:r>
      <w:r>
        <w:t xml:space="preserve"> Digestive Disease Week. </w:t>
      </w:r>
      <w:hyperlink r:id="rId12" w:anchor=":~:text=WASHINGTON%2C%20D.C.%20(May%209%2C,contributors%20to%20colorectal%20cancer%20risk" w:history="1">
        <w:r w:rsidRPr="00CF4377">
          <w:rPr>
            <w:rStyle w:val="Hyperlink"/>
          </w:rPr>
          <w:t>Colorectal Cancer Cases More than Tripled Among Teens Over Two Decades</w:t>
        </w:r>
      </w:hyperlink>
      <w:r>
        <w:t xml:space="preserve">. May 10, 2024. </w:t>
      </w:r>
    </w:p>
    <w:p w14:paraId="69397033" w14:textId="5FE17331" w:rsidR="00173148" w:rsidRDefault="00173148">
      <w:pPr>
        <w:pStyle w:val="EndnoteText"/>
      </w:pPr>
      <w:hyperlink r:id="rId13" w:anchor=":~:text=WASHINGTON%2C%20D.C.%20(May%209%2C,contributors%20to%20colorectal%20cancer%20risk" w:history="1">
        <w:r w:rsidRPr="007C37AC">
          <w:rPr>
            <w:rStyle w:val="Hyperlink"/>
          </w:rPr>
          <w:t>https://ddw.org/colorectal-cancer-cases-more-than-tripled-among-teens-over-two-decades/#:~:text=WASHINGTON%2C%20D.C.%20(May%209%2C,contributors%20to%20colorectal%20cancer%20risk</w:t>
        </w:r>
      </w:hyperlink>
      <w:r w:rsidRPr="00173148">
        <w:t>.</w:t>
      </w:r>
      <w:r>
        <w:t xml:space="preserve"> </w:t>
      </w:r>
      <w:r w:rsidR="0071090C">
        <w:t xml:space="preserve">                 </w:t>
      </w:r>
    </w:p>
  </w:endnote>
  <w:endnote w:id="10">
    <w:p w14:paraId="6B4D9915" w14:textId="35904FC1" w:rsidR="007C456F" w:rsidRDefault="007C456F" w:rsidP="007C456F">
      <w:pPr>
        <w:pStyle w:val="EndnoteText"/>
      </w:pPr>
      <w:r>
        <w:rPr>
          <w:rStyle w:val="EndnoteReference"/>
        </w:rPr>
        <w:endnoteRef/>
      </w:r>
      <w:r>
        <w:t xml:space="preserve"> American Cancer Society. </w:t>
      </w:r>
      <w:hyperlink r:id="rId14" w:history="1">
        <w:r w:rsidRPr="00CF4377">
          <w:rPr>
            <w:rStyle w:val="Hyperlink"/>
          </w:rPr>
          <w:t>Colorectal Cancer Facts &amp; Figures 2023-2025</w:t>
        </w:r>
      </w:hyperlink>
      <w:r>
        <w:t>. Atlanta: American Cancer Society; 2023.</w:t>
      </w:r>
    </w:p>
    <w:p w14:paraId="1AF69C0A" w14:textId="77777777" w:rsidR="007C456F" w:rsidRDefault="007C456F" w:rsidP="007C456F">
      <w:pPr>
        <w:pStyle w:val="EndnoteText"/>
      </w:pPr>
      <w:hyperlink r:id="rId15" w:history="1">
        <w:r w:rsidRPr="00340F03">
          <w:rPr>
            <w:rStyle w:val="Hyperlink"/>
          </w:rPr>
          <w:t>https://www.cancer.org/content/dam/cancer-org/research/cancer-facts-and-statistics/colorectal-cancer-facts-and-figures/colorectal-cancer-facts-and-figures-2023.pdf</w:t>
        </w:r>
      </w:hyperlink>
      <w:r>
        <w:t xml:space="preserve"> </w:t>
      </w:r>
    </w:p>
  </w:endnote>
  <w:endnote w:id="11">
    <w:p w14:paraId="457CA3FF" w14:textId="2BC68EBC" w:rsidR="002144AC" w:rsidRDefault="002144AC">
      <w:pPr>
        <w:pStyle w:val="EndnoteText"/>
      </w:pPr>
      <w:r>
        <w:rPr>
          <w:rStyle w:val="EndnoteReference"/>
        </w:rPr>
        <w:endnoteRef/>
      </w:r>
      <w:r>
        <w:t xml:space="preserve"> American Cancer Society. </w:t>
      </w:r>
      <w:hyperlink r:id="rId16" w:history="1">
        <w:r w:rsidRPr="008A2859">
          <w:rPr>
            <w:rStyle w:val="Hyperlink"/>
          </w:rPr>
          <w:t>Wha is Colorectal Cancer?</w:t>
        </w:r>
      </w:hyperlink>
    </w:p>
    <w:p w14:paraId="7290904D" w14:textId="0763081E" w:rsidR="002144AC" w:rsidRDefault="00927023">
      <w:pPr>
        <w:pStyle w:val="EndnoteText"/>
      </w:pPr>
      <w:hyperlink r:id="rId17" w:history="1">
        <w:r w:rsidRPr="00340F03">
          <w:rPr>
            <w:rStyle w:val="Hyperlink"/>
          </w:rPr>
          <w:t>https://www.cancer.org/cancer/types/colon-rectal-cancer/about/what-is-colorectal-cancer.html</w:t>
        </w:r>
      </w:hyperlink>
      <w:r>
        <w:t xml:space="preserve"> </w:t>
      </w:r>
    </w:p>
  </w:endnote>
  <w:endnote w:id="12">
    <w:p w14:paraId="35EAC325" w14:textId="69D8C3AF" w:rsidR="00580300" w:rsidRDefault="00580300" w:rsidP="00580300">
      <w:pPr>
        <w:pStyle w:val="EndnoteText"/>
      </w:pPr>
      <w:r>
        <w:rPr>
          <w:rStyle w:val="EndnoteReference"/>
        </w:rPr>
        <w:endnoteRef/>
      </w:r>
      <w:r>
        <w:t xml:space="preserve"> American Cancer Society. </w:t>
      </w:r>
      <w:hyperlink r:id="rId18" w:history="1">
        <w:r w:rsidRPr="0056766D">
          <w:rPr>
            <w:rStyle w:val="Hyperlink"/>
          </w:rPr>
          <w:t>Colorectal Cancer Facts &amp; Figures 2023-2025.</w:t>
        </w:r>
      </w:hyperlink>
      <w:r>
        <w:t xml:space="preserve"> Atlanta: American Cancer Society; 2023.</w:t>
      </w:r>
    </w:p>
    <w:p w14:paraId="0A4D2967" w14:textId="77777777" w:rsidR="00580300" w:rsidRDefault="00580300" w:rsidP="00580300">
      <w:pPr>
        <w:pStyle w:val="EndnoteText"/>
      </w:pPr>
      <w:hyperlink r:id="rId19" w:history="1">
        <w:r w:rsidRPr="00340F03">
          <w:rPr>
            <w:rStyle w:val="Hyperlink"/>
          </w:rPr>
          <w:t>https://www.cancer.org/content/dam/cancer-org/research/cancer-facts-and-statistics/colorectal-cancer-facts-and-figures/colorectal-cancer-facts-and-figures-2023.pdf</w:t>
        </w:r>
      </w:hyperlink>
      <w:r>
        <w:t xml:space="preserve"> </w:t>
      </w:r>
    </w:p>
  </w:endnote>
  <w:endnote w:id="13">
    <w:p w14:paraId="6C823665" w14:textId="1DB2F8FB" w:rsidR="00A534EF" w:rsidRDefault="00A534EF" w:rsidP="00A534EF">
      <w:pPr>
        <w:pStyle w:val="EndnoteText"/>
      </w:pPr>
      <w:r>
        <w:rPr>
          <w:rStyle w:val="EndnoteReference"/>
        </w:rPr>
        <w:endnoteRef/>
      </w:r>
      <w:r>
        <w:t xml:space="preserve"> American Cancer Society. </w:t>
      </w:r>
      <w:hyperlink r:id="rId20" w:history="1">
        <w:r w:rsidRPr="004F5E92">
          <w:rPr>
            <w:rStyle w:val="Hyperlink"/>
          </w:rPr>
          <w:t xml:space="preserve">Cancer Facts &amp; Figures 2025. </w:t>
        </w:r>
      </w:hyperlink>
      <w:r>
        <w:t xml:space="preserve">Atlanta: American Cancer Society; 2025. </w:t>
      </w:r>
    </w:p>
    <w:p w14:paraId="38D0838B" w14:textId="1BF2C36D" w:rsidR="00A534EF" w:rsidRDefault="00907164" w:rsidP="00A534EF">
      <w:pPr>
        <w:pStyle w:val="EndnoteText"/>
      </w:pPr>
      <w:hyperlink r:id="rId21" w:history="1">
        <w:r w:rsidRPr="00340F03">
          <w:rPr>
            <w:rStyle w:val="Hyperlink"/>
          </w:rPr>
          <w:t>https://www.cancer.org/content/dam/cancer-org/research/cancer-facts-and-statistics/annual-cancer-facts-and-figures/2025/2025-cancer-facts-and-figures-acs.pdf</w:t>
        </w:r>
      </w:hyperlink>
      <w:r>
        <w:t xml:space="preserve"> </w:t>
      </w:r>
    </w:p>
  </w:endnote>
  <w:endnote w:id="14">
    <w:p w14:paraId="16F2FE39" w14:textId="7794BF75" w:rsidR="000D7297" w:rsidRDefault="000D7297">
      <w:pPr>
        <w:pStyle w:val="EndnoteText"/>
      </w:pPr>
      <w:r>
        <w:rPr>
          <w:rStyle w:val="EndnoteReference"/>
        </w:rPr>
        <w:endnoteRef/>
      </w:r>
      <w:r>
        <w:t xml:space="preserve"> American Cancer Society. </w:t>
      </w:r>
      <w:hyperlink r:id="rId22" w:history="1">
        <w:r w:rsidRPr="00BB7879">
          <w:rPr>
            <w:rStyle w:val="Hyperlink"/>
          </w:rPr>
          <w:t>Colorectal Cancer Screening Tests.</w:t>
        </w:r>
      </w:hyperlink>
    </w:p>
    <w:p w14:paraId="36CB3F5E" w14:textId="04418D9E" w:rsidR="000D7297" w:rsidRDefault="000F6029">
      <w:pPr>
        <w:pStyle w:val="EndnoteText"/>
      </w:pPr>
      <w:hyperlink r:id="rId23" w:history="1">
        <w:r w:rsidRPr="00340F03">
          <w:rPr>
            <w:rStyle w:val="Hyperlink"/>
          </w:rPr>
          <w:t>https://www.cancer.org/cancer/types/colon-rectal-cancer/detection-diagnosis-staging/screening-tests-used.html</w:t>
        </w:r>
      </w:hyperlink>
      <w:r>
        <w:t xml:space="preserve"> </w:t>
      </w:r>
    </w:p>
  </w:endnote>
  <w:endnote w:id="15">
    <w:p w14:paraId="3F2BE06F" w14:textId="032132D2" w:rsidR="00F9636B" w:rsidRDefault="00F9636B" w:rsidP="00F9636B">
      <w:pPr>
        <w:pStyle w:val="EndnoteText"/>
      </w:pPr>
      <w:r>
        <w:rPr>
          <w:rStyle w:val="EndnoteReference"/>
        </w:rPr>
        <w:endnoteRef/>
      </w:r>
      <w:r>
        <w:t xml:space="preserve"> American Cancer Society. </w:t>
      </w:r>
      <w:hyperlink r:id="rId24" w:history="1">
        <w:r w:rsidRPr="00BB7879">
          <w:rPr>
            <w:rStyle w:val="Hyperlink"/>
          </w:rPr>
          <w:t>Colorectal Cancer Screening Tests.</w:t>
        </w:r>
      </w:hyperlink>
    </w:p>
    <w:p w14:paraId="114DD5F3" w14:textId="77777777" w:rsidR="00F9636B" w:rsidRDefault="00F9636B" w:rsidP="00F9636B">
      <w:pPr>
        <w:pStyle w:val="EndnoteText"/>
      </w:pPr>
      <w:hyperlink r:id="rId25" w:history="1">
        <w:r w:rsidRPr="00340F03">
          <w:rPr>
            <w:rStyle w:val="Hyperlink"/>
          </w:rPr>
          <w:t>https://www.cancer.org/cancer/types/colon-rectal-cancer/detection-diagnosis-staging/screening-tests-used.html</w:t>
        </w:r>
      </w:hyperlink>
      <w:r>
        <w:t xml:space="preserve"> </w:t>
      </w:r>
    </w:p>
  </w:endnote>
  <w:endnote w:id="16">
    <w:p w14:paraId="113F732F" w14:textId="25D1D290" w:rsidR="00731678" w:rsidRDefault="00731678">
      <w:pPr>
        <w:pStyle w:val="EndnoteText"/>
      </w:pPr>
      <w:r>
        <w:rPr>
          <w:rStyle w:val="EndnoteReference"/>
        </w:rPr>
        <w:endnoteRef/>
      </w:r>
      <w:r>
        <w:t xml:space="preserve"> </w:t>
      </w:r>
      <w:r w:rsidR="00E25E47" w:rsidRPr="00E25E47">
        <w:t>Nishihara R, Wu K, Lochhead P, Morikawa T, Liao X, Qian ZR, Inamura K, Kim SA, Kuchiba A, Yamauchi M, Imamura Y, Willett WC, Rosner BA, Fuchs CS, Giovannucci E, Ogino S, Chan AT. Long-term colorectal-cancer incidence and mortality after lower endoscopy. N Engl J Med. 2013 Sep 19;369(12):1095-105. doi: 10.1056/NEJMoa1301969. PMID: 24047059; PMCID: PMC3840160.</w:t>
      </w:r>
    </w:p>
  </w:endnote>
  <w:endnote w:id="17">
    <w:p w14:paraId="5D4FA68E" w14:textId="017CBA03" w:rsidR="0067660A" w:rsidRDefault="0067660A">
      <w:pPr>
        <w:pStyle w:val="EndnoteText"/>
      </w:pPr>
      <w:r>
        <w:rPr>
          <w:rStyle w:val="EndnoteReference"/>
        </w:rPr>
        <w:endnoteRef/>
      </w:r>
      <w:r>
        <w:t xml:space="preserve"> </w:t>
      </w:r>
      <w:r w:rsidR="000C30AC" w:rsidRPr="000C30AC">
        <w:t>Lee JK, Jensen CD, Levin TR, Zauber AG, Schottinger JE, Quinn VP, Udaltsova N, Zhao WK, Fireman BH, Quesenberry CP, Doubeni CA, Corley DA. Long-term Risk of Colorectal Cancer and Related Deaths After a Colonoscopy With Normal Findings. JAMA Intern Med. 2019 Feb 1;179(2):153-160. doi: 10.1001/jamainternmed.2018.5565. PMID: 30556824; PMCID: PMC6439662.</w:t>
      </w:r>
    </w:p>
  </w:endnote>
  <w:endnote w:id="18">
    <w:p w14:paraId="41D216FF" w14:textId="55B939B0" w:rsidR="00955A04" w:rsidRDefault="00955A04">
      <w:pPr>
        <w:pStyle w:val="EndnoteText"/>
      </w:pPr>
      <w:r>
        <w:rPr>
          <w:rStyle w:val="EndnoteReference"/>
        </w:rPr>
        <w:endnoteRef/>
      </w:r>
      <w:r>
        <w:t xml:space="preserve"> </w:t>
      </w:r>
      <w:r w:rsidR="00347D1F" w:rsidRPr="00347D1F">
        <w:t xml:space="preserve">U.S. Cancer Statistics Working Group. </w:t>
      </w:r>
      <w:hyperlink r:id="rId26" w:history="1">
        <w:r w:rsidR="00347D1F" w:rsidRPr="00BB7879">
          <w:rPr>
            <w:rStyle w:val="Hyperlink"/>
          </w:rPr>
          <w:t>U.S. Cancer Statistics Data Visualizations Tool</w:t>
        </w:r>
      </w:hyperlink>
      <w:r w:rsidR="00347D1F" w:rsidRPr="00347D1F">
        <w:t>. U.S. Department of Health and Human Services, Centers for Disease Control and Prevention and National Cancer Institute; </w:t>
      </w:r>
      <w:hyperlink r:id="rId27" w:history="1">
        <w:r w:rsidR="00347D1F" w:rsidRPr="00347D1F">
          <w:rPr>
            <w:rStyle w:val="Hyperlink"/>
          </w:rPr>
          <w:t>https://www.cdc.gov/cancer/dataviz</w:t>
        </w:r>
      </w:hyperlink>
      <w:r w:rsidR="00347D1F" w:rsidRPr="00347D1F">
        <w:t>, released in June 2025.</w:t>
      </w:r>
    </w:p>
  </w:endnote>
  <w:endnote w:id="19">
    <w:p w14:paraId="6A3E616C" w14:textId="24597679" w:rsidR="00234F7C" w:rsidRDefault="008256E6">
      <w:pPr>
        <w:pStyle w:val="EndnoteText"/>
      </w:pPr>
      <w:r>
        <w:rPr>
          <w:rStyle w:val="EndnoteReference"/>
        </w:rPr>
        <w:endnoteRef/>
      </w:r>
      <w:r>
        <w:t xml:space="preserve"> </w:t>
      </w:r>
      <w:r w:rsidR="00234F7C">
        <w:t xml:space="preserve">National Cancer Institute. </w:t>
      </w:r>
      <w:hyperlink r:id="rId28" w:history="1">
        <w:r w:rsidR="00D05E1E" w:rsidRPr="00EE6AE5">
          <w:rPr>
            <w:rStyle w:val="Hyperlink"/>
          </w:rPr>
          <w:t>Cancer Stat Facts: Colorectal Cancer</w:t>
        </w:r>
      </w:hyperlink>
    </w:p>
    <w:p w14:paraId="1E6C8248" w14:textId="270725E0" w:rsidR="008256E6" w:rsidRDefault="00234F7C">
      <w:pPr>
        <w:pStyle w:val="EndnoteText"/>
      </w:pPr>
      <w:hyperlink r:id="rId29" w:history="1">
        <w:r w:rsidRPr="006B47D4">
          <w:rPr>
            <w:rStyle w:val="Hyperlink"/>
          </w:rPr>
          <w:t>https://seer.cancer.gov/statfacts/html/colorect.html</w:t>
        </w:r>
      </w:hyperlink>
      <w:r>
        <w:t xml:space="preserve"> </w:t>
      </w:r>
    </w:p>
  </w:endnote>
  <w:endnote w:id="20">
    <w:p w14:paraId="4DC984AC" w14:textId="60D250BC" w:rsidR="00650744" w:rsidRDefault="00650744">
      <w:pPr>
        <w:pStyle w:val="EndnoteText"/>
      </w:pPr>
      <w:r>
        <w:rPr>
          <w:rStyle w:val="EndnoteReference"/>
        </w:rPr>
        <w:endnoteRef/>
      </w:r>
      <w:r>
        <w:t xml:space="preserve"> Cleveland Clinic. </w:t>
      </w:r>
      <w:hyperlink r:id="rId30" w:history="1">
        <w:r w:rsidRPr="00867E4C">
          <w:rPr>
            <w:rStyle w:val="Hyperlink"/>
          </w:rPr>
          <w:t>Endoscopy</w:t>
        </w:r>
      </w:hyperlink>
      <w:r>
        <w:t xml:space="preserve">. </w:t>
      </w:r>
      <w:hyperlink r:id="rId31" w:history="1">
        <w:r w:rsidRPr="007C37AC">
          <w:rPr>
            <w:rStyle w:val="Hyperlink"/>
          </w:rPr>
          <w:t>https://my.clevelandclinic.org/health/diagnostics/25126-endoscopy</w:t>
        </w:r>
      </w:hyperlink>
      <w:r>
        <w:t xml:space="preserve"> </w:t>
      </w:r>
    </w:p>
  </w:endnote>
  <w:endnote w:id="21">
    <w:p w14:paraId="1AA0E214" w14:textId="0CD549ED" w:rsidR="00650744" w:rsidRDefault="00650744" w:rsidP="00650744">
      <w:pPr>
        <w:pStyle w:val="EndnoteText"/>
      </w:pPr>
      <w:r>
        <w:rPr>
          <w:rStyle w:val="EndnoteReference"/>
        </w:rPr>
        <w:endnoteRef/>
      </w:r>
      <w:r>
        <w:t xml:space="preserve"> Cleveland Clinic. </w:t>
      </w:r>
      <w:hyperlink r:id="rId32" w:history="1">
        <w:r w:rsidRPr="00867E4C">
          <w:rPr>
            <w:rStyle w:val="Hyperlink"/>
          </w:rPr>
          <w:t>Endoscopy</w:t>
        </w:r>
      </w:hyperlink>
      <w:r>
        <w:t xml:space="preserve">. </w:t>
      </w:r>
      <w:hyperlink r:id="rId33" w:history="1">
        <w:r w:rsidRPr="007C37AC">
          <w:rPr>
            <w:rStyle w:val="Hyperlink"/>
          </w:rPr>
          <w:t>https://my.clevelandclinic.org/health/diagnostics/25126-endoscopy</w:t>
        </w:r>
      </w:hyperlink>
      <w:r>
        <w:t xml:space="preserve"> </w:t>
      </w:r>
    </w:p>
  </w:endnote>
  <w:endnote w:id="22">
    <w:p w14:paraId="00434FF0" w14:textId="06B5AD1D" w:rsidR="00650744" w:rsidRDefault="00650744" w:rsidP="00650744">
      <w:pPr>
        <w:pStyle w:val="EndnoteText"/>
      </w:pPr>
      <w:r>
        <w:rPr>
          <w:rStyle w:val="EndnoteReference"/>
        </w:rPr>
        <w:endnoteRef/>
      </w:r>
      <w:r>
        <w:t xml:space="preserve"> Cleveland Clinic. </w:t>
      </w:r>
      <w:hyperlink r:id="rId34" w:history="1">
        <w:r w:rsidRPr="00867E4C">
          <w:rPr>
            <w:rStyle w:val="Hyperlink"/>
          </w:rPr>
          <w:t>Endoscopy</w:t>
        </w:r>
      </w:hyperlink>
      <w:r>
        <w:t xml:space="preserve">. </w:t>
      </w:r>
      <w:hyperlink r:id="rId35" w:history="1">
        <w:r w:rsidRPr="007C37AC">
          <w:rPr>
            <w:rStyle w:val="Hyperlink"/>
          </w:rPr>
          <w:t>https://my.clevelandclinic.org/health/diagnostics/25126-endoscopy</w:t>
        </w:r>
      </w:hyperlink>
      <w:r>
        <w:t xml:space="preserve"> </w:t>
      </w:r>
    </w:p>
  </w:endnote>
  <w:endnote w:id="23">
    <w:p w14:paraId="7AC021D2" w14:textId="179954C2" w:rsidR="00620AEB" w:rsidRDefault="00620AEB">
      <w:pPr>
        <w:pStyle w:val="EndnoteText"/>
      </w:pPr>
      <w:r>
        <w:rPr>
          <w:rStyle w:val="EndnoteReference"/>
        </w:rPr>
        <w:endnoteRef/>
      </w:r>
      <w:r>
        <w:t xml:space="preserve"> National Cancer Institute.</w:t>
      </w:r>
      <w:hyperlink r:id="rId36" w:anchor="results" w:history="1">
        <w:r w:rsidRPr="006645E9">
          <w:rPr>
            <w:rStyle w:val="Hyperlink"/>
          </w:rPr>
          <w:t xml:space="preserve"> State Cancer Profiles. Screening and Risk Factors Table</w:t>
        </w:r>
      </w:hyperlink>
      <w:r>
        <w:t xml:space="preserve">. </w:t>
      </w:r>
      <w:hyperlink r:id="rId37" w:anchor="results" w:history="1">
        <w:r w:rsidRPr="007C37AC">
          <w:rPr>
            <w:rStyle w:val="Hyperlink"/>
          </w:rPr>
          <w:t>https://statecancerprofiles.cancer.gov/risk/index.php?stateFIPS=00&amp;topic=colorec&amp;risk=v521&amp;race=00&amp;sex=0&amp;type=risk#results</w:t>
        </w:r>
      </w:hyperlink>
      <w:r>
        <w:t xml:space="preserve"> </w:t>
      </w:r>
    </w:p>
  </w:endnote>
  <w:endnote w:id="24">
    <w:p w14:paraId="7D35544B" w14:textId="37FCC63C" w:rsidR="00166147" w:rsidRDefault="00166147">
      <w:pPr>
        <w:pStyle w:val="EndnoteText"/>
      </w:pPr>
      <w:r>
        <w:rPr>
          <w:rStyle w:val="EndnoteReference"/>
        </w:rPr>
        <w:endnoteRef/>
      </w:r>
      <w:r>
        <w:t xml:space="preserve"> </w:t>
      </w:r>
      <w:r w:rsidRPr="00166147">
        <w:t>Ahlquist DA. Stool-Based Tests Vs Screening Colonoscopy for the Detection of Colorectal Cancer. Gastroenterol Hepatol (N Y). 2019 Aug;15(8):437-440. PMID: 31592245; PMCID: PMC6771036.</w:t>
      </w:r>
    </w:p>
  </w:endnote>
  <w:endnote w:id="25">
    <w:p w14:paraId="54DA55D1" w14:textId="23A1A3F3" w:rsidR="00620AEB" w:rsidRDefault="00620AEB">
      <w:pPr>
        <w:pStyle w:val="EndnoteText"/>
      </w:pPr>
      <w:r>
        <w:rPr>
          <w:rStyle w:val="EndnoteReference"/>
        </w:rPr>
        <w:endnoteRef/>
      </w:r>
      <w:r>
        <w:t xml:space="preserve"> American Cancer Society. </w:t>
      </w:r>
      <w:hyperlink r:id="rId38" w:history="1">
        <w:r w:rsidRPr="006645E9">
          <w:rPr>
            <w:rStyle w:val="Hyperlink"/>
          </w:rPr>
          <w:t xml:space="preserve">Colorectal Cancer Screening Tests. </w:t>
        </w:r>
      </w:hyperlink>
    </w:p>
    <w:p w14:paraId="281CFB2B" w14:textId="6FBD8669" w:rsidR="00620AEB" w:rsidRDefault="00620AEB">
      <w:pPr>
        <w:pStyle w:val="EndnoteText"/>
      </w:pPr>
      <w:hyperlink r:id="rId39" w:history="1">
        <w:r w:rsidRPr="007C37AC">
          <w:rPr>
            <w:rStyle w:val="Hyperlink"/>
          </w:rPr>
          <w:t>https://www.cancer.org/cancer/types/colon-rectal-cancer/detection-diagnosis-staging/screening-tests-used.html</w:t>
        </w:r>
      </w:hyperlink>
      <w:r>
        <w:t xml:space="preserve"> </w:t>
      </w:r>
    </w:p>
  </w:endnote>
  <w:endnote w:id="26">
    <w:p w14:paraId="796D4508" w14:textId="37A87875" w:rsidR="00166147" w:rsidRDefault="00166147">
      <w:pPr>
        <w:pStyle w:val="EndnoteText"/>
      </w:pPr>
      <w:r>
        <w:rPr>
          <w:rStyle w:val="EndnoteReference"/>
        </w:rPr>
        <w:endnoteRef/>
      </w:r>
      <w:r>
        <w:t xml:space="preserve"> </w:t>
      </w:r>
      <w:r w:rsidRPr="00166147">
        <w:t>Meester RG, Zauber AG, Doubeni CA, Jensen CD, Quinn VP, Helfand M, Dominitz JA, Levin TR, Corley DA, Lansdorp-Vogelaar I. Consequences of Increasing Time to Colonoscopy Examination After Positive Result From Fecal Colorectal Cancer Screening Test. Clin Gastroenterol Hepatol. 2016 Oct;14(10):1445-1451.e8. doi: 10.1016/j.cgh.2016.05.017. Epub 2016 May 19. Erratum in: Clin Gastroenterol Hepatol. 2018 May;16(5):787. doi: 10.1016/j.cgh.2018.02.023. Erratum in: Clin Gastroenterol Hepatol. 2018 Aug;16(8):1365. doi: 10.1016/j.cgh.2018.06.001.. Abstract corrected. PMID: 27211498; PMCID: PMC5028249.</w:t>
      </w:r>
    </w:p>
  </w:endnote>
  <w:endnote w:id="27">
    <w:p w14:paraId="6B7E13C4" w14:textId="2B881A79" w:rsidR="003C660D" w:rsidRDefault="003C660D">
      <w:pPr>
        <w:pStyle w:val="EndnoteText"/>
      </w:pPr>
      <w:r>
        <w:rPr>
          <w:rStyle w:val="EndnoteReference"/>
        </w:rPr>
        <w:endnoteRef/>
      </w:r>
      <w:r>
        <w:t xml:space="preserve"> </w:t>
      </w:r>
      <w:r w:rsidRPr="003C660D">
        <w:t>Alnasser R, Alkhowaiter S, Alhusaini S, Aljarallah B. Factors Associated with Missed and Cancelled Appointments in the Endoscopy Unit: Descriptive Study. Cureus. 2020 Mar 14;12(3):e7264. doi: 10.7759/cureus.7264. PMID: 32292676; PMCID: PMC7153807.</w:t>
      </w:r>
    </w:p>
  </w:endnote>
  <w:endnote w:id="28">
    <w:p w14:paraId="0EE92D9D" w14:textId="36AE20D4" w:rsidR="00E8211B" w:rsidRDefault="00E8211B">
      <w:pPr>
        <w:pStyle w:val="EndnoteText"/>
      </w:pPr>
      <w:r>
        <w:rPr>
          <w:rStyle w:val="EndnoteReference"/>
        </w:rPr>
        <w:endnoteRef/>
      </w:r>
      <w:r>
        <w:t xml:space="preserve"> </w:t>
      </w:r>
      <w:r w:rsidRPr="00E8211B">
        <w:t>Chukmaitov AS, Menachemi N, Brown LS, Saunders C, Brooks RG. A comparative study of quality outcomes in freestanding ambulatory surgery centers and hospital-based outpatient departments: 1997-2004. Health Serv Res. 2008 Oct;43(5 Pt 1):1485-504. doi: 10.1111/j.1475-6773.2007.00809.x. Epub 2007 Nov 26. PMID: 22568615; PMCID: PMC2653888.</w:t>
      </w:r>
    </w:p>
  </w:endnote>
  <w:endnote w:id="29">
    <w:p w14:paraId="14B2E08B" w14:textId="77777777" w:rsidR="00E8211B" w:rsidRDefault="00E8211B" w:rsidP="00E8211B">
      <w:pPr>
        <w:pStyle w:val="EndnoteText"/>
      </w:pPr>
      <w:r>
        <w:rPr>
          <w:rStyle w:val="EndnoteReference"/>
        </w:rPr>
        <w:endnoteRef/>
      </w:r>
      <w:r>
        <w:t xml:space="preserve"> </w:t>
      </w:r>
      <w:r w:rsidRPr="00E8211B">
        <w:t>Chukmaitov AS, Menachemi N, Brown LS, Saunders C, Brooks RG. A comparative study of quality outcomes in freestanding ambulatory surgery centers and hospital-based outpatient departments: 1997-2004. Health Serv Res. 2008 Oct;43(5 Pt 1):1485-504. doi: 10.1111/j.1475-6773.2007.00809.x. Epub 2007 Nov 26. PMID: 22568615; PMCID: PMC2653888.</w:t>
      </w:r>
    </w:p>
  </w:endnote>
  <w:endnote w:id="30">
    <w:p w14:paraId="00005550" w14:textId="3E36ACAE" w:rsidR="006A160F" w:rsidRDefault="006A160F">
      <w:pPr>
        <w:pStyle w:val="EndnoteText"/>
      </w:pPr>
      <w:r>
        <w:rPr>
          <w:rStyle w:val="EndnoteReference"/>
        </w:rPr>
        <w:endnoteRef/>
      </w:r>
      <w:r>
        <w:t xml:space="preserve"> </w:t>
      </w:r>
      <w:r w:rsidRPr="006A160F">
        <w:t>Lin MY, Mishra G, Ellison J, Osei-Poku G, Prentice JC. Differences in patient outcomes after outpatient GI endoscopy across settings: a statewide matched cohort study. Gastrointest Endosc. 2022 Jun;95(6):1088-1097.e17. doi: 10.1016/j.gie.2021.12.025. Epub 2021 Dec 31. PMID: 34979119.</w:t>
      </w:r>
    </w:p>
  </w:endnote>
  <w:endnote w:id="31">
    <w:p w14:paraId="62B990A4" w14:textId="3F757CA0" w:rsidR="004E4BC8" w:rsidRDefault="004E4BC8">
      <w:pPr>
        <w:pStyle w:val="EndnoteText"/>
      </w:pPr>
      <w:r>
        <w:rPr>
          <w:rStyle w:val="EndnoteReference"/>
        </w:rPr>
        <w:endnoteRef/>
      </w:r>
      <w:r>
        <w:t xml:space="preserve"> </w:t>
      </w:r>
      <w:r w:rsidRPr="004E4BC8">
        <w:t>Ahlquist DA. Stool-Based Tests Vs Screening Colonoscopy for the Detection of Colorectal Cancer. Gastroenterol Hepatol (N Y). 2019 Aug;15(8):437-440. PMID: 31592245; PMCID: PMC6771036.</w:t>
      </w:r>
    </w:p>
  </w:endnote>
  <w:endnote w:id="32">
    <w:p w14:paraId="7D305946" w14:textId="30F01863" w:rsidR="00683BA7" w:rsidRDefault="00683BA7">
      <w:pPr>
        <w:pStyle w:val="EndnoteText"/>
      </w:pPr>
      <w:r>
        <w:rPr>
          <w:rStyle w:val="EndnoteReference"/>
        </w:rPr>
        <w:endnoteRef/>
      </w:r>
      <w:r>
        <w:t xml:space="preserve"> </w:t>
      </w:r>
      <w:r w:rsidRPr="00683BA7">
        <w:t>Mastoi MG, Karim A, Jaslok F, Hassan MB, Neelam F, Prity F, Kumari H, Manan S, Siddique S, Danish S, Jabeen S, Tara A, Umair A, Lal K, Arti F, Parveen A. Advances in endoscopic techniques for early detection and treatment of gastrointestinal cancers: A systematic review. Medicine (Baltimore). 2025 Oct 17;104(42):e45315. doi: 10.1097/MD.0000000000045315. PMID: 41189189; PMCID: PMC12537103.</w:t>
      </w:r>
    </w:p>
  </w:endnote>
  <w:endnote w:id="33">
    <w:p w14:paraId="53A52111" w14:textId="2A2B723E" w:rsidR="00683BA7" w:rsidRDefault="00683BA7">
      <w:pPr>
        <w:pStyle w:val="EndnoteText"/>
      </w:pPr>
      <w:r>
        <w:rPr>
          <w:rStyle w:val="EndnoteReference"/>
        </w:rPr>
        <w:endnoteRef/>
      </w:r>
      <w:r>
        <w:t xml:space="preserve"> </w:t>
      </w:r>
      <w:r w:rsidRPr="00683BA7">
        <w:t>Goede SL, Kuntz KM, van Ballegooijen M, Knudsen AB, Lansdorp-Vogelaar I, Tangka FK, Howard DH, Chin J, Zauber AG, Seeff LC. Cost-Savings to Medicare From Pre-Medicare Colorectal Cancer Screening. Med Care. 2015 Jul;53(7):630-8. doi: 10.1097/MLR.0000000000000380. PMID: 26067885; PMCID: PMC4467468.</w:t>
      </w:r>
    </w:p>
  </w:endnote>
  <w:endnote w:id="34">
    <w:p w14:paraId="3B953EED" w14:textId="4251F084" w:rsidR="007714A5" w:rsidRDefault="007714A5" w:rsidP="007714A5">
      <w:pPr>
        <w:pStyle w:val="EndnoteText"/>
      </w:pPr>
      <w:r>
        <w:rPr>
          <w:rStyle w:val="EndnoteReference"/>
        </w:rPr>
        <w:endnoteRef/>
      </w:r>
      <w:r>
        <w:t xml:space="preserve"> Eydis, S. </w:t>
      </w:r>
      <w:hyperlink r:id="rId40" w:anchor=":~:text=Commercial%20insurers%20paid%20an%20average,safely%20performed%20in%20ASC%20settings" w:history="1">
        <w:r w:rsidRPr="006645E9">
          <w:rPr>
            <w:rStyle w:val="Hyperlink"/>
          </w:rPr>
          <w:t>Commercial prices 78% higher in HOPDs than ASCs: Study. Becker’s ASC Review</w:t>
        </w:r>
      </w:hyperlink>
      <w:r>
        <w:t xml:space="preserve">. </w:t>
      </w:r>
    </w:p>
    <w:p w14:paraId="679BDED7" w14:textId="77777777" w:rsidR="007714A5" w:rsidRDefault="007714A5" w:rsidP="007714A5">
      <w:pPr>
        <w:pStyle w:val="EndnoteText"/>
      </w:pPr>
      <w:hyperlink r:id="rId41" w:anchor=":~:text=Commercial%20insurers%20paid%20an%20average,safely%20performed%20in%20ASC%20settings" w:history="1">
        <w:r w:rsidRPr="007D46B3">
          <w:rPr>
            <w:rStyle w:val="Hyperlink"/>
          </w:rPr>
          <w:t>https://www.beckersasc.com/asc-coding-billing-and-collections/commercial-prices-78-higher-in-hopds-than-ascs-study/#:~:text=Commercial%20insurers%20paid%20an%20average,safely%20performed%20in%20ASC%20settings</w:t>
        </w:r>
      </w:hyperlink>
      <w:r w:rsidRPr="00E87C36">
        <w:t>.</w:t>
      </w:r>
      <w:r>
        <w:t xml:space="preserve"> </w:t>
      </w:r>
    </w:p>
  </w:endnote>
  <w:endnote w:id="35">
    <w:p w14:paraId="61C0C8A7" w14:textId="77777777" w:rsidR="007714A5" w:rsidRDefault="007714A5" w:rsidP="007714A5">
      <w:pPr>
        <w:pStyle w:val="EndnoteText"/>
      </w:pPr>
      <w:r>
        <w:rPr>
          <w:rStyle w:val="EndnoteReference"/>
        </w:rPr>
        <w:endnoteRef/>
      </w:r>
      <w:r>
        <w:t xml:space="preserve"> Blue Health Intelligence. </w:t>
      </w:r>
      <w:r w:rsidRPr="00725CDF">
        <w:t>Hospital Outpatient Prices Far Higher, Rising Faster than Physician Sites</w:t>
      </w:r>
      <w:r>
        <w:t xml:space="preserve">. Issue Brief December 2023. </w:t>
      </w:r>
      <w:r w:rsidRPr="0094039A">
        <w:t>https://www.bcbs.com/dA/392da3b5a7/fileAsset/BHI%20Issue%20Brief%20December_121323_SiteNeutral.pdf</w:t>
      </w:r>
    </w:p>
  </w:endnote>
  <w:endnote w:id="36">
    <w:p w14:paraId="772EC6A4" w14:textId="6CFCC005" w:rsidR="00CC4885" w:rsidRDefault="00CC4885">
      <w:pPr>
        <w:pStyle w:val="EndnoteText"/>
      </w:pPr>
      <w:r>
        <w:rPr>
          <w:rStyle w:val="EndnoteReference"/>
        </w:rPr>
        <w:endnoteRef/>
      </w:r>
      <w:r>
        <w:t xml:space="preserve"> </w:t>
      </w:r>
      <w:r w:rsidR="00750708" w:rsidRPr="00750708">
        <w:t>Goede SL, Kuntz KM, van Ballegooijen M, Knudsen AB, Lansdorp-Vogelaar I, Tangka FK, Howard DH, Chin J, Zauber AG, Seeff LC. Cost-Savings to Medicare From Pre-Medicare Colorectal Cancer Screening. Med Care. 2015 Jul;53(7):630-8. doi: 10.1097/MLR.0000000000000380. PMID: 26067885; PMCID: PMC4467468.</w:t>
      </w:r>
    </w:p>
  </w:endnote>
  <w:endnote w:id="37">
    <w:p w14:paraId="24E640C4" w14:textId="7C816E76" w:rsidR="00F84876" w:rsidRDefault="00F84876">
      <w:pPr>
        <w:pStyle w:val="EndnoteText"/>
      </w:pPr>
      <w:r>
        <w:rPr>
          <w:rStyle w:val="EndnoteReference"/>
        </w:rPr>
        <w:endnoteRef/>
      </w:r>
      <w:r>
        <w:t xml:space="preserve"> </w:t>
      </w:r>
      <w:r w:rsidR="00D9439F" w:rsidRPr="00D9439F">
        <w:t>Li S, He Y, Liu J, Chen K, Yang Y, Tao K, Yang J, Luo K, Ma X. An umbrella review of socioeconomic status and cancer. Nat Commun. 2024 Nov 18;15(1):9993. doi: 10.1038/s41467-024-54444-2. PMID: 39557933; PMCID: PMC11574020.</w:t>
      </w:r>
    </w:p>
  </w:endnote>
  <w:endnote w:id="38">
    <w:p w14:paraId="65A4D735" w14:textId="14B623FD" w:rsidR="00D9439F" w:rsidRDefault="00D9439F">
      <w:pPr>
        <w:pStyle w:val="EndnoteText"/>
      </w:pPr>
      <w:r>
        <w:rPr>
          <w:rStyle w:val="EndnoteReference"/>
        </w:rPr>
        <w:endnoteRef/>
      </w:r>
      <w:r>
        <w:t xml:space="preserve"> </w:t>
      </w:r>
      <w:r w:rsidR="00D3526B" w:rsidRPr="00D3526B">
        <w:t>Bourgeois A, Horrill T, Mollison A, Stringer E, Lambert LK, Stajduhar K. Barriers to cancer treatment for people experiencing socioeconomic disadvantage in high-income countries: a scoping review. BMC Health Serv Res. 2024 May 28;24(1):670. doi: 10.1186/s12913-024-11129-2. PMID: 38807237; PMCID: PMC11134650.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9C41" w14:textId="77777777" w:rsidR="00EC4637" w:rsidRDefault="00EC4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3F5A" w14:textId="77777777" w:rsidR="00EC4637" w:rsidRDefault="00EC46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E0EB6" w14:textId="77777777" w:rsidR="00134B3A" w:rsidRDefault="00134B3A">
      <w:r>
        <w:separator/>
      </w:r>
    </w:p>
  </w:footnote>
  <w:footnote w:type="continuationSeparator" w:id="0">
    <w:p w14:paraId="3406C04F" w14:textId="77777777" w:rsidR="00134B3A" w:rsidRDefault="00134B3A">
      <w:r>
        <w:continuationSeparator/>
      </w:r>
    </w:p>
  </w:footnote>
  <w:footnote w:type="continuationNotice" w:id="1">
    <w:p w14:paraId="310CDDE7" w14:textId="77777777" w:rsidR="00134B3A" w:rsidRDefault="00134B3A"/>
  </w:footnote>
  <w:footnote w:id="2">
    <w:p w14:paraId="45673207" w14:textId="3EC1311C" w:rsidR="00620D10" w:rsidRDefault="00620D10">
      <w:pPr>
        <w:pStyle w:val="FootnoteText"/>
      </w:pPr>
      <w:r>
        <w:rPr>
          <w:rStyle w:val="FootnoteReference"/>
        </w:rPr>
        <w:footnoteRef/>
      </w:r>
      <w:r>
        <w:t xml:space="preserve"> Communities in Greater Boston include</w:t>
      </w:r>
      <w:r w:rsidR="00496C50">
        <w:t xml:space="preserve">s </w:t>
      </w:r>
      <w:r w:rsidR="00496C50" w:rsidRPr="00496C50">
        <w:t>the following cities/towns: Acton, Arlington, Ashland, Bedford, Belmont, Boston, Boxborough, Braintree, Brighton, Brookline, Burlington, Cambridge, Canton, Carlisle, Chelsea, Cohasset, Concord, Dedham, Dorchester, Dover, Foxboro, Framingham, Hingham, Holbrook, Holliston, Hopkinton, Hudson, Hull, Lexington, Lincoln, Littleton, Marlborough, Maynard, Medfield, Millis, Milton, Natick, Needham, Newton, Norfolk, Northborough, Norwell, Norwood, Quincy, Randolph, Revere, Roslindale, Scituate, Sharon, Sherborn, Somerville, Southborough, Stow, Sudbury, Walpole, Waltham, Watertown, Wayland, Wellesley, Westborough, Weston, Westwood, Weymouth, Wilmington, Winchester, Winthrop, Woburn, and Wrentham.</w:t>
      </w:r>
    </w:p>
  </w:footnote>
  <w:footnote w:id="3">
    <w:p w14:paraId="6B8774EB" w14:textId="4D63BE6E" w:rsidR="00496C50" w:rsidRDefault="00496C50">
      <w:pPr>
        <w:pStyle w:val="FootnoteText"/>
      </w:pPr>
      <w:r>
        <w:rPr>
          <w:rStyle w:val="FootnoteReference"/>
        </w:rPr>
        <w:footnoteRef/>
      </w:r>
      <w:r w:rsidR="00B53093">
        <w:t xml:space="preserve"> </w:t>
      </w:r>
      <w:hyperlink r:id="rId1" w:history="1">
        <w:r w:rsidR="00B53093" w:rsidRPr="009F4894">
          <w:rPr>
            <w:rStyle w:val="Hyperlink"/>
          </w:rPr>
          <w:t>BILH’s system</w:t>
        </w:r>
      </w:hyperlink>
      <w:r w:rsidR="00B53093">
        <w:t xml:space="preserve"> also includes</w:t>
      </w:r>
      <w:r>
        <w:t xml:space="preserve"> Bayridge Hospital (Department of Mental Health licensed hospital)</w:t>
      </w:r>
      <w:r w:rsidR="00AA272B">
        <w:t xml:space="preserve">, </w:t>
      </w:r>
      <w:r>
        <w:t xml:space="preserve">Beverly Hospital (Department of Mental Health licensed hospital), and Exeter Hospital in Exeter, NH. </w:t>
      </w:r>
      <w:hyperlink r:id="rId2" w:history="1">
        <w:r w:rsidRPr="00D0649C">
          <w:rPr>
            <w:rStyle w:val="Hyperlink"/>
          </w:rPr>
          <w:t>https://www.mass.gov/doc/dmh-licensed-hospital-list-1/download</w:t>
        </w:r>
      </w:hyperlink>
      <w:r>
        <w:t xml:space="preserve"> </w:t>
      </w:r>
    </w:p>
  </w:footnote>
  <w:footnote w:id="4">
    <w:p w14:paraId="7117725A" w14:textId="512E8EE0" w:rsidR="00BD24E3" w:rsidRDefault="00BD24E3">
      <w:pPr>
        <w:pStyle w:val="FootnoteText"/>
      </w:pPr>
      <w:r>
        <w:rPr>
          <w:rStyle w:val="FootnoteReference"/>
        </w:rPr>
        <w:footnoteRef/>
      </w:r>
      <w:r>
        <w:t xml:space="preserve"> </w:t>
      </w:r>
      <w:r w:rsidRPr="00BD24E3">
        <w:t xml:space="preserve"> </w:t>
      </w:r>
      <w:r>
        <w:t>T</w:t>
      </w:r>
      <w:r w:rsidRPr="00BD24E3">
        <w:t xml:space="preserve">he difference between an ASC and HOPD specifically refers to the regulations that apply to the center; therefore, a “freestanding” surgery center can still be classified as an HOPD if it is within a 35-mile radius of the hospital and falls under the same financial and administrative contracts. </w:t>
      </w:r>
    </w:p>
    <w:p w14:paraId="6033B706" w14:textId="51742F0B" w:rsidR="00BD24E3" w:rsidRDefault="00BD24E3">
      <w:pPr>
        <w:pStyle w:val="FootnoteText"/>
      </w:pPr>
      <w:hyperlink r:id="rId3" w:anchor=":~:text=Ambulatory%20Surgery%20Centers%20Versus%20Hospital%2Dbased%20Outpatient%20Departments:%20What's%20the,with%20its%20own%20Medicare%20agreement" w:history="1">
        <w:r w:rsidRPr="009B1F8E">
          <w:rPr>
            <w:rStyle w:val="Hyperlink"/>
          </w:rPr>
          <w:t>https://www.aaos.org/aaosnow/2019/sep/managing/managing02/#:~:text=Ambulatory%20Surgery%20Centers%20Versus%20Hospital%2Dbased%20Outpatient%20Departments:%20What's%20the,with%20its%20own%20Medicare%20agreement</w:t>
        </w:r>
      </w:hyperlink>
      <w:r w:rsidRPr="00BD24E3">
        <w:t>.</w:t>
      </w:r>
      <w:r>
        <w:t xml:space="preserve"> </w:t>
      </w:r>
    </w:p>
  </w:footnote>
  <w:footnote w:id="5">
    <w:p w14:paraId="1A066C25" w14:textId="2F8CA0BF" w:rsidR="000C14DE" w:rsidRDefault="000C14DE" w:rsidP="000C14DE">
      <w:pPr>
        <w:pStyle w:val="FootnoteText"/>
      </w:pPr>
      <w:r>
        <w:rPr>
          <w:rStyle w:val="FootnoteReference"/>
        </w:rPr>
        <w:footnoteRef/>
      </w:r>
      <w:r>
        <w:t xml:space="preserve"> </w:t>
      </w:r>
      <w:hyperlink r:id="rId4" w:history="1">
        <w:r w:rsidRPr="000572B9">
          <w:rPr>
            <w:rStyle w:val="Hyperlink"/>
          </w:rPr>
          <w:t>Primary Service Area (PSA) of Independent Community Hospitals with respect to Ambulatory Surgery Centers (PDF)</w:t>
        </w:r>
      </w:hyperlink>
      <w:r>
        <w:t xml:space="preserve">: </w:t>
      </w:r>
      <w:hyperlink r:id="rId5" w:history="1">
        <w:r w:rsidRPr="00340F03">
          <w:rPr>
            <w:rStyle w:val="Hyperlink"/>
          </w:rPr>
          <w:t>https://www.mass.gov/doc/primary-service-area-psa-of-independent-community-hospitals-with-respect-to-ambulatory-surgery-centers-pdf/download</w:t>
        </w:r>
      </w:hyperlink>
      <w:r>
        <w:t xml:space="preserve"> </w:t>
      </w:r>
    </w:p>
  </w:footnote>
  <w:footnote w:id="6">
    <w:p w14:paraId="43F1E1DC" w14:textId="79D35ADE" w:rsidR="00B95EA4" w:rsidRPr="002B07BF" w:rsidRDefault="00B95EA4">
      <w:pPr>
        <w:pStyle w:val="FootnoteText"/>
        <w:rPr>
          <w:rFonts w:asciiTheme="minorHAnsi" w:hAnsiTheme="minorHAnsi"/>
        </w:rPr>
      </w:pPr>
      <w:r w:rsidRPr="002B07BF">
        <w:rPr>
          <w:rStyle w:val="FootnoteReference"/>
          <w:rFonts w:asciiTheme="minorHAnsi" w:hAnsiTheme="minorHAnsi"/>
        </w:rPr>
        <w:footnoteRef/>
      </w:r>
      <w:r w:rsidRPr="002B07BF">
        <w:rPr>
          <w:rFonts w:asciiTheme="minorHAnsi" w:hAnsi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7">
    <w:p w14:paraId="4C6056B4" w14:textId="380D2AC8" w:rsidR="00B9307B" w:rsidRDefault="00B9307B">
      <w:pPr>
        <w:pStyle w:val="FootnoteText"/>
      </w:pPr>
      <w:r>
        <w:rPr>
          <w:rStyle w:val="FootnoteReference"/>
        </w:rPr>
        <w:footnoteRef/>
      </w:r>
      <w:r>
        <w:t xml:space="preserve"> The </w:t>
      </w:r>
      <w:r w:rsidR="00682626">
        <w:t>Applicant’s fiscal year</w:t>
      </w:r>
      <w:r w:rsidR="009C33D3">
        <w:t>, and all entities within the organization,</w:t>
      </w:r>
      <w:r w:rsidR="00682626">
        <w:t xml:space="preserve"> is October 1 to September 30</w:t>
      </w:r>
      <w:r w:rsidR="00682626" w:rsidRPr="00682626">
        <w:rPr>
          <w:vertAlign w:val="superscript"/>
        </w:rPr>
        <w:t>th</w:t>
      </w:r>
      <w:r w:rsidR="00682626">
        <w:t xml:space="preserve">. </w:t>
      </w:r>
    </w:p>
  </w:footnote>
  <w:footnote w:id="8">
    <w:p w14:paraId="4D87B185" w14:textId="77777777" w:rsidR="00026B8E" w:rsidRDefault="00026B8E" w:rsidP="00026B8E">
      <w:pPr>
        <w:pStyle w:val="FootnoteText"/>
      </w:pPr>
      <w:r>
        <w:rPr>
          <w:rStyle w:val="FootnoteReference"/>
        </w:rPr>
        <w:footnoteRef/>
      </w:r>
      <w:r>
        <w:t xml:space="preserve"> I</w:t>
      </w:r>
      <w:r w:rsidRPr="00F96EA6">
        <w:t>ncludes self-pay, health safety net, and liability coverage other than worker’s compensation for an injury event.</w:t>
      </w:r>
    </w:p>
  </w:footnote>
  <w:footnote w:id="9">
    <w:p w14:paraId="34B84807" w14:textId="46E154DB" w:rsidR="0000484F" w:rsidRDefault="0000484F" w:rsidP="0000484F">
      <w:pPr>
        <w:pStyle w:val="FootnoteText"/>
      </w:pPr>
      <w:r>
        <w:rPr>
          <w:rStyle w:val="FootnoteReference"/>
        </w:rPr>
        <w:footnoteRef/>
      </w:r>
      <w:r>
        <w:t xml:space="preserve"> </w:t>
      </w:r>
      <w:r w:rsidR="003A5C0B" w:rsidRPr="003A5C0B">
        <w:t>Includes self-pay, health safety net, and liability coverage other than worker’s compensation for an injury event.</w:t>
      </w:r>
    </w:p>
  </w:footnote>
  <w:footnote w:id="10">
    <w:p w14:paraId="3264A57A" w14:textId="51D291CF" w:rsidR="00E224ED" w:rsidRDefault="00E224ED">
      <w:pPr>
        <w:pStyle w:val="FootnoteText"/>
      </w:pPr>
      <w:r>
        <w:rPr>
          <w:rStyle w:val="FootnoteReference"/>
        </w:rPr>
        <w:footnoteRef/>
      </w:r>
      <w:r>
        <w:t xml:space="preserve"> The Applicant states that</w:t>
      </w:r>
      <w:r w:rsidRPr="00090D8A">
        <w:t xml:space="preserve"> there are some discrepancies between the patient totals within these age categories compared to the totals that were originally submitted. Due to data transfers that have occurred since the data was originally pulled, some totals may not match.</w:t>
      </w:r>
    </w:p>
  </w:footnote>
  <w:footnote w:id="11">
    <w:p w14:paraId="041B366F" w14:textId="775DCBD2" w:rsidR="00E224ED" w:rsidRDefault="00E224ED" w:rsidP="00671CDC">
      <w:pPr>
        <w:pStyle w:val="FootnoteText"/>
      </w:pPr>
      <w:r>
        <w:rPr>
          <w:rStyle w:val="FootnoteReference"/>
        </w:rPr>
        <w:footnoteRef/>
      </w:r>
      <w:r>
        <w:t xml:space="preserve"> I</w:t>
      </w:r>
      <w:r w:rsidRPr="003F345C">
        <w:t>ncludes genders other than male/female, as well as patients for whom a gender is not specified, and whose gender varies across visits over the time period.</w:t>
      </w:r>
    </w:p>
  </w:footnote>
  <w:footnote w:id="12">
    <w:p w14:paraId="4B26B886" w14:textId="46DD0AB3" w:rsidR="00364841" w:rsidRDefault="00364841">
      <w:pPr>
        <w:pStyle w:val="FootnoteText"/>
      </w:pPr>
      <w:r>
        <w:rPr>
          <w:rStyle w:val="FootnoteReference"/>
        </w:rPr>
        <w:footnoteRef/>
      </w:r>
      <w:r>
        <w:t xml:space="preserve"> </w:t>
      </w:r>
      <w:r w:rsidRPr="00364841">
        <w:t>Colon and Rectum, Male and Female, All Ages, All Races and Ethnicities</w:t>
      </w:r>
      <w:r>
        <w:t xml:space="preserve">. </w:t>
      </w:r>
    </w:p>
  </w:footnote>
  <w:footnote w:id="13">
    <w:p w14:paraId="46C1589B" w14:textId="69910EA1" w:rsidR="000908C8" w:rsidRDefault="000908C8">
      <w:pPr>
        <w:pStyle w:val="FootnoteText"/>
      </w:pPr>
      <w:r>
        <w:rPr>
          <w:rStyle w:val="FootnoteReference"/>
        </w:rPr>
        <w:footnoteRef/>
      </w:r>
      <w:r>
        <w:t xml:space="preserve"> </w:t>
      </w:r>
      <w:r w:rsidRPr="000908C8">
        <w:t>A relative survival rate compares people with the same type and stage of cancer to people in the overall population. For example, if the 5-year relative survival rate for a specific stage of colon or rectal cancer is 80%, it means that people who have that cancer are, on average, about 80% as likely as people who don’t have that cancer to live for at least 5 years after being diagnosed.</w:t>
      </w:r>
    </w:p>
  </w:footnote>
  <w:footnote w:id="14">
    <w:p w14:paraId="7EEDCEFE" w14:textId="6E0355ED" w:rsidR="00511A09" w:rsidRDefault="00511A09">
      <w:pPr>
        <w:pStyle w:val="FootnoteText"/>
      </w:pPr>
      <w:r>
        <w:rPr>
          <w:rStyle w:val="FootnoteReference"/>
        </w:rPr>
        <w:footnoteRef/>
      </w:r>
      <w:r>
        <w:t xml:space="preserve"> </w:t>
      </w:r>
      <w:r w:rsidR="0024233D">
        <w:t>The Applicant states that w</w:t>
      </w:r>
      <w:r w:rsidRPr="00511A09">
        <w:t>ait time is defined as the time interval from scheduling a screening colonoscopy to the procedure date.</w:t>
      </w:r>
    </w:p>
  </w:footnote>
  <w:footnote w:id="15">
    <w:p w14:paraId="0AA04183" w14:textId="2FF23F3A" w:rsidR="00C62CAE" w:rsidRDefault="00C62CAE">
      <w:pPr>
        <w:pStyle w:val="FootnoteText"/>
      </w:pPr>
      <w:r>
        <w:rPr>
          <w:rStyle w:val="FootnoteReference"/>
        </w:rPr>
        <w:footnoteRef/>
      </w:r>
      <w:r>
        <w:t xml:space="preserve"> This includes Arlington, Burlington, Lynnfield, Medford, North Reading, Peabody, Reading, Stoneham, Tewksbury, Winchester, and Woburn. </w:t>
      </w:r>
    </w:p>
  </w:footnote>
  <w:footnote w:id="16">
    <w:p w14:paraId="4EE2C358" w14:textId="2351D642" w:rsidR="002E6F98" w:rsidRDefault="002E6F98" w:rsidP="002E6F98">
      <w:pPr>
        <w:pStyle w:val="FootnoteText"/>
      </w:pPr>
      <w:r>
        <w:rPr>
          <w:rStyle w:val="FootnoteReference"/>
        </w:rPr>
        <w:footnoteRef/>
      </w:r>
      <w:r>
        <w:t xml:space="preserve"> The Colorectal Cancer Roundtable, established in 1997 in partnership with the Centers for Disease</w:t>
      </w:r>
    </w:p>
    <w:p w14:paraId="44DAC6F3" w14:textId="10619B16" w:rsidR="007623D1" w:rsidRDefault="002E6F98" w:rsidP="007623D1">
      <w:pPr>
        <w:pStyle w:val="FootnoteText"/>
      </w:pPr>
      <w:r>
        <w:t xml:space="preserve">Control and Prevention (CDC), </w:t>
      </w:r>
      <w:r w:rsidR="007623D1">
        <w:t>is one of the American Cancer Society’s seven mission-critical national</w:t>
      </w:r>
    </w:p>
    <w:p w14:paraId="180F2B87" w14:textId="77777777" w:rsidR="007623D1" w:rsidRDefault="007623D1" w:rsidP="007623D1">
      <w:pPr>
        <w:pStyle w:val="FootnoteText"/>
      </w:pPr>
      <w:r>
        <w:t>roundtables, is a coalition of more than 180 member organizations, with a shared mission to increase the use of proven</w:t>
      </w:r>
    </w:p>
    <w:p w14:paraId="34DE8B5B" w14:textId="190585F4" w:rsidR="002E6F98" w:rsidRDefault="007623D1" w:rsidP="007623D1">
      <w:pPr>
        <w:pStyle w:val="FootnoteText"/>
      </w:pPr>
      <w:r>
        <w:t>colorectal cancer screening tests among the entire population for whom screening is appropriate.</w:t>
      </w:r>
    </w:p>
  </w:footnote>
  <w:footnote w:id="17">
    <w:p w14:paraId="0CFC8991" w14:textId="3D7501FF" w:rsidR="005758BB" w:rsidRDefault="0064049B" w:rsidP="005758BB">
      <w:pPr>
        <w:pStyle w:val="FootnoteText"/>
      </w:pPr>
      <w:r>
        <w:rPr>
          <w:rStyle w:val="FootnoteReference"/>
        </w:rPr>
        <w:footnoteRef/>
      </w:r>
      <w:r>
        <w:t xml:space="preserve"> </w:t>
      </w:r>
      <w:r w:rsidR="005758BB" w:rsidRPr="005758BB">
        <w:t>Adams MA, Rubenstein JH, Lipson R, Holleman RG, Saini SD. Trends in Wait Time for Outpatient Colonoscopy in the Veterans Health Administration, 2008-2015. J Gen Intern Med. 2020 Jun;35(6):1776-1782. doi: 10.1007/s11606-020-05776-4. Epub 2020 Mar 24. PMID: 32212093; PMCID: PMC7280466.</w:t>
      </w:r>
    </w:p>
    <w:p w14:paraId="267429F5" w14:textId="6B60F335" w:rsidR="0064049B" w:rsidRDefault="0064049B" w:rsidP="006404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F65C" w14:textId="2AA8DAA3" w:rsidR="00EC4637" w:rsidRDefault="00EC4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A8B" w14:textId="2AD86D5E" w:rsidR="00EC4637" w:rsidRDefault="00EC4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3ADD" w14:textId="7F95A35B" w:rsidR="00EC4637" w:rsidRDefault="00EC46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6E92" w14:textId="2FB467ED" w:rsidR="00EC4637" w:rsidRDefault="00EC46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65"/>
      <w:gridCol w:w="3465"/>
      <w:gridCol w:w="3465"/>
    </w:tblGrid>
    <w:tr w:rsidR="1A2CFF01" w14:paraId="4540EB51" w14:textId="77777777" w:rsidTr="1A2CFF01">
      <w:trPr>
        <w:trHeight w:val="300"/>
      </w:trPr>
      <w:tc>
        <w:tcPr>
          <w:tcW w:w="3465" w:type="dxa"/>
        </w:tcPr>
        <w:p w14:paraId="7A44C071" w14:textId="07143871" w:rsidR="1A2CFF01" w:rsidRDefault="1A2CFF01" w:rsidP="1A2CFF01">
          <w:pPr>
            <w:pStyle w:val="Header"/>
            <w:ind w:left="-115"/>
          </w:pPr>
        </w:p>
      </w:tc>
      <w:tc>
        <w:tcPr>
          <w:tcW w:w="3465" w:type="dxa"/>
        </w:tcPr>
        <w:p w14:paraId="53272F70" w14:textId="47809EF2" w:rsidR="1A2CFF01" w:rsidRDefault="1A2CFF01" w:rsidP="1A2CFF01">
          <w:pPr>
            <w:pStyle w:val="Header"/>
            <w:jc w:val="center"/>
          </w:pPr>
        </w:p>
      </w:tc>
      <w:tc>
        <w:tcPr>
          <w:tcW w:w="3465" w:type="dxa"/>
        </w:tcPr>
        <w:p w14:paraId="6A6DFE3D" w14:textId="0F8686AE" w:rsidR="1A2CFF01" w:rsidRDefault="1A2CFF01" w:rsidP="1A2CFF01">
          <w:pPr>
            <w:pStyle w:val="Header"/>
            <w:ind w:right="-115"/>
            <w:jc w:val="right"/>
          </w:pPr>
        </w:p>
      </w:tc>
    </w:tr>
  </w:tbl>
  <w:p w14:paraId="2C549112" w14:textId="3703A93E" w:rsidR="1A2CFF01" w:rsidRDefault="1A2CFF01" w:rsidP="1A2CFF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8AEC" w14:textId="4BE873EF" w:rsidR="00EC4637" w:rsidRDefault="00EC46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913E" w14:textId="37DD8990" w:rsidR="00E54588" w:rsidRDefault="00E545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7A5E" w14:textId="48F32284" w:rsidR="00E54588" w:rsidRDefault="00E545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6555" w14:textId="22808791"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1425"/>
    <w:multiLevelType w:val="multilevel"/>
    <w:tmpl w:val="7346D0B8"/>
    <w:lvl w:ilvl="0">
      <w:start w:val="2"/>
      <w:numFmt w:val="decimal"/>
      <w:lvlText w:val="%1."/>
      <w:lvlJc w:val="left"/>
      <w:pPr>
        <w:tabs>
          <w:tab w:val="num" w:pos="720"/>
        </w:tabs>
        <w:ind w:left="720" w:hanging="360"/>
      </w:pPr>
      <w:rPr>
        <w:rFonts w:hint="default"/>
        <w:b/>
        <w:bCs/>
        <w:color w:val="auto"/>
      </w:rPr>
    </w:lvl>
    <w:lvl w:ilvl="1">
      <w:start w:val="3"/>
      <w:numFmt w:val="decimal"/>
      <w:lvlText w:val="%2."/>
      <w:lvlJc w:val="left"/>
      <w:pPr>
        <w:tabs>
          <w:tab w:val="num" w:pos="1440"/>
        </w:tabs>
        <w:ind w:left="1440" w:hanging="360"/>
      </w:pPr>
      <w:rPr>
        <w:rFonts w:hint="default"/>
        <w:b/>
        <w:bCs/>
        <w:color w:val="auto"/>
        <w:u w:val="none"/>
      </w:rPr>
    </w:lvl>
    <w:lvl w:ilvl="2">
      <w:start w:val="1"/>
      <w:numFmt w:val="decimal"/>
      <w:lvlText w:val="%3."/>
      <w:lvlJc w:val="left"/>
      <w:pPr>
        <w:tabs>
          <w:tab w:val="num" w:pos="2160"/>
        </w:tabs>
        <w:ind w:left="2160" w:hanging="360"/>
      </w:pPr>
      <w:rPr>
        <w:rFonts w:hint="default"/>
      </w:rPr>
    </w:lvl>
    <w:lvl w:ilvl="3">
      <w:start w:val="1"/>
      <w:numFmt w:val="lowerRoman"/>
      <w:lvlText w:val="%4."/>
      <w:lvlJc w:val="left"/>
      <w:pPr>
        <w:ind w:left="3240" w:hanging="72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DFF258B"/>
    <w:multiLevelType w:val="hybridMultilevel"/>
    <w:tmpl w:val="F06861F6"/>
    <w:lvl w:ilvl="0" w:tplc="B5423A48">
      <w:start w:val="1"/>
      <w:numFmt w:val="bullet"/>
      <w:lvlText w:val=""/>
      <w:lvlJc w:val="left"/>
      <w:pPr>
        <w:ind w:left="1840" w:hanging="360"/>
      </w:pPr>
      <w:rPr>
        <w:rFonts w:ascii="Symbol" w:hAnsi="Symbol"/>
      </w:rPr>
    </w:lvl>
    <w:lvl w:ilvl="1" w:tplc="448E4EA4">
      <w:start w:val="1"/>
      <w:numFmt w:val="bullet"/>
      <w:lvlText w:val=""/>
      <w:lvlJc w:val="left"/>
      <w:pPr>
        <w:ind w:left="1840" w:hanging="360"/>
      </w:pPr>
      <w:rPr>
        <w:rFonts w:ascii="Symbol" w:hAnsi="Symbol"/>
      </w:rPr>
    </w:lvl>
    <w:lvl w:ilvl="2" w:tplc="6CAC82C8">
      <w:start w:val="1"/>
      <w:numFmt w:val="bullet"/>
      <w:lvlText w:val=""/>
      <w:lvlJc w:val="left"/>
      <w:pPr>
        <w:ind w:left="1840" w:hanging="360"/>
      </w:pPr>
      <w:rPr>
        <w:rFonts w:ascii="Symbol" w:hAnsi="Symbol"/>
      </w:rPr>
    </w:lvl>
    <w:lvl w:ilvl="3" w:tplc="B63A75C2">
      <w:start w:val="1"/>
      <w:numFmt w:val="bullet"/>
      <w:lvlText w:val=""/>
      <w:lvlJc w:val="left"/>
      <w:pPr>
        <w:ind w:left="1840" w:hanging="360"/>
      </w:pPr>
      <w:rPr>
        <w:rFonts w:ascii="Symbol" w:hAnsi="Symbol"/>
      </w:rPr>
    </w:lvl>
    <w:lvl w:ilvl="4" w:tplc="F86A9960">
      <w:start w:val="1"/>
      <w:numFmt w:val="bullet"/>
      <w:lvlText w:val=""/>
      <w:lvlJc w:val="left"/>
      <w:pPr>
        <w:ind w:left="1840" w:hanging="360"/>
      </w:pPr>
      <w:rPr>
        <w:rFonts w:ascii="Symbol" w:hAnsi="Symbol"/>
      </w:rPr>
    </w:lvl>
    <w:lvl w:ilvl="5" w:tplc="87484EE4">
      <w:start w:val="1"/>
      <w:numFmt w:val="bullet"/>
      <w:lvlText w:val=""/>
      <w:lvlJc w:val="left"/>
      <w:pPr>
        <w:ind w:left="1840" w:hanging="360"/>
      </w:pPr>
      <w:rPr>
        <w:rFonts w:ascii="Symbol" w:hAnsi="Symbol"/>
      </w:rPr>
    </w:lvl>
    <w:lvl w:ilvl="6" w:tplc="15FA5A10">
      <w:start w:val="1"/>
      <w:numFmt w:val="bullet"/>
      <w:lvlText w:val=""/>
      <w:lvlJc w:val="left"/>
      <w:pPr>
        <w:ind w:left="1840" w:hanging="360"/>
      </w:pPr>
      <w:rPr>
        <w:rFonts w:ascii="Symbol" w:hAnsi="Symbol"/>
      </w:rPr>
    </w:lvl>
    <w:lvl w:ilvl="7" w:tplc="7E4C959E">
      <w:start w:val="1"/>
      <w:numFmt w:val="bullet"/>
      <w:lvlText w:val=""/>
      <w:lvlJc w:val="left"/>
      <w:pPr>
        <w:ind w:left="1840" w:hanging="360"/>
      </w:pPr>
      <w:rPr>
        <w:rFonts w:ascii="Symbol" w:hAnsi="Symbol"/>
      </w:rPr>
    </w:lvl>
    <w:lvl w:ilvl="8" w:tplc="42BA5A1C">
      <w:start w:val="1"/>
      <w:numFmt w:val="bullet"/>
      <w:lvlText w:val=""/>
      <w:lvlJc w:val="left"/>
      <w:pPr>
        <w:ind w:left="1840" w:hanging="360"/>
      </w:pPr>
      <w:rPr>
        <w:rFonts w:ascii="Symbol" w:hAnsi="Symbol"/>
      </w:rPr>
    </w:lvl>
  </w:abstractNum>
  <w:abstractNum w:abstractNumId="2" w15:restartNumberingAfterBreak="0">
    <w:nsid w:val="2D0E1F42"/>
    <w:multiLevelType w:val="multilevel"/>
    <w:tmpl w:val="CDF2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040E80"/>
    <w:multiLevelType w:val="hybridMultilevel"/>
    <w:tmpl w:val="CFFE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0D2C88"/>
    <w:multiLevelType w:val="multilevel"/>
    <w:tmpl w:val="3166744A"/>
    <w:lvl w:ilvl="0">
      <w:start w:val="1"/>
      <w:numFmt w:val="decimal"/>
      <w:lvlText w:val="%1."/>
      <w:lvlJc w:val="left"/>
      <w:pPr>
        <w:tabs>
          <w:tab w:val="num" w:pos="720"/>
        </w:tabs>
        <w:ind w:left="720" w:hanging="360"/>
      </w:pPr>
      <w:rPr>
        <w:b/>
        <w:bCs/>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4A079D"/>
    <w:multiLevelType w:val="hybridMultilevel"/>
    <w:tmpl w:val="AAE46550"/>
    <w:lvl w:ilvl="0" w:tplc="7DF0E232">
      <w:start w:val="1"/>
      <w:numFmt w:val="decimal"/>
      <w:lvlText w:val="%1."/>
      <w:lvlJc w:val="left"/>
      <w:pPr>
        <w:ind w:left="380" w:hanging="360"/>
      </w:pPr>
      <w:rPr>
        <w:rFonts w:hint="default"/>
        <w:b/>
        <w:bCs/>
      </w:rPr>
    </w:lvl>
    <w:lvl w:ilvl="1" w:tplc="4AAAC3B4">
      <w:start w:val="1"/>
      <w:numFmt w:val="lowerLetter"/>
      <w:lvlText w:val="%2."/>
      <w:lvlJc w:val="left"/>
      <w:pPr>
        <w:ind w:left="1100" w:hanging="360"/>
      </w:pPr>
      <w:rPr>
        <w:b w:val="0"/>
        <w:bCs w:val="0"/>
      </w:r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7" w15:restartNumberingAfterBreak="0">
    <w:nsid w:val="39757BE0"/>
    <w:multiLevelType w:val="hybridMultilevel"/>
    <w:tmpl w:val="0FBE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655D2"/>
    <w:multiLevelType w:val="multilevel"/>
    <w:tmpl w:val="37A0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16BA0"/>
    <w:multiLevelType w:val="hybridMultilevel"/>
    <w:tmpl w:val="4D7AB43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51915C43"/>
    <w:multiLevelType w:val="hybridMultilevel"/>
    <w:tmpl w:val="ABCEA84A"/>
    <w:lvl w:ilvl="0" w:tplc="AF16854C">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D7B63"/>
    <w:multiLevelType w:val="multilevel"/>
    <w:tmpl w:val="AECC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5817E8"/>
    <w:multiLevelType w:val="hybridMultilevel"/>
    <w:tmpl w:val="8F6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0522C"/>
    <w:multiLevelType w:val="hybridMultilevel"/>
    <w:tmpl w:val="7038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CB108A"/>
    <w:multiLevelType w:val="hybridMultilevel"/>
    <w:tmpl w:val="6B7A9E06"/>
    <w:lvl w:ilvl="0" w:tplc="E2D81CAE">
      <w:start w:val="1"/>
      <w:numFmt w:val="bullet"/>
      <w:lvlText w:val=""/>
      <w:lvlJc w:val="left"/>
      <w:pPr>
        <w:ind w:left="1840" w:hanging="360"/>
      </w:pPr>
      <w:rPr>
        <w:rFonts w:ascii="Symbol" w:hAnsi="Symbol"/>
      </w:rPr>
    </w:lvl>
    <w:lvl w:ilvl="1" w:tplc="ABAEC54C">
      <w:start w:val="1"/>
      <w:numFmt w:val="bullet"/>
      <w:lvlText w:val=""/>
      <w:lvlJc w:val="left"/>
      <w:pPr>
        <w:ind w:left="1840" w:hanging="360"/>
      </w:pPr>
      <w:rPr>
        <w:rFonts w:ascii="Symbol" w:hAnsi="Symbol"/>
      </w:rPr>
    </w:lvl>
    <w:lvl w:ilvl="2" w:tplc="69984AC0">
      <w:start w:val="1"/>
      <w:numFmt w:val="bullet"/>
      <w:lvlText w:val=""/>
      <w:lvlJc w:val="left"/>
      <w:pPr>
        <w:ind w:left="1840" w:hanging="360"/>
      </w:pPr>
      <w:rPr>
        <w:rFonts w:ascii="Symbol" w:hAnsi="Symbol"/>
      </w:rPr>
    </w:lvl>
    <w:lvl w:ilvl="3" w:tplc="FDD6B684">
      <w:start w:val="1"/>
      <w:numFmt w:val="bullet"/>
      <w:lvlText w:val=""/>
      <w:lvlJc w:val="left"/>
      <w:pPr>
        <w:ind w:left="1840" w:hanging="360"/>
      </w:pPr>
      <w:rPr>
        <w:rFonts w:ascii="Symbol" w:hAnsi="Symbol"/>
      </w:rPr>
    </w:lvl>
    <w:lvl w:ilvl="4" w:tplc="85FEE9DE">
      <w:start w:val="1"/>
      <w:numFmt w:val="bullet"/>
      <w:lvlText w:val=""/>
      <w:lvlJc w:val="left"/>
      <w:pPr>
        <w:ind w:left="1840" w:hanging="360"/>
      </w:pPr>
      <w:rPr>
        <w:rFonts w:ascii="Symbol" w:hAnsi="Symbol"/>
      </w:rPr>
    </w:lvl>
    <w:lvl w:ilvl="5" w:tplc="A6D0F5DA">
      <w:start w:val="1"/>
      <w:numFmt w:val="bullet"/>
      <w:lvlText w:val=""/>
      <w:lvlJc w:val="left"/>
      <w:pPr>
        <w:ind w:left="1840" w:hanging="360"/>
      </w:pPr>
      <w:rPr>
        <w:rFonts w:ascii="Symbol" w:hAnsi="Symbol"/>
      </w:rPr>
    </w:lvl>
    <w:lvl w:ilvl="6" w:tplc="4446A632">
      <w:start w:val="1"/>
      <w:numFmt w:val="bullet"/>
      <w:lvlText w:val=""/>
      <w:lvlJc w:val="left"/>
      <w:pPr>
        <w:ind w:left="1840" w:hanging="360"/>
      </w:pPr>
      <w:rPr>
        <w:rFonts w:ascii="Symbol" w:hAnsi="Symbol"/>
      </w:rPr>
    </w:lvl>
    <w:lvl w:ilvl="7" w:tplc="45146528">
      <w:start w:val="1"/>
      <w:numFmt w:val="bullet"/>
      <w:lvlText w:val=""/>
      <w:lvlJc w:val="left"/>
      <w:pPr>
        <w:ind w:left="1840" w:hanging="360"/>
      </w:pPr>
      <w:rPr>
        <w:rFonts w:ascii="Symbol" w:hAnsi="Symbol"/>
      </w:rPr>
    </w:lvl>
    <w:lvl w:ilvl="8" w:tplc="4BEAA5E6">
      <w:start w:val="1"/>
      <w:numFmt w:val="bullet"/>
      <w:lvlText w:val=""/>
      <w:lvlJc w:val="left"/>
      <w:pPr>
        <w:ind w:left="1840" w:hanging="360"/>
      </w:pPr>
      <w:rPr>
        <w:rFonts w:ascii="Symbol" w:hAnsi="Symbol"/>
      </w:rPr>
    </w:lvl>
  </w:abstractNum>
  <w:abstractNum w:abstractNumId="15" w15:restartNumberingAfterBreak="0">
    <w:nsid w:val="613B5F24"/>
    <w:multiLevelType w:val="hybridMultilevel"/>
    <w:tmpl w:val="7AF2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E506D"/>
    <w:multiLevelType w:val="multilevel"/>
    <w:tmpl w:val="C40EED36"/>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rPr>
        <w:color w:val="auto"/>
      </w:rPr>
    </w:lvl>
    <w:lvl w:ilvl="2">
      <w:start w:val="2"/>
      <w:numFmt w:val="lowerRoman"/>
      <w:lvlText w:val="%3."/>
      <w:lvlJc w:val="left"/>
      <w:pPr>
        <w:ind w:left="3960" w:hanging="720"/>
      </w:pPr>
      <w:rPr>
        <w:rFonts w:hint="default"/>
      </w:r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7" w15:restartNumberingAfterBreak="0">
    <w:nsid w:val="6A2F5A07"/>
    <w:multiLevelType w:val="multilevel"/>
    <w:tmpl w:val="B5B464C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color w:val="00000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F827C6"/>
    <w:multiLevelType w:val="hybridMultilevel"/>
    <w:tmpl w:val="032AA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620005">
    <w:abstractNumId w:val="6"/>
  </w:num>
  <w:num w:numId="2" w16cid:durableId="293296653">
    <w:abstractNumId w:val="12"/>
  </w:num>
  <w:num w:numId="3" w16cid:durableId="645089849">
    <w:abstractNumId w:val="3"/>
  </w:num>
  <w:num w:numId="4" w16cid:durableId="1356350530">
    <w:abstractNumId w:val="15"/>
  </w:num>
  <w:num w:numId="5" w16cid:durableId="420487272">
    <w:abstractNumId w:val="13"/>
  </w:num>
  <w:num w:numId="6" w16cid:durableId="1638610115">
    <w:abstractNumId w:val="10"/>
  </w:num>
  <w:num w:numId="7" w16cid:durableId="1260405952">
    <w:abstractNumId w:val="7"/>
  </w:num>
  <w:num w:numId="8" w16cid:durableId="1247768294">
    <w:abstractNumId w:val="9"/>
  </w:num>
  <w:num w:numId="9" w16cid:durableId="1809933658">
    <w:abstractNumId w:val="4"/>
  </w:num>
  <w:num w:numId="10" w16cid:durableId="1236893510">
    <w:abstractNumId w:val="18"/>
  </w:num>
  <w:num w:numId="11" w16cid:durableId="1148977973">
    <w:abstractNumId w:val="8"/>
  </w:num>
  <w:num w:numId="12" w16cid:durableId="1305937799">
    <w:abstractNumId w:val="2"/>
  </w:num>
  <w:num w:numId="13" w16cid:durableId="129783859">
    <w:abstractNumId w:val="17"/>
  </w:num>
  <w:num w:numId="14" w16cid:durableId="1321078398">
    <w:abstractNumId w:val="11"/>
  </w:num>
  <w:num w:numId="15" w16cid:durableId="1807697373">
    <w:abstractNumId w:val="5"/>
  </w:num>
  <w:num w:numId="16" w16cid:durableId="65542646">
    <w:abstractNumId w:val="16"/>
  </w:num>
  <w:num w:numId="17" w16cid:durableId="909270859">
    <w:abstractNumId w:val="0"/>
  </w:num>
  <w:num w:numId="18" w16cid:durableId="629440124">
    <w:abstractNumId w:val="1"/>
  </w:num>
  <w:num w:numId="19" w16cid:durableId="200142592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3FF"/>
    <w:rsid w:val="00000430"/>
    <w:rsid w:val="00000607"/>
    <w:rsid w:val="0000071C"/>
    <w:rsid w:val="000012A3"/>
    <w:rsid w:val="00001374"/>
    <w:rsid w:val="00001390"/>
    <w:rsid w:val="00001564"/>
    <w:rsid w:val="0000168E"/>
    <w:rsid w:val="00001815"/>
    <w:rsid w:val="000020AC"/>
    <w:rsid w:val="00002560"/>
    <w:rsid w:val="000027EC"/>
    <w:rsid w:val="00002947"/>
    <w:rsid w:val="00003299"/>
    <w:rsid w:val="00003423"/>
    <w:rsid w:val="000039A4"/>
    <w:rsid w:val="00003AA5"/>
    <w:rsid w:val="00003B76"/>
    <w:rsid w:val="00004181"/>
    <w:rsid w:val="00004439"/>
    <w:rsid w:val="000046FE"/>
    <w:rsid w:val="000047EA"/>
    <w:rsid w:val="0000484F"/>
    <w:rsid w:val="00004A11"/>
    <w:rsid w:val="00004AC8"/>
    <w:rsid w:val="00004AF2"/>
    <w:rsid w:val="00004B7B"/>
    <w:rsid w:val="0000517F"/>
    <w:rsid w:val="00005253"/>
    <w:rsid w:val="000052DC"/>
    <w:rsid w:val="000055EA"/>
    <w:rsid w:val="00005623"/>
    <w:rsid w:val="0000566A"/>
    <w:rsid w:val="000056AD"/>
    <w:rsid w:val="00005944"/>
    <w:rsid w:val="00005A10"/>
    <w:rsid w:val="00005E2A"/>
    <w:rsid w:val="00006021"/>
    <w:rsid w:val="000060A6"/>
    <w:rsid w:val="000060CB"/>
    <w:rsid w:val="00006136"/>
    <w:rsid w:val="00006146"/>
    <w:rsid w:val="00006497"/>
    <w:rsid w:val="000068A9"/>
    <w:rsid w:val="0000711B"/>
    <w:rsid w:val="000071D8"/>
    <w:rsid w:val="00007308"/>
    <w:rsid w:val="00007482"/>
    <w:rsid w:val="000074B6"/>
    <w:rsid w:val="000074CF"/>
    <w:rsid w:val="00007959"/>
    <w:rsid w:val="00007EEC"/>
    <w:rsid w:val="000102D3"/>
    <w:rsid w:val="00010368"/>
    <w:rsid w:val="000107D7"/>
    <w:rsid w:val="00010CF5"/>
    <w:rsid w:val="000114E2"/>
    <w:rsid w:val="00011511"/>
    <w:rsid w:val="00011702"/>
    <w:rsid w:val="000119D3"/>
    <w:rsid w:val="00011B77"/>
    <w:rsid w:val="00011C25"/>
    <w:rsid w:val="00011C94"/>
    <w:rsid w:val="00011D83"/>
    <w:rsid w:val="00011DCD"/>
    <w:rsid w:val="00012168"/>
    <w:rsid w:val="0001293E"/>
    <w:rsid w:val="00012AF8"/>
    <w:rsid w:val="0001311B"/>
    <w:rsid w:val="00013251"/>
    <w:rsid w:val="000133D1"/>
    <w:rsid w:val="00013926"/>
    <w:rsid w:val="0001395E"/>
    <w:rsid w:val="00013AEB"/>
    <w:rsid w:val="00013C7D"/>
    <w:rsid w:val="00013F9A"/>
    <w:rsid w:val="00014053"/>
    <w:rsid w:val="00014696"/>
    <w:rsid w:val="000148AA"/>
    <w:rsid w:val="00014E94"/>
    <w:rsid w:val="00014FC2"/>
    <w:rsid w:val="00015070"/>
    <w:rsid w:val="00015491"/>
    <w:rsid w:val="00015683"/>
    <w:rsid w:val="00015AD7"/>
    <w:rsid w:val="000161C6"/>
    <w:rsid w:val="00016354"/>
    <w:rsid w:val="0001693E"/>
    <w:rsid w:val="00016A95"/>
    <w:rsid w:val="00016B4E"/>
    <w:rsid w:val="0001712D"/>
    <w:rsid w:val="000171EC"/>
    <w:rsid w:val="00017230"/>
    <w:rsid w:val="0001744B"/>
    <w:rsid w:val="00017697"/>
    <w:rsid w:val="00017883"/>
    <w:rsid w:val="00017C14"/>
    <w:rsid w:val="00017EDE"/>
    <w:rsid w:val="000201AF"/>
    <w:rsid w:val="00020544"/>
    <w:rsid w:val="00020647"/>
    <w:rsid w:val="00020688"/>
    <w:rsid w:val="000206BA"/>
    <w:rsid w:val="00020D91"/>
    <w:rsid w:val="00020DA4"/>
    <w:rsid w:val="00020EE5"/>
    <w:rsid w:val="00020F56"/>
    <w:rsid w:val="00021340"/>
    <w:rsid w:val="00021538"/>
    <w:rsid w:val="000217BB"/>
    <w:rsid w:val="00021BA7"/>
    <w:rsid w:val="00021C87"/>
    <w:rsid w:val="00021CA8"/>
    <w:rsid w:val="000221AA"/>
    <w:rsid w:val="00022A07"/>
    <w:rsid w:val="00022B9F"/>
    <w:rsid w:val="00022FAB"/>
    <w:rsid w:val="00022FD2"/>
    <w:rsid w:val="0002354B"/>
    <w:rsid w:val="00023560"/>
    <w:rsid w:val="00024390"/>
    <w:rsid w:val="000244B9"/>
    <w:rsid w:val="000249C5"/>
    <w:rsid w:val="00024A9E"/>
    <w:rsid w:val="00024B39"/>
    <w:rsid w:val="00024B3F"/>
    <w:rsid w:val="00024C58"/>
    <w:rsid w:val="00024C68"/>
    <w:rsid w:val="00024CF5"/>
    <w:rsid w:val="00024FA3"/>
    <w:rsid w:val="00025D23"/>
    <w:rsid w:val="00025EBC"/>
    <w:rsid w:val="000261A7"/>
    <w:rsid w:val="00026291"/>
    <w:rsid w:val="000266AC"/>
    <w:rsid w:val="0002683C"/>
    <w:rsid w:val="0002693B"/>
    <w:rsid w:val="00026B8E"/>
    <w:rsid w:val="00026D52"/>
    <w:rsid w:val="00027161"/>
    <w:rsid w:val="000279C7"/>
    <w:rsid w:val="00027B81"/>
    <w:rsid w:val="000300C9"/>
    <w:rsid w:val="0003095A"/>
    <w:rsid w:val="0003096E"/>
    <w:rsid w:val="0003098F"/>
    <w:rsid w:val="00030B46"/>
    <w:rsid w:val="00030E3F"/>
    <w:rsid w:val="00031546"/>
    <w:rsid w:val="00031818"/>
    <w:rsid w:val="00031A5E"/>
    <w:rsid w:val="00031B37"/>
    <w:rsid w:val="00031C68"/>
    <w:rsid w:val="0003231C"/>
    <w:rsid w:val="000327F1"/>
    <w:rsid w:val="0003285A"/>
    <w:rsid w:val="00032DA2"/>
    <w:rsid w:val="00032DEB"/>
    <w:rsid w:val="0003302C"/>
    <w:rsid w:val="00033155"/>
    <w:rsid w:val="0003348F"/>
    <w:rsid w:val="00033544"/>
    <w:rsid w:val="000336C2"/>
    <w:rsid w:val="000337B2"/>
    <w:rsid w:val="00033CFA"/>
    <w:rsid w:val="00033EE4"/>
    <w:rsid w:val="00034154"/>
    <w:rsid w:val="00034430"/>
    <w:rsid w:val="00034A83"/>
    <w:rsid w:val="00035015"/>
    <w:rsid w:val="000359AD"/>
    <w:rsid w:val="00035D1F"/>
    <w:rsid w:val="00035E66"/>
    <w:rsid w:val="00036312"/>
    <w:rsid w:val="00036659"/>
    <w:rsid w:val="000369FE"/>
    <w:rsid w:val="00036AD3"/>
    <w:rsid w:val="00036F01"/>
    <w:rsid w:val="00037206"/>
    <w:rsid w:val="0003739A"/>
    <w:rsid w:val="00037684"/>
    <w:rsid w:val="000376F2"/>
    <w:rsid w:val="00037A0E"/>
    <w:rsid w:val="00037A8F"/>
    <w:rsid w:val="00040284"/>
    <w:rsid w:val="000403B7"/>
    <w:rsid w:val="00040660"/>
    <w:rsid w:val="0004083A"/>
    <w:rsid w:val="00040960"/>
    <w:rsid w:val="00040BA1"/>
    <w:rsid w:val="000413D2"/>
    <w:rsid w:val="00041433"/>
    <w:rsid w:val="000415C7"/>
    <w:rsid w:val="00041766"/>
    <w:rsid w:val="00041E86"/>
    <w:rsid w:val="00042198"/>
    <w:rsid w:val="000422A3"/>
    <w:rsid w:val="000423D7"/>
    <w:rsid w:val="00042727"/>
    <w:rsid w:val="00042846"/>
    <w:rsid w:val="00042863"/>
    <w:rsid w:val="00042B14"/>
    <w:rsid w:val="00042BEA"/>
    <w:rsid w:val="00043096"/>
    <w:rsid w:val="0004320F"/>
    <w:rsid w:val="00043477"/>
    <w:rsid w:val="00043618"/>
    <w:rsid w:val="00043639"/>
    <w:rsid w:val="000437AE"/>
    <w:rsid w:val="000438EF"/>
    <w:rsid w:val="00043B95"/>
    <w:rsid w:val="00043CAE"/>
    <w:rsid w:val="00043CBB"/>
    <w:rsid w:val="00044385"/>
    <w:rsid w:val="00044442"/>
    <w:rsid w:val="000444EC"/>
    <w:rsid w:val="00044FF5"/>
    <w:rsid w:val="00045032"/>
    <w:rsid w:val="00045409"/>
    <w:rsid w:val="000461A1"/>
    <w:rsid w:val="000461AA"/>
    <w:rsid w:val="000463A1"/>
    <w:rsid w:val="00046522"/>
    <w:rsid w:val="00046530"/>
    <w:rsid w:val="000466AD"/>
    <w:rsid w:val="000469FA"/>
    <w:rsid w:val="00046A14"/>
    <w:rsid w:val="00046D96"/>
    <w:rsid w:val="000471B1"/>
    <w:rsid w:val="000471C3"/>
    <w:rsid w:val="000471D4"/>
    <w:rsid w:val="0004759C"/>
    <w:rsid w:val="00047B25"/>
    <w:rsid w:val="00050168"/>
    <w:rsid w:val="0005038D"/>
    <w:rsid w:val="0005045A"/>
    <w:rsid w:val="000509B2"/>
    <w:rsid w:val="00050C17"/>
    <w:rsid w:val="00050F22"/>
    <w:rsid w:val="00050F90"/>
    <w:rsid w:val="0005114C"/>
    <w:rsid w:val="000515C1"/>
    <w:rsid w:val="000517D7"/>
    <w:rsid w:val="00051A3B"/>
    <w:rsid w:val="00051C7D"/>
    <w:rsid w:val="00051D0A"/>
    <w:rsid w:val="0005221C"/>
    <w:rsid w:val="0005255E"/>
    <w:rsid w:val="00052966"/>
    <w:rsid w:val="000529FA"/>
    <w:rsid w:val="00052B24"/>
    <w:rsid w:val="00052E5F"/>
    <w:rsid w:val="000530BA"/>
    <w:rsid w:val="00053178"/>
    <w:rsid w:val="00053367"/>
    <w:rsid w:val="0005359C"/>
    <w:rsid w:val="00053822"/>
    <w:rsid w:val="00053B7B"/>
    <w:rsid w:val="0005406E"/>
    <w:rsid w:val="0005427D"/>
    <w:rsid w:val="00054309"/>
    <w:rsid w:val="00054502"/>
    <w:rsid w:val="000545AE"/>
    <w:rsid w:val="000547A5"/>
    <w:rsid w:val="00054E4A"/>
    <w:rsid w:val="000552FC"/>
    <w:rsid w:val="00055603"/>
    <w:rsid w:val="00055649"/>
    <w:rsid w:val="000558B4"/>
    <w:rsid w:val="00055984"/>
    <w:rsid w:val="00055E02"/>
    <w:rsid w:val="00055E31"/>
    <w:rsid w:val="00055E56"/>
    <w:rsid w:val="00056155"/>
    <w:rsid w:val="00056189"/>
    <w:rsid w:val="0005675F"/>
    <w:rsid w:val="00056976"/>
    <w:rsid w:val="00056BEA"/>
    <w:rsid w:val="00056D03"/>
    <w:rsid w:val="00056D52"/>
    <w:rsid w:val="00056D64"/>
    <w:rsid w:val="00056F79"/>
    <w:rsid w:val="00057259"/>
    <w:rsid w:val="000572B9"/>
    <w:rsid w:val="00057583"/>
    <w:rsid w:val="00057595"/>
    <w:rsid w:val="00057F2D"/>
    <w:rsid w:val="000602A3"/>
    <w:rsid w:val="00060409"/>
    <w:rsid w:val="000604E8"/>
    <w:rsid w:val="00060B5C"/>
    <w:rsid w:val="00060C7E"/>
    <w:rsid w:val="00060D97"/>
    <w:rsid w:val="00061BB7"/>
    <w:rsid w:val="00061BE4"/>
    <w:rsid w:val="00061D05"/>
    <w:rsid w:val="00061DFF"/>
    <w:rsid w:val="00061F58"/>
    <w:rsid w:val="000627F3"/>
    <w:rsid w:val="00062C14"/>
    <w:rsid w:val="00062CEC"/>
    <w:rsid w:val="000631E7"/>
    <w:rsid w:val="0006323D"/>
    <w:rsid w:val="000635D6"/>
    <w:rsid w:val="0006368F"/>
    <w:rsid w:val="00063D95"/>
    <w:rsid w:val="00063F0A"/>
    <w:rsid w:val="00063F51"/>
    <w:rsid w:val="000641F9"/>
    <w:rsid w:val="0006476D"/>
    <w:rsid w:val="00064D23"/>
    <w:rsid w:val="00064E29"/>
    <w:rsid w:val="0006589B"/>
    <w:rsid w:val="00065BCA"/>
    <w:rsid w:val="00065C77"/>
    <w:rsid w:val="00065C85"/>
    <w:rsid w:val="00065ECD"/>
    <w:rsid w:val="0006603E"/>
    <w:rsid w:val="00066130"/>
    <w:rsid w:val="000663A3"/>
    <w:rsid w:val="0006651A"/>
    <w:rsid w:val="00066630"/>
    <w:rsid w:val="00066A91"/>
    <w:rsid w:val="00066B0F"/>
    <w:rsid w:val="00066B6D"/>
    <w:rsid w:val="00066CE9"/>
    <w:rsid w:val="00066F3E"/>
    <w:rsid w:val="00066F8C"/>
    <w:rsid w:val="000673D1"/>
    <w:rsid w:val="000675C5"/>
    <w:rsid w:val="00067B08"/>
    <w:rsid w:val="00067E41"/>
    <w:rsid w:val="00067F7F"/>
    <w:rsid w:val="00070132"/>
    <w:rsid w:val="0007046F"/>
    <w:rsid w:val="00070770"/>
    <w:rsid w:val="000708E6"/>
    <w:rsid w:val="0007094F"/>
    <w:rsid w:val="00070D17"/>
    <w:rsid w:val="00071268"/>
    <w:rsid w:val="0007128D"/>
    <w:rsid w:val="00071841"/>
    <w:rsid w:val="000718D3"/>
    <w:rsid w:val="00071B40"/>
    <w:rsid w:val="00071C0B"/>
    <w:rsid w:val="00071E79"/>
    <w:rsid w:val="00071EED"/>
    <w:rsid w:val="00072084"/>
    <w:rsid w:val="0007216B"/>
    <w:rsid w:val="00072182"/>
    <w:rsid w:val="00072550"/>
    <w:rsid w:val="000725C4"/>
    <w:rsid w:val="00072D0F"/>
    <w:rsid w:val="000737A0"/>
    <w:rsid w:val="000739BE"/>
    <w:rsid w:val="00073C2D"/>
    <w:rsid w:val="00073C62"/>
    <w:rsid w:val="00073D9A"/>
    <w:rsid w:val="000741C3"/>
    <w:rsid w:val="000746D1"/>
    <w:rsid w:val="00074A48"/>
    <w:rsid w:val="00074B69"/>
    <w:rsid w:val="000752F6"/>
    <w:rsid w:val="00075703"/>
    <w:rsid w:val="0007577A"/>
    <w:rsid w:val="00075BF7"/>
    <w:rsid w:val="0007616E"/>
    <w:rsid w:val="00076200"/>
    <w:rsid w:val="00076366"/>
    <w:rsid w:val="000763FB"/>
    <w:rsid w:val="0007652C"/>
    <w:rsid w:val="000766E1"/>
    <w:rsid w:val="0007688F"/>
    <w:rsid w:val="000769AC"/>
    <w:rsid w:val="00076E32"/>
    <w:rsid w:val="00076F75"/>
    <w:rsid w:val="000771E6"/>
    <w:rsid w:val="000774E0"/>
    <w:rsid w:val="00077815"/>
    <w:rsid w:val="0007797C"/>
    <w:rsid w:val="00077D80"/>
    <w:rsid w:val="00077DD8"/>
    <w:rsid w:val="00077EC2"/>
    <w:rsid w:val="00077F55"/>
    <w:rsid w:val="00080008"/>
    <w:rsid w:val="00080DD9"/>
    <w:rsid w:val="00080EF8"/>
    <w:rsid w:val="00080F2E"/>
    <w:rsid w:val="00080FDB"/>
    <w:rsid w:val="000815A4"/>
    <w:rsid w:val="00081A2A"/>
    <w:rsid w:val="00081DD3"/>
    <w:rsid w:val="00081E8D"/>
    <w:rsid w:val="00082065"/>
    <w:rsid w:val="00082320"/>
    <w:rsid w:val="00082526"/>
    <w:rsid w:val="00082726"/>
    <w:rsid w:val="00082745"/>
    <w:rsid w:val="00082760"/>
    <w:rsid w:val="000828D4"/>
    <w:rsid w:val="000828F8"/>
    <w:rsid w:val="0008299B"/>
    <w:rsid w:val="00082CDA"/>
    <w:rsid w:val="00082DDC"/>
    <w:rsid w:val="00083471"/>
    <w:rsid w:val="00083E4A"/>
    <w:rsid w:val="0008400E"/>
    <w:rsid w:val="000843B4"/>
    <w:rsid w:val="000844D7"/>
    <w:rsid w:val="00084942"/>
    <w:rsid w:val="00084ABF"/>
    <w:rsid w:val="00084CF7"/>
    <w:rsid w:val="000856DA"/>
    <w:rsid w:val="0008576A"/>
    <w:rsid w:val="000857DB"/>
    <w:rsid w:val="00085A1B"/>
    <w:rsid w:val="00085A6F"/>
    <w:rsid w:val="00085E95"/>
    <w:rsid w:val="000861A2"/>
    <w:rsid w:val="0008668C"/>
    <w:rsid w:val="00086B64"/>
    <w:rsid w:val="00086DA4"/>
    <w:rsid w:val="00086DB3"/>
    <w:rsid w:val="00086E4F"/>
    <w:rsid w:val="000875CA"/>
    <w:rsid w:val="0008771E"/>
    <w:rsid w:val="00087741"/>
    <w:rsid w:val="00087827"/>
    <w:rsid w:val="000878D5"/>
    <w:rsid w:val="00087B6B"/>
    <w:rsid w:val="00087F88"/>
    <w:rsid w:val="00090122"/>
    <w:rsid w:val="0009069D"/>
    <w:rsid w:val="00090817"/>
    <w:rsid w:val="000908C8"/>
    <w:rsid w:val="00090D8A"/>
    <w:rsid w:val="00090E9E"/>
    <w:rsid w:val="00091004"/>
    <w:rsid w:val="000910A7"/>
    <w:rsid w:val="00091131"/>
    <w:rsid w:val="0009120E"/>
    <w:rsid w:val="0009121E"/>
    <w:rsid w:val="00091302"/>
    <w:rsid w:val="00091921"/>
    <w:rsid w:val="00091B0D"/>
    <w:rsid w:val="00091E27"/>
    <w:rsid w:val="00091E32"/>
    <w:rsid w:val="000920E4"/>
    <w:rsid w:val="00092107"/>
    <w:rsid w:val="000923A9"/>
    <w:rsid w:val="00092412"/>
    <w:rsid w:val="0009248E"/>
    <w:rsid w:val="000924A1"/>
    <w:rsid w:val="00092512"/>
    <w:rsid w:val="00092916"/>
    <w:rsid w:val="00092A5A"/>
    <w:rsid w:val="00092CCB"/>
    <w:rsid w:val="00092D59"/>
    <w:rsid w:val="00092ED5"/>
    <w:rsid w:val="000930F1"/>
    <w:rsid w:val="0009338B"/>
    <w:rsid w:val="00093632"/>
    <w:rsid w:val="00093B27"/>
    <w:rsid w:val="000941EB"/>
    <w:rsid w:val="00094718"/>
    <w:rsid w:val="00094DB4"/>
    <w:rsid w:val="00094DBE"/>
    <w:rsid w:val="00095307"/>
    <w:rsid w:val="0009544D"/>
    <w:rsid w:val="00095463"/>
    <w:rsid w:val="000954C3"/>
    <w:rsid w:val="000954E5"/>
    <w:rsid w:val="00095920"/>
    <w:rsid w:val="000959B1"/>
    <w:rsid w:val="00095A6B"/>
    <w:rsid w:val="00095E13"/>
    <w:rsid w:val="00095FBB"/>
    <w:rsid w:val="000962B8"/>
    <w:rsid w:val="00096344"/>
    <w:rsid w:val="000963E0"/>
    <w:rsid w:val="00096813"/>
    <w:rsid w:val="000969A6"/>
    <w:rsid w:val="000971D6"/>
    <w:rsid w:val="0009748F"/>
    <w:rsid w:val="000977C2"/>
    <w:rsid w:val="0009799B"/>
    <w:rsid w:val="00097A6E"/>
    <w:rsid w:val="00097A92"/>
    <w:rsid w:val="00097F77"/>
    <w:rsid w:val="000A03F4"/>
    <w:rsid w:val="000A07B7"/>
    <w:rsid w:val="000A0EFC"/>
    <w:rsid w:val="000A12F1"/>
    <w:rsid w:val="000A14A4"/>
    <w:rsid w:val="000A14B8"/>
    <w:rsid w:val="000A1583"/>
    <w:rsid w:val="000A1594"/>
    <w:rsid w:val="000A17C2"/>
    <w:rsid w:val="000A180C"/>
    <w:rsid w:val="000A1814"/>
    <w:rsid w:val="000A1875"/>
    <w:rsid w:val="000A1C03"/>
    <w:rsid w:val="000A1C53"/>
    <w:rsid w:val="000A1E26"/>
    <w:rsid w:val="000A2040"/>
    <w:rsid w:val="000A20C5"/>
    <w:rsid w:val="000A2427"/>
    <w:rsid w:val="000A2D42"/>
    <w:rsid w:val="000A3081"/>
    <w:rsid w:val="000A3098"/>
    <w:rsid w:val="000A36B7"/>
    <w:rsid w:val="000A396D"/>
    <w:rsid w:val="000A43CF"/>
    <w:rsid w:val="000A4495"/>
    <w:rsid w:val="000A44D4"/>
    <w:rsid w:val="000A5243"/>
    <w:rsid w:val="000A5454"/>
    <w:rsid w:val="000A56CE"/>
    <w:rsid w:val="000A5711"/>
    <w:rsid w:val="000A5823"/>
    <w:rsid w:val="000A5C42"/>
    <w:rsid w:val="000A5E1C"/>
    <w:rsid w:val="000A5EB1"/>
    <w:rsid w:val="000A6048"/>
    <w:rsid w:val="000A6578"/>
    <w:rsid w:val="000A6693"/>
    <w:rsid w:val="000A683B"/>
    <w:rsid w:val="000A6B5E"/>
    <w:rsid w:val="000A6D20"/>
    <w:rsid w:val="000A6FA8"/>
    <w:rsid w:val="000A70AC"/>
    <w:rsid w:val="000A72A9"/>
    <w:rsid w:val="000A77AE"/>
    <w:rsid w:val="000A7F78"/>
    <w:rsid w:val="000B01ED"/>
    <w:rsid w:val="000B04BE"/>
    <w:rsid w:val="000B0613"/>
    <w:rsid w:val="000B0676"/>
    <w:rsid w:val="000B0A71"/>
    <w:rsid w:val="000B113A"/>
    <w:rsid w:val="000B11FC"/>
    <w:rsid w:val="000B15ED"/>
    <w:rsid w:val="000B16EA"/>
    <w:rsid w:val="000B1DE2"/>
    <w:rsid w:val="000B2364"/>
    <w:rsid w:val="000B23B4"/>
    <w:rsid w:val="000B2808"/>
    <w:rsid w:val="000B28B6"/>
    <w:rsid w:val="000B2E16"/>
    <w:rsid w:val="000B3105"/>
    <w:rsid w:val="000B32ED"/>
    <w:rsid w:val="000B3935"/>
    <w:rsid w:val="000B3F6C"/>
    <w:rsid w:val="000B4027"/>
    <w:rsid w:val="000B42AA"/>
    <w:rsid w:val="000B453A"/>
    <w:rsid w:val="000B46A2"/>
    <w:rsid w:val="000B4947"/>
    <w:rsid w:val="000B4CC6"/>
    <w:rsid w:val="000B522B"/>
    <w:rsid w:val="000B5230"/>
    <w:rsid w:val="000B5405"/>
    <w:rsid w:val="000B5465"/>
    <w:rsid w:val="000B55CB"/>
    <w:rsid w:val="000B5840"/>
    <w:rsid w:val="000B5F7C"/>
    <w:rsid w:val="000B63C8"/>
    <w:rsid w:val="000B68AE"/>
    <w:rsid w:val="000B6A59"/>
    <w:rsid w:val="000B6B61"/>
    <w:rsid w:val="000B6D84"/>
    <w:rsid w:val="000B769E"/>
    <w:rsid w:val="000B7919"/>
    <w:rsid w:val="000B7B27"/>
    <w:rsid w:val="000B7B7C"/>
    <w:rsid w:val="000B7F42"/>
    <w:rsid w:val="000C0092"/>
    <w:rsid w:val="000C0193"/>
    <w:rsid w:val="000C019C"/>
    <w:rsid w:val="000C04AB"/>
    <w:rsid w:val="000C055A"/>
    <w:rsid w:val="000C072D"/>
    <w:rsid w:val="000C07EF"/>
    <w:rsid w:val="000C0834"/>
    <w:rsid w:val="000C0B80"/>
    <w:rsid w:val="000C0C14"/>
    <w:rsid w:val="000C0C27"/>
    <w:rsid w:val="000C0EE8"/>
    <w:rsid w:val="000C110F"/>
    <w:rsid w:val="000C14DE"/>
    <w:rsid w:val="000C2046"/>
    <w:rsid w:val="000C20FE"/>
    <w:rsid w:val="000C2952"/>
    <w:rsid w:val="000C2CBC"/>
    <w:rsid w:val="000C3028"/>
    <w:rsid w:val="000C3052"/>
    <w:rsid w:val="000C30AC"/>
    <w:rsid w:val="000C3411"/>
    <w:rsid w:val="000C34C0"/>
    <w:rsid w:val="000C34EC"/>
    <w:rsid w:val="000C359E"/>
    <w:rsid w:val="000C35E9"/>
    <w:rsid w:val="000C377B"/>
    <w:rsid w:val="000C37B0"/>
    <w:rsid w:val="000C3A7E"/>
    <w:rsid w:val="000C3AAA"/>
    <w:rsid w:val="000C3BA3"/>
    <w:rsid w:val="000C3CE8"/>
    <w:rsid w:val="000C3EE1"/>
    <w:rsid w:val="000C3FB8"/>
    <w:rsid w:val="000C4064"/>
    <w:rsid w:val="000C42AC"/>
    <w:rsid w:val="000C4998"/>
    <w:rsid w:val="000C4B9F"/>
    <w:rsid w:val="000C4F4F"/>
    <w:rsid w:val="000C4FCD"/>
    <w:rsid w:val="000C5004"/>
    <w:rsid w:val="000C50EF"/>
    <w:rsid w:val="000C519D"/>
    <w:rsid w:val="000C5442"/>
    <w:rsid w:val="000C576B"/>
    <w:rsid w:val="000C5B51"/>
    <w:rsid w:val="000C5D09"/>
    <w:rsid w:val="000C5E8C"/>
    <w:rsid w:val="000C673D"/>
    <w:rsid w:val="000C6C18"/>
    <w:rsid w:val="000C6E88"/>
    <w:rsid w:val="000C7075"/>
    <w:rsid w:val="000C72EE"/>
    <w:rsid w:val="000C74AF"/>
    <w:rsid w:val="000C76C1"/>
    <w:rsid w:val="000C78BD"/>
    <w:rsid w:val="000C7AF1"/>
    <w:rsid w:val="000C7C17"/>
    <w:rsid w:val="000C7FBA"/>
    <w:rsid w:val="000D0172"/>
    <w:rsid w:val="000D028F"/>
    <w:rsid w:val="000D032B"/>
    <w:rsid w:val="000D0AD0"/>
    <w:rsid w:val="000D0CDE"/>
    <w:rsid w:val="000D10FB"/>
    <w:rsid w:val="000D1127"/>
    <w:rsid w:val="000D12A2"/>
    <w:rsid w:val="000D161B"/>
    <w:rsid w:val="000D16C7"/>
    <w:rsid w:val="000D1764"/>
    <w:rsid w:val="000D191B"/>
    <w:rsid w:val="000D1B73"/>
    <w:rsid w:val="000D1D07"/>
    <w:rsid w:val="000D1D51"/>
    <w:rsid w:val="000D1E80"/>
    <w:rsid w:val="000D23F5"/>
    <w:rsid w:val="000D244C"/>
    <w:rsid w:val="000D2D03"/>
    <w:rsid w:val="000D2F4F"/>
    <w:rsid w:val="000D32C7"/>
    <w:rsid w:val="000D330F"/>
    <w:rsid w:val="000D33CE"/>
    <w:rsid w:val="000D3C1E"/>
    <w:rsid w:val="000D3C6B"/>
    <w:rsid w:val="000D3D4E"/>
    <w:rsid w:val="000D3E06"/>
    <w:rsid w:val="000D42D0"/>
    <w:rsid w:val="000D463B"/>
    <w:rsid w:val="000D4AD9"/>
    <w:rsid w:val="000D4DE8"/>
    <w:rsid w:val="000D4E2B"/>
    <w:rsid w:val="000D4FFC"/>
    <w:rsid w:val="000D4FFE"/>
    <w:rsid w:val="000D524B"/>
    <w:rsid w:val="000D569B"/>
    <w:rsid w:val="000D570A"/>
    <w:rsid w:val="000D578B"/>
    <w:rsid w:val="000D5986"/>
    <w:rsid w:val="000D5B30"/>
    <w:rsid w:val="000D5C97"/>
    <w:rsid w:val="000D5D93"/>
    <w:rsid w:val="000D5E2F"/>
    <w:rsid w:val="000D6DAC"/>
    <w:rsid w:val="000D7297"/>
    <w:rsid w:val="000D7625"/>
    <w:rsid w:val="000D77F4"/>
    <w:rsid w:val="000D79D3"/>
    <w:rsid w:val="000D7BD9"/>
    <w:rsid w:val="000D7CE5"/>
    <w:rsid w:val="000D7D90"/>
    <w:rsid w:val="000D7D9C"/>
    <w:rsid w:val="000D7E1C"/>
    <w:rsid w:val="000D7E77"/>
    <w:rsid w:val="000E00EA"/>
    <w:rsid w:val="000E033F"/>
    <w:rsid w:val="000E03E4"/>
    <w:rsid w:val="000E0613"/>
    <w:rsid w:val="000E0EA4"/>
    <w:rsid w:val="000E0EAD"/>
    <w:rsid w:val="000E10F4"/>
    <w:rsid w:val="000E1A42"/>
    <w:rsid w:val="000E1B6B"/>
    <w:rsid w:val="000E205D"/>
    <w:rsid w:val="000E20D6"/>
    <w:rsid w:val="000E2374"/>
    <w:rsid w:val="000E2527"/>
    <w:rsid w:val="000E29AF"/>
    <w:rsid w:val="000E2B07"/>
    <w:rsid w:val="000E2CF0"/>
    <w:rsid w:val="000E2F92"/>
    <w:rsid w:val="000E3255"/>
    <w:rsid w:val="000E3E53"/>
    <w:rsid w:val="000E3F18"/>
    <w:rsid w:val="000E4109"/>
    <w:rsid w:val="000E45D2"/>
    <w:rsid w:val="000E468D"/>
    <w:rsid w:val="000E488A"/>
    <w:rsid w:val="000E4C43"/>
    <w:rsid w:val="000E4CDA"/>
    <w:rsid w:val="000E4DFD"/>
    <w:rsid w:val="000E5055"/>
    <w:rsid w:val="000E52BE"/>
    <w:rsid w:val="000E5B35"/>
    <w:rsid w:val="000E5B9F"/>
    <w:rsid w:val="000E5EB0"/>
    <w:rsid w:val="000E5EE1"/>
    <w:rsid w:val="000E5FA3"/>
    <w:rsid w:val="000E6046"/>
    <w:rsid w:val="000E6825"/>
    <w:rsid w:val="000E6A28"/>
    <w:rsid w:val="000E6F72"/>
    <w:rsid w:val="000E7205"/>
    <w:rsid w:val="000E7279"/>
    <w:rsid w:val="000E76AC"/>
    <w:rsid w:val="000E786F"/>
    <w:rsid w:val="000E78D4"/>
    <w:rsid w:val="000E7B25"/>
    <w:rsid w:val="000E7BC1"/>
    <w:rsid w:val="000E7BEE"/>
    <w:rsid w:val="000E7D7B"/>
    <w:rsid w:val="000F0382"/>
    <w:rsid w:val="000F0825"/>
    <w:rsid w:val="000F0D05"/>
    <w:rsid w:val="000F0F0F"/>
    <w:rsid w:val="000F0F20"/>
    <w:rsid w:val="000F0F61"/>
    <w:rsid w:val="000F13C7"/>
    <w:rsid w:val="000F1587"/>
    <w:rsid w:val="000F1879"/>
    <w:rsid w:val="000F206F"/>
    <w:rsid w:val="000F20B9"/>
    <w:rsid w:val="000F22C6"/>
    <w:rsid w:val="000F240A"/>
    <w:rsid w:val="000F27FF"/>
    <w:rsid w:val="000F2A52"/>
    <w:rsid w:val="000F2D1C"/>
    <w:rsid w:val="000F2E2F"/>
    <w:rsid w:val="000F359D"/>
    <w:rsid w:val="000F3B31"/>
    <w:rsid w:val="000F3C45"/>
    <w:rsid w:val="000F4026"/>
    <w:rsid w:val="000F4096"/>
    <w:rsid w:val="000F440C"/>
    <w:rsid w:val="000F4557"/>
    <w:rsid w:val="000F4F04"/>
    <w:rsid w:val="000F4F13"/>
    <w:rsid w:val="000F4F3A"/>
    <w:rsid w:val="000F51E1"/>
    <w:rsid w:val="000F52F0"/>
    <w:rsid w:val="000F5AA4"/>
    <w:rsid w:val="000F6029"/>
    <w:rsid w:val="000F6331"/>
    <w:rsid w:val="000F66D5"/>
    <w:rsid w:val="000F6DD3"/>
    <w:rsid w:val="000F736F"/>
    <w:rsid w:val="000F738D"/>
    <w:rsid w:val="000F7593"/>
    <w:rsid w:val="000F780B"/>
    <w:rsid w:val="000F7AC6"/>
    <w:rsid w:val="000F7CEB"/>
    <w:rsid w:val="000F7F41"/>
    <w:rsid w:val="00100015"/>
    <w:rsid w:val="001003A4"/>
    <w:rsid w:val="001003D7"/>
    <w:rsid w:val="00100602"/>
    <w:rsid w:val="00100775"/>
    <w:rsid w:val="001007C7"/>
    <w:rsid w:val="001008D4"/>
    <w:rsid w:val="00100DE7"/>
    <w:rsid w:val="0010111E"/>
    <w:rsid w:val="001013F2"/>
    <w:rsid w:val="001015E0"/>
    <w:rsid w:val="00101ED7"/>
    <w:rsid w:val="001020AD"/>
    <w:rsid w:val="00102189"/>
    <w:rsid w:val="0010224F"/>
    <w:rsid w:val="0010234E"/>
    <w:rsid w:val="00102401"/>
    <w:rsid w:val="00102549"/>
    <w:rsid w:val="001026F5"/>
    <w:rsid w:val="00102755"/>
    <w:rsid w:val="00102A07"/>
    <w:rsid w:val="00102B15"/>
    <w:rsid w:val="00102DA2"/>
    <w:rsid w:val="00103800"/>
    <w:rsid w:val="00103999"/>
    <w:rsid w:val="00103D3A"/>
    <w:rsid w:val="00104541"/>
    <w:rsid w:val="00104C48"/>
    <w:rsid w:val="00104E52"/>
    <w:rsid w:val="00104F23"/>
    <w:rsid w:val="001054AB"/>
    <w:rsid w:val="001056CE"/>
    <w:rsid w:val="001058CC"/>
    <w:rsid w:val="001058DA"/>
    <w:rsid w:val="00105AF7"/>
    <w:rsid w:val="00105FFF"/>
    <w:rsid w:val="0010603E"/>
    <w:rsid w:val="00106188"/>
    <w:rsid w:val="00106315"/>
    <w:rsid w:val="0010642C"/>
    <w:rsid w:val="00106520"/>
    <w:rsid w:val="00106BE6"/>
    <w:rsid w:val="00106C50"/>
    <w:rsid w:val="001070C5"/>
    <w:rsid w:val="00107178"/>
    <w:rsid w:val="001074A8"/>
    <w:rsid w:val="00107D2E"/>
    <w:rsid w:val="00107DF5"/>
    <w:rsid w:val="0011002C"/>
    <w:rsid w:val="00110125"/>
    <w:rsid w:val="00110360"/>
    <w:rsid w:val="001106FD"/>
    <w:rsid w:val="00110728"/>
    <w:rsid w:val="00110AA2"/>
    <w:rsid w:val="00110C5E"/>
    <w:rsid w:val="00110D88"/>
    <w:rsid w:val="001114AF"/>
    <w:rsid w:val="00111507"/>
    <w:rsid w:val="001115A6"/>
    <w:rsid w:val="00111751"/>
    <w:rsid w:val="00111754"/>
    <w:rsid w:val="00111E1D"/>
    <w:rsid w:val="00112332"/>
    <w:rsid w:val="00112420"/>
    <w:rsid w:val="00112670"/>
    <w:rsid w:val="00112BC7"/>
    <w:rsid w:val="00112D27"/>
    <w:rsid w:val="00112D8F"/>
    <w:rsid w:val="001131F6"/>
    <w:rsid w:val="0011328C"/>
    <w:rsid w:val="0011334A"/>
    <w:rsid w:val="00113569"/>
    <w:rsid w:val="00113681"/>
    <w:rsid w:val="00113825"/>
    <w:rsid w:val="00113A07"/>
    <w:rsid w:val="00113F04"/>
    <w:rsid w:val="001140D7"/>
    <w:rsid w:val="0011441E"/>
    <w:rsid w:val="00114475"/>
    <w:rsid w:val="00114CFC"/>
    <w:rsid w:val="00114E4D"/>
    <w:rsid w:val="00115011"/>
    <w:rsid w:val="00115037"/>
    <w:rsid w:val="0011521C"/>
    <w:rsid w:val="0011542A"/>
    <w:rsid w:val="00115622"/>
    <w:rsid w:val="00115754"/>
    <w:rsid w:val="00115A66"/>
    <w:rsid w:val="00115AA9"/>
    <w:rsid w:val="00115AD3"/>
    <w:rsid w:val="00115CBD"/>
    <w:rsid w:val="00115EDD"/>
    <w:rsid w:val="00116589"/>
    <w:rsid w:val="0011682E"/>
    <w:rsid w:val="001168D6"/>
    <w:rsid w:val="001169EF"/>
    <w:rsid w:val="00116B87"/>
    <w:rsid w:val="00116FAB"/>
    <w:rsid w:val="001173A7"/>
    <w:rsid w:val="001174C6"/>
    <w:rsid w:val="001177D3"/>
    <w:rsid w:val="00117AC2"/>
    <w:rsid w:val="00117E42"/>
    <w:rsid w:val="001200CB"/>
    <w:rsid w:val="001205E5"/>
    <w:rsid w:val="00120946"/>
    <w:rsid w:val="00120992"/>
    <w:rsid w:val="001214D7"/>
    <w:rsid w:val="001215E2"/>
    <w:rsid w:val="00121754"/>
    <w:rsid w:val="00121DB5"/>
    <w:rsid w:val="00121E1C"/>
    <w:rsid w:val="00121F46"/>
    <w:rsid w:val="001221DA"/>
    <w:rsid w:val="0012245E"/>
    <w:rsid w:val="001226EE"/>
    <w:rsid w:val="00122858"/>
    <w:rsid w:val="00122CDD"/>
    <w:rsid w:val="00122D1F"/>
    <w:rsid w:val="00122D44"/>
    <w:rsid w:val="00122ED2"/>
    <w:rsid w:val="00122F47"/>
    <w:rsid w:val="001231ED"/>
    <w:rsid w:val="001235BF"/>
    <w:rsid w:val="00123B1F"/>
    <w:rsid w:val="00123C43"/>
    <w:rsid w:val="00123DA0"/>
    <w:rsid w:val="00123E4C"/>
    <w:rsid w:val="00124042"/>
    <w:rsid w:val="00124049"/>
    <w:rsid w:val="00124080"/>
    <w:rsid w:val="001241EA"/>
    <w:rsid w:val="00124400"/>
    <w:rsid w:val="0012464C"/>
    <w:rsid w:val="0012469D"/>
    <w:rsid w:val="0012475A"/>
    <w:rsid w:val="0012478D"/>
    <w:rsid w:val="0012479B"/>
    <w:rsid w:val="00124A07"/>
    <w:rsid w:val="00124BE4"/>
    <w:rsid w:val="00124D67"/>
    <w:rsid w:val="00125078"/>
    <w:rsid w:val="00125272"/>
    <w:rsid w:val="00125620"/>
    <w:rsid w:val="00125679"/>
    <w:rsid w:val="00125EFD"/>
    <w:rsid w:val="00126445"/>
    <w:rsid w:val="00126AF9"/>
    <w:rsid w:val="00126BB7"/>
    <w:rsid w:val="00126DAB"/>
    <w:rsid w:val="001272B8"/>
    <w:rsid w:val="00127518"/>
    <w:rsid w:val="001275F2"/>
    <w:rsid w:val="001277AF"/>
    <w:rsid w:val="00127B5C"/>
    <w:rsid w:val="00127F9B"/>
    <w:rsid w:val="00127FE0"/>
    <w:rsid w:val="0013001C"/>
    <w:rsid w:val="00130069"/>
    <w:rsid w:val="0013046C"/>
    <w:rsid w:val="00130798"/>
    <w:rsid w:val="00130848"/>
    <w:rsid w:val="00130B5B"/>
    <w:rsid w:val="001311CD"/>
    <w:rsid w:val="001311EB"/>
    <w:rsid w:val="00131992"/>
    <w:rsid w:val="00131E45"/>
    <w:rsid w:val="00131EE6"/>
    <w:rsid w:val="00131FDF"/>
    <w:rsid w:val="0013241F"/>
    <w:rsid w:val="001326BD"/>
    <w:rsid w:val="00132866"/>
    <w:rsid w:val="001329C3"/>
    <w:rsid w:val="00132B88"/>
    <w:rsid w:val="00132E79"/>
    <w:rsid w:val="001330AE"/>
    <w:rsid w:val="00133407"/>
    <w:rsid w:val="001335F6"/>
    <w:rsid w:val="00133974"/>
    <w:rsid w:val="00133B83"/>
    <w:rsid w:val="00133DBF"/>
    <w:rsid w:val="00133E2E"/>
    <w:rsid w:val="0013447D"/>
    <w:rsid w:val="00134655"/>
    <w:rsid w:val="00134AD4"/>
    <w:rsid w:val="00134B3A"/>
    <w:rsid w:val="0013510E"/>
    <w:rsid w:val="00135217"/>
    <w:rsid w:val="001355B1"/>
    <w:rsid w:val="00135A1F"/>
    <w:rsid w:val="001361B5"/>
    <w:rsid w:val="00136282"/>
    <w:rsid w:val="001362AF"/>
    <w:rsid w:val="001365A8"/>
    <w:rsid w:val="0013663C"/>
    <w:rsid w:val="00136685"/>
    <w:rsid w:val="0013680F"/>
    <w:rsid w:val="00136AB4"/>
    <w:rsid w:val="00136DE9"/>
    <w:rsid w:val="00136E9F"/>
    <w:rsid w:val="00137165"/>
    <w:rsid w:val="0013720F"/>
    <w:rsid w:val="00137646"/>
    <w:rsid w:val="00137B14"/>
    <w:rsid w:val="00137CFF"/>
    <w:rsid w:val="00137FFE"/>
    <w:rsid w:val="001401B2"/>
    <w:rsid w:val="001401CD"/>
    <w:rsid w:val="001405CA"/>
    <w:rsid w:val="00140D74"/>
    <w:rsid w:val="001410CE"/>
    <w:rsid w:val="00141333"/>
    <w:rsid w:val="001415EE"/>
    <w:rsid w:val="0014172F"/>
    <w:rsid w:val="0014187F"/>
    <w:rsid w:val="00141C27"/>
    <w:rsid w:val="00141D80"/>
    <w:rsid w:val="00141E53"/>
    <w:rsid w:val="00141F7B"/>
    <w:rsid w:val="001423CE"/>
    <w:rsid w:val="001426FB"/>
    <w:rsid w:val="00142743"/>
    <w:rsid w:val="001428DB"/>
    <w:rsid w:val="00142902"/>
    <w:rsid w:val="00142AEC"/>
    <w:rsid w:val="00142B03"/>
    <w:rsid w:val="00142E90"/>
    <w:rsid w:val="00143408"/>
    <w:rsid w:val="001436B2"/>
    <w:rsid w:val="001437DD"/>
    <w:rsid w:val="001437FF"/>
    <w:rsid w:val="00143B53"/>
    <w:rsid w:val="00143E9A"/>
    <w:rsid w:val="00144018"/>
    <w:rsid w:val="00144066"/>
    <w:rsid w:val="001441EC"/>
    <w:rsid w:val="001447E7"/>
    <w:rsid w:val="0014492C"/>
    <w:rsid w:val="00144BB3"/>
    <w:rsid w:val="00144CFF"/>
    <w:rsid w:val="001450E1"/>
    <w:rsid w:val="001456AF"/>
    <w:rsid w:val="001456BF"/>
    <w:rsid w:val="00145C00"/>
    <w:rsid w:val="00145C27"/>
    <w:rsid w:val="00145D15"/>
    <w:rsid w:val="00145D22"/>
    <w:rsid w:val="00145D96"/>
    <w:rsid w:val="00145F72"/>
    <w:rsid w:val="00145FC8"/>
    <w:rsid w:val="001464BC"/>
    <w:rsid w:val="00146775"/>
    <w:rsid w:val="001469DC"/>
    <w:rsid w:val="00146C02"/>
    <w:rsid w:val="00146D02"/>
    <w:rsid w:val="00146EA5"/>
    <w:rsid w:val="0014770F"/>
    <w:rsid w:val="00147A05"/>
    <w:rsid w:val="00150161"/>
    <w:rsid w:val="001501FD"/>
    <w:rsid w:val="00150868"/>
    <w:rsid w:val="001508F6"/>
    <w:rsid w:val="00150EBC"/>
    <w:rsid w:val="0015163B"/>
    <w:rsid w:val="00151752"/>
    <w:rsid w:val="00151EB5"/>
    <w:rsid w:val="00152349"/>
    <w:rsid w:val="00152438"/>
    <w:rsid w:val="00152688"/>
    <w:rsid w:val="00152791"/>
    <w:rsid w:val="0015287B"/>
    <w:rsid w:val="00152D62"/>
    <w:rsid w:val="00152FE2"/>
    <w:rsid w:val="00153272"/>
    <w:rsid w:val="001532EF"/>
    <w:rsid w:val="00153805"/>
    <w:rsid w:val="001539B2"/>
    <w:rsid w:val="00153B0B"/>
    <w:rsid w:val="00153B2E"/>
    <w:rsid w:val="00153CE8"/>
    <w:rsid w:val="0015401B"/>
    <w:rsid w:val="001541B0"/>
    <w:rsid w:val="001541F7"/>
    <w:rsid w:val="001544EC"/>
    <w:rsid w:val="001546D5"/>
    <w:rsid w:val="001548D3"/>
    <w:rsid w:val="00154936"/>
    <w:rsid w:val="00154953"/>
    <w:rsid w:val="00155279"/>
    <w:rsid w:val="00155454"/>
    <w:rsid w:val="001559E8"/>
    <w:rsid w:val="00155B14"/>
    <w:rsid w:val="00155B81"/>
    <w:rsid w:val="00155BC2"/>
    <w:rsid w:val="00155BFB"/>
    <w:rsid w:val="00155D09"/>
    <w:rsid w:val="00155FE9"/>
    <w:rsid w:val="001562AA"/>
    <w:rsid w:val="001563C6"/>
    <w:rsid w:val="001564CD"/>
    <w:rsid w:val="00156566"/>
    <w:rsid w:val="00156777"/>
    <w:rsid w:val="00156820"/>
    <w:rsid w:val="0015682E"/>
    <w:rsid w:val="001569F9"/>
    <w:rsid w:val="00156DEC"/>
    <w:rsid w:val="0015702B"/>
    <w:rsid w:val="001572CA"/>
    <w:rsid w:val="00157462"/>
    <w:rsid w:val="0015763A"/>
    <w:rsid w:val="0015773C"/>
    <w:rsid w:val="0015797A"/>
    <w:rsid w:val="00157C45"/>
    <w:rsid w:val="001600E9"/>
    <w:rsid w:val="00160144"/>
    <w:rsid w:val="0016022A"/>
    <w:rsid w:val="001605E6"/>
    <w:rsid w:val="00160B81"/>
    <w:rsid w:val="00160D9E"/>
    <w:rsid w:val="00160F06"/>
    <w:rsid w:val="001611C9"/>
    <w:rsid w:val="001613B6"/>
    <w:rsid w:val="00161776"/>
    <w:rsid w:val="001618D0"/>
    <w:rsid w:val="00161A2A"/>
    <w:rsid w:val="00161B5D"/>
    <w:rsid w:val="00162146"/>
    <w:rsid w:val="00162713"/>
    <w:rsid w:val="00162BA6"/>
    <w:rsid w:val="00162E9F"/>
    <w:rsid w:val="00163C55"/>
    <w:rsid w:val="00163DF5"/>
    <w:rsid w:val="00164181"/>
    <w:rsid w:val="00164385"/>
    <w:rsid w:val="001643BC"/>
    <w:rsid w:val="00164493"/>
    <w:rsid w:val="001648E9"/>
    <w:rsid w:val="001649FD"/>
    <w:rsid w:val="00164F0E"/>
    <w:rsid w:val="00165093"/>
    <w:rsid w:val="0016547C"/>
    <w:rsid w:val="001655AD"/>
    <w:rsid w:val="001656D2"/>
    <w:rsid w:val="00165B85"/>
    <w:rsid w:val="00165CF1"/>
    <w:rsid w:val="00165F12"/>
    <w:rsid w:val="00165F50"/>
    <w:rsid w:val="00166147"/>
    <w:rsid w:val="001663D2"/>
    <w:rsid w:val="001664DA"/>
    <w:rsid w:val="00166FDC"/>
    <w:rsid w:val="00167374"/>
    <w:rsid w:val="0016758C"/>
    <w:rsid w:val="001676D4"/>
    <w:rsid w:val="00167881"/>
    <w:rsid w:val="00167A2F"/>
    <w:rsid w:val="00167B71"/>
    <w:rsid w:val="00167B8D"/>
    <w:rsid w:val="00167CA0"/>
    <w:rsid w:val="00167CEC"/>
    <w:rsid w:val="00167D29"/>
    <w:rsid w:val="001701FC"/>
    <w:rsid w:val="0017025B"/>
    <w:rsid w:val="001706CF"/>
    <w:rsid w:val="00170B16"/>
    <w:rsid w:val="00170C81"/>
    <w:rsid w:val="00170EFB"/>
    <w:rsid w:val="00171032"/>
    <w:rsid w:val="0017137A"/>
    <w:rsid w:val="00171671"/>
    <w:rsid w:val="00171B0A"/>
    <w:rsid w:val="00171B15"/>
    <w:rsid w:val="001720FC"/>
    <w:rsid w:val="00172258"/>
    <w:rsid w:val="0017254D"/>
    <w:rsid w:val="00172552"/>
    <w:rsid w:val="00172667"/>
    <w:rsid w:val="00172730"/>
    <w:rsid w:val="001729DE"/>
    <w:rsid w:val="00172E84"/>
    <w:rsid w:val="00173034"/>
    <w:rsid w:val="00173148"/>
    <w:rsid w:val="00173675"/>
    <w:rsid w:val="00173B2E"/>
    <w:rsid w:val="00173E0A"/>
    <w:rsid w:val="001749CD"/>
    <w:rsid w:val="00174CAA"/>
    <w:rsid w:val="00174FA5"/>
    <w:rsid w:val="00174FAB"/>
    <w:rsid w:val="001750B6"/>
    <w:rsid w:val="00175164"/>
    <w:rsid w:val="001751AC"/>
    <w:rsid w:val="00175422"/>
    <w:rsid w:val="00175AD0"/>
    <w:rsid w:val="00175B7E"/>
    <w:rsid w:val="00175CD6"/>
    <w:rsid w:val="00175D63"/>
    <w:rsid w:val="00175FE4"/>
    <w:rsid w:val="00176183"/>
    <w:rsid w:val="001764E2"/>
    <w:rsid w:val="001765B4"/>
    <w:rsid w:val="001767F6"/>
    <w:rsid w:val="001768CD"/>
    <w:rsid w:val="00176AA1"/>
    <w:rsid w:val="00176B14"/>
    <w:rsid w:val="00176B29"/>
    <w:rsid w:val="00177076"/>
    <w:rsid w:val="00177292"/>
    <w:rsid w:val="001773D3"/>
    <w:rsid w:val="00177638"/>
    <w:rsid w:val="00177D16"/>
    <w:rsid w:val="00177DC2"/>
    <w:rsid w:val="0018000E"/>
    <w:rsid w:val="00180184"/>
    <w:rsid w:val="00180387"/>
    <w:rsid w:val="00180472"/>
    <w:rsid w:val="00180857"/>
    <w:rsid w:val="0018093E"/>
    <w:rsid w:val="00180984"/>
    <w:rsid w:val="00180C4E"/>
    <w:rsid w:val="00180E53"/>
    <w:rsid w:val="0018117F"/>
    <w:rsid w:val="001814E8"/>
    <w:rsid w:val="00181683"/>
    <w:rsid w:val="001816D6"/>
    <w:rsid w:val="0018186C"/>
    <w:rsid w:val="0018198E"/>
    <w:rsid w:val="00181B62"/>
    <w:rsid w:val="00181C13"/>
    <w:rsid w:val="00181CD3"/>
    <w:rsid w:val="00182A00"/>
    <w:rsid w:val="00182A77"/>
    <w:rsid w:val="00182CF1"/>
    <w:rsid w:val="001832B1"/>
    <w:rsid w:val="001833C9"/>
    <w:rsid w:val="001833D2"/>
    <w:rsid w:val="0018369D"/>
    <w:rsid w:val="00183762"/>
    <w:rsid w:val="0018388C"/>
    <w:rsid w:val="00183E45"/>
    <w:rsid w:val="00183F26"/>
    <w:rsid w:val="00184147"/>
    <w:rsid w:val="00184315"/>
    <w:rsid w:val="001849C6"/>
    <w:rsid w:val="00184BFF"/>
    <w:rsid w:val="00184F38"/>
    <w:rsid w:val="00184FE6"/>
    <w:rsid w:val="001852B6"/>
    <w:rsid w:val="0018557E"/>
    <w:rsid w:val="00185725"/>
    <w:rsid w:val="001857C3"/>
    <w:rsid w:val="001858BC"/>
    <w:rsid w:val="00185ADD"/>
    <w:rsid w:val="00185C2D"/>
    <w:rsid w:val="00186539"/>
    <w:rsid w:val="0018667A"/>
    <w:rsid w:val="00186685"/>
    <w:rsid w:val="00186884"/>
    <w:rsid w:val="00186D81"/>
    <w:rsid w:val="00186E1C"/>
    <w:rsid w:val="001871E5"/>
    <w:rsid w:val="00187499"/>
    <w:rsid w:val="00187720"/>
    <w:rsid w:val="0018781A"/>
    <w:rsid w:val="00187B1C"/>
    <w:rsid w:val="00187B26"/>
    <w:rsid w:val="00187D7A"/>
    <w:rsid w:val="00187FCD"/>
    <w:rsid w:val="0019039C"/>
    <w:rsid w:val="001903CF"/>
    <w:rsid w:val="00190FE4"/>
    <w:rsid w:val="00191389"/>
    <w:rsid w:val="00191430"/>
    <w:rsid w:val="00191C34"/>
    <w:rsid w:val="00191D8D"/>
    <w:rsid w:val="00191E94"/>
    <w:rsid w:val="00192095"/>
    <w:rsid w:val="001922AD"/>
    <w:rsid w:val="001922DA"/>
    <w:rsid w:val="001923DD"/>
    <w:rsid w:val="00192423"/>
    <w:rsid w:val="0019250A"/>
    <w:rsid w:val="00192A85"/>
    <w:rsid w:val="00192CDA"/>
    <w:rsid w:val="0019323A"/>
    <w:rsid w:val="001932F2"/>
    <w:rsid w:val="0019358A"/>
    <w:rsid w:val="00193594"/>
    <w:rsid w:val="001935F4"/>
    <w:rsid w:val="00193839"/>
    <w:rsid w:val="00193BB2"/>
    <w:rsid w:val="00193BF2"/>
    <w:rsid w:val="00193FED"/>
    <w:rsid w:val="001940F1"/>
    <w:rsid w:val="00194B41"/>
    <w:rsid w:val="00194C17"/>
    <w:rsid w:val="00194F23"/>
    <w:rsid w:val="00195271"/>
    <w:rsid w:val="001955DA"/>
    <w:rsid w:val="00195973"/>
    <w:rsid w:val="001959B2"/>
    <w:rsid w:val="00195B61"/>
    <w:rsid w:val="001962A8"/>
    <w:rsid w:val="001963DF"/>
    <w:rsid w:val="00196451"/>
    <w:rsid w:val="00196492"/>
    <w:rsid w:val="001965FD"/>
    <w:rsid w:val="00196D6D"/>
    <w:rsid w:val="00197269"/>
    <w:rsid w:val="0019757E"/>
    <w:rsid w:val="00197A8D"/>
    <w:rsid w:val="00197CD4"/>
    <w:rsid w:val="00197CEF"/>
    <w:rsid w:val="00197D67"/>
    <w:rsid w:val="00197EB5"/>
    <w:rsid w:val="001A05F5"/>
    <w:rsid w:val="001A0F04"/>
    <w:rsid w:val="001A164D"/>
    <w:rsid w:val="001A1747"/>
    <w:rsid w:val="001A197D"/>
    <w:rsid w:val="001A1ACE"/>
    <w:rsid w:val="001A1C32"/>
    <w:rsid w:val="001A1C6A"/>
    <w:rsid w:val="001A1E06"/>
    <w:rsid w:val="001A1F87"/>
    <w:rsid w:val="001A217E"/>
    <w:rsid w:val="001A2230"/>
    <w:rsid w:val="001A27B1"/>
    <w:rsid w:val="001A284B"/>
    <w:rsid w:val="001A28DF"/>
    <w:rsid w:val="001A2E86"/>
    <w:rsid w:val="001A313B"/>
    <w:rsid w:val="001A3434"/>
    <w:rsid w:val="001A3537"/>
    <w:rsid w:val="001A3DE0"/>
    <w:rsid w:val="001A4002"/>
    <w:rsid w:val="001A4414"/>
    <w:rsid w:val="001A5080"/>
    <w:rsid w:val="001A5256"/>
    <w:rsid w:val="001A5377"/>
    <w:rsid w:val="001A5737"/>
    <w:rsid w:val="001A57B6"/>
    <w:rsid w:val="001A5860"/>
    <w:rsid w:val="001A58ED"/>
    <w:rsid w:val="001A5C4E"/>
    <w:rsid w:val="001A5D31"/>
    <w:rsid w:val="001A62BE"/>
    <w:rsid w:val="001A64BA"/>
    <w:rsid w:val="001A64C6"/>
    <w:rsid w:val="001A671F"/>
    <w:rsid w:val="001A6F21"/>
    <w:rsid w:val="001A6F35"/>
    <w:rsid w:val="001A702C"/>
    <w:rsid w:val="001A7051"/>
    <w:rsid w:val="001A74DA"/>
    <w:rsid w:val="001A7518"/>
    <w:rsid w:val="001A7803"/>
    <w:rsid w:val="001A7C8D"/>
    <w:rsid w:val="001B021B"/>
    <w:rsid w:val="001B02AF"/>
    <w:rsid w:val="001B0588"/>
    <w:rsid w:val="001B06A4"/>
    <w:rsid w:val="001B07E0"/>
    <w:rsid w:val="001B08AF"/>
    <w:rsid w:val="001B0B79"/>
    <w:rsid w:val="001B0CAA"/>
    <w:rsid w:val="001B118D"/>
    <w:rsid w:val="001B136B"/>
    <w:rsid w:val="001B15F4"/>
    <w:rsid w:val="001B1924"/>
    <w:rsid w:val="001B1A77"/>
    <w:rsid w:val="001B1ABB"/>
    <w:rsid w:val="001B1D07"/>
    <w:rsid w:val="001B2003"/>
    <w:rsid w:val="001B2408"/>
    <w:rsid w:val="001B2585"/>
    <w:rsid w:val="001B2630"/>
    <w:rsid w:val="001B27A8"/>
    <w:rsid w:val="001B2879"/>
    <w:rsid w:val="001B2A41"/>
    <w:rsid w:val="001B2AA1"/>
    <w:rsid w:val="001B2AA4"/>
    <w:rsid w:val="001B2DB3"/>
    <w:rsid w:val="001B302B"/>
    <w:rsid w:val="001B31C0"/>
    <w:rsid w:val="001B38CE"/>
    <w:rsid w:val="001B3A8D"/>
    <w:rsid w:val="001B3B97"/>
    <w:rsid w:val="001B3C6D"/>
    <w:rsid w:val="001B3D0D"/>
    <w:rsid w:val="001B45B3"/>
    <w:rsid w:val="001B4808"/>
    <w:rsid w:val="001B4B1E"/>
    <w:rsid w:val="001B4FEF"/>
    <w:rsid w:val="001B5343"/>
    <w:rsid w:val="001B5381"/>
    <w:rsid w:val="001B54BB"/>
    <w:rsid w:val="001B5919"/>
    <w:rsid w:val="001B59ED"/>
    <w:rsid w:val="001B5AD9"/>
    <w:rsid w:val="001B5B2C"/>
    <w:rsid w:val="001B5BF7"/>
    <w:rsid w:val="001B60C0"/>
    <w:rsid w:val="001B611E"/>
    <w:rsid w:val="001B62E2"/>
    <w:rsid w:val="001B71E1"/>
    <w:rsid w:val="001B72E3"/>
    <w:rsid w:val="001B733B"/>
    <w:rsid w:val="001B758B"/>
    <w:rsid w:val="001B7AA1"/>
    <w:rsid w:val="001B7B71"/>
    <w:rsid w:val="001C00E1"/>
    <w:rsid w:val="001C03D1"/>
    <w:rsid w:val="001C048E"/>
    <w:rsid w:val="001C0520"/>
    <w:rsid w:val="001C070D"/>
    <w:rsid w:val="001C0917"/>
    <w:rsid w:val="001C0B5C"/>
    <w:rsid w:val="001C0C31"/>
    <w:rsid w:val="001C10A9"/>
    <w:rsid w:val="001C10E8"/>
    <w:rsid w:val="001C1195"/>
    <w:rsid w:val="001C1343"/>
    <w:rsid w:val="001C13CF"/>
    <w:rsid w:val="001C14C6"/>
    <w:rsid w:val="001C1A36"/>
    <w:rsid w:val="001C2423"/>
    <w:rsid w:val="001C2A61"/>
    <w:rsid w:val="001C2EF1"/>
    <w:rsid w:val="001C2F2E"/>
    <w:rsid w:val="001C2FF9"/>
    <w:rsid w:val="001C367B"/>
    <w:rsid w:val="001C38C4"/>
    <w:rsid w:val="001C39EC"/>
    <w:rsid w:val="001C3D29"/>
    <w:rsid w:val="001C414D"/>
    <w:rsid w:val="001C464B"/>
    <w:rsid w:val="001C4714"/>
    <w:rsid w:val="001C4A18"/>
    <w:rsid w:val="001C4DAE"/>
    <w:rsid w:val="001C4E91"/>
    <w:rsid w:val="001C556F"/>
    <w:rsid w:val="001C5646"/>
    <w:rsid w:val="001C5668"/>
    <w:rsid w:val="001C5891"/>
    <w:rsid w:val="001C58DC"/>
    <w:rsid w:val="001C5C21"/>
    <w:rsid w:val="001C5F95"/>
    <w:rsid w:val="001C65DC"/>
    <w:rsid w:val="001C660A"/>
    <w:rsid w:val="001C6774"/>
    <w:rsid w:val="001C692A"/>
    <w:rsid w:val="001C6C8B"/>
    <w:rsid w:val="001C6C8D"/>
    <w:rsid w:val="001C6ED1"/>
    <w:rsid w:val="001C6FFE"/>
    <w:rsid w:val="001C7216"/>
    <w:rsid w:val="001C7217"/>
    <w:rsid w:val="001C77AA"/>
    <w:rsid w:val="001C77DF"/>
    <w:rsid w:val="001C785D"/>
    <w:rsid w:val="001C7B0C"/>
    <w:rsid w:val="001C7FC0"/>
    <w:rsid w:val="001D02F1"/>
    <w:rsid w:val="001D0540"/>
    <w:rsid w:val="001D07DF"/>
    <w:rsid w:val="001D0841"/>
    <w:rsid w:val="001D090E"/>
    <w:rsid w:val="001D0DF5"/>
    <w:rsid w:val="001D0EEC"/>
    <w:rsid w:val="001D149A"/>
    <w:rsid w:val="001D15AE"/>
    <w:rsid w:val="001D167D"/>
    <w:rsid w:val="001D1925"/>
    <w:rsid w:val="001D1BCC"/>
    <w:rsid w:val="001D1E8E"/>
    <w:rsid w:val="001D204C"/>
    <w:rsid w:val="001D22E9"/>
    <w:rsid w:val="001D2435"/>
    <w:rsid w:val="001D2584"/>
    <w:rsid w:val="001D26BE"/>
    <w:rsid w:val="001D2A0B"/>
    <w:rsid w:val="001D2FD2"/>
    <w:rsid w:val="001D3374"/>
    <w:rsid w:val="001D3644"/>
    <w:rsid w:val="001D369B"/>
    <w:rsid w:val="001D378F"/>
    <w:rsid w:val="001D3C23"/>
    <w:rsid w:val="001D3CCF"/>
    <w:rsid w:val="001D3CD6"/>
    <w:rsid w:val="001D3D35"/>
    <w:rsid w:val="001D3D7C"/>
    <w:rsid w:val="001D3E72"/>
    <w:rsid w:val="001D4109"/>
    <w:rsid w:val="001D4247"/>
    <w:rsid w:val="001D467B"/>
    <w:rsid w:val="001D48D1"/>
    <w:rsid w:val="001D4C1A"/>
    <w:rsid w:val="001D4C75"/>
    <w:rsid w:val="001D4DDB"/>
    <w:rsid w:val="001D4E4F"/>
    <w:rsid w:val="001D4F77"/>
    <w:rsid w:val="001D50A8"/>
    <w:rsid w:val="001D52C3"/>
    <w:rsid w:val="001D5363"/>
    <w:rsid w:val="001D5617"/>
    <w:rsid w:val="001D59C0"/>
    <w:rsid w:val="001D5E1B"/>
    <w:rsid w:val="001D65FA"/>
    <w:rsid w:val="001D6951"/>
    <w:rsid w:val="001D6CC0"/>
    <w:rsid w:val="001D70FC"/>
    <w:rsid w:val="001D755B"/>
    <w:rsid w:val="001D7995"/>
    <w:rsid w:val="001D7F80"/>
    <w:rsid w:val="001E013C"/>
    <w:rsid w:val="001E03E0"/>
    <w:rsid w:val="001E067F"/>
    <w:rsid w:val="001E075C"/>
    <w:rsid w:val="001E082D"/>
    <w:rsid w:val="001E0AEF"/>
    <w:rsid w:val="001E0DD2"/>
    <w:rsid w:val="001E0E76"/>
    <w:rsid w:val="001E109A"/>
    <w:rsid w:val="001E10D8"/>
    <w:rsid w:val="001E1554"/>
    <w:rsid w:val="001E15C2"/>
    <w:rsid w:val="001E16D3"/>
    <w:rsid w:val="001E1812"/>
    <w:rsid w:val="001E1B4C"/>
    <w:rsid w:val="001E1C66"/>
    <w:rsid w:val="001E1E09"/>
    <w:rsid w:val="001E1FB2"/>
    <w:rsid w:val="001E2344"/>
    <w:rsid w:val="001E25BB"/>
    <w:rsid w:val="001E25D9"/>
    <w:rsid w:val="001E27E1"/>
    <w:rsid w:val="001E27F2"/>
    <w:rsid w:val="001E2C3A"/>
    <w:rsid w:val="001E2C53"/>
    <w:rsid w:val="001E2CE1"/>
    <w:rsid w:val="001E2DC5"/>
    <w:rsid w:val="001E2E85"/>
    <w:rsid w:val="001E3197"/>
    <w:rsid w:val="001E32FA"/>
    <w:rsid w:val="001E3C0A"/>
    <w:rsid w:val="001E3F3D"/>
    <w:rsid w:val="001E400B"/>
    <w:rsid w:val="001E40B7"/>
    <w:rsid w:val="001E4113"/>
    <w:rsid w:val="001E4304"/>
    <w:rsid w:val="001E4448"/>
    <w:rsid w:val="001E4862"/>
    <w:rsid w:val="001E4DC3"/>
    <w:rsid w:val="001E4F7D"/>
    <w:rsid w:val="001E5261"/>
    <w:rsid w:val="001E5284"/>
    <w:rsid w:val="001E5718"/>
    <w:rsid w:val="001E57BF"/>
    <w:rsid w:val="001E5B27"/>
    <w:rsid w:val="001E5DA1"/>
    <w:rsid w:val="001E5F94"/>
    <w:rsid w:val="001E6432"/>
    <w:rsid w:val="001E64AF"/>
    <w:rsid w:val="001E6948"/>
    <w:rsid w:val="001E699F"/>
    <w:rsid w:val="001E6A0B"/>
    <w:rsid w:val="001E6B15"/>
    <w:rsid w:val="001E6F19"/>
    <w:rsid w:val="001E7041"/>
    <w:rsid w:val="001E70B5"/>
    <w:rsid w:val="001E77CA"/>
    <w:rsid w:val="001E7810"/>
    <w:rsid w:val="001E788A"/>
    <w:rsid w:val="001E7899"/>
    <w:rsid w:val="001E78D2"/>
    <w:rsid w:val="001E7D6F"/>
    <w:rsid w:val="001E7E18"/>
    <w:rsid w:val="001E7EB4"/>
    <w:rsid w:val="001F05FB"/>
    <w:rsid w:val="001F07AE"/>
    <w:rsid w:val="001F0A1B"/>
    <w:rsid w:val="001F0EE7"/>
    <w:rsid w:val="001F0FC0"/>
    <w:rsid w:val="001F11F1"/>
    <w:rsid w:val="001F120C"/>
    <w:rsid w:val="001F19FF"/>
    <w:rsid w:val="001F204B"/>
    <w:rsid w:val="001F204F"/>
    <w:rsid w:val="001F23EA"/>
    <w:rsid w:val="001F23EB"/>
    <w:rsid w:val="001F29E5"/>
    <w:rsid w:val="001F2B70"/>
    <w:rsid w:val="001F2BE3"/>
    <w:rsid w:val="001F2DAE"/>
    <w:rsid w:val="001F316A"/>
    <w:rsid w:val="001F32E4"/>
    <w:rsid w:val="001F353C"/>
    <w:rsid w:val="001F3653"/>
    <w:rsid w:val="001F3687"/>
    <w:rsid w:val="001F36E2"/>
    <w:rsid w:val="001F3884"/>
    <w:rsid w:val="001F3E7C"/>
    <w:rsid w:val="001F4949"/>
    <w:rsid w:val="001F4CFD"/>
    <w:rsid w:val="001F4D78"/>
    <w:rsid w:val="001F4EB1"/>
    <w:rsid w:val="001F5734"/>
    <w:rsid w:val="001F59A5"/>
    <w:rsid w:val="001F5A84"/>
    <w:rsid w:val="001F6062"/>
    <w:rsid w:val="001F6B29"/>
    <w:rsid w:val="001F6C6F"/>
    <w:rsid w:val="001F6D06"/>
    <w:rsid w:val="001F6F48"/>
    <w:rsid w:val="001F73CC"/>
    <w:rsid w:val="001F7616"/>
    <w:rsid w:val="001F780F"/>
    <w:rsid w:val="001F790B"/>
    <w:rsid w:val="001F7AAA"/>
    <w:rsid w:val="001F7B9F"/>
    <w:rsid w:val="001F7D0B"/>
    <w:rsid w:val="001F7E9F"/>
    <w:rsid w:val="002002B8"/>
    <w:rsid w:val="002008DF"/>
    <w:rsid w:val="002010BD"/>
    <w:rsid w:val="00201324"/>
    <w:rsid w:val="00201601"/>
    <w:rsid w:val="00201647"/>
    <w:rsid w:val="00201854"/>
    <w:rsid w:val="0020226D"/>
    <w:rsid w:val="00202700"/>
    <w:rsid w:val="0020277F"/>
    <w:rsid w:val="00202A08"/>
    <w:rsid w:val="00202F28"/>
    <w:rsid w:val="0020310B"/>
    <w:rsid w:val="002033FF"/>
    <w:rsid w:val="002034BC"/>
    <w:rsid w:val="00203513"/>
    <w:rsid w:val="0020377F"/>
    <w:rsid w:val="00203819"/>
    <w:rsid w:val="00203868"/>
    <w:rsid w:val="00203941"/>
    <w:rsid w:val="00203B02"/>
    <w:rsid w:val="00203F9A"/>
    <w:rsid w:val="00204617"/>
    <w:rsid w:val="00204A7D"/>
    <w:rsid w:val="002052AE"/>
    <w:rsid w:val="0020584A"/>
    <w:rsid w:val="0020587C"/>
    <w:rsid w:val="002058BC"/>
    <w:rsid w:val="00205977"/>
    <w:rsid w:val="00205F07"/>
    <w:rsid w:val="00205FC9"/>
    <w:rsid w:val="00206889"/>
    <w:rsid w:val="002068CE"/>
    <w:rsid w:val="00206B14"/>
    <w:rsid w:val="00206C37"/>
    <w:rsid w:val="00206D24"/>
    <w:rsid w:val="00206E59"/>
    <w:rsid w:val="0020702F"/>
    <w:rsid w:val="002073EF"/>
    <w:rsid w:val="002074A3"/>
    <w:rsid w:val="002075EE"/>
    <w:rsid w:val="002076B6"/>
    <w:rsid w:val="0020772D"/>
    <w:rsid w:val="00207AEA"/>
    <w:rsid w:val="00207B57"/>
    <w:rsid w:val="002101C7"/>
    <w:rsid w:val="002102E6"/>
    <w:rsid w:val="00210333"/>
    <w:rsid w:val="00210581"/>
    <w:rsid w:val="00210B4D"/>
    <w:rsid w:val="00210C9D"/>
    <w:rsid w:val="002115C6"/>
    <w:rsid w:val="00211B85"/>
    <w:rsid w:val="00211C59"/>
    <w:rsid w:val="00211ECD"/>
    <w:rsid w:val="00212040"/>
    <w:rsid w:val="002125CC"/>
    <w:rsid w:val="002128E7"/>
    <w:rsid w:val="00212CC4"/>
    <w:rsid w:val="00212DC0"/>
    <w:rsid w:val="00212E62"/>
    <w:rsid w:val="00212ED5"/>
    <w:rsid w:val="00213690"/>
    <w:rsid w:val="002137D1"/>
    <w:rsid w:val="00213B69"/>
    <w:rsid w:val="00213CD0"/>
    <w:rsid w:val="00214091"/>
    <w:rsid w:val="002141B4"/>
    <w:rsid w:val="002144AC"/>
    <w:rsid w:val="00214511"/>
    <w:rsid w:val="00214549"/>
    <w:rsid w:val="002147A4"/>
    <w:rsid w:val="0021482F"/>
    <w:rsid w:val="00214B2D"/>
    <w:rsid w:val="00214C00"/>
    <w:rsid w:val="00214D65"/>
    <w:rsid w:val="00214F75"/>
    <w:rsid w:val="0021528C"/>
    <w:rsid w:val="0021544F"/>
    <w:rsid w:val="002156ED"/>
    <w:rsid w:val="00215D16"/>
    <w:rsid w:val="00215DCE"/>
    <w:rsid w:val="0021604F"/>
    <w:rsid w:val="002162E4"/>
    <w:rsid w:val="00216302"/>
    <w:rsid w:val="0021636E"/>
    <w:rsid w:val="002164C5"/>
    <w:rsid w:val="002164EA"/>
    <w:rsid w:val="00216712"/>
    <w:rsid w:val="00216973"/>
    <w:rsid w:val="00216CBE"/>
    <w:rsid w:val="00216D41"/>
    <w:rsid w:val="00216DFF"/>
    <w:rsid w:val="00216E35"/>
    <w:rsid w:val="00216E90"/>
    <w:rsid w:val="0021783C"/>
    <w:rsid w:val="00217943"/>
    <w:rsid w:val="00217A5D"/>
    <w:rsid w:val="00217C72"/>
    <w:rsid w:val="00220606"/>
    <w:rsid w:val="002206DB"/>
    <w:rsid w:val="00220783"/>
    <w:rsid w:val="00220A2B"/>
    <w:rsid w:val="00220A41"/>
    <w:rsid w:val="00220B6E"/>
    <w:rsid w:val="00221107"/>
    <w:rsid w:val="00221231"/>
    <w:rsid w:val="00221303"/>
    <w:rsid w:val="00221331"/>
    <w:rsid w:val="00221A80"/>
    <w:rsid w:val="00221F25"/>
    <w:rsid w:val="0022200E"/>
    <w:rsid w:val="00222328"/>
    <w:rsid w:val="002225F1"/>
    <w:rsid w:val="002228B2"/>
    <w:rsid w:val="00222F8A"/>
    <w:rsid w:val="00223257"/>
    <w:rsid w:val="00223672"/>
    <w:rsid w:val="00223810"/>
    <w:rsid w:val="00223C90"/>
    <w:rsid w:val="00224161"/>
    <w:rsid w:val="0022418B"/>
    <w:rsid w:val="002241D0"/>
    <w:rsid w:val="00224551"/>
    <w:rsid w:val="00224B5F"/>
    <w:rsid w:val="00224E05"/>
    <w:rsid w:val="00224E97"/>
    <w:rsid w:val="0022519E"/>
    <w:rsid w:val="0022573A"/>
    <w:rsid w:val="002257FC"/>
    <w:rsid w:val="00225800"/>
    <w:rsid w:val="00225AC4"/>
    <w:rsid w:val="00225F70"/>
    <w:rsid w:val="00226035"/>
    <w:rsid w:val="002261D7"/>
    <w:rsid w:val="0022622A"/>
    <w:rsid w:val="00226417"/>
    <w:rsid w:val="0022645D"/>
    <w:rsid w:val="0022679E"/>
    <w:rsid w:val="00226F04"/>
    <w:rsid w:val="00227540"/>
    <w:rsid w:val="0022755A"/>
    <w:rsid w:val="0022792C"/>
    <w:rsid w:val="00227936"/>
    <w:rsid w:val="00227A59"/>
    <w:rsid w:val="00227D5A"/>
    <w:rsid w:val="00227D8A"/>
    <w:rsid w:val="00230232"/>
    <w:rsid w:val="00230B0E"/>
    <w:rsid w:val="00230BC1"/>
    <w:rsid w:val="00230E65"/>
    <w:rsid w:val="00230E7C"/>
    <w:rsid w:val="002313D9"/>
    <w:rsid w:val="0023159A"/>
    <w:rsid w:val="00231813"/>
    <w:rsid w:val="00231B44"/>
    <w:rsid w:val="00231D84"/>
    <w:rsid w:val="00231FBF"/>
    <w:rsid w:val="00232013"/>
    <w:rsid w:val="00232015"/>
    <w:rsid w:val="0023215B"/>
    <w:rsid w:val="00232313"/>
    <w:rsid w:val="00232338"/>
    <w:rsid w:val="002323F8"/>
    <w:rsid w:val="002325AA"/>
    <w:rsid w:val="002335B9"/>
    <w:rsid w:val="00233B81"/>
    <w:rsid w:val="00233FE3"/>
    <w:rsid w:val="002345E5"/>
    <w:rsid w:val="00234800"/>
    <w:rsid w:val="0023488B"/>
    <w:rsid w:val="00234C52"/>
    <w:rsid w:val="00234F7C"/>
    <w:rsid w:val="00234F7D"/>
    <w:rsid w:val="0023503C"/>
    <w:rsid w:val="00235196"/>
    <w:rsid w:val="00235226"/>
    <w:rsid w:val="002352C4"/>
    <w:rsid w:val="00235724"/>
    <w:rsid w:val="00235903"/>
    <w:rsid w:val="00235BA2"/>
    <w:rsid w:val="00235E6D"/>
    <w:rsid w:val="00235F91"/>
    <w:rsid w:val="0023607C"/>
    <w:rsid w:val="00236081"/>
    <w:rsid w:val="00236234"/>
    <w:rsid w:val="0023644A"/>
    <w:rsid w:val="002364B4"/>
    <w:rsid w:val="002366DF"/>
    <w:rsid w:val="00236D84"/>
    <w:rsid w:val="00236E7F"/>
    <w:rsid w:val="0023704F"/>
    <w:rsid w:val="00237369"/>
    <w:rsid w:val="00237372"/>
    <w:rsid w:val="002373D7"/>
    <w:rsid w:val="00237706"/>
    <w:rsid w:val="00237AA7"/>
    <w:rsid w:val="00237C4E"/>
    <w:rsid w:val="00240115"/>
    <w:rsid w:val="00240381"/>
    <w:rsid w:val="0024127C"/>
    <w:rsid w:val="00241603"/>
    <w:rsid w:val="002416AE"/>
    <w:rsid w:val="00241F64"/>
    <w:rsid w:val="0024233D"/>
    <w:rsid w:val="002423EB"/>
    <w:rsid w:val="00242904"/>
    <w:rsid w:val="00242B83"/>
    <w:rsid w:val="00242BE1"/>
    <w:rsid w:val="00242D48"/>
    <w:rsid w:val="002431F9"/>
    <w:rsid w:val="00243344"/>
    <w:rsid w:val="002435F5"/>
    <w:rsid w:val="0024380D"/>
    <w:rsid w:val="0024400B"/>
    <w:rsid w:val="00244224"/>
    <w:rsid w:val="002443C0"/>
    <w:rsid w:val="00244597"/>
    <w:rsid w:val="00244699"/>
    <w:rsid w:val="00244853"/>
    <w:rsid w:val="00244983"/>
    <w:rsid w:val="002449C0"/>
    <w:rsid w:val="00244D1F"/>
    <w:rsid w:val="00244E51"/>
    <w:rsid w:val="002450FC"/>
    <w:rsid w:val="00245288"/>
    <w:rsid w:val="00245696"/>
    <w:rsid w:val="00245992"/>
    <w:rsid w:val="00245CE6"/>
    <w:rsid w:val="00246153"/>
    <w:rsid w:val="002463BF"/>
    <w:rsid w:val="00246778"/>
    <w:rsid w:val="002467AB"/>
    <w:rsid w:val="00246805"/>
    <w:rsid w:val="00246BFC"/>
    <w:rsid w:val="00246C6D"/>
    <w:rsid w:val="00246F7D"/>
    <w:rsid w:val="002470BE"/>
    <w:rsid w:val="002471F2"/>
    <w:rsid w:val="002471F3"/>
    <w:rsid w:val="002472F0"/>
    <w:rsid w:val="0024732C"/>
    <w:rsid w:val="00247384"/>
    <w:rsid w:val="0024767B"/>
    <w:rsid w:val="00247B83"/>
    <w:rsid w:val="00247CBF"/>
    <w:rsid w:val="00247DE9"/>
    <w:rsid w:val="002502C8"/>
    <w:rsid w:val="002505E0"/>
    <w:rsid w:val="0025075D"/>
    <w:rsid w:val="002509F3"/>
    <w:rsid w:val="00250AF0"/>
    <w:rsid w:val="00250CCF"/>
    <w:rsid w:val="00250E19"/>
    <w:rsid w:val="00250FC3"/>
    <w:rsid w:val="00251035"/>
    <w:rsid w:val="00251335"/>
    <w:rsid w:val="00251598"/>
    <w:rsid w:val="0025164F"/>
    <w:rsid w:val="00251A96"/>
    <w:rsid w:val="00251BF9"/>
    <w:rsid w:val="00251FB9"/>
    <w:rsid w:val="002521BB"/>
    <w:rsid w:val="002521C4"/>
    <w:rsid w:val="00252A00"/>
    <w:rsid w:val="00252BB9"/>
    <w:rsid w:val="0025342C"/>
    <w:rsid w:val="0025383D"/>
    <w:rsid w:val="002538EB"/>
    <w:rsid w:val="002538FB"/>
    <w:rsid w:val="00253D3F"/>
    <w:rsid w:val="00253E1D"/>
    <w:rsid w:val="00253E57"/>
    <w:rsid w:val="00254008"/>
    <w:rsid w:val="002546B4"/>
    <w:rsid w:val="00254E27"/>
    <w:rsid w:val="00254EEC"/>
    <w:rsid w:val="0025543B"/>
    <w:rsid w:val="00255562"/>
    <w:rsid w:val="00255641"/>
    <w:rsid w:val="002557B4"/>
    <w:rsid w:val="002559B2"/>
    <w:rsid w:val="00255C7B"/>
    <w:rsid w:val="00255CC8"/>
    <w:rsid w:val="00255E68"/>
    <w:rsid w:val="00255FC7"/>
    <w:rsid w:val="002561BE"/>
    <w:rsid w:val="00256475"/>
    <w:rsid w:val="002565AB"/>
    <w:rsid w:val="00256600"/>
    <w:rsid w:val="0025663F"/>
    <w:rsid w:val="002568BC"/>
    <w:rsid w:val="00257165"/>
    <w:rsid w:val="0025738C"/>
    <w:rsid w:val="002578FE"/>
    <w:rsid w:val="002600B8"/>
    <w:rsid w:val="002603A6"/>
    <w:rsid w:val="00260E74"/>
    <w:rsid w:val="00260EC4"/>
    <w:rsid w:val="002613CE"/>
    <w:rsid w:val="002615E2"/>
    <w:rsid w:val="002616CA"/>
    <w:rsid w:val="002616F5"/>
    <w:rsid w:val="00261758"/>
    <w:rsid w:val="00261D54"/>
    <w:rsid w:val="00261DB0"/>
    <w:rsid w:val="00262421"/>
    <w:rsid w:val="00262788"/>
    <w:rsid w:val="00262891"/>
    <w:rsid w:val="00262E0E"/>
    <w:rsid w:val="00262E2F"/>
    <w:rsid w:val="00262F69"/>
    <w:rsid w:val="002630DB"/>
    <w:rsid w:val="002632C1"/>
    <w:rsid w:val="00263331"/>
    <w:rsid w:val="00263386"/>
    <w:rsid w:val="002634A6"/>
    <w:rsid w:val="00263755"/>
    <w:rsid w:val="00263CF4"/>
    <w:rsid w:val="00263D80"/>
    <w:rsid w:val="0026409F"/>
    <w:rsid w:val="0026442D"/>
    <w:rsid w:val="00264625"/>
    <w:rsid w:val="0026475E"/>
    <w:rsid w:val="00264D0A"/>
    <w:rsid w:val="0026535F"/>
    <w:rsid w:val="00265BEB"/>
    <w:rsid w:val="00265BF5"/>
    <w:rsid w:val="00265C4A"/>
    <w:rsid w:val="00265C6D"/>
    <w:rsid w:val="0026623A"/>
    <w:rsid w:val="002662A4"/>
    <w:rsid w:val="002663CF"/>
    <w:rsid w:val="002665B4"/>
    <w:rsid w:val="00266676"/>
    <w:rsid w:val="00266A34"/>
    <w:rsid w:val="00266B02"/>
    <w:rsid w:val="00266B1E"/>
    <w:rsid w:val="00266D99"/>
    <w:rsid w:val="00266E79"/>
    <w:rsid w:val="002670A5"/>
    <w:rsid w:val="00267443"/>
    <w:rsid w:val="0026761D"/>
    <w:rsid w:val="00267866"/>
    <w:rsid w:val="0026786E"/>
    <w:rsid w:val="00267A6A"/>
    <w:rsid w:val="00267A93"/>
    <w:rsid w:val="00267BC5"/>
    <w:rsid w:val="00267BCF"/>
    <w:rsid w:val="00267CFF"/>
    <w:rsid w:val="00267D18"/>
    <w:rsid w:val="00267F9A"/>
    <w:rsid w:val="002700F3"/>
    <w:rsid w:val="00270113"/>
    <w:rsid w:val="002706D3"/>
    <w:rsid w:val="00271251"/>
    <w:rsid w:val="00271665"/>
    <w:rsid w:val="00271851"/>
    <w:rsid w:val="00271A47"/>
    <w:rsid w:val="00271B3A"/>
    <w:rsid w:val="00271DC6"/>
    <w:rsid w:val="00271E4A"/>
    <w:rsid w:val="00271EE7"/>
    <w:rsid w:val="00271F15"/>
    <w:rsid w:val="00272095"/>
    <w:rsid w:val="00272233"/>
    <w:rsid w:val="002723A1"/>
    <w:rsid w:val="002723FA"/>
    <w:rsid w:val="00272C6B"/>
    <w:rsid w:val="00272D2E"/>
    <w:rsid w:val="00272D3B"/>
    <w:rsid w:val="00273190"/>
    <w:rsid w:val="0027320E"/>
    <w:rsid w:val="002732B5"/>
    <w:rsid w:val="002732E5"/>
    <w:rsid w:val="0027334A"/>
    <w:rsid w:val="002736E1"/>
    <w:rsid w:val="0027371D"/>
    <w:rsid w:val="00273AB1"/>
    <w:rsid w:val="00273CBA"/>
    <w:rsid w:val="00273EB0"/>
    <w:rsid w:val="00273EB3"/>
    <w:rsid w:val="00274031"/>
    <w:rsid w:val="002740CE"/>
    <w:rsid w:val="00274219"/>
    <w:rsid w:val="002743D9"/>
    <w:rsid w:val="00274893"/>
    <w:rsid w:val="00274BBF"/>
    <w:rsid w:val="00274E32"/>
    <w:rsid w:val="00274F7C"/>
    <w:rsid w:val="0027575D"/>
    <w:rsid w:val="002758B0"/>
    <w:rsid w:val="00275B12"/>
    <w:rsid w:val="00275BAD"/>
    <w:rsid w:val="002760B1"/>
    <w:rsid w:val="00276365"/>
    <w:rsid w:val="0027639C"/>
    <w:rsid w:val="00276A75"/>
    <w:rsid w:val="00276C2E"/>
    <w:rsid w:val="00276D12"/>
    <w:rsid w:val="00277031"/>
    <w:rsid w:val="002770F0"/>
    <w:rsid w:val="00277346"/>
    <w:rsid w:val="0027781F"/>
    <w:rsid w:val="0027799C"/>
    <w:rsid w:val="00277B90"/>
    <w:rsid w:val="00277CED"/>
    <w:rsid w:val="00277E4A"/>
    <w:rsid w:val="00277EC4"/>
    <w:rsid w:val="0028005A"/>
    <w:rsid w:val="00280076"/>
    <w:rsid w:val="0028047D"/>
    <w:rsid w:val="00280620"/>
    <w:rsid w:val="00280E3B"/>
    <w:rsid w:val="002810AA"/>
    <w:rsid w:val="00281373"/>
    <w:rsid w:val="00281472"/>
    <w:rsid w:val="002814BB"/>
    <w:rsid w:val="002819D0"/>
    <w:rsid w:val="00281B32"/>
    <w:rsid w:val="00282153"/>
    <w:rsid w:val="00282190"/>
    <w:rsid w:val="0028282F"/>
    <w:rsid w:val="0028289A"/>
    <w:rsid w:val="00282BE3"/>
    <w:rsid w:val="0028308B"/>
    <w:rsid w:val="0028348D"/>
    <w:rsid w:val="00283665"/>
    <w:rsid w:val="00283BD0"/>
    <w:rsid w:val="00283BDB"/>
    <w:rsid w:val="00283E5F"/>
    <w:rsid w:val="00283ED8"/>
    <w:rsid w:val="0028412A"/>
    <w:rsid w:val="002841AC"/>
    <w:rsid w:val="0028427B"/>
    <w:rsid w:val="00284312"/>
    <w:rsid w:val="00284392"/>
    <w:rsid w:val="0028496B"/>
    <w:rsid w:val="00284AE9"/>
    <w:rsid w:val="00284DBC"/>
    <w:rsid w:val="00284E90"/>
    <w:rsid w:val="002852DB"/>
    <w:rsid w:val="002859F8"/>
    <w:rsid w:val="00285C78"/>
    <w:rsid w:val="00285C94"/>
    <w:rsid w:val="00285CA4"/>
    <w:rsid w:val="00285D07"/>
    <w:rsid w:val="0028600D"/>
    <w:rsid w:val="00286061"/>
    <w:rsid w:val="0028622B"/>
    <w:rsid w:val="00286427"/>
    <w:rsid w:val="00286524"/>
    <w:rsid w:val="002867BE"/>
    <w:rsid w:val="002868FE"/>
    <w:rsid w:val="00286C2A"/>
    <w:rsid w:val="00286D6A"/>
    <w:rsid w:val="002872B8"/>
    <w:rsid w:val="00287525"/>
    <w:rsid w:val="002875B7"/>
    <w:rsid w:val="00287F68"/>
    <w:rsid w:val="00287FAA"/>
    <w:rsid w:val="0029006D"/>
    <w:rsid w:val="00290124"/>
    <w:rsid w:val="0029018D"/>
    <w:rsid w:val="00290279"/>
    <w:rsid w:val="0029071C"/>
    <w:rsid w:val="00290761"/>
    <w:rsid w:val="0029089C"/>
    <w:rsid w:val="00290A66"/>
    <w:rsid w:val="00290BF6"/>
    <w:rsid w:val="00290C2B"/>
    <w:rsid w:val="00290DBB"/>
    <w:rsid w:val="00290F34"/>
    <w:rsid w:val="002914EF"/>
    <w:rsid w:val="002916B1"/>
    <w:rsid w:val="002919A6"/>
    <w:rsid w:val="00291A84"/>
    <w:rsid w:val="00291ADC"/>
    <w:rsid w:val="00291C87"/>
    <w:rsid w:val="00291DAA"/>
    <w:rsid w:val="00291F1F"/>
    <w:rsid w:val="00292037"/>
    <w:rsid w:val="0029273F"/>
    <w:rsid w:val="00292A9A"/>
    <w:rsid w:val="00292D12"/>
    <w:rsid w:val="00293387"/>
    <w:rsid w:val="00293753"/>
    <w:rsid w:val="00293844"/>
    <w:rsid w:val="00293E02"/>
    <w:rsid w:val="00293FE5"/>
    <w:rsid w:val="0029430A"/>
    <w:rsid w:val="002946A5"/>
    <w:rsid w:val="00294C24"/>
    <w:rsid w:val="00294DAA"/>
    <w:rsid w:val="00294E2F"/>
    <w:rsid w:val="00294F35"/>
    <w:rsid w:val="002953EC"/>
    <w:rsid w:val="0029565C"/>
    <w:rsid w:val="00296032"/>
    <w:rsid w:val="002960B8"/>
    <w:rsid w:val="002967B0"/>
    <w:rsid w:val="00296895"/>
    <w:rsid w:val="00296C47"/>
    <w:rsid w:val="00296CBB"/>
    <w:rsid w:val="00296CBD"/>
    <w:rsid w:val="00296D38"/>
    <w:rsid w:val="00296EBD"/>
    <w:rsid w:val="00296F85"/>
    <w:rsid w:val="00297096"/>
    <w:rsid w:val="002973BD"/>
    <w:rsid w:val="002976C1"/>
    <w:rsid w:val="002976C3"/>
    <w:rsid w:val="00297926"/>
    <w:rsid w:val="00297AB9"/>
    <w:rsid w:val="00297C7E"/>
    <w:rsid w:val="00297F6D"/>
    <w:rsid w:val="002A0038"/>
    <w:rsid w:val="002A0709"/>
    <w:rsid w:val="002A0752"/>
    <w:rsid w:val="002A09C6"/>
    <w:rsid w:val="002A124D"/>
    <w:rsid w:val="002A1297"/>
    <w:rsid w:val="002A1504"/>
    <w:rsid w:val="002A156A"/>
    <w:rsid w:val="002A17CB"/>
    <w:rsid w:val="002A1C1D"/>
    <w:rsid w:val="002A1CB9"/>
    <w:rsid w:val="002A1D7E"/>
    <w:rsid w:val="002A2018"/>
    <w:rsid w:val="002A217F"/>
    <w:rsid w:val="002A22BD"/>
    <w:rsid w:val="002A24E9"/>
    <w:rsid w:val="002A29FD"/>
    <w:rsid w:val="002A2B2F"/>
    <w:rsid w:val="002A2B6A"/>
    <w:rsid w:val="002A2C71"/>
    <w:rsid w:val="002A2FB6"/>
    <w:rsid w:val="002A3030"/>
    <w:rsid w:val="002A34AB"/>
    <w:rsid w:val="002A395B"/>
    <w:rsid w:val="002A3C8D"/>
    <w:rsid w:val="002A3CA3"/>
    <w:rsid w:val="002A3CDE"/>
    <w:rsid w:val="002A3EAD"/>
    <w:rsid w:val="002A3ECE"/>
    <w:rsid w:val="002A453D"/>
    <w:rsid w:val="002A4553"/>
    <w:rsid w:val="002A4575"/>
    <w:rsid w:val="002A4713"/>
    <w:rsid w:val="002A47E0"/>
    <w:rsid w:val="002A48A8"/>
    <w:rsid w:val="002A4CBF"/>
    <w:rsid w:val="002A4EA1"/>
    <w:rsid w:val="002A4EA9"/>
    <w:rsid w:val="002A5618"/>
    <w:rsid w:val="002A5665"/>
    <w:rsid w:val="002A56D5"/>
    <w:rsid w:val="002A5CA8"/>
    <w:rsid w:val="002A5E19"/>
    <w:rsid w:val="002A602D"/>
    <w:rsid w:val="002A63A7"/>
    <w:rsid w:val="002A647D"/>
    <w:rsid w:val="002A667A"/>
    <w:rsid w:val="002A68FA"/>
    <w:rsid w:val="002A6C16"/>
    <w:rsid w:val="002A6C1C"/>
    <w:rsid w:val="002A6DAC"/>
    <w:rsid w:val="002A6DFB"/>
    <w:rsid w:val="002A6F29"/>
    <w:rsid w:val="002A7499"/>
    <w:rsid w:val="002A7827"/>
    <w:rsid w:val="002A7A4B"/>
    <w:rsid w:val="002A7D4C"/>
    <w:rsid w:val="002A7E76"/>
    <w:rsid w:val="002B046D"/>
    <w:rsid w:val="002B0755"/>
    <w:rsid w:val="002B07BF"/>
    <w:rsid w:val="002B09E2"/>
    <w:rsid w:val="002B0B2F"/>
    <w:rsid w:val="002B0CBF"/>
    <w:rsid w:val="002B0EC4"/>
    <w:rsid w:val="002B102A"/>
    <w:rsid w:val="002B1FB2"/>
    <w:rsid w:val="002B22BB"/>
    <w:rsid w:val="002B257F"/>
    <w:rsid w:val="002B2768"/>
    <w:rsid w:val="002B27CF"/>
    <w:rsid w:val="002B29EB"/>
    <w:rsid w:val="002B2AF8"/>
    <w:rsid w:val="002B2C4D"/>
    <w:rsid w:val="002B31EF"/>
    <w:rsid w:val="002B320E"/>
    <w:rsid w:val="002B3369"/>
    <w:rsid w:val="002B3662"/>
    <w:rsid w:val="002B3A2D"/>
    <w:rsid w:val="002B3CC3"/>
    <w:rsid w:val="002B3E0C"/>
    <w:rsid w:val="002B3ED6"/>
    <w:rsid w:val="002B3FAD"/>
    <w:rsid w:val="002B4060"/>
    <w:rsid w:val="002B40A5"/>
    <w:rsid w:val="002B443F"/>
    <w:rsid w:val="002B4655"/>
    <w:rsid w:val="002B4747"/>
    <w:rsid w:val="002B4A0E"/>
    <w:rsid w:val="002B4CB2"/>
    <w:rsid w:val="002B4CD6"/>
    <w:rsid w:val="002B4D55"/>
    <w:rsid w:val="002B4D90"/>
    <w:rsid w:val="002B511A"/>
    <w:rsid w:val="002B5D24"/>
    <w:rsid w:val="002B5F4B"/>
    <w:rsid w:val="002B6240"/>
    <w:rsid w:val="002B6502"/>
    <w:rsid w:val="002B66DB"/>
    <w:rsid w:val="002B6E80"/>
    <w:rsid w:val="002B7032"/>
    <w:rsid w:val="002B71B7"/>
    <w:rsid w:val="002B781C"/>
    <w:rsid w:val="002B7845"/>
    <w:rsid w:val="002B795B"/>
    <w:rsid w:val="002B7D29"/>
    <w:rsid w:val="002C0180"/>
    <w:rsid w:val="002C01E2"/>
    <w:rsid w:val="002C02BB"/>
    <w:rsid w:val="002C0446"/>
    <w:rsid w:val="002C0687"/>
    <w:rsid w:val="002C0A96"/>
    <w:rsid w:val="002C0ADB"/>
    <w:rsid w:val="002C0B7B"/>
    <w:rsid w:val="002C0B8C"/>
    <w:rsid w:val="002C12E9"/>
    <w:rsid w:val="002C1535"/>
    <w:rsid w:val="002C16FE"/>
    <w:rsid w:val="002C170F"/>
    <w:rsid w:val="002C1786"/>
    <w:rsid w:val="002C1E76"/>
    <w:rsid w:val="002C1ED0"/>
    <w:rsid w:val="002C2294"/>
    <w:rsid w:val="002C26A2"/>
    <w:rsid w:val="002C2891"/>
    <w:rsid w:val="002C2AC7"/>
    <w:rsid w:val="002C2B67"/>
    <w:rsid w:val="002C2BFA"/>
    <w:rsid w:val="002C2D77"/>
    <w:rsid w:val="002C2EBE"/>
    <w:rsid w:val="002C2FB6"/>
    <w:rsid w:val="002C309D"/>
    <w:rsid w:val="002C310C"/>
    <w:rsid w:val="002C3398"/>
    <w:rsid w:val="002C37A3"/>
    <w:rsid w:val="002C37D3"/>
    <w:rsid w:val="002C38FD"/>
    <w:rsid w:val="002C3CAE"/>
    <w:rsid w:val="002C3D4F"/>
    <w:rsid w:val="002C3DB6"/>
    <w:rsid w:val="002C41B0"/>
    <w:rsid w:val="002C4427"/>
    <w:rsid w:val="002C4756"/>
    <w:rsid w:val="002C4A5F"/>
    <w:rsid w:val="002C4D60"/>
    <w:rsid w:val="002C5082"/>
    <w:rsid w:val="002C508D"/>
    <w:rsid w:val="002C51E5"/>
    <w:rsid w:val="002C52D4"/>
    <w:rsid w:val="002C5670"/>
    <w:rsid w:val="002C596F"/>
    <w:rsid w:val="002C5C6A"/>
    <w:rsid w:val="002C5EB9"/>
    <w:rsid w:val="002C63E9"/>
    <w:rsid w:val="002C66C2"/>
    <w:rsid w:val="002C6D9A"/>
    <w:rsid w:val="002C6E72"/>
    <w:rsid w:val="002C6F0E"/>
    <w:rsid w:val="002C6F27"/>
    <w:rsid w:val="002C7513"/>
    <w:rsid w:val="002C756D"/>
    <w:rsid w:val="002C771B"/>
    <w:rsid w:val="002C794C"/>
    <w:rsid w:val="002C7BAA"/>
    <w:rsid w:val="002C7D41"/>
    <w:rsid w:val="002C7DA0"/>
    <w:rsid w:val="002D026D"/>
    <w:rsid w:val="002D044B"/>
    <w:rsid w:val="002D0A84"/>
    <w:rsid w:val="002D0B6A"/>
    <w:rsid w:val="002D14DD"/>
    <w:rsid w:val="002D151F"/>
    <w:rsid w:val="002D1886"/>
    <w:rsid w:val="002D1958"/>
    <w:rsid w:val="002D1CC6"/>
    <w:rsid w:val="002D1D7B"/>
    <w:rsid w:val="002D1F2A"/>
    <w:rsid w:val="002D20E9"/>
    <w:rsid w:val="002D2420"/>
    <w:rsid w:val="002D25D1"/>
    <w:rsid w:val="002D2637"/>
    <w:rsid w:val="002D2911"/>
    <w:rsid w:val="002D297B"/>
    <w:rsid w:val="002D2B6B"/>
    <w:rsid w:val="002D3606"/>
    <w:rsid w:val="002D3611"/>
    <w:rsid w:val="002D3644"/>
    <w:rsid w:val="002D3B42"/>
    <w:rsid w:val="002D3F98"/>
    <w:rsid w:val="002D4072"/>
    <w:rsid w:val="002D4164"/>
    <w:rsid w:val="002D426A"/>
    <w:rsid w:val="002D4546"/>
    <w:rsid w:val="002D49C1"/>
    <w:rsid w:val="002D4E87"/>
    <w:rsid w:val="002D564F"/>
    <w:rsid w:val="002D5AEC"/>
    <w:rsid w:val="002D5BB8"/>
    <w:rsid w:val="002D5BE1"/>
    <w:rsid w:val="002D5C02"/>
    <w:rsid w:val="002D5C51"/>
    <w:rsid w:val="002D6029"/>
    <w:rsid w:val="002D60C6"/>
    <w:rsid w:val="002D64B8"/>
    <w:rsid w:val="002D66B3"/>
    <w:rsid w:val="002D67C9"/>
    <w:rsid w:val="002D67DB"/>
    <w:rsid w:val="002D694C"/>
    <w:rsid w:val="002D6EDE"/>
    <w:rsid w:val="002D7273"/>
    <w:rsid w:val="002D72A4"/>
    <w:rsid w:val="002D73F6"/>
    <w:rsid w:val="002D744F"/>
    <w:rsid w:val="002D771A"/>
    <w:rsid w:val="002E0167"/>
    <w:rsid w:val="002E075D"/>
    <w:rsid w:val="002E0C7F"/>
    <w:rsid w:val="002E0ED9"/>
    <w:rsid w:val="002E14A5"/>
    <w:rsid w:val="002E17E1"/>
    <w:rsid w:val="002E1AE0"/>
    <w:rsid w:val="002E1BCE"/>
    <w:rsid w:val="002E1C8F"/>
    <w:rsid w:val="002E1FE7"/>
    <w:rsid w:val="002E24AB"/>
    <w:rsid w:val="002E24B3"/>
    <w:rsid w:val="002E2B02"/>
    <w:rsid w:val="002E2B52"/>
    <w:rsid w:val="002E305A"/>
    <w:rsid w:val="002E3234"/>
    <w:rsid w:val="002E3806"/>
    <w:rsid w:val="002E38F1"/>
    <w:rsid w:val="002E395F"/>
    <w:rsid w:val="002E3BAE"/>
    <w:rsid w:val="002E3D1A"/>
    <w:rsid w:val="002E44C0"/>
    <w:rsid w:val="002E45B5"/>
    <w:rsid w:val="002E46CF"/>
    <w:rsid w:val="002E4CB5"/>
    <w:rsid w:val="002E4F3B"/>
    <w:rsid w:val="002E5742"/>
    <w:rsid w:val="002E5847"/>
    <w:rsid w:val="002E58B2"/>
    <w:rsid w:val="002E5FAB"/>
    <w:rsid w:val="002E6020"/>
    <w:rsid w:val="002E617F"/>
    <w:rsid w:val="002E623C"/>
    <w:rsid w:val="002E6682"/>
    <w:rsid w:val="002E6792"/>
    <w:rsid w:val="002E6E51"/>
    <w:rsid w:val="002E6EC3"/>
    <w:rsid w:val="002E6F4E"/>
    <w:rsid w:val="002E6F86"/>
    <w:rsid w:val="002E6F98"/>
    <w:rsid w:val="002E70B0"/>
    <w:rsid w:val="002E728E"/>
    <w:rsid w:val="002E76B1"/>
    <w:rsid w:val="002E7789"/>
    <w:rsid w:val="002E7899"/>
    <w:rsid w:val="002E7AB2"/>
    <w:rsid w:val="002E7D69"/>
    <w:rsid w:val="002F02EE"/>
    <w:rsid w:val="002F0392"/>
    <w:rsid w:val="002F08C6"/>
    <w:rsid w:val="002F0A1F"/>
    <w:rsid w:val="002F0AAB"/>
    <w:rsid w:val="002F0C9C"/>
    <w:rsid w:val="002F105F"/>
    <w:rsid w:val="002F1494"/>
    <w:rsid w:val="002F155A"/>
    <w:rsid w:val="002F16A5"/>
    <w:rsid w:val="002F2075"/>
    <w:rsid w:val="002F2344"/>
    <w:rsid w:val="002F238C"/>
    <w:rsid w:val="002F2421"/>
    <w:rsid w:val="002F2776"/>
    <w:rsid w:val="002F2AA2"/>
    <w:rsid w:val="002F2C44"/>
    <w:rsid w:val="002F2DEB"/>
    <w:rsid w:val="002F3133"/>
    <w:rsid w:val="002F3331"/>
    <w:rsid w:val="002F33A6"/>
    <w:rsid w:val="002F35A0"/>
    <w:rsid w:val="002F3686"/>
    <w:rsid w:val="002F39BB"/>
    <w:rsid w:val="002F3AF0"/>
    <w:rsid w:val="002F3D60"/>
    <w:rsid w:val="002F41CA"/>
    <w:rsid w:val="002F45A3"/>
    <w:rsid w:val="002F4727"/>
    <w:rsid w:val="002F4902"/>
    <w:rsid w:val="002F49CF"/>
    <w:rsid w:val="002F4E48"/>
    <w:rsid w:val="002F5269"/>
    <w:rsid w:val="002F56DA"/>
    <w:rsid w:val="002F5D83"/>
    <w:rsid w:val="002F6000"/>
    <w:rsid w:val="002F6152"/>
    <w:rsid w:val="002F6B55"/>
    <w:rsid w:val="002F6F8A"/>
    <w:rsid w:val="002F7016"/>
    <w:rsid w:val="002F703F"/>
    <w:rsid w:val="002F7157"/>
    <w:rsid w:val="002F71F1"/>
    <w:rsid w:val="002F7410"/>
    <w:rsid w:val="002F7601"/>
    <w:rsid w:val="002F784B"/>
    <w:rsid w:val="002F7D33"/>
    <w:rsid w:val="0030019D"/>
    <w:rsid w:val="003001B6"/>
    <w:rsid w:val="0030045E"/>
    <w:rsid w:val="003006CC"/>
    <w:rsid w:val="003007A6"/>
    <w:rsid w:val="00300A2F"/>
    <w:rsid w:val="00300A42"/>
    <w:rsid w:val="00300B97"/>
    <w:rsid w:val="00300BEB"/>
    <w:rsid w:val="00300D44"/>
    <w:rsid w:val="003010A2"/>
    <w:rsid w:val="00301250"/>
    <w:rsid w:val="00301278"/>
    <w:rsid w:val="00301709"/>
    <w:rsid w:val="00301848"/>
    <w:rsid w:val="00301D9F"/>
    <w:rsid w:val="0030282E"/>
    <w:rsid w:val="00302A52"/>
    <w:rsid w:val="00302C4B"/>
    <w:rsid w:val="00302F45"/>
    <w:rsid w:val="00302F7F"/>
    <w:rsid w:val="00303323"/>
    <w:rsid w:val="00303426"/>
    <w:rsid w:val="00303512"/>
    <w:rsid w:val="00303C0E"/>
    <w:rsid w:val="00303D73"/>
    <w:rsid w:val="00303E85"/>
    <w:rsid w:val="003040BF"/>
    <w:rsid w:val="00304599"/>
    <w:rsid w:val="00304A94"/>
    <w:rsid w:val="00304C19"/>
    <w:rsid w:val="00304C88"/>
    <w:rsid w:val="00304CF3"/>
    <w:rsid w:val="00304DFC"/>
    <w:rsid w:val="00304F71"/>
    <w:rsid w:val="00305449"/>
    <w:rsid w:val="0030553E"/>
    <w:rsid w:val="003055AC"/>
    <w:rsid w:val="00305A4F"/>
    <w:rsid w:val="00305B02"/>
    <w:rsid w:val="00305DBF"/>
    <w:rsid w:val="0030603A"/>
    <w:rsid w:val="00306249"/>
    <w:rsid w:val="0030630B"/>
    <w:rsid w:val="003066B0"/>
    <w:rsid w:val="003074C8"/>
    <w:rsid w:val="00307C3E"/>
    <w:rsid w:val="00307C7F"/>
    <w:rsid w:val="00307E43"/>
    <w:rsid w:val="0031061A"/>
    <w:rsid w:val="00310B52"/>
    <w:rsid w:val="00310EA4"/>
    <w:rsid w:val="00311138"/>
    <w:rsid w:val="003112E0"/>
    <w:rsid w:val="00311321"/>
    <w:rsid w:val="003118E1"/>
    <w:rsid w:val="00312161"/>
    <w:rsid w:val="0031235D"/>
    <w:rsid w:val="003124F7"/>
    <w:rsid w:val="00312952"/>
    <w:rsid w:val="003129F2"/>
    <w:rsid w:val="00312D4A"/>
    <w:rsid w:val="003139D3"/>
    <w:rsid w:val="00313E8E"/>
    <w:rsid w:val="00313FF1"/>
    <w:rsid w:val="00314086"/>
    <w:rsid w:val="00314B12"/>
    <w:rsid w:val="00314E0C"/>
    <w:rsid w:val="003151AE"/>
    <w:rsid w:val="0031526D"/>
    <w:rsid w:val="003152CB"/>
    <w:rsid w:val="0031551E"/>
    <w:rsid w:val="0031589A"/>
    <w:rsid w:val="0031596B"/>
    <w:rsid w:val="00315996"/>
    <w:rsid w:val="00315CEB"/>
    <w:rsid w:val="00316492"/>
    <w:rsid w:val="003164D8"/>
    <w:rsid w:val="003169EC"/>
    <w:rsid w:val="00316A5E"/>
    <w:rsid w:val="00316D4A"/>
    <w:rsid w:val="00316DFF"/>
    <w:rsid w:val="0031703B"/>
    <w:rsid w:val="00317101"/>
    <w:rsid w:val="003171AE"/>
    <w:rsid w:val="0031730D"/>
    <w:rsid w:val="003175B6"/>
    <w:rsid w:val="00317A20"/>
    <w:rsid w:val="00320058"/>
    <w:rsid w:val="003200E8"/>
    <w:rsid w:val="00320235"/>
    <w:rsid w:val="00320290"/>
    <w:rsid w:val="003202BC"/>
    <w:rsid w:val="003205A0"/>
    <w:rsid w:val="003206CD"/>
    <w:rsid w:val="003207C7"/>
    <w:rsid w:val="0032082F"/>
    <w:rsid w:val="0032096D"/>
    <w:rsid w:val="00320D0C"/>
    <w:rsid w:val="00320E0C"/>
    <w:rsid w:val="00320F7D"/>
    <w:rsid w:val="00321205"/>
    <w:rsid w:val="0032122A"/>
    <w:rsid w:val="003214C5"/>
    <w:rsid w:val="00321631"/>
    <w:rsid w:val="0032164D"/>
    <w:rsid w:val="00321E1F"/>
    <w:rsid w:val="00321E23"/>
    <w:rsid w:val="00321E3A"/>
    <w:rsid w:val="00322172"/>
    <w:rsid w:val="00322393"/>
    <w:rsid w:val="003225E1"/>
    <w:rsid w:val="00322612"/>
    <w:rsid w:val="00322E7D"/>
    <w:rsid w:val="00322EAF"/>
    <w:rsid w:val="003231BF"/>
    <w:rsid w:val="003238AC"/>
    <w:rsid w:val="00323A82"/>
    <w:rsid w:val="00323B7A"/>
    <w:rsid w:val="00323CE5"/>
    <w:rsid w:val="00323DA9"/>
    <w:rsid w:val="00323FF2"/>
    <w:rsid w:val="0032435F"/>
    <w:rsid w:val="00324863"/>
    <w:rsid w:val="00324988"/>
    <w:rsid w:val="00324B36"/>
    <w:rsid w:val="00324D79"/>
    <w:rsid w:val="00324E21"/>
    <w:rsid w:val="00324F27"/>
    <w:rsid w:val="0032505A"/>
    <w:rsid w:val="003252C5"/>
    <w:rsid w:val="003252E7"/>
    <w:rsid w:val="0032534F"/>
    <w:rsid w:val="003254FF"/>
    <w:rsid w:val="00325630"/>
    <w:rsid w:val="003256FC"/>
    <w:rsid w:val="00325889"/>
    <w:rsid w:val="00325919"/>
    <w:rsid w:val="00325B51"/>
    <w:rsid w:val="00325CD6"/>
    <w:rsid w:val="0032617A"/>
    <w:rsid w:val="0032644D"/>
    <w:rsid w:val="00326716"/>
    <w:rsid w:val="0032680B"/>
    <w:rsid w:val="00326F35"/>
    <w:rsid w:val="00326F56"/>
    <w:rsid w:val="00327659"/>
    <w:rsid w:val="003279FF"/>
    <w:rsid w:val="00327A58"/>
    <w:rsid w:val="00327C48"/>
    <w:rsid w:val="00327F71"/>
    <w:rsid w:val="003302D5"/>
    <w:rsid w:val="00330525"/>
    <w:rsid w:val="0033075B"/>
    <w:rsid w:val="0033077F"/>
    <w:rsid w:val="00331084"/>
    <w:rsid w:val="003310EC"/>
    <w:rsid w:val="00331251"/>
    <w:rsid w:val="003314ED"/>
    <w:rsid w:val="00331836"/>
    <w:rsid w:val="0033186F"/>
    <w:rsid w:val="003318E6"/>
    <w:rsid w:val="00331A66"/>
    <w:rsid w:val="00331BD8"/>
    <w:rsid w:val="00331FCF"/>
    <w:rsid w:val="00332046"/>
    <w:rsid w:val="003320C4"/>
    <w:rsid w:val="0033213D"/>
    <w:rsid w:val="00332238"/>
    <w:rsid w:val="0033245E"/>
    <w:rsid w:val="00332497"/>
    <w:rsid w:val="00332A3A"/>
    <w:rsid w:val="00332A68"/>
    <w:rsid w:val="00332A97"/>
    <w:rsid w:val="00332AEC"/>
    <w:rsid w:val="00332FD8"/>
    <w:rsid w:val="0033304D"/>
    <w:rsid w:val="0033344A"/>
    <w:rsid w:val="003334F4"/>
    <w:rsid w:val="00333586"/>
    <w:rsid w:val="00333784"/>
    <w:rsid w:val="00333AD9"/>
    <w:rsid w:val="00333B0E"/>
    <w:rsid w:val="00333BF7"/>
    <w:rsid w:val="003343E1"/>
    <w:rsid w:val="00334508"/>
    <w:rsid w:val="003346BB"/>
    <w:rsid w:val="0033478B"/>
    <w:rsid w:val="00334A00"/>
    <w:rsid w:val="00334B6E"/>
    <w:rsid w:val="00334EE6"/>
    <w:rsid w:val="00335037"/>
    <w:rsid w:val="003353C7"/>
    <w:rsid w:val="0033588B"/>
    <w:rsid w:val="00335D0A"/>
    <w:rsid w:val="00335E2B"/>
    <w:rsid w:val="00335ED3"/>
    <w:rsid w:val="00335F57"/>
    <w:rsid w:val="00335F59"/>
    <w:rsid w:val="003366F4"/>
    <w:rsid w:val="003366FF"/>
    <w:rsid w:val="00336A35"/>
    <w:rsid w:val="00336DBA"/>
    <w:rsid w:val="003372EF"/>
    <w:rsid w:val="00337446"/>
    <w:rsid w:val="0033746F"/>
    <w:rsid w:val="00337568"/>
    <w:rsid w:val="00337853"/>
    <w:rsid w:val="00337C24"/>
    <w:rsid w:val="00337FA3"/>
    <w:rsid w:val="00340107"/>
    <w:rsid w:val="00340422"/>
    <w:rsid w:val="0034063F"/>
    <w:rsid w:val="00340822"/>
    <w:rsid w:val="00340993"/>
    <w:rsid w:val="00340C56"/>
    <w:rsid w:val="00340F16"/>
    <w:rsid w:val="003416B6"/>
    <w:rsid w:val="00341794"/>
    <w:rsid w:val="00341858"/>
    <w:rsid w:val="00342138"/>
    <w:rsid w:val="003422A8"/>
    <w:rsid w:val="00342571"/>
    <w:rsid w:val="00342A5C"/>
    <w:rsid w:val="00342B2F"/>
    <w:rsid w:val="00342C30"/>
    <w:rsid w:val="00342EA3"/>
    <w:rsid w:val="00342EA8"/>
    <w:rsid w:val="00343506"/>
    <w:rsid w:val="003436F0"/>
    <w:rsid w:val="00343709"/>
    <w:rsid w:val="00343767"/>
    <w:rsid w:val="00343A45"/>
    <w:rsid w:val="00343D5D"/>
    <w:rsid w:val="00343D81"/>
    <w:rsid w:val="00343E95"/>
    <w:rsid w:val="00343EC9"/>
    <w:rsid w:val="00344299"/>
    <w:rsid w:val="003445C2"/>
    <w:rsid w:val="003445C6"/>
    <w:rsid w:val="00344C62"/>
    <w:rsid w:val="00344FCD"/>
    <w:rsid w:val="003452AA"/>
    <w:rsid w:val="00345425"/>
    <w:rsid w:val="003454BB"/>
    <w:rsid w:val="003460FC"/>
    <w:rsid w:val="00346113"/>
    <w:rsid w:val="003461D7"/>
    <w:rsid w:val="003466D6"/>
    <w:rsid w:val="003469C0"/>
    <w:rsid w:val="00346AE3"/>
    <w:rsid w:val="00346BA2"/>
    <w:rsid w:val="00346EB0"/>
    <w:rsid w:val="00346F78"/>
    <w:rsid w:val="00347486"/>
    <w:rsid w:val="00347541"/>
    <w:rsid w:val="003477B6"/>
    <w:rsid w:val="003477CF"/>
    <w:rsid w:val="00347957"/>
    <w:rsid w:val="00347973"/>
    <w:rsid w:val="00347991"/>
    <w:rsid w:val="003479FC"/>
    <w:rsid w:val="00347AE3"/>
    <w:rsid w:val="00347B95"/>
    <w:rsid w:val="00347D1F"/>
    <w:rsid w:val="00347F2C"/>
    <w:rsid w:val="0035010F"/>
    <w:rsid w:val="00350889"/>
    <w:rsid w:val="00350A13"/>
    <w:rsid w:val="00350C3D"/>
    <w:rsid w:val="00350EC1"/>
    <w:rsid w:val="00351066"/>
    <w:rsid w:val="003512D4"/>
    <w:rsid w:val="0035159E"/>
    <w:rsid w:val="003515AC"/>
    <w:rsid w:val="003515BF"/>
    <w:rsid w:val="003516C7"/>
    <w:rsid w:val="003519F3"/>
    <w:rsid w:val="00351D12"/>
    <w:rsid w:val="00351D24"/>
    <w:rsid w:val="00352585"/>
    <w:rsid w:val="003529EF"/>
    <w:rsid w:val="00352A08"/>
    <w:rsid w:val="00352C05"/>
    <w:rsid w:val="003530C2"/>
    <w:rsid w:val="00353827"/>
    <w:rsid w:val="0035384A"/>
    <w:rsid w:val="00353990"/>
    <w:rsid w:val="00353FF9"/>
    <w:rsid w:val="0035401E"/>
    <w:rsid w:val="003540E4"/>
    <w:rsid w:val="00354332"/>
    <w:rsid w:val="00354698"/>
    <w:rsid w:val="003546A1"/>
    <w:rsid w:val="003547DB"/>
    <w:rsid w:val="003548E4"/>
    <w:rsid w:val="00354CD8"/>
    <w:rsid w:val="00355421"/>
    <w:rsid w:val="003556E4"/>
    <w:rsid w:val="0035599B"/>
    <w:rsid w:val="00355E11"/>
    <w:rsid w:val="00355E62"/>
    <w:rsid w:val="00355F0F"/>
    <w:rsid w:val="003563D6"/>
    <w:rsid w:val="0035653B"/>
    <w:rsid w:val="003565CA"/>
    <w:rsid w:val="003567E6"/>
    <w:rsid w:val="00356C21"/>
    <w:rsid w:val="00356E0A"/>
    <w:rsid w:val="00356E83"/>
    <w:rsid w:val="003575B6"/>
    <w:rsid w:val="0035774F"/>
    <w:rsid w:val="00357AED"/>
    <w:rsid w:val="00357C27"/>
    <w:rsid w:val="00357C2C"/>
    <w:rsid w:val="00357DD1"/>
    <w:rsid w:val="00357E82"/>
    <w:rsid w:val="00357EC9"/>
    <w:rsid w:val="00357F21"/>
    <w:rsid w:val="003601A8"/>
    <w:rsid w:val="00360571"/>
    <w:rsid w:val="00360657"/>
    <w:rsid w:val="003606AF"/>
    <w:rsid w:val="00360888"/>
    <w:rsid w:val="00360B54"/>
    <w:rsid w:val="00360B99"/>
    <w:rsid w:val="0036100F"/>
    <w:rsid w:val="0036110B"/>
    <w:rsid w:val="00361238"/>
    <w:rsid w:val="003614C0"/>
    <w:rsid w:val="00361558"/>
    <w:rsid w:val="0036182F"/>
    <w:rsid w:val="0036193E"/>
    <w:rsid w:val="00361980"/>
    <w:rsid w:val="00361BFD"/>
    <w:rsid w:val="00361E48"/>
    <w:rsid w:val="00362066"/>
    <w:rsid w:val="0036220B"/>
    <w:rsid w:val="00362295"/>
    <w:rsid w:val="00362392"/>
    <w:rsid w:val="003627AF"/>
    <w:rsid w:val="003627CF"/>
    <w:rsid w:val="0036330F"/>
    <w:rsid w:val="00363590"/>
    <w:rsid w:val="00363607"/>
    <w:rsid w:val="00363CC3"/>
    <w:rsid w:val="00364160"/>
    <w:rsid w:val="00364236"/>
    <w:rsid w:val="0036448C"/>
    <w:rsid w:val="003644AD"/>
    <w:rsid w:val="0036468C"/>
    <w:rsid w:val="0036479C"/>
    <w:rsid w:val="00364841"/>
    <w:rsid w:val="003648DE"/>
    <w:rsid w:val="00364B50"/>
    <w:rsid w:val="00364BBB"/>
    <w:rsid w:val="00364D5F"/>
    <w:rsid w:val="00365435"/>
    <w:rsid w:val="00365592"/>
    <w:rsid w:val="0036582C"/>
    <w:rsid w:val="00365C4D"/>
    <w:rsid w:val="00365F2C"/>
    <w:rsid w:val="00365FF9"/>
    <w:rsid w:val="00366030"/>
    <w:rsid w:val="0036617F"/>
    <w:rsid w:val="003661DD"/>
    <w:rsid w:val="003664C2"/>
    <w:rsid w:val="00366575"/>
    <w:rsid w:val="0036662E"/>
    <w:rsid w:val="0036670D"/>
    <w:rsid w:val="00366A5B"/>
    <w:rsid w:val="00366DDE"/>
    <w:rsid w:val="00366FFF"/>
    <w:rsid w:val="00367307"/>
    <w:rsid w:val="0036750E"/>
    <w:rsid w:val="003677E8"/>
    <w:rsid w:val="00367AFA"/>
    <w:rsid w:val="00367BEC"/>
    <w:rsid w:val="00367EC6"/>
    <w:rsid w:val="003700FA"/>
    <w:rsid w:val="00370486"/>
    <w:rsid w:val="003704B0"/>
    <w:rsid w:val="00370844"/>
    <w:rsid w:val="003708C8"/>
    <w:rsid w:val="003708FC"/>
    <w:rsid w:val="00371150"/>
    <w:rsid w:val="00371224"/>
    <w:rsid w:val="00371784"/>
    <w:rsid w:val="00371810"/>
    <w:rsid w:val="00371864"/>
    <w:rsid w:val="0037199A"/>
    <w:rsid w:val="003719B8"/>
    <w:rsid w:val="00371AB2"/>
    <w:rsid w:val="00371B78"/>
    <w:rsid w:val="00371E82"/>
    <w:rsid w:val="00371EFE"/>
    <w:rsid w:val="003724EA"/>
    <w:rsid w:val="0037285E"/>
    <w:rsid w:val="00372A6A"/>
    <w:rsid w:val="00372AA7"/>
    <w:rsid w:val="00372ECD"/>
    <w:rsid w:val="00372EDD"/>
    <w:rsid w:val="00372FE0"/>
    <w:rsid w:val="003733A9"/>
    <w:rsid w:val="003734DB"/>
    <w:rsid w:val="00373A1A"/>
    <w:rsid w:val="00373B26"/>
    <w:rsid w:val="00373E5D"/>
    <w:rsid w:val="00373E65"/>
    <w:rsid w:val="00373EF2"/>
    <w:rsid w:val="00373F1F"/>
    <w:rsid w:val="0037406F"/>
    <w:rsid w:val="00374406"/>
    <w:rsid w:val="00374542"/>
    <w:rsid w:val="003745A2"/>
    <w:rsid w:val="00374A5A"/>
    <w:rsid w:val="00374D6B"/>
    <w:rsid w:val="00374DEC"/>
    <w:rsid w:val="00374E3C"/>
    <w:rsid w:val="003750DF"/>
    <w:rsid w:val="00375192"/>
    <w:rsid w:val="003755F4"/>
    <w:rsid w:val="00375A30"/>
    <w:rsid w:val="00375B0B"/>
    <w:rsid w:val="00375DBA"/>
    <w:rsid w:val="00375E9B"/>
    <w:rsid w:val="00376134"/>
    <w:rsid w:val="003767A8"/>
    <w:rsid w:val="003767C5"/>
    <w:rsid w:val="00376947"/>
    <w:rsid w:val="00376A20"/>
    <w:rsid w:val="00376C09"/>
    <w:rsid w:val="00376CC3"/>
    <w:rsid w:val="003770AF"/>
    <w:rsid w:val="003770B8"/>
    <w:rsid w:val="00377186"/>
    <w:rsid w:val="0037780E"/>
    <w:rsid w:val="00377B70"/>
    <w:rsid w:val="00377D33"/>
    <w:rsid w:val="00380115"/>
    <w:rsid w:val="00380514"/>
    <w:rsid w:val="003807DF"/>
    <w:rsid w:val="00380A1B"/>
    <w:rsid w:val="00380A22"/>
    <w:rsid w:val="00380B05"/>
    <w:rsid w:val="00380B0A"/>
    <w:rsid w:val="00380BCC"/>
    <w:rsid w:val="00380C22"/>
    <w:rsid w:val="00380D3A"/>
    <w:rsid w:val="00380F85"/>
    <w:rsid w:val="00381088"/>
    <w:rsid w:val="003817DE"/>
    <w:rsid w:val="00381BA1"/>
    <w:rsid w:val="00381E30"/>
    <w:rsid w:val="00381EF3"/>
    <w:rsid w:val="00382154"/>
    <w:rsid w:val="0038234C"/>
    <w:rsid w:val="00382481"/>
    <w:rsid w:val="00382717"/>
    <w:rsid w:val="00382898"/>
    <w:rsid w:val="00382D3D"/>
    <w:rsid w:val="00382D54"/>
    <w:rsid w:val="00382D80"/>
    <w:rsid w:val="00382EB6"/>
    <w:rsid w:val="00383310"/>
    <w:rsid w:val="00383590"/>
    <w:rsid w:val="003838CE"/>
    <w:rsid w:val="00383C06"/>
    <w:rsid w:val="003841A5"/>
    <w:rsid w:val="00384236"/>
    <w:rsid w:val="0038474C"/>
    <w:rsid w:val="0038482A"/>
    <w:rsid w:val="00384DBF"/>
    <w:rsid w:val="00385254"/>
    <w:rsid w:val="003853E8"/>
    <w:rsid w:val="00385414"/>
    <w:rsid w:val="00385546"/>
    <w:rsid w:val="00385665"/>
    <w:rsid w:val="00385D02"/>
    <w:rsid w:val="00385EFB"/>
    <w:rsid w:val="00386215"/>
    <w:rsid w:val="00386724"/>
    <w:rsid w:val="0038672F"/>
    <w:rsid w:val="00386928"/>
    <w:rsid w:val="003869F8"/>
    <w:rsid w:val="00386D27"/>
    <w:rsid w:val="00386FC2"/>
    <w:rsid w:val="00386FD0"/>
    <w:rsid w:val="003872E9"/>
    <w:rsid w:val="00387328"/>
    <w:rsid w:val="003873F2"/>
    <w:rsid w:val="0038744E"/>
    <w:rsid w:val="003876EF"/>
    <w:rsid w:val="00387D29"/>
    <w:rsid w:val="00387FD2"/>
    <w:rsid w:val="00390075"/>
    <w:rsid w:val="0039089B"/>
    <w:rsid w:val="00390BAF"/>
    <w:rsid w:val="00390F6A"/>
    <w:rsid w:val="00391027"/>
    <w:rsid w:val="003915D6"/>
    <w:rsid w:val="00391645"/>
    <w:rsid w:val="003916AA"/>
    <w:rsid w:val="00391C1F"/>
    <w:rsid w:val="00391D91"/>
    <w:rsid w:val="00391DAB"/>
    <w:rsid w:val="00391FAE"/>
    <w:rsid w:val="00391FB3"/>
    <w:rsid w:val="00392395"/>
    <w:rsid w:val="00392426"/>
    <w:rsid w:val="003926CF"/>
    <w:rsid w:val="00392CD6"/>
    <w:rsid w:val="003931B1"/>
    <w:rsid w:val="003931CF"/>
    <w:rsid w:val="003931DE"/>
    <w:rsid w:val="003931F2"/>
    <w:rsid w:val="003934FF"/>
    <w:rsid w:val="00393626"/>
    <w:rsid w:val="003937D9"/>
    <w:rsid w:val="00393C02"/>
    <w:rsid w:val="00393D3D"/>
    <w:rsid w:val="00393FDB"/>
    <w:rsid w:val="00394146"/>
    <w:rsid w:val="00394569"/>
    <w:rsid w:val="00394750"/>
    <w:rsid w:val="003947BE"/>
    <w:rsid w:val="00394A0F"/>
    <w:rsid w:val="0039526F"/>
    <w:rsid w:val="00395338"/>
    <w:rsid w:val="0039564F"/>
    <w:rsid w:val="003959C1"/>
    <w:rsid w:val="00395CB8"/>
    <w:rsid w:val="00395F54"/>
    <w:rsid w:val="00396013"/>
    <w:rsid w:val="00396183"/>
    <w:rsid w:val="003961B3"/>
    <w:rsid w:val="003962AD"/>
    <w:rsid w:val="0039634E"/>
    <w:rsid w:val="0039669F"/>
    <w:rsid w:val="003967FE"/>
    <w:rsid w:val="00396AB7"/>
    <w:rsid w:val="00396B86"/>
    <w:rsid w:val="00396D1A"/>
    <w:rsid w:val="00396E5A"/>
    <w:rsid w:val="00397273"/>
    <w:rsid w:val="0039737A"/>
    <w:rsid w:val="003975C1"/>
    <w:rsid w:val="003976F9"/>
    <w:rsid w:val="00397769"/>
    <w:rsid w:val="00397851"/>
    <w:rsid w:val="00397857"/>
    <w:rsid w:val="003979CA"/>
    <w:rsid w:val="00397B60"/>
    <w:rsid w:val="00397B9B"/>
    <w:rsid w:val="00397D65"/>
    <w:rsid w:val="00397EE7"/>
    <w:rsid w:val="003A020A"/>
    <w:rsid w:val="003A02CB"/>
    <w:rsid w:val="003A0EB9"/>
    <w:rsid w:val="003A0ED1"/>
    <w:rsid w:val="003A1600"/>
    <w:rsid w:val="003A1671"/>
    <w:rsid w:val="003A175F"/>
    <w:rsid w:val="003A185A"/>
    <w:rsid w:val="003A1998"/>
    <w:rsid w:val="003A1ABD"/>
    <w:rsid w:val="003A1BCE"/>
    <w:rsid w:val="003A1DB5"/>
    <w:rsid w:val="003A237E"/>
    <w:rsid w:val="003A2495"/>
    <w:rsid w:val="003A2837"/>
    <w:rsid w:val="003A28A7"/>
    <w:rsid w:val="003A2981"/>
    <w:rsid w:val="003A2C01"/>
    <w:rsid w:val="003A2C3F"/>
    <w:rsid w:val="003A3844"/>
    <w:rsid w:val="003A3AAB"/>
    <w:rsid w:val="003A3B5E"/>
    <w:rsid w:val="003A3CE1"/>
    <w:rsid w:val="003A4547"/>
    <w:rsid w:val="003A48B0"/>
    <w:rsid w:val="003A4CBF"/>
    <w:rsid w:val="003A4F09"/>
    <w:rsid w:val="003A50D3"/>
    <w:rsid w:val="003A5548"/>
    <w:rsid w:val="003A57C2"/>
    <w:rsid w:val="003A58D3"/>
    <w:rsid w:val="003A596B"/>
    <w:rsid w:val="003A5B6A"/>
    <w:rsid w:val="003A5C0B"/>
    <w:rsid w:val="003A5D9E"/>
    <w:rsid w:val="003A5E3B"/>
    <w:rsid w:val="003A6509"/>
    <w:rsid w:val="003A674F"/>
    <w:rsid w:val="003A685B"/>
    <w:rsid w:val="003A6A6E"/>
    <w:rsid w:val="003A6EB3"/>
    <w:rsid w:val="003A7084"/>
    <w:rsid w:val="003A71DC"/>
    <w:rsid w:val="003A730C"/>
    <w:rsid w:val="003A78F8"/>
    <w:rsid w:val="003A7A0B"/>
    <w:rsid w:val="003A7B86"/>
    <w:rsid w:val="003A7C56"/>
    <w:rsid w:val="003A7D73"/>
    <w:rsid w:val="003B005C"/>
    <w:rsid w:val="003B063D"/>
    <w:rsid w:val="003B0B96"/>
    <w:rsid w:val="003B0CF5"/>
    <w:rsid w:val="003B1343"/>
    <w:rsid w:val="003B1800"/>
    <w:rsid w:val="003B18AB"/>
    <w:rsid w:val="003B1A7D"/>
    <w:rsid w:val="003B1B83"/>
    <w:rsid w:val="003B1C3E"/>
    <w:rsid w:val="003B2331"/>
    <w:rsid w:val="003B2C12"/>
    <w:rsid w:val="003B2D03"/>
    <w:rsid w:val="003B2EE8"/>
    <w:rsid w:val="003B32C5"/>
    <w:rsid w:val="003B35E2"/>
    <w:rsid w:val="003B3665"/>
    <w:rsid w:val="003B38C6"/>
    <w:rsid w:val="003B3A82"/>
    <w:rsid w:val="003B3DA5"/>
    <w:rsid w:val="003B3DC6"/>
    <w:rsid w:val="003B3E29"/>
    <w:rsid w:val="003B487D"/>
    <w:rsid w:val="003B48D3"/>
    <w:rsid w:val="003B4C6E"/>
    <w:rsid w:val="003B4FDC"/>
    <w:rsid w:val="003B5F65"/>
    <w:rsid w:val="003B606E"/>
    <w:rsid w:val="003B60A2"/>
    <w:rsid w:val="003B6263"/>
    <w:rsid w:val="003B63C7"/>
    <w:rsid w:val="003B678D"/>
    <w:rsid w:val="003B67F5"/>
    <w:rsid w:val="003B68E0"/>
    <w:rsid w:val="003B72DA"/>
    <w:rsid w:val="003B75A3"/>
    <w:rsid w:val="003B7A0D"/>
    <w:rsid w:val="003B7FB3"/>
    <w:rsid w:val="003B7FF8"/>
    <w:rsid w:val="003C024B"/>
    <w:rsid w:val="003C0B35"/>
    <w:rsid w:val="003C11C4"/>
    <w:rsid w:val="003C178F"/>
    <w:rsid w:val="003C1BDC"/>
    <w:rsid w:val="003C1D27"/>
    <w:rsid w:val="003C20D1"/>
    <w:rsid w:val="003C22AC"/>
    <w:rsid w:val="003C2512"/>
    <w:rsid w:val="003C274B"/>
    <w:rsid w:val="003C2867"/>
    <w:rsid w:val="003C28CC"/>
    <w:rsid w:val="003C2EE2"/>
    <w:rsid w:val="003C3554"/>
    <w:rsid w:val="003C360F"/>
    <w:rsid w:val="003C405C"/>
    <w:rsid w:val="003C407D"/>
    <w:rsid w:val="003C40A4"/>
    <w:rsid w:val="003C4236"/>
    <w:rsid w:val="003C4516"/>
    <w:rsid w:val="003C49A5"/>
    <w:rsid w:val="003C51C4"/>
    <w:rsid w:val="003C54E8"/>
    <w:rsid w:val="003C5517"/>
    <w:rsid w:val="003C5D20"/>
    <w:rsid w:val="003C6059"/>
    <w:rsid w:val="003C6119"/>
    <w:rsid w:val="003C62AC"/>
    <w:rsid w:val="003C660D"/>
    <w:rsid w:val="003C6ABD"/>
    <w:rsid w:val="003C756D"/>
    <w:rsid w:val="003C795F"/>
    <w:rsid w:val="003C79CC"/>
    <w:rsid w:val="003C7A91"/>
    <w:rsid w:val="003C7D84"/>
    <w:rsid w:val="003C7E48"/>
    <w:rsid w:val="003D0301"/>
    <w:rsid w:val="003D055F"/>
    <w:rsid w:val="003D08A1"/>
    <w:rsid w:val="003D0D03"/>
    <w:rsid w:val="003D0D77"/>
    <w:rsid w:val="003D0EA6"/>
    <w:rsid w:val="003D1042"/>
    <w:rsid w:val="003D1076"/>
    <w:rsid w:val="003D111C"/>
    <w:rsid w:val="003D1924"/>
    <w:rsid w:val="003D1BFB"/>
    <w:rsid w:val="003D225C"/>
    <w:rsid w:val="003D24DF"/>
    <w:rsid w:val="003D25C1"/>
    <w:rsid w:val="003D2657"/>
    <w:rsid w:val="003D29CC"/>
    <w:rsid w:val="003D333B"/>
    <w:rsid w:val="003D34D7"/>
    <w:rsid w:val="003D3641"/>
    <w:rsid w:val="003D3A29"/>
    <w:rsid w:val="003D3BA6"/>
    <w:rsid w:val="003D3E92"/>
    <w:rsid w:val="003D41EA"/>
    <w:rsid w:val="003D4320"/>
    <w:rsid w:val="003D46F1"/>
    <w:rsid w:val="003D4AFF"/>
    <w:rsid w:val="003D4B02"/>
    <w:rsid w:val="003D525E"/>
    <w:rsid w:val="003D54ED"/>
    <w:rsid w:val="003D59E8"/>
    <w:rsid w:val="003D600D"/>
    <w:rsid w:val="003D6209"/>
    <w:rsid w:val="003D627F"/>
    <w:rsid w:val="003D6687"/>
    <w:rsid w:val="003D68B2"/>
    <w:rsid w:val="003D6AD2"/>
    <w:rsid w:val="003D6D3C"/>
    <w:rsid w:val="003D6EFA"/>
    <w:rsid w:val="003D73DD"/>
    <w:rsid w:val="003D78B3"/>
    <w:rsid w:val="003D7CD9"/>
    <w:rsid w:val="003D7CED"/>
    <w:rsid w:val="003D7F0C"/>
    <w:rsid w:val="003E00F1"/>
    <w:rsid w:val="003E026B"/>
    <w:rsid w:val="003E03FE"/>
    <w:rsid w:val="003E044B"/>
    <w:rsid w:val="003E0979"/>
    <w:rsid w:val="003E0D3F"/>
    <w:rsid w:val="003E0D7E"/>
    <w:rsid w:val="003E0E46"/>
    <w:rsid w:val="003E17D6"/>
    <w:rsid w:val="003E1B03"/>
    <w:rsid w:val="003E1B80"/>
    <w:rsid w:val="003E1C4C"/>
    <w:rsid w:val="003E28C8"/>
    <w:rsid w:val="003E2D72"/>
    <w:rsid w:val="003E2EAC"/>
    <w:rsid w:val="003E30FD"/>
    <w:rsid w:val="003E322E"/>
    <w:rsid w:val="003E33AB"/>
    <w:rsid w:val="003E3400"/>
    <w:rsid w:val="003E343B"/>
    <w:rsid w:val="003E379C"/>
    <w:rsid w:val="003E3C6A"/>
    <w:rsid w:val="003E3D9B"/>
    <w:rsid w:val="003E43D3"/>
    <w:rsid w:val="003E445D"/>
    <w:rsid w:val="003E446B"/>
    <w:rsid w:val="003E4BB0"/>
    <w:rsid w:val="003E4CAA"/>
    <w:rsid w:val="003E4D87"/>
    <w:rsid w:val="003E539D"/>
    <w:rsid w:val="003E5589"/>
    <w:rsid w:val="003E55CD"/>
    <w:rsid w:val="003E55D8"/>
    <w:rsid w:val="003E5A68"/>
    <w:rsid w:val="003E5CA2"/>
    <w:rsid w:val="003E5FD4"/>
    <w:rsid w:val="003E6A59"/>
    <w:rsid w:val="003E6AA9"/>
    <w:rsid w:val="003E6C4A"/>
    <w:rsid w:val="003E6DA1"/>
    <w:rsid w:val="003E6EF3"/>
    <w:rsid w:val="003E6F65"/>
    <w:rsid w:val="003E6FE6"/>
    <w:rsid w:val="003E7092"/>
    <w:rsid w:val="003E7178"/>
    <w:rsid w:val="003E726D"/>
    <w:rsid w:val="003E72A4"/>
    <w:rsid w:val="003E7521"/>
    <w:rsid w:val="003E7643"/>
    <w:rsid w:val="003E79A2"/>
    <w:rsid w:val="003E7A4D"/>
    <w:rsid w:val="003E7B76"/>
    <w:rsid w:val="003E7BD7"/>
    <w:rsid w:val="003F03BC"/>
    <w:rsid w:val="003F046D"/>
    <w:rsid w:val="003F0595"/>
    <w:rsid w:val="003F0675"/>
    <w:rsid w:val="003F0A3A"/>
    <w:rsid w:val="003F0BF4"/>
    <w:rsid w:val="003F0C88"/>
    <w:rsid w:val="003F0D63"/>
    <w:rsid w:val="003F0D7D"/>
    <w:rsid w:val="003F10CC"/>
    <w:rsid w:val="003F10CD"/>
    <w:rsid w:val="003F1403"/>
    <w:rsid w:val="003F18C3"/>
    <w:rsid w:val="003F19E2"/>
    <w:rsid w:val="003F2161"/>
    <w:rsid w:val="003F2413"/>
    <w:rsid w:val="003F24CC"/>
    <w:rsid w:val="003F24D7"/>
    <w:rsid w:val="003F2556"/>
    <w:rsid w:val="003F2912"/>
    <w:rsid w:val="003F2A12"/>
    <w:rsid w:val="003F2DA8"/>
    <w:rsid w:val="003F3000"/>
    <w:rsid w:val="003F30CA"/>
    <w:rsid w:val="003F3136"/>
    <w:rsid w:val="003F345C"/>
    <w:rsid w:val="003F38A2"/>
    <w:rsid w:val="003F391F"/>
    <w:rsid w:val="003F3CD6"/>
    <w:rsid w:val="003F3D2A"/>
    <w:rsid w:val="003F3DAF"/>
    <w:rsid w:val="003F442B"/>
    <w:rsid w:val="003F47E2"/>
    <w:rsid w:val="003F485A"/>
    <w:rsid w:val="003F4BC0"/>
    <w:rsid w:val="003F4C84"/>
    <w:rsid w:val="003F51C7"/>
    <w:rsid w:val="003F5216"/>
    <w:rsid w:val="003F54BE"/>
    <w:rsid w:val="003F554B"/>
    <w:rsid w:val="003F57EB"/>
    <w:rsid w:val="003F585C"/>
    <w:rsid w:val="003F5878"/>
    <w:rsid w:val="003F587B"/>
    <w:rsid w:val="003F597F"/>
    <w:rsid w:val="003F5A47"/>
    <w:rsid w:val="003F5A59"/>
    <w:rsid w:val="003F5B73"/>
    <w:rsid w:val="003F5E24"/>
    <w:rsid w:val="003F61C3"/>
    <w:rsid w:val="003F6A05"/>
    <w:rsid w:val="003F6C81"/>
    <w:rsid w:val="003F7014"/>
    <w:rsid w:val="003F72E2"/>
    <w:rsid w:val="003F7497"/>
    <w:rsid w:val="003F764F"/>
    <w:rsid w:val="003F769D"/>
    <w:rsid w:val="003F7ED8"/>
    <w:rsid w:val="00400546"/>
    <w:rsid w:val="00400584"/>
    <w:rsid w:val="00400935"/>
    <w:rsid w:val="0040096E"/>
    <w:rsid w:val="00400D28"/>
    <w:rsid w:val="00400FF4"/>
    <w:rsid w:val="004014D0"/>
    <w:rsid w:val="004015C1"/>
    <w:rsid w:val="004016D1"/>
    <w:rsid w:val="00401736"/>
    <w:rsid w:val="00401BDA"/>
    <w:rsid w:val="00401CDB"/>
    <w:rsid w:val="004020BF"/>
    <w:rsid w:val="0040211A"/>
    <w:rsid w:val="00402B3C"/>
    <w:rsid w:val="00402C71"/>
    <w:rsid w:val="00402E48"/>
    <w:rsid w:val="004030AD"/>
    <w:rsid w:val="004036BC"/>
    <w:rsid w:val="00403DE8"/>
    <w:rsid w:val="0040459D"/>
    <w:rsid w:val="004045E3"/>
    <w:rsid w:val="0040474F"/>
    <w:rsid w:val="00404860"/>
    <w:rsid w:val="00404B11"/>
    <w:rsid w:val="004051C4"/>
    <w:rsid w:val="004053CB"/>
    <w:rsid w:val="004053CE"/>
    <w:rsid w:val="004053DF"/>
    <w:rsid w:val="00405646"/>
    <w:rsid w:val="00405AE1"/>
    <w:rsid w:val="00405CE2"/>
    <w:rsid w:val="00405D25"/>
    <w:rsid w:val="00406340"/>
    <w:rsid w:val="00406541"/>
    <w:rsid w:val="00406612"/>
    <w:rsid w:val="00406642"/>
    <w:rsid w:val="0040668D"/>
    <w:rsid w:val="00406702"/>
    <w:rsid w:val="00406DC4"/>
    <w:rsid w:val="00406E6C"/>
    <w:rsid w:val="00406EE8"/>
    <w:rsid w:val="004070AC"/>
    <w:rsid w:val="00407230"/>
    <w:rsid w:val="00407376"/>
    <w:rsid w:val="00407492"/>
    <w:rsid w:val="004078A0"/>
    <w:rsid w:val="0040792D"/>
    <w:rsid w:val="00407D11"/>
    <w:rsid w:val="00407E15"/>
    <w:rsid w:val="004100F3"/>
    <w:rsid w:val="004101D5"/>
    <w:rsid w:val="0041066B"/>
    <w:rsid w:val="004106D9"/>
    <w:rsid w:val="00410D9D"/>
    <w:rsid w:val="00410DF1"/>
    <w:rsid w:val="004111F1"/>
    <w:rsid w:val="00411FD4"/>
    <w:rsid w:val="004128E4"/>
    <w:rsid w:val="0041293D"/>
    <w:rsid w:val="00412EAD"/>
    <w:rsid w:val="004130C0"/>
    <w:rsid w:val="00413201"/>
    <w:rsid w:val="004133D6"/>
    <w:rsid w:val="004135AE"/>
    <w:rsid w:val="00413EBB"/>
    <w:rsid w:val="004140A8"/>
    <w:rsid w:val="00414103"/>
    <w:rsid w:val="0041465D"/>
    <w:rsid w:val="00414789"/>
    <w:rsid w:val="004147F2"/>
    <w:rsid w:val="00414901"/>
    <w:rsid w:val="00414AFF"/>
    <w:rsid w:val="00414F24"/>
    <w:rsid w:val="00415001"/>
    <w:rsid w:val="00415118"/>
    <w:rsid w:val="00415268"/>
    <w:rsid w:val="004152D8"/>
    <w:rsid w:val="00415E8F"/>
    <w:rsid w:val="00416063"/>
    <w:rsid w:val="004162D6"/>
    <w:rsid w:val="00416456"/>
    <w:rsid w:val="00416638"/>
    <w:rsid w:val="00416655"/>
    <w:rsid w:val="00416737"/>
    <w:rsid w:val="004168C0"/>
    <w:rsid w:val="00416A33"/>
    <w:rsid w:val="00416EC1"/>
    <w:rsid w:val="004171FC"/>
    <w:rsid w:val="00417332"/>
    <w:rsid w:val="00417429"/>
    <w:rsid w:val="00417461"/>
    <w:rsid w:val="004179C0"/>
    <w:rsid w:val="00417BCA"/>
    <w:rsid w:val="00417E7D"/>
    <w:rsid w:val="004201A3"/>
    <w:rsid w:val="004210B4"/>
    <w:rsid w:val="004214A7"/>
    <w:rsid w:val="00421507"/>
    <w:rsid w:val="0042157F"/>
    <w:rsid w:val="0042188A"/>
    <w:rsid w:val="00421A66"/>
    <w:rsid w:val="00421CB2"/>
    <w:rsid w:val="00421D28"/>
    <w:rsid w:val="004221B3"/>
    <w:rsid w:val="0042260C"/>
    <w:rsid w:val="00422811"/>
    <w:rsid w:val="004231A3"/>
    <w:rsid w:val="004233EA"/>
    <w:rsid w:val="004235BC"/>
    <w:rsid w:val="0042380A"/>
    <w:rsid w:val="00423888"/>
    <w:rsid w:val="00423968"/>
    <w:rsid w:val="00423C28"/>
    <w:rsid w:val="00423E83"/>
    <w:rsid w:val="00423FB7"/>
    <w:rsid w:val="0042428F"/>
    <w:rsid w:val="004247EC"/>
    <w:rsid w:val="00424CD9"/>
    <w:rsid w:val="00424E8B"/>
    <w:rsid w:val="00424F6B"/>
    <w:rsid w:val="0042514A"/>
    <w:rsid w:val="0042523C"/>
    <w:rsid w:val="0042534F"/>
    <w:rsid w:val="0042551C"/>
    <w:rsid w:val="004257D2"/>
    <w:rsid w:val="004257D5"/>
    <w:rsid w:val="0042584B"/>
    <w:rsid w:val="00425883"/>
    <w:rsid w:val="00425C2F"/>
    <w:rsid w:val="00425E48"/>
    <w:rsid w:val="00425FC1"/>
    <w:rsid w:val="004262E8"/>
    <w:rsid w:val="004266A8"/>
    <w:rsid w:val="00426AF4"/>
    <w:rsid w:val="00426D75"/>
    <w:rsid w:val="00426E38"/>
    <w:rsid w:val="00427254"/>
    <w:rsid w:val="004272E2"/>
    <w:rsid w:val="0042761F"/>
    <w:rsid w:val="0043015D"/>
    <w:rsid w:val="004309B1"/>
    <w:rsid w:val="00430C0F"/>
    <w:rsid w:val="00430D37"/>
    <w:rsid w:val="00430FEC"/>
    <w:rsid w:val="004313B3"/>
    <w:rsid w:val="0043199A"/>
    <w:rsid w:val="00431C36"/>
    <w:rsid w:val="00431C7A"/>
    <w:rsid w:val="00431FBE"/>
    <w:rsid w:val="004325E1"/>
    <w:rsid w:val="004326CE"/>
    <w:rsid w:val="00432760"/>
    <w:rsid w:val="00432CBD"/>
    <w:rsid w:val="00432F06"/>
    <w:rsid w:val="00432FC4"/>
    <w:rsid w:val="00433429"/>
    <w:rsid w:val="004336CF"/>
    <w:rsid w:val="00433952"/>
    <w:rsid w:val="00433A7B"/>
    <w:rsid w:val="00433ABF"/>
    <w:rsid w:val="00433DF0"/>
    <w:rsid w:val="0043408E"/>
    <w:rsid w:val="0043419C"/>
    <w:rsid w:val="00434387"/>
    <w:rsid w:val="004348CA"/>
    <w:rsid w:val="00434EAD"/>
    <w:rsid w:val="00435688"/>
    <w:rsid w:val="0043577A"/>
    <w:rsid w:val="00435B83"/>
    <w:rsid w:val="00435F6C"/>
    <w:rsid w:val="0043604C"/>
    <w:rsid w:val="00436140"/>
    <w:rsid w:val="0043626A"/>
    <w:rsid w:val="0043640A"/>
    <w:rsid w:val="004364FA"/>
    <w:rsid w:val="00436608"/>
    <w:rsid w:val="00436849"/>
    <w:rsid w:val="00436FFA"/>
    <w:rsid w:val="00437226"/>
    <w:rsid w:val="00437675"/>
    <w:rsid w:val="00437691"/>
    <w:rsid w:val="004379A4"/>
    <w:rsid w:val="00437FAE"/>
    <w:rsid w:val="004401CB"/>
    <w:rsid w:val="004401F9"/>
    <w:rsid w:val="00440AF4"/>
    <w:rsid w:val="00440C9D"/>
    <w:rsid w:val="00441031"/>
    <w:rsid w:val="004412D8"/>
    <w:rsid w:val="004416AA"/>
    <w:rsid w:val="004417A8"/>
    <w:rsid w:val="0044190B"/>
    <w:rsid w:val="004419EA"/>
    <w:rsid w:val="00441E49"/>
    <w:rsid w:val="00442020"/>
    <w:rsid w:val="00442106"/>
    <w:rsid w:val="0044224E"/>
    <w:rsid w:val="00442327"/>
    <w:rsid w:val="00442504"/>
    <w:rsid w:val="004427EC"/>
    <w:rsid w:val="004428A2"/>
    <w:rsid w:val="00442B9B"/>
    <w:rsid w:val="00442BBD"/>
    <w:rsid w:val="00442BF8"/>
    <w:rsid w:val="004431CD"/>
    <w:rsid w:val="00443242"/>
    <w:rsid w:val="004432B9"/>
    <w:rsid w:val="00443354"/>
    <w:rsid w:val="004434B0"/>
    <w:rsid w:val="00443658"/>
    <w:rsid w:val="0044378F"/>
    <w:rsid w:val="004438C9"/>
    <w:rsid w:val="004438F0"/>
    <w:rsid w:val="00443ACF"/>
    <w:rsid w:val="00443EFF"/>
    <w:rsid w:val="004442F8"/>
    <w:rsid w:val="00444396"/>
    <w:rsid w:val="00444864"/>
    <w:rsid w:val="004449AF"/>
    <w:rsid w:val="00444A28"/>
    <w:rsid w:val="00444B95"/>
    <w:rsid w:val="00444D85"/>
    <w:rsid w:val="00445002"/>
    <w:rsid w:val="00445242"/>
    <w:rsid w:val="004452ED"/>
    <w:rsid w:val="004453C3"/>
    <w:rsid w:val="0044574C"/>
    <w:rsid w:val="004458F9"/>
    <w:rsid w:val="00445926"/>
    <w:rsid w:val="00445AE5"/>
    <w:rsid w:val="00445C1E"/>
    <w:rsid w:val="00445E48"/>
    <w:rsid w:val="00445EF8"/>
    <w:rsid w:val="004462AA"/>
    <w:rsid w:val="004466F3"/>
    <w:rsid w:val="00446719"/>
    <w:rsid w:val="004469FF"/>
    <w:rsid w:val="00446BEF"/>
    <w:rsid w:val="00447F31"/>
    <w:rsid w:val="00451146"/>
    <w:rsid w:val="00451796"/>
    <w:rsid w:val="0045179B"/>
    <w:rsid w:val="004517EE"/>
    <w:rsid w:val="00451895"/>
    <w:rsid w:val="004519A1"/>
    <w:rsid w:val="00452085"/>
    <w:rsid w:val="0045219D"/>
    <w:rsid w:val="00452289"/>
    <w:rsid w:val="004527B1"/>
    <w:rsid w:val="00452EC6"/>
    <w:rsid w:val="00452F41"/>
    <w:rsid w:val="00453270"/>
    <w:rsid w:val="004533F0"/>
    <w:rsid w:val="0045344B"/>
    <w:rsid w:val="0045370D"/>
    <w:rsid w:val="00453A45"/>
    <w:rsid w:val="00453D68"/>
    <w:rsid w:val="00453E28"/>
    <w:rsid w:val="00454741"/>
    <w:rsid w:val="0045483C"/>
    <w:rsid w:val="00454A9B"/>
    <w:rsid w:val="00454D66"/>
    <w:rsid w:val="00454EE3"/>
    <w:rsid w:val="00454FDD"/>
    <w:rsid w:val="004551A1"/>
    <w:rsid w:val="0045545E"/>
    <w:rsid w:val="004558B1"/>
    <w:rsid w:val="00455E2C"/>
    <w:rsid w:val="00456180"/>
    <w:rsid w:val="00456286"/>
    <w:rsid w:val="0045628E"/>
    <w:rsid w:val="00456752"/>
    <w:rsid w:val="00456A71"/>
    <w:rsid w:val="00456D7F"/>
    <w:rsid w:val="004571BC"/>
    <w:rsid w:val="00457240"/>
    <w:rsid w:val="0045771F"/>
    <w:rsid w:val="00457F6E"/>
    <w:rsid w:val="00460061"/>
    <w:rsid w:val="00460097"/>
    <w:rsid w:val="00460407"/>
    <w:rsid w:val="004604F2"/>
    <w:rsid w:val="004607D6"/>
    <w:rsid w:val="004609EF"/>
    <w:rsid w:val="00460A6A"/>
    <w:rsid w:val="00460B8B"/>
    <w:rsid w:val="00460BA1"/>
    <w:rsid w:val="00460BAC"/>
    <w:rsid w:val="0046146E"/>
    <w:rsid w:val="00461887"/>
    <w:rsid w:val="00461B08"/>
    <w:rsid w:val="00461C3E"/>
    <w:rsid w:val="00462187"/>
    <w:rsid w:val="0046240C"/>
    <w:rsid w:val="004624CE"/>
    <w:rsid w:val="00462599"/>
    <w:rsid w:val="00462AAD"/>
    <w:rsid w:val="00462B2E"/>
    <w:rsid w:val="00462D0C"/>
    <w:rsid w:val="00462E11"/>
    <w:rsid w:val="004630B5"/>
    <w:rsid w:val="0046328A"/>
    <w:rsid w:val="00463BE0"/>
    <w:rsid w:val="00463C0D"/>
    <w:rsid w:val="00463CC4"/>
    <w:rsid w:val="00463F9A"/>
    <w:rsid w:val="00463FC0"/>
    <w:rsid w:val="00464006"/>
    <w:rsid w:val="004642AC"/>
    <w:rsid w:val="0046448E"/>
    <w:rsid w:val="004645DA"/>
    <w:rsid w:val="0046469D"/>
    <w:rsid w:val="00464968"/>
    <w:rsid w:val="00464A07"/>
    <w:rsid w:val="00464AB5"/>
    <w:rsid w:val="00464AB6"/>
    <w:rsid w:val="00464C42"/>
    <w:rsid w:val="00465241"/>
    <w:rsid w:val="004653BF"/>
    <w:rsid w:val="00465402"/>
    <w:rsid w:val="004655DF"/>
    <w:rsid w:val="00465ADE"/>
    <w:rsid w:val="00465B56"/>
    <w:rsid w:val="00465EEC"/>
    <w:rsid w:val="00466183"/>
    <w:rsid w:val="004667AF"/>
    <w:rsid w:val="00466C8C"/>
    <w:rsid w:val="00466DF4"/>
    <w:rsid w:val="00466E20"/>
    <w:rsid w:val="00467060"/>
    <w:rsid w:val="004670B3"/>
    <w:rsid w:val="004677BD"/>
    <w:rsid w:val="00470016"/>
    <w:rsid w:val="00470543"/>
    <w:rsid w:val="00470564"/>
    <w:rsid w:val="004707B9"/>
    <w:rsid w:val="00470B8C"/>
    <w:rsid w:val="00470E9B"/>
    <w:rsid w:val="004715B6"/>
    <w:rsid w:val="004720C5"/>
    <w:rsid w:val="00472386"/>
    <w:rsid w:val="004726E7"/>
    <w:rsid w:val="00472933"/>
    <w:rsid w:val="00472A60"/>
    <w:rsid w:val="00472AB5"/>
    <w:rsid w:val="00472B8B"/>
    <w:rsid w:val="004731CD"/>
    <w:rsid w:val="0047339C"/>
    <w:rsid w:val="004735DF"/>
    <w:rsid w:val="0047366C"/>
    <w:rsid w:val="004736AF"/>
    <w:rsid w:val="00473A6C"/>
    <w:rsid w:val="00473DCD"/>
    <w:rsid w:val="00473E1C"/>
    <w:rsid w:val="0047427B"/>
    <w:rsid w:val="00474427"/>
    <w:rsid w:val="00474659"/>
    <w:rsid w:val="0047475C"/>
    <w:rsid w:val="004752DD"/>
    <w:rsid w:val="00475657"/>
    <w:rsid w:val="00475B8D"/>
    <w:rsid w:val="00476147"/>
    <w:rsid w:val="00476248"/>
    <w:rsid w:val="004762C5"/>
    <w:rsid w:val="00476B50"/>
    <w:rsid w:val="00476E1C"/>
    <w:rsid w:val="00477107"/>
    <w:rsid w:val="004773C0"/>
    <w:rsid w:val="00477433"/>
    <w:rsid w:val="0047754F"/>
    <w:rsid w:val="00477558"/>
    <w:rsid w:val="004776C2"/>
    <w:rsid w:val="00477718"/>
    <w:rsid w:val="004778ED"/>
    <w:rsid w:val="00477917"/>
    <w:rsid w:val="00477B14"/>
    <w:rsid w:val="00477C9B"/>
    <w:rsid w:val="00477EE4"/>
    <w:rsid w:val="004803AA"/>
    <w:rsid w:val="004804CB"/>
    <w:rsid w:val="00480635"/>
    <w:rsid w:val="00480799"/>
    <w:rsid w:val="004807A2"/>
    <w:rsid w:val="00480CA0"/>
    <w:rsid w:val="00480E47"/>
    <w:rsid w:val="004813DC"/>
    <w:rsid w:val="00481520"/>
    <w:rsid w:val="00481547"/>
    <w:rsid w:val="00481785"/>
    <w:rsid w:val="00481DD8"/>
    <w:rsid w:val="00481F95"/>
    <w:rsid w:val="00482AFC"/>
    <w:rsid w:val="00483315"/>
    <w:rsid w:val="004834FE"/>
    <w:rsid w:val="00483A8A"/>
    <w:rsid w:val="00483C4C"/>
    <w:rsid w:val="00483DEF"/>
    <w:rsid w:val="00483E77"/>
    <w:rsid w:val="00484263"/>
    <w:rsid w:val="00484356"/>
    <w:rsid w:val="0048440C"/>
    <w:rsid w:val="00484480"/>
    <w:rsid w:val="0048470A"/>
    <w:rsid w:val="004847DA"/>
    <w:rsid w:val="00484A50"/>
    <w:rsid w:val="00484BF4"/>
    <w:rsid w:val="00484DC0"/>
    <w:rsid w:val="004850F3"/>
    <w:rsid w:val="0048531E"/>
    <w:rsid w:val="0048569F"/>
    <w:rsid w:val="0048578F"/>
    <w:rsid w:val="004857CB"/>
    <w:rsid w:val="0048584E"/>
    <w:rsid w:val="00485921"/>
    <w:rsid w:val="00485970"/>
    <w:rsid w:val="00485D1B"/>
    <w:rsid w:val="00485E33"/>
    <w:rsid w:val="00485F25"/>
    <w:rsid w:val="00485FCF"/>
    <w:rsid w:val="00486144"/>
    <w:rsid w:val="004861E2"/>
    <w:rsid w:val="0048683A"/>
    <w:rsid w:val="00486B1D"/>
    <w:rsid w:val="0048761C"/>
    <w:rsid w:val="00487FB3"/>
    <w:rsid w:val="00490018"/>
    <w:rsid w:val="00490113"/>
    <w:rsid w:val="004902AE"/>
    <w:rsid w:val="0049045A"/>
    <w:rsid w:val="0049075C"/>
    <w:rsid w:val="004908B6"/>
    <w:rsid w:val="0049095C"/>
    <w:rsid w:val="004909E6"/>
    <w:rsid w:val="00490BF3"/>
    <w:rsid w:val="00490F17"/>
    <w:rsid w:val="004911B6"/>
    <w:rsid w:val="004911C7"/>
    <w:rsid w:val="004916F6"/>
    <w:rsid w:val="00491A03"/>
    <w:rsid w:val="00492268"/>
    <w:rsid w:val="00492817"/>
    <w:rsid w:val="00492A35"/>
    <w:rsid w:val="00493028"/>
    <w:rsid w:val="00493466"/>
    <w:rsid w:val="00493856"/>
    <w:rsid w:val="00493941"/>
    <w:rsid w:val="004939F0"/>
    <w:rsid w:val="00494834"/>
    <w:rsid w:val="004949E8"/>
    <w:rsid w:val="00494CF4"/>
    <w:rsid w:val="00494DAB"/>
    <w:rsid w:val="00494EE0"/>
    <w:rsid w:val="004958B2"/>
    <w:rsid w:val="00495CD6"/>
    <w:rsid w:val="00495FD1"/>
    <w:rsid w:val="00496007"/>
    <w:rsid w:val="00496083"/>
    <w:rsid w:val="004966E7"/>
    <w:rsid w:val="0049674E"/>
    <w:rsid w:val="004967D3"/>
    <w:rsid w:val="004967DD"/>
    <w:rsid w:val="0049690C"/>
    <w:rsid w:val="00496C38"/>
    <w:rsid w:val="00496C50"/>
    <w:rsid w:val="00496CBB"/>
    <w:rsid w:val="00497265"/>
    <w:rsid w:val="00497329"/>
    <w:rsid w:val="004975B1"/>
    <w:rsid w:val="00497670"/>
    <w:rsid w:val="00497E18"/>
    <w:rsid w:val="00497E80"/>
    <w:rsid w:val="00497E83"/>
    <w:rsid w:val="004A028D"/>
    <w:rsid w:val="004A03F2"/>
    <w:rsid w:val="004A0A98"/>
    <w:rsid w:val="004A0C6C"/>
    <w:rsid w:val="004A0FD9"/>
    <w:rsid w:val="004A120C"/>
    <w:rsid w:val="004A1321"/>
    <w:rsid w:val="004A1473"/>
    <w:rsid w:val="004A156E"/>
    <w:rsid w:val="004A15E1"/>
    <w:rsid w:val="004A1716"/>
    <w:rsid w:val="004A1BA8"/>
    <w:rsid w:val="004A2969"/>
    <w:rsid w:val="004A2BB1"/>
    <w:rsid w:val="004A2BD8"/>
    <w:rsid w:val="004A2E7E"/>
    <w:rsid w:val="004A3364"/>
    <w:rsid w:val="004A3957"/>
    <w:rsid w:val="004A3AE2"/>
    <w:rsid w:val="004A3DDC"/>
    <w:rsid w:val="004A44FB"/>
    <w:rsid w:val="004A4CA9"/>
    <w:rsid w:val="004A4E02"/>
    <w:rsid w:val="004A4ED7"/>
    <w:rsid w:val="004A5132"/>
    <w:rsid w:val="004A513E"/>
    <w:rsid w:val="004A516F"/>
    <w:rsid w:val="004A5A0B"/>
    <w:rsid w:val="004A5B70"/>
    <w:rsid w:val="004A6021"/>
    <w:rsid w:val="004A63DA"/>
    <w:rsid w:val="004A648D"/>
    <w:rsid w:val="004A67EB"/>
    <w:rsid w:val="004A684B"/>
    <w:rsid w:val="004A6A00"/>
    <w:rsid w:val="004A6E87"/>
    <w:rsid w:val="004A72CB"/>
    <w:rsid w:val="004A75BD"/>
    <w:rsid w:val="004A76DE"/>
    <w:rsid w:val="004A7AB6"/>
    <w:rsid w:val="004A7ED3"/>
    <w:rsid w:val="004A7F15"/>
    <w:rsid w:val="004B0087"/>
    <w:rsid w:val="004B02BC"/>
    <w:rsid w:val="004B05C1"/>
    <w:rsid w:val="004B0D18"/>
    <w:rsid w:val="004B0FAF"/>
    <w:rsid w:val="004B13DF"/>
    <w:rsid w:val="004B187E"/>
    <w:rsid w:val="004B257D"/>
    <w:rsid w:val="004B2A51"/>
    <w:rsid w:val="004B2D3C"/>
    <w:rsid w:val="004B2EB8"/>
    <w:rsid w:val="004B3692"/>
    <w:rsid w:val="004B373C"/>
    <w:rsid w:val="004B37CA"/>
    <w:rsid w:val="004B37F1"/>
    <w:rsid w:val="004B3AA5"/>
    <w:rsid w:val="004B3B4B"/>
    <w:rsid w:val="004B40DF"/>
    <w:rsid w:val="004B4206"/>
    <w:rsid w:val="004B43FD"/>
    <w:rsid w:val="004B4794"/>
    <w:rsid w:val="004B4B9B"/>
    <w:rsid w:val="004B4CE8"/>
    <w:rsid w:val="004B4ECF"/>
    <w:rsid w:val="004B501C"/>
    <w:rsid w:val="004B5483"/>
    <w:rsid w:val="004B5699"/>
    <w:rsid w:val="004B598A"/>
    <w:rsid w:val="004B5B1F"/>
    <w:rsid w:val="004B5FD0"/>
    <w:rsid w:val="004B618A"/>
    <w:rsid w:val="004B64BA"/>
    <w:rsid w:val="004B6B28"/>
    <w:rsid w:val="004B6F51"/>
    <w:rsid w:val="004B6FF7"/>
    <w:rsid w:val="004B70B2"/>
    <w:rsid w:val="004B71AF"/>
    <w:rsid w:val="004B7260"/>
    <w:rsid w:val="004B734A"/>
    <w:rsid w:val="004B7576"/>
    <w:rsid w:val="004B75A7"/>
    <w:rsid w:val="004C01E6"/>
    <w:rsid w:val="004C0213"/>
    <w:rsid w:val="004C0225"/>
    <w:rsid w:val="004C0263"/>
    <w:rsid w:val="004C03E3"/>
    <w:rsid w:val="004C0401"/>
    <w:rsid w:val="004C057E"/>
    <w:rsid w:val="004C0625"/>
    <w:rsid w:val="004C07F7"/>
    <w:rsid w:val="004C0887"/>
    <w:rsid w:val="004C09CC"/>
    <w:rsid w:val="004C0BD1"/>
    <w:rsid w:val="004C0E51"/>
    <w:rsid w:val="004C0EF8"/>
    <w:rsid w:val="004C11EA"/>
    <w:rsid w:val="004C19E0"/>
    <w:rsid w:val="004C1B11"/>
    <w:rsid w:val="004C1B7F"/>
    <w:rsid w:val="004C1EE2"/>
    <w:rsid w:val="004C218F"/>
    <w:rsid w:val="004C2988"/>
    <w:rsid w:val="004C2A82"/>
    <w:rsid w:val="004C3088"/>
    <w:rsid w:val="004C30E5"/>
    <w:rsid w:val="004C3311"/>
    <w:rsid w:val="004C3732"/>
    <w:rsid w:val="004C3B4E"/>
    <w:rsid w:val="004C3CC1"/>
    <w:rsid w:val="004C3F77"/>
    <w:rsid w:val="004C40D6"/>
    <w:rsid w:val="004C4108"/>
    <w:rsid w:val="004C44B7"/>
    <w:rsid w:val="004C46CB"/>
    <w:rsid w:val="004C49A9"/>
    <w:rsid w:val="004C4DF4"/>
    <w:rsid w:val="004C4F92"/>
    <w:rsid w:val="004C50B2"/>
    <w:rsid w:val="004C531A"/>
    <w:rsid w:val="004C538C"/>
    <w:rsid w:val="004C54FB"/>
    <w:rsid w:val="004C5547"/>
    <w:rsid w:val="004C5625"/>
    <w:rsid w:val="004C5D6A"/>
    <w:rsid w:val="004C5D6B"/>
    <w:rsid w:val="004C5DF5"/>
    <w:rsid w:val="004C5F62"/>
    <w:rsid w:val="004C5FF7"/>
    <w:rsid w:val="004C60A7"/>
    <w:rsid w:val="004C60C5"/>
    <w:rsid w:val="004C65CD"/>
    <w:rsid w:val="004C6687"/>
    <w:rsid w:val="004C669A"/>
    <w:rsid w:val="004C67EF"/>
    <w:rsid w:val="004C77C4"/>
    <w:rsid w:val="004C7C0D"/>
    <w:rsid w:val="004C7E52"/>
    <w:rsid w:val="004D0055"/>
    <w:rsid w:val="004D0479"/>
    <w:rsid w:val="004D04D4"/>
    <w:rsid w:val="004D0739"/>
    <w:rsid w:val="004D08DB"/>
    <w:rsid w:val="004D08EA"/>
    <w:rsid w:val="004D0D95"/>
    <w:rsid w:val="004D0EB2"/>
    <w:rsid w:val="004D1866"/>
    <w:rsid w:val="004D1878"/>
    <w:rsid w:val="004D1989"/>
    <w:rsid w:val="004D213C"/>
    <w:rsid w:val="004D247A"/>
    <w:rsid w:val="004D2603"/>
    <w:rsid w:val="004D2684"/>
    <w:rsid w:val="004D26F2"/>
    <w:rsid w:val="004D27E2"/>
    <w:rsid w:val="004D2A96"/>
    <w:rsid w:val="004D2BFB"/>
    <w:rsid w:val="004D2C87"/>
    <w:rsid w:val="004D37BC"/>
    <w:rsid w:val="004D396B"/>
    <w:rsid w:val="004D3A11"/>
    <w:rsid w:val="004D3C40"/>
    <w:rsid w:val="004D3FAE"/>
    <w:rsid w:val="004D4041"/>
    <w:rsid w:val="004D40A4"/>
    <w:rsid w:val="004D4329"/>
    <w:rsid w:val="004D46B2"/>
    <w:rsid w:val="004D4834"/>
    <w:rsid w:val="004D4D44"/>
    <w:rsid w:val="004D5248"/>
    <w:rsid w:val="004D532F"/>
    <w:rsid w:val="004D5540"/>
    <w:rsid w:val="004D5586"/>
    <w:rsid w:val="004D5F73"/>
    <w:rsid w:val="004D5FA0"/>
    <w:rsid w:val="004D5FA2"/>
    <w:rsid w:val="004D6240"/>
    <w:rsid w:val="004D62F3"/>
    <w:rsid w:val="004D654A"/>
    <w:rsid w:val="004D6647"/>
    <w:rsid w:val="004D66AE"/>
    <w:rsid w:val="004D67C9"/>
    <w:rsid w:val="004D69D6"/>
    <w:rsid w:val="004D6AB6"/>
    <w:rsid w:val="004D743B"/>
    <w:rsid w:val="004D743D"/>
    <w:rsid w:val="004D74B1"/>
    <w:rsid w:val="004D77ED"/>
    <w:rsid w:val="004D78FE"/>
    <w:rsid w:val="004D7B08"/>
    <w:rsid w:val="004D7B52"/>
    <w:rsid w:val="004E03B2"/>
    <w:rsid w:val="004E03E6"/>
    <w:rsid w:val="004E03EE"/>
    <w:rsid w:val="004E09EC"/>
    <w:rsid w:val="004E11D6"/>
    <w:rsid w:val="004E1268"/>
    <w:rsid w:val="004E12CA"/>
    <w:rsid w:val="004E12FC"/>
    <w:rsid w:val="004E1C38"/>
    <w:rsid w:val="004E1C6F"/>
    <w:rsid w:val="004E1CDA"/>
    <w:rsid w:val="004E1D9F"/>
    <w:rsid w:val="004E1E99"/>
    <w:rsid w:val="004E205D"/>
    <w:rsid w:val="004E23C1"/>
    <w:rsid w:val="004E2CA6"/>
    <w:rsid w:val="004E2E8D"/>
    <w:rsid w:val="004E32F5"/>
    <w:rsid w:val="004E388D"/>
    <w:rsid w:val="004E38BC"/>
    <w:rsid w:val="004E40BA"/>
    <w:rsid w:val="004E41C2"/>
    <w:rsid w:val="004E4513"/>
    <w:rsid w:val="004E4A39"/>
    <w:rsid w:val="004E4BC8"/>
    <w:rsid w:val="004E4C2B"/>
    <w:rsid w:val="004E4EA3"/>
    <w:rsid w:val="004E50A3"/>
    <w:rsid w:val="004E5529"/>
    <w:rsid w:val="004E5A18"/>
    <w:rsid w:val="004E5F67"/>
    <w:rsid w:val="004E5F9C"/>
    <w:rsid w:val="004E61DF"/>
    <w:rsid w:val="004E639D"/>
    <w:rsid w:val="004E6C3B"/>
    <w:rsid w:val="004E6D16"/>
    <w:rsid w:val="004E713E"/>
    <w:rsid w:val="004E73C0"/>
    <w:rsid w:val="004E740F"/>
    <w:rsid w:val="004E7444"/>
    <w:rsid w:val="004E7482"/>
    <w:rsid w:val="004E7502"/>
    <w:rsid w:val="004E759A"/>
    <w:rsid w:val="004E7949"/>
    <w:rsid w:val="004E799F"/>
    <w:rsid w:val="004E7B5A"/>
    <w:rsid w:val="004E7FEC"/>
    <w:rsid w:val="004F01FA"/>
    <w:rsid w:val="004F0271"/>
    <w:rsid w:val="004F0293"/>
    <w:rsid w:val="004F02F0"/>
    <w:rsid w:val="004F048A"/>
    <w:rsid w:val="004F0500"/>
    <w:rsid w:val="004F0518"/>
    <w:rsid w:val="004F0805"/>
    <w:rsid w:val="004F0A83"/>
    <w:rsid w:val="004F0C60"/>
    <w:rsid w:val="004F1ADC"/>
    <w:rsid w:val="004F2079"/>
    <w:rsid w:val="004F21D1"/>
    <w:rsid w:val="004F2208"/>
    <w:rsid w:val="004F2512"/>
    <w:rsid w:val="004F259E"/>
    <w:rsid w:val="004F2891"/>
    <w:rsid w:val="004F28C3"/>
    <w:rsid w:val="004F2DCD"/>
    <w:rsid w:val="004F2FE6"/>
    <w:rsid w:val="004F33FB"/>
    <w:rsid w:val="004F3432"/>
    <w:rsid w:val="004F395A"/>
    <w:rsid w:val="004F39B5"/>
    <w:rsid w:val="004F3CDE"/>
    <w:rsid w:val="004F4132"/>
    <w:rsid w:val="004F41C2"/>
    <w:rsid w:val="004F441D"/>
    <w:rsid w:val="004F4580"/>
    <w:rsid w:val="004F4834"/>
    <w:rsid w:val="004F48AB"/>
    <w:rsid w:val="004F4B72"/>
    <w:rsid w:val="004F4C2F"/>
    <w:rsid w:val="004F5161"/>
    <w:rsid w:val="004F5471"/>
    <w:rsid w:val="004F567F"/>
    <w:rsid w:val="004F59EC"/>
    <w:rsid w:val="004F5CAD"/>
    <w:rsid w:val="004F5E92"/>
    <w:rsid w:val="004F617D"/>
    <w:rsid w:val="004F62F6"/>
    <w:rsid w:val="004F6643"/>
    <w:rsid w:val="004F67F1"/>
    <w:rsid w:val="004F6975"/>
    <w:rsid w:val="004F6CE4"/>
    <w:rsid w:val="004F6D17"/>
    <w:rsid w:val="004F6E56"/>
    <w:rsid w:val="004F7398"/>
    <w:rsid w:val="004F76AC"/>
    <w:rsid w:val="004F7745"/>
    <w:rsid w:val="004F779A"/>
    <w:rsid w:val="004F7BBD"/>
    <w:rsid w:val="004F7DE2"/>
    <w:rsid w:val="0050004C"/>
    <w:rsid w:val="00500554"/>
    <w:rsid w:val="00500824"/>
    <w:rsid w:val="00500AAC"/>
    <w:rsid w:val="00500B0B"/>
    <w:rsid w:val="00500B4B"/>
    <w:rsid w:val="00500D9D"/>
    <w:rsid w:val="00500F37"/>
    <w:rsid w:val="00501304"/>
    <w:rsid w:val="00501936"/>
    <w:rsid w:val="00501938"/>
    <w:rsid w:val="005019AB"/>
    <w:rsid w:val="00501DE5"/>
    <w:rsid w:val="00502500"/>
    <w:rsid w:val="0050253A"/>
    <w:rsid w:val="0050254D"/>
    <w:rsid w:val="00502D87"/>
    <w:rsid w:val="005035BA"/>
    <w:rsid w:val="005036C8"/>
    <w:rsid w:val="00503EC5"/>
    <w:rsid w:val="005049A0"/>
    <w:rsid w:val="00504ACD"/>
    <w:rsid w:val="00504F1E"/>
    <w:rsid w:val="00504FDB"/>
    <w:rsid w:val="00505038"/>
    <w:rsid w:val="005051DE"/>
    <w:rsid w:val="00505518"/>
    <w:rsid w:val="00505B9B"/>
    <w:rsid w:val="00505DDB"/>
    <w:rsid w:val="00505E0E"/>
    <w:rsid w:val="00506569"/>
    <w:rsid w:val="005065BD"/>
    <w:rsid w:val="0050666D"/>
    <w:rsid w:val="00506730"/>
    <w:rsid w:val="00506EBE"/>
    <w:rsid w:val="005072A3"/>
    <w:rsid w:val="00507369"/>
    <w:rsid w:val="0050749D"/>
    <w:rsid w:val="005075D3"/>
    <w:rsid w:val="00507617"/>
    <w:rsid w:val="00507877"/>
    <w:rsid w:val="00507A67"/>
    <w:rsid w:val="00507B82"/>
    <w:rsid w:val="00507EAD"/>
    <w:rsid w:val="0051010D"/>
    <w:rsid w:val="005104EF"/>
    <w:rsid w:val="005106C4"/>
    <w:rsid w:val="00510CE5"/>
    <w:rsid w:val="00510E85"/>
    <w:rsid w:val="00510ECA"/>
    <w:rsid w:val="005115A0"/>
    <w:rsid w:val="00511A09"/>
    <w:rsid w:val="00511BAB"/>
    <w:rsid w:val="00511D44"/>
    <w:rsid w:val="005121EB"/>
    <w:rsid w:val="0051227C"/>
    <w:rsid w:val="0051250C"/>
    <w:rsid w:val="005126E8"/>
    <w:rsid w:val="00512754"/>
    <w:rsid w:val="005127A4"/>
    <w:rsid w:val="00512992"/>
    <w:rsid w:val="00512A7E"/>
    <w:rsid w:val="005132A8"/>
    <w:rsid w:val="005133E3"/>
    <w:rsid w:val="005137D7"/>
    <w:rsid w:val="00513904"/>
    <w:rsid w:val="00513D1D"/>
    <w:rsid w:val="00513DC1"/>
    <w:rsid w:val="00513EE1"/>
    <w:rsid w:val="00514003"/>
    <w:rsid w:val="00514203"/>
    <w:rsid w:val="00514519"/>
    <w:rsid w:val="005145D1"/>
    <w:rsid w:val="00514DFD"/>
    <w:rsid w:val="00514E62"/>
    <w:rsid w:val="0051560E"/>
    <w:rsid w:val="005157A2"/>
    <w:rsid w:val="005157FA"/>
    <w:rsid w:val="005158AA"/>
    <w:rsid w:val="00515D19"/>
    <w:rsid w:val="005164D5"/>
    <w:rsid w:val="005166A1"/>
    <w:rsid w:val="0051679F"/>
    <w:rsid w:val="00516963"/>
    <w:rsid w:val="00516FBE"/>
    <w:rsid w:val="00517020"/>
    <w:rsid w:val="00517204"/>
    <w:rsid w:val="005173E5"/>
    <w:rsid w:val="0051764E"/>
    <w:rsid w:val="0051766E"/>
    <w:rsid w:val="00517742"/>
    <w:rsid w:val="0051788C"/>
    <w:rsid w:val="00517D80"/>
    <w:rsid w:val="00517E6A"/>
    <w:rsid w:val="005200F4"/>
    <w:rsid w:val="00520B51"/>
    <w:rsid w:val="00520C0B"/>
    <w:rsid w:val="00520C5A"/>
    <w:rsid w:val="00520D5A"/>
    <w:rsid w:val="00520DD5"/>
    <w:rsid w:val="005213A5"/>
    <w:rsid w:val="005213B3"/>
    <w:rsid w:val="00521562"/>
    <w:rsid w:val="0052167D"/>
    <w:rsid w:val="0052168E"/>
    <w:rsid w:val="005216FC"/>
    <w:rsid w:val="00521A21"/>
    <w:rsid w:val="00521BEE"/>
    <w:rsid w:val="00521F17"/>
    <w:rsid w:val="00521F72"/>
    <w:rsid w:val="00521F76"/>
    <w:rsid w:val="0052223B"/>
    <w:rsid w:val="00522395"/>
    <w:rsid w:val="005223F6"/>
    <w:rsid w:val="0052264A"/>
    <w:rsid w:val="0052273D"/>
    <w:rsid w:val="00522764"/>
    <w:rsid w:val="0052288C"/>
    <w:rsid w:val="005228FB"/>
    <w:rsid w:val="0052292B"/>
    <w:rsid w:val="00522FBD"/>
    <w:rsid w:val="00523216"/>
    <w:rsid w:val="00523344"/>
    <w:rsid w:val="0052366B"/>
    <w:rsid w:val="00523C79"/>
    <w:rsid w:val="00523FAB"/>
    <w:rsid w:val="005245EF"/>
    <w:rsid w:val="00524B34"/>
    <w:rsid w:val="00524CFC"/>
    <w:rsid w:val="00524EC6"/>
    <w:rsid w:val="00524ECC"/>
    <w:rsid w:val="005250F6"/>
    <w:rsid w:val="0052511A"/>
    <w:rsid w:val="00525268"/>
    <w:rsid w:val="00525390"/>
    <w:rsid w:val="005257DB"/>
    <w:rsid w:val="005258F1"/>
    <w:rsid w:val="00525C89"/>
    <w:rsid w:val="00525DA7"/>
    <w:rsid w:val="00525FDF"/>
    <w:rsid w:val="005267C0"/>
    <w:rsid w:val="00526A7B"/>
    <w:rsid w:val="00526D05"/>
    <w:rsid w:val="00526D7B"/>
    <w:rsid w:val="00526E6F"/>
    <w:rsid w:val="00527533"/>
    <w:rsid w:val="005275ED"/>
    <w:rsid w:val="00527828"/>
    <w:rsid w:val="00527863"/>
    <w:rsid w:val="00527A15"/>
    <w:rsid w:val="00527C90"/>
    <w:rsid w:val="00527D04"/>
    <w:rsid w:val="00527EED"/>
    <w:rsid w:val="00530135"/>
    <w:rsid w:val="0053032B"/>
    <w:rsid w:val="00530A1F"/>
    <w:rsid w:val="00530D2E"/>
    <w:rsid w:val="00530FCA"/>
    <w:rsid w:val="005310B8"/>
    <w:rsid w:val="005310DF"/>
    <w:rsid w:val="005311DE"/>
    <w:rsid w:val="00531505"/>
    <w:rsid w:val="00531626"/>
    <w:rsid w:val="00531642"/>
    <w:rsid w:val="00531651"/>
    <w:rsid w:val="00531AA5"/>
    <w:rsid w:val="00531AB0"/>
    <w:rsid w:val="00531C58"/>
    <w:rsid w:val="00531DFC"/>
    <w:rsid w:val="005320DB"/>
    <w:rsid w:val="0053235F"/>
    <w:rsid w:val="005323BA"/>
    <w:rsid w:val="00532EE9"/>
    <w:rsid w:val="00533186"/>
    <w:rsid w:val="005331B5"/>
    <w:rsid w:val="00533D5B"/>
    <w:rsid w:val="00533E3C"/>
    <w:rsid w:val="005341ED"/>
    <w:rsid w:val="00534304"/>
    <w:rsid w:val="005343B8"/>
    <w:rsid w:val="00534C1B"/>
    <w:rsid w:val="005352A3"/>
    <w:rsid w:val="00535377"/>
    <w:rsid w:val="005355F3"/>
    <w:rsid w:val="00535851"/>
    <w:rsid w:val="00535AB7"/>
    <w:rsid w:val="00535FF5"/>
    <w:rsid w:val="00536641"/>
    <w:rsid w:val="0053665F"/>
    <w:rsid w:val="00536920"/>
    <w:rsid w:val="00536D16"/>
    <w:rsid w:val="00536D4F"/>
    <w:rsid w:val="00537183"/>
    <w:rsid w:val="00537865"/>
    <w:rsid w:val="0053786F"/>
    <w:rsid w:val="00537950"/>
    <w:rsid w:val="00540032"/>
    <w:rsid w:val="00540205"/>
    <w:rsid w:val="00540635"/>
    <w:rsid w:val="00540980"/>
    <w:rsid w:val="005409AA"/>
    <w:rsid w:val="005409F8"/>
    <w:rsid w:val="00541102"/>
    <w:rsid w:val="005412CF"/>
    <w:rsid w:val="0054139B"/>
    <w:rsid w:val="00541E31"/>
    <w:rsid w:val="005420EC"/>
    <w:rsid w:val="00542208"/>
    <w:rsid w:val="0054269B"/>
    <w:rsid w:val="00542854"/>
    <w:rsid w:val="00542912"/>
    <w:rsid w:val="00542E21"/>
    <w:rsid w:val="005432A3"/>
    <w:rsid w:val="00543320"/>
    <w:rsid w:val="00543724"/>
    <w:rsid w:val="00543939"/>
    <w:rsid w:val="0054454B"/>
    <w:rsid w:val="00544633"/>
    <w:rsid w:val="00544A00"/>
    <w:rsid w:val="00544E2B"/>
    <w:rsid w:val="00544F61"/>
    <w:rsid w:val="00545404"/>
    <w:rsid w:val="0054545D"/>
    <w:rsid w:val="00545791"/>
    <w:rsid w:val="005457CE"/>
    <w:rsid w:val="00545814"/>
    <w:rsid w:val="0054594F"/>
    <w:rsid w:val="00545BBC"/>
    <w:rsid w:val="0054606A"/>
    <w:rsid w:val="0054626E"/>
    <w:rsid w:val="005463FA"/>
    <w:rsid w:val="00546731"/>
    <w:rsid w:val="0054678A"/>
    <w:rsid w:val="00546904"/>
    <w:rsid w:val="0054693E"/>
    <w:rsid w:val="00546BF1"/>
    <w:rsid w:val="005472E2"/>
    <w:rsid w:val="0054745C"/>
    <w:rsid w:val="00547476"/>
    <w:rsid w:val="005478B6"/>
    <w:rsid w:val="005478F4"/>
    <w:rsid w:val="0054798B"/>
    <w:rsid w:val="00547B43"/>
    <w:rsid w:val="00547DEA"/>
    <w:rsid w:val="00547EB5"/>
    <w:rsid w:val="0055026A"/>
    <w:rsid w:val="0055026B"/>
    <w:rsid w:val="005502FA"/>
    <w:rsid w:val="005508A2"/>
    <w:rsid w:val="00550D25"/>
    <w:rsid w:val="00550D7C"/>
    <w:rsid w:val="00550F43"/>
    <w:rsid w:val="00550F71"/>
    <w:rsid w:val="00551004"/>
    <w:rsid w:val="005511F7"/>
    <w:rsid w:val="00551786"/>
    <w:rsid w:val="00551828"/>
    <w:rsid w:val="005518B6"/>
    <w:rsid w:val="005519FF"/>
    <w:rsid w:val="00551E06"/>
    <w:rsid w:val="00551EA0"/>
    <w:rsid w:val="00551FA5"/>
    <w:rsid w:val="0055200C"/>
    <w:rsid w:val="005521E8"/>
    <w:rsid w:val="00552B39"/>
    <w:rsid w:val="00552BBF"/>
    <w:rsid w:val="00553172"/>
    <w:rsid w:val="00553201"/>
    <w:rsid w:val="00553413"/>
    <w:rsid w:val="005535AB"/>
    <w:rsid w:val="005535C9"/>
    <w:rsid w:val="00553BB2"/>
    <w:rsid w:val="00553BB3"/>
    <w:rsid w:val="00554121"/>
    <w:rsid w:val="005544EC"/>
    <w:rsid w:val="00554648"/>
    <w:rsid w:val="005547AE"/>
    <w:rsid w:val="00554949"/>
    <w:rsid w:val="0055498D"/>
    <w:rsid w:val="005549C1"/>
    <w:rsid w:val="00554B28"/>
    <w:rsid w:val="00554F57"/>
    <w:rsid w:val="00555007"/>
    <w:rsid w:val="0055500E"/>
    <w:rsid w:val="00555128"/>
    <w:rsid w:val="005551BF"/>
    <w:rsid w:val="005552C6"/>
    <w:rsid w:val="005555E7"/>
    <w:rsid w:val="00555720"/>
    <w:rsid w:val="005559F1"/>
    <w:rsid w:val="00555AB1"/>
    <w:rsid w:val="00555B59"/>
    <w:rsid w:val="00555F74"/>
    <w:rsid w:val="005566AF"/>
    <w:rsid w:val="00556BE3"/>
    <w:rsid w:val="00556CB8"/>
    <w:rsid w:val="00556DCC"/>
    <w:rsid w:val="005570A5"/>
    <w:rsid w:val="005570C8"/>
    <w:rsid w:val="005571C4"/>
    <w:rsid w:val="005576A4"/>
    <w:rsid w:val="005576E4"/>
    <w:rsid w:val="005579CE"/>
    <w:rsid w:val="00557ABD"/>
    <w:rsid w:val="00557BDD"/>
    <w:rsid w:val="00557C25"/>
    <w:rsid w:val="005605A1"/>
    <w:rsid w:val="00560643"/>
    <w:rsid w:val="00560BCD"/>
    <w:rsid w:val="0056146C"/>
    <w:rsid w:val="0056155D"/>
    <w:rsid w:val="005617B1"/>
    <w:rsid w:val="005619F8"/>
    <w:rsid w:val="00561ACA"/>
    <w:rsid w:val="00561D94"/>
    <w:rsid w:val="005621ED"/>
    <w:rsid w:val="00562796"/>
    <w:rsid w:val="0056288E"/>
    <w:rsid w:val="00562AAD"/>
    <w:rsid w:val="00562DEE"/>
    <w:rsid w:val="0056331A"/>
    <w:rsid w:val="00563470"/>
    <w:rsid w:val="00563993"/>
    <w:rsid w:val="00563A86"/>
    <w:rsid w:val="00563BD8"/>
    <w:rsid w:val="005640B5"/>
    <w:rsid w:val="00564181"/>
    <w:rsid w:val="0056421F"/>
    <w:rsid w:val="00564636"/>
    <w:rsid w:val="00564C68"/>
    <w:rsid w:val="00565210"/>
    <w:rsid w:val="00565402"/>
    <w:rsid w:val="00565581"/>
    <w:rsid w:val="005656E3"/>
    <w:rsid w:val="00565A8A"/>
    <w:rsid w:val="00565C27"/>
    <w:rsid w:val="00565C5D"/>
    <w:rsid w:val="00565FD0"/>
    <w:rsid w:val="00566E85"/>
    <w:rsid w:val="00566E94"/>
    <w:rsid w:val="00566F12"/>
    <w:rsid w:val="0056715F"/>
    <w:rsid w:val="0056766D"/>
    <w:rsid w:val="00567990"/>
    <w:rsid w:val="00567B12"/>
    <w:rsid w:val="00567B50"/>
    <w:rsid w:val="00567E77"/>
    <w:rsid w:val="00570246"/>
    <w:rsid w:val="005703AD"/>
    <w:rsid w:val="005703AF"/>
    <w:rsid w:val="005705AB"/>
    <w:rsid w:val="005706C1"/>
    <w:rsid w:val="00570876"/>
    <w:rsid w:val="00570A50"/>
    <w:rsid w:val="00570CAC"/>
    <w:rsid w:val="005710B9"/>
    <w:rsid w:val="0057142E"/>
    <w:rsid w:val="00571960"/>
    <w:rsid w:val="00571DAF"/>
    <w:rsid w:val="00571EAC"/>
    <w:rsid w:val="00571EDB"/>
    <w:rsid w:val="00571EEE"/>
    <w:rsid w:val="00572254"/>
    <w:rsid w:val="00572319"/>
    <w:rsid w:val="00572394"/>
    <w:rsid w:val="00572602"/>
    <w:rsid w:val="0057298D"/>
    <w:rsid w:val="00572C76"/>
    <w:rsid w:val="0057341C"/>
    <w:rsid w:val="005734A4"/>
    <w:rsid w:val="00573952"/>
    <w:rsid w:val="00573B28"/>
    <w:rsid w:val="00573C97"/>
    <w:rsid w:val="00573CAD"/>
    <w:rsid w:val="00573CE8"/>
    <w:rsid w:val="00573D24"/>
    <w:rsid w:val="00573D78"/>
    <w:rsid w:val="00573F73"/>
    <w:rsid w:val="00574422"/>
    <w:rsid w:val="00574D3B"/>
    <w:rsid w:val="00574DFF"/>
    <w:rsid w:val="005755A9"/>
    <w:rsid w:val="005758BB"/>
    <w:rsid w:val="00575AB4"/>
    <w:rsid w:val="00575F12"/>
    <w:rsid w:val="0057602C"/>
    <w:rsid w:val="00576E19"/>
    <w:rsid w:val="00576EE9"/>
    <w:rsid w:val="00577070"/>
    <w:rsid w:val="005772F4"/>
    <w:rsid w:val="005774E3"/>
    <w:rsid w:val="005774EA"/>
    <w:rsid w:val="005775C0"/>
    <w:rsid w:val="00577898"/>
    <w:rsid w:val="005779E3"/>
    <w:rsid w:val="00577F47"/>
    <w:rsid w:val="00580300"/>
    <w:rsid w:val="005804B1"/>
    <w:rsid w:val="005808E3"/>
    <w:rsid w:val="00581189"/>
    <w:rsid w:val="005811C7"/>
    <w:rsid w:val="00582731"/>
    <w:rsid w:val="00582776"/>
    <w:rsid w:val="005827A3"/>
    <w:rsid w:val="00582A88"/>
    <w:rsid w:val="00582B62"/>
    <w:rsid w:val="00582CA8"/>
    <w:rsid w:val="00583149"/>
    <w:rsid w:val="00583519"/>
    <w:rsid w:val="00583753"/>
    <w:rsid w:val="00583903"/>
    <w:rsid w:val="00583ABE"/>
    <w:rsid w:val="00583D73"/>
    <w:rsid w:val="00584040"/>
    <w:rsid w:val="0058408F"/>
    <w:rsid w:val="00584308"/>
    <w:rsid w:val="00584387"/>
    <w:rsid w:val="005843A9"/>
    <w:rsid w:val="00584CEA"/>
    <w:rsid w:val="00584CF2"/>
    <w:rsid w:val="00584FC6"/>
    <w:rsid w:val="0058541F"/>
    <w:rsid w:val="005854FC"/>
    <w:rsid w:val="0058571B"/>
    <w:rsid w:val="0058578B"/>
    <w:rsid w:val="005859AF"/>
    <w:rsid w:val="00585B57"/>
    <w:rsid w:val="00585B90"/>
    <w:rsid w:val="00585BD7"/>
    <w:rsid w:val="00585CF7"/>
    <w:rsid w:val="00585EAE"/>
    <w:rsid w:val="00586A7B"/>
    <w:rsid w:val="00586B7A"/>
    <w:rsid w:val="00586CE2"/>
    <w:rsid w:val="00586D3F"/>
    <w:rsid w:val="00586D54"/>
    <w:rsid w:val="00586E2E"/>
    <w:rsid w:val="005872CE"/>
    <w:rsid w:val="00587527"/>
    <w:rsid w:val="00587763"/>
    <w:rsid w:val="005877B8"/>
    <w:rsid w:val="00587A05"/>
    <w:rsid w:val="00587C9E"/>
    <w:rsid w:val="00587FC6"/>
    <w:rsid w:val="00590172"/>
    <w:rsid w:val="00590339"/>
    <w:rsid w:val="005903B6"/>
    <w:rsid w:val="005903C0"/>
    <w:rsid w:val="00590438"/>
    <w:rsid w:val="005906EA"/>
    <w:rsid w:val="00591136"/>
    <w:rsid w:val="00591A1F"/>
    <w:rsid w:val="00591BD1"/>
    <w:rsid w:val="00591FCD"/>
    <w:rsid w:val="00592083"/>
    <w:rsid w:val="005920F7"/>
    <w:rsid w:val="005925D5"/>
    <w:rsid w:val="005927A9"/>
    <w:rsid w:val="00592812"/>
    <w:rsid w:val="005933A0"/>
    <w:rsid w:val="00593410"/>
    <w:rsid w:val="00593439"/>
    <w:rsid w:val="00593525"/>
    <w:rsid w:val="0059370C"/>
    <w:rsid w:val="005937EE"/>
    <w:rsid w:val="005939C4"/>
    <w:rsid w:val="00593A2B"/>
    <w:rsid w:val="00593BA9"/>
    <w:rsid w:val="00593DCB"/>
    <w:rsid w:val="00593EAE"/>
    <w:rsid w:val="00593FCB"/>
    <w:rsid w:val="00594802"/>
    <w:rsid w:val="0059519D"/>
    <w:rsid w:val="00595B72"/>
    <w:rsid w:val="00595BA0"/>
    <w:rsid w:val="00595FBB"/>
    <w:rsid w:val="00596098"/>
    <w:rsid w:val="0059618E"/>
    <w:rsid w:val="00596210"/>
    <w:rsid w:val="0059627C"/>
    <w:rsid w:val="00596289"/>
    <w:rsid w:val="00596D13"/>
    <w:rsid w:val="00596D2A"/>
    <w:rsid w:val="00596ED2"/>
    <w:rsid w:val="00596F91"/>
    <w:rsid w:val="00597295"/>
    <w:rsid w:val="00597432"/>
    <w:rsid w:val="005976C6"/>
    <w:rsid w:val="00597BD8"/>
    <w:rsid w:val="00597BE9"/>
    <w:rsid w:val="005A01EF"/>
    <w:rsid w:val="005A0393"/>
    <w:rsid w:val="005A073D"/>
    <w:rsid w:val="005A0A54"/>
    <w:rsid w:val="005A0F74"/>
    <w:rsid w:val="005A10D1"/>
    <w:rsid w:val="005A111C"/>
    <w:rsid w:val="005A1505"/>
    <w:rsid w:val="005A156C"/>
    <w:rsid w:val="005A184A"/>
    <w:rsid w:val="005A1B7E"/>
    <w:rsid w:val="005A1BF9"/>
    <w:rsid w:val="005A1BFF"/>
    <w:rsid w:val="005A1C61"/>
    <w:rsid w:val="005A20EC"/>
    <w:rsid w:val="005A212D"/>
    <w:rsid w:val="005A26DD"/>
    <w:rsid w:val="005A2796"/>
    <w:rsid w:val="005A29AE"/>
    <w:rsid w:val="005A2A02"/>
    <w:rsid w:val="005A2E27"/>
    <w:rsid w:val="005A36CF"/>
    <w:rsid w:val="005A38F6"/>
    <w:rsid w:val="005A3944"/>
    <w:rsid w:val="005A3970"/>
    <w:rsid w:val="005A3C46"/>
    <w:rsid w:val="005A4429"/>
    <w:rsid w:val="005A4AA4"/>
    <w:rsid w:val="005A4B2A"/>
    <w:rsid w:val="005A5AE7"/>
    <w:rsid w:val="005A5DB8"/>
    <w:rsid w:val="005A5F18"/>
    <w:rsid w:val="005A6034"/>
    <w:rsid w:val="005A61C5"/>
    <w:rsid w:val="005A6238"/>
    <w:rsid w:val="005A6564"/>
    <w:rsid w:val="005A65A8"/>
    <w:rsid w:val="005A67AC"/>
    <w:rsid w:val="005A684A"/>
    <w:rsid w:val="005A6A69"/>
    <w:rsid w:val="005A6B7A"/>
    <w:rsid w:val="005A6D03"/>
    <w:rsid w:val="005A6F08"/>
    <w:rsid w:val="005A70BC"/>
    <w:rsid w:val="005A722A"/>
    <w:rsid w:val="005A7CD5"/>
    <w:rsid w:val="005A7E6D"/>
    <w:rsid w:val="005A7F3A"/>
    <w:rsid w:val="005B0230"/>
    <w:rsid w:val="005B02DC"/>
    <w:rsid w:val="005B0714"/>
    <w:rsid w:val="005B072C"/>
    <w:rsid w:val="005B0AB3"/>
    <w:rsid w:val="005B0C31"/>
    <w:rsid w:val="005B0CD1"/>
    <w:rsid w:val="005B118E"/>
    <w:rsid w:val="005B1236"/>
    <w:rsid w:val="005B1301"/>
    <w:rsid w:val="005B140F"/>
    <w:rsid w:val="005B1A2B"/>
    <w:rsid w:val="005B1AD0"/>
    <w:rsid w:val="005B2239"/>
    <w:rsid w:val="005B2E47"/>
    <w:rsid w:val="005B2F78"/>
    <w:rsid w:val="005B35D1"/>
    <w:rsid w:val="005B3BBE"/>
    <w:rsid w:val="005B3D16"/>
    <w:rsid w:val="005B3D17"/>
    <w:rsid w:val="005B3E0B"/>
    <w:rsid w:val="005B446D"/>
    <w:rsid w:val="005B4568"/>
    <w:rsid w:val="005B473F"/>
    <w:rsid w:val="005B4A70"/>
    <w:rsid w:val="005B4F05"/>
    <w:rsid w:val="005B4F6A"/>
    <w:rsid w:val="005B51A4"/>
    <w:rsid w:val="005B5504"/>
    <w:rsid w:val="005B58E2"/>
    <w:rsid w:val="005B5A15"/>
    <w:rsid w:val="005B5A72"/>
    <w:rsid w:val="005B5CA3"/>
    <w:rsid w:val="005B5CD8"/>
    <w:rsid w:val="005B6318"/>
    <w:rsid w:val="005B642B"/>
    <w:rsid w:val="005B6585"/>
    <w:rsid w:val="005B67F9"/>
    <w:rsid w:val="005B6904"/>
    <w:rsid w:val="005B6908"/>
    <w:rsid w:val="005B6CEB"/>
    <w:rsid w:val="005B6E13"/>
    <w:rsid w:val="005B6EDF"/>
    <w:rsid w:val="005B6F5C"/>
    <w:rsid w:val="005B70E2"/>
    <w:rsid w:val="005B7555"/>
    <w:rsid w:val="005B7711"/>
    <w:rsid w:val="005B77F9"/>
    <w:rsid w:val="005B7C6F"/>
    <w:rsid w:val="005C026A"/>
    <w:rsid w:val="005C02C6"/>
    <w:rsid w:val="005C0634"/>
    <w:rsid w:val="005C06F8"/>
    <w:rsid w:val="005C0936"/>
    <w:rsid w:val="005C10E3"/>
    <w:rsid w:val="005C13A0"/>
    <w:rsid w:val="005C1675"/>
    <w:rsid w:val="005C189C"/>
    <w:rsid w:val="005C1A5B"/>
    <w:rsid w:val="005C1B02"/>
    <w:rsid w:val="005C1DA3"/>
    <w:rsid w:val="005C1E53"/>
    <w:rsid w:val="005C1E7B"/>
    <w:rsid w:val="005C23A3"/>
    <w:rsid w:val="005C2915"/>
    <w:rsid w:val="005C2A75"/>
    <w:rsid w:val="005C2B9F"/>
    <w:rsid w:val="005C2DE2"/>
    <w:rsid w:val="005C3084"/>
    <w:rsid w:val="005C320F"/>
    <w:rsid w:val="005C3213"/>
    <w:rsid w:val="005C33C9"/>
    <w:rsid w:val="005C3478"/>
    <w:rsid w:val="005C35C4"/>
    <w:rsid w:val="005C38B5"/>
    <w:rsid w:val="005C39A9"/>
    <w:rsid w:val="005C3DF4"/>
    <w:rsid w:val="005C3E55"/>
    <w:rsid w:val="005C43E4"/>
    <w:rsid w:val="005C47DF"/>
    <w:rsid w:val="005C4822"/>
    <w:rsid w:val="005C5882"/>
    <w:rsid w:val="005C5C0B"/>
    <w:rsid w:val="005C5C64"/>
    <w:rsid w:val="005C5D2E"/>
    <w:rsid w:val="005C5F39"/>
    <w:rsid w:val="005C626A"/>
    <w:rsid w:val="005C63D8"/>
    <w:rsid w:val="005C63EA"/>
    <w:rsid w:val="005C6633"/>
    <w:rsid w:val="005C6AD6"/>
    <w:rsid w:val="005C6B23"/>
    <w:rsid w:val="005C6B4C"/>
    <w:rsid w:val="005C6D44"/>
    <w:rsid w:val="005C713E"/>
    <w:rsid w:val="005C7168"/>
    <w:rsid w:val="005C7419"/>
    <w:rsid w:val="005C76D1"/>
    <w:rsid w:val="005C78C5"/>
    <w:rsid w:val="005C7908"/>
    <w:rsid w:val="005C7B45"/>
    <w:rsid w:val="005C7DE6"/>
    <w:rsid w:val="005D0176"/>
    <w:rsid w:val="005D0203"/>
    <w:rsid w:val="005D0373"/>
    <w:rsid w:val="005D0619"/>
    <w:rsid w:val="005D0682"/>
    <w:rsid w:val="005D0B83"/>
    <w:rsid w:val="005D114A"/>
    <w:rsid w:val="005D15A7"/>
    <w:rsid w:val="005D1D77"/>
    <w:rsid w:val="005D1FEA"/>
    <w:rsid w:val="005D21C9"/>
    <w:rsid w:val="005D238A"/>
    <w:rsid w:val="005D245C"/>
    <w:rsid w:val="005D248D"/>
    <w:rsid w:val="005D2A7D"/>
    <w:rsid w:val="005D2A97"/>
    <w:rsid w:val="005D2C83"/>
    <w:rsid w:val="005D2D0F"/>
    <w:rsid w:val="005D2DED"/>
    <w:rsid w:val="005D2E58"/>
    <w:rsid w:val="005D2E7A"/>
    <w:rsid w:val="005D2F8A"/>
    <w:rsid w:val="005D31DC"/>
    <w:rsid w:val="005D3286"/>
    <w:rsid w:val="005D32BC"/>
    <w:rsid w:val="005D33DE"/>
    <w:rsid w:val="005D3537"/>
    <w:rsid w:val="005D3AF6"/>
    <w:rsid w:val="005D3B59"/>
    <w:rsid w:val="005D3FED"/>
    <w:rsid w:val="005D413E"/>
    <w:rsid w:val="005D43A7"/>
    <w:rsid w:val="005D4864"/>
    <w:rsid w:val="005D4953"/>
    <w:rsid w:val="005D49C3"/>
    <w:rsid w:val="005D4AE8"/>
    <w:rsid w:val="005D4ECE"/>
    <w:rsid w:val="005D4FD3"/>
    <w:rsid w:val="005D54E0"/>
    <w:rsid w:val="005D5504"/>
    <w:rsid w:val="005D580E"/>
    <w:rsid w:val="005D584E"/>
    <w:rsid w:val="005D5C80"/>
    <w:rsid w:val="005D61E2"/>
    <w:rsid w:val="005D62FB"/>
    <w:rsid w:val="005D6489"/>
    <w:rsid w:val="005D69A0"/>
    <w:rsid w:val="005D69BE"/>
    <w:rsid w:val="005D6A8C"/>
    <w:rsid w:val="005D6B84"/>
    <w:rsid w:val="005D6D13"/>
    <w:rsid w:val="005D6D4F"/>
    <w:rsid w:val="005D7367"/>
    <w:rsid w:val="005D743E"/>
    <w:rsid w:val="005D74F9"/>
    <w:rsid w:val="005D76F8"/>
    <w:rsid w:val="005D7C4C"/>
    <w:rsid w:val="005E06AD"/>
    <w:rsid w:val="005E06D8"/>
    <w:rsid w:val="005E079E"/>
    <w:rsid w:val="005E0A54"/>
    <w:rsid w:val="005E14A4"/>
    <w:rsid w:val="005E18FF"/>
    <w:rsid w:val="005E1D9C"/>
    <w:rsid w:val="005E1F39"/>
    <w:rsid w:val="005E2156"/>
    <w:rsid w:val="005E2168"/>
    <w:rsid w:val="005E23DA"/>
    <w:rsid w:val="005E24AC"/>
    <w:rsid w:val="005E24CB"/>
    <w:rsid w:val="005E2811"/>
    <w:rsid w:val="005E2A57"/>
    <w:rsid w:val="005E2B76"/>
    <w:rsid w:val="005E31AF"/>
    <w:rsid w:val="005E3432"/>
    <w:rsid w:val="005E34BA"/>
    <w:rsid w:val="005E383C"/>
    <w:rsid w:val="005E3963"/>
    <w:rsid w:val="005E40D1"/>
    <w:rsid w:val="005E457A"/>
    <w:rsid w:val="005E469D"/>
    <w:rsid w:val="005E4FBB"/>
    <w:rsid w:val="005E5568"/>
    <w:rsid w:val="005E58EA"/>
    <w:rsid w:val="005E5B47"/>
    <w:rsid w:val="005E5E5C"/>
    <w:rsid w:val="005E605A"/>
    <w:rsid w:val="005E69C9"/>
    <w:rsid w:val="005E6EFD"/>
    <w:rsid w:val="005E6F8D"/>
    <w:rsid w:val="005E71AA"/>
    <w:rsid w:val="005E74ED"/>
    <w:rsid w:val="005F003E"/>
    <w:rsid w:val="005F025C"/>
    <w:rsid w:val="005F0750"/>
    <w:rsid w:val="005F0ABF"/>
    <w:rsid w:val="005F1298"/>
    <w:rsid w:val="005F134C"/>
    <w:rsid w:val="005F150A"/>
    <w:rsid w:val="005F163F"/>
    <w:rsid w:val="005F1693"/>
    <w:rsid w:val="005F1791"/>
    <w:rsid w:val="005F1A0F"/>
    <w:rsid w:val="005F1A9D"/>
    <w:rsid w:val="005F1C78"/>
    <w:rsid w:val="005F1DC8"/>
    <w:rsid w:val="005F1E52"/>
    <w:rsid w:val="005F240A"/>
    <w:rsid w:val="005F252F"/>
    <w:rsid w:val="005F25B3"/>
    <w:rsid w:val="005F2642"/>
    <w:rsid w:val="005F2B4C"/>
    <w:rsid w:val="005F2FFC"/>
    <w:rsid w:val="005F322F"/>
    <w:rsid w:val="005F3508"/>
    <w:rsid w:val="005F3800"/>
    <w:rsid w:val="005F3C6E"/>
    <w:rsid w:val="005F3E36"/>
    <w:rsid w:val="005F3E64"/>
    <w:rsid w:val="005F3E8D"/>
    <w:rsid w:val="005F3F1F"/>
    <w:rsid w:val="005F40AD"/>
    <w:rsid w:val="005F4113"/>
    <w:rsid w:val="005F4678"/>
    <w:rsid w:val="005F486D"/>
    <w:rsid w:val="005F4D20"/>
    <w:rsid w:val="005F4E38"/>
    <w:rsid w:val="005F4EF7"/>
    <w:rsid w:val="005F50AF"/>
    <w:rsid w:val="005F50C5"/>
    <w:rsid w:val="005F5474"/>
    <w:rsid w:val="005F5610"/>
    <w:rsid w:val="005F5A23"/>
    <w:rsid w:val="005F5AED"/>
    <w:rsid w:val="005F5B17"/>
    <w:rsid w:val="005F5B1A"/>
    <w:rsid w:val="005F5D72"/>
    <w:rsid w:val="005F61E8"/>
    <w:rsid w:val="005F62C7"/>
    <w:rsid w:val="005F6396"/>
    <w:rsid w:val="005F662F"/>
    <w:rsid w:val="005F6639"/>
    <w:rsid w:val="005F6734"/>
    <w:rsid w:val="005F6814"/>
    <w:rsid w:val="005F6F6F"/>
    <w:rsid w:val="005F7280"/>
    <w:rsid w:val="005F739E"/>
    <w:rsid w:val="005F74BF"/>
    <w:rsid w:val="005F77AA"/>
    <w:rsid w:val="005F7F11"/>
    <w:rsid w:val="00600214"/>
    <w:rsid w:val="0060024E"/>
    <w:rsid w:val="006003C7"/>
    <w:rsid w:val="00600763"/>
    <w:rsid w:val="0060091D"/>
    <w:rsid w:val="006009C5"/>
    <w:rsid w:val="006009F0"/>
    <w:rsid w:val="00600BDF"/>
    <w:rsid w:val="00600CA9"/>
    <w:rsid w:val="00600DE2"/>
    <w:rsid w:val="00600F2B"/>
    <w:rsid w:val="00601308"/>
    <w:rsid w:val="006014F3"/>
    <w:rsid w:val="00601538"/>
    <w:rsid w:val="00601742"/>
    <w:rsid w:val="00601967"/>
    <w:rsid w:val="0060196C"/>
    <w:rsid w:val="00601E3D"/>
    <w:rsid w:val="006022C5"/>
    <w:rsid w:val="00602319"/>
    <w:rsid w:val="00602562"/>
    <w:rsid w:val="006025B3"/>
    <w:rsid w:val="00602B1E"/>
    <w:rsid w:val="00602C1C"/>
    <w:rsid w:val="00602C5F"/>
    <w:rsid w:val="00602C86"/>
    <w:rsid w:val="00602CA6"/>
    <w:rsid w:val="00602DD3"/>
    <w:rsid w:val="00602E7D"/>
    <w:rsid w:val="006030A0"/>
    <w:rsid w:val="006030C6"/>
    <w:rsid w:val="00603101"/>
    <w:rsid w:val="00603189"/>
    <w:rsid w:val="006031C1"/>
    <w:rsid w:val="006038B0"/>
    <w:rsid w:val="00604162"/>
    <w:rsid w:val="0060418D"/>
    <w:rsid w:val="006042DA"/>
    <w:rsid w:val="0060453E"/>
    <w:rsid w:val="00604683"/>
    <w:rsid w:val="006046CD"/>
    <w:rsid w:val="00604E18"/>
    <w:rsid w:val="00604F3E"/>
    <w:rsid w:val="00604FFF"/>
    <w:rsid w:val="006051DF"/>
    <w:rsid w:val="006056DD"/>
    <w:rsid w:val="0060576B"/>
    <w:rsid w:val="00605908"/>
    <w:rsid w:val="00605AC9"/>
    <w:rsid w:val="00605B2D"/>
    <w:rsid w:val="00605B7C"/>
    <w:rsid w:val="00606192"/>
    <w:rsid w:val="00606467"/>
    <w:rsid w:val="006066D6"/>
    <w:rsid w:val="00606CA7"/>
    <w:rsid w:val="00606EB6"/>
    <w:rsid w:val="006073B6"/>
    <w:rsid w:val="00607570"/>
    <w:rsid w:val="00607776"/>
    <w:rsid w:val="0060799C"/>
    <w:rsid w:val="00610289"/>
    <w:rsid w:val="00610305"/>
    <w:rsid w:val="00610AA8"/>
    <w:rsid w:val="00610C33"/>
    <w:rsid w:val="00610CF0"/>
    <w:rsid w:val="00610D20"/>
    <w:rsid w:val="00610F1B"/>
    <w:rsid w:val="00611038"/>
    <w:rsid w:val="0061120F"/>
    <w:rsid w:val="00611262"/>
    <w:rsid w:val="00611605"/>
    <w:rsid w:val="00611692"/>
    <w:rsid w:val="006116FC"/>
    <w:rsid w:val="0061189B"/>
    <w:rsid w:val="00611BAA"/>
    <w:rsid w:val="00612493"/>
    <w:rsid w:val="006125C6"/>
    <w:rsid w:val="00612678"/>
    <w:rsid w:val="0061268B"/>
    <w:rsid w:val="0061270A"/>
    <w:rsid w:val="006128E9"/>
    <w:rsid w:val="00612AD7"/>
    <w:rsid w:val="00612B03"/>
    <w:rsid w:val="00612B9A"/>
    <w:rsid w:val="00612D5E"/>
    <w:rsid w:val="00613138"/>
    <w:rsid w:val="0061328B"/>
    <w:rsid w:val="00613576"/>
    <w:rsid w:val="006136D9"/>
    <w:rsid w:val="00613795"/>
    <w:rsid w:val="006137F7"/>
    <w:rsid w:val="00613839"/>
    <w:rsid w:val="00613927"/>
    <w:rsid w:val="00613A4B"/>
    <w:rsid w:val="00613BEC"/>
    <w:rsid w:val="00613DAC"/>
    <w:rsid w:val="0061414A"/>
    <w:rsid w:val="0061422B"/>
    <w:rsid w:val="00614347"/>
    <w:rsid w:val="0061444C"/>
    <w:rsid w:val="00614CA6"/>
    <w:rsid w:val="00614CCA"/>
    <w:rsid w:val="00614EB6"/>
    <w:rsid w:val="00615885"/>
    <w:rsid w:val="00615A00"/>
    <w:rsid w:val="00615EFA"/>
    <w:rsid w:val="00616388"/>
    <w:rsid w:val="00616638"/>
    <w:rsid w:val="0061670B"/>
    <w:rsid w:val="006167AE"/>
    <w:rsid w:val="0061699F"/>
    <w:rsid w:val="00617253"/>
    <w:rsid w:val="00617795"/>
    <w:rsid w:val="00617D11"/>
    <w:rsid w:val="00617DF1"/>
    <w:rsid w:val="00617DFC"/>
    <w:rsid w:val="00617EF9"/>
    <w:rsid w:val="0062009D"/>
    <w:rsid w:val="006202F4"/>
    <w:rsid w:val="0062064D"/>
    <w:rsid w:val="00620699"/>
    <w:rsid w:val="006206BF"/>
    <w:rsid w:val="006208E3"/>
    <w:rsid w:val="00620ACD"/>
    <w:rsid w:val="00620AEB"/>
    <w:rsid w:val="00620B23"/>
    <w:rsid w:val="00620D10"/>
    <w:rsid w:val="00620F2C"/>
    <w:rsid w:val="0062115A"/>
    <w:rsid w:val="00621708"/>
    <w:rsid w:val="00621766"/>
    <w:rsid w:val="00621BF4"/>
    <w:rsid w:val="006220B5"/>
    <w:rsid w:val="006220F0"/>
    <w:rsid w:val="00622615"/>
    <w:rsid w:val="00622A1A"/>
    <w:rsid w:val="00622D1C"/>
    <w:rsid w:val="006235B7"/>
    <w:rsid w:val="006236C6"/>
    <w:rsid w:val="00623A76"/>
    <w:rsid w:val="00623D6C"/>
    <w:rsid w:val="00623E51"/>
    <w:rsid w:val="0062404E"/>
    <w:rsid w:val="0062427B"/>
    <w:rsid w:val="006242C9"/>
    <w:rsid w:val="0062459B"/>
    <w:rsid w:val="0062459D"/>
    <w:rsid w:val="00624648"/>
    <w:rsid w:val="0062478E"/>
    <w:rsid w:val="00624F3C"/>
    <w:rsid w:val="006255ED"/>
    <w:rsid w:val="00625640"/>
    <w:rsid w:val="00625EB8"/>
    <w:rsid w:val="0062631B"/>
    <w:rsid w:val="006265A8"/>
    <w:rsid w:val="00626DBF"/>
    <w:rsid w:val="00626E18"/>
    <w:rsid w:val="006270A9"/>
    <w:rsid w:val="0062735C"/>
    <w:rsid w:val="00627584"/>
    <w:rsid w:val="0062759C"/>
    <w:rsid w:val="00627994"/>
    <w:rsid w:val="00627C70"/>
    <w:rsid w:val="00627F23"/>
    <w:rsid w:val="00630216"/>
    <w:rsid w:val="006303AF"/>
    <w:rsid w:val="0063046A"/>
    <w:rsid w:val="0063081B"/>
    <w:rsid w:val="00630ACB"/>
    <w:rsid w:val="00630F4B"/>
    <w:rsid w:val="0063104C"/>
    <w:rsid w:val="006318FA"/>
    <w:rsid w:val="00631BC9"/>
    <w:rsid w:val="0063232C"/>
    <w:rsid w:val="00632D6E"/>
    <w:rsid w:val="00633560"/>
    <w:rsid w:val="00633FFA"/>
    <w:rsid w:val="006341F0"/>
    <w:rsid w:val="00634382"/>
    <w:rsid w:val="00634862"/>
    <w:rsid w:val="006348B6"/>
    <w:rsid w:val="00634B79"/>
    <w:rsid w:val="00634BB8"/>
    <w:rsid w:val="00634C7C"/>
    <w:rsid w:val="00635116"/>
    <w:rsid w:val="0063511D"/>
    <w:rsid w:val="006354F0"/>
    <w:rsid w:val="006355C1"/>
    <w:rsid w:val="006358C7"/>
    <w:rsid w:val="00635EB3"/>
    <w:rsid w:val="00635EF4"/>
    <w:rsid w:val="006360AB"/>
    <w:rsid w:val="00636114"/>
    <w:rsid w:val="00636178"/>
    <w:rsid w:val="0063630D"/>
    <w:rsid w:val="006364CB"/>
    <w:rsid w:val="006367A8"/>
    <w:rsid w:val="00636810"/>
    <w:rsid w:val="00636829"/>
    <w:rsid w:val="0063687D"/>
    <w:rsid w:val="0063698B"/>
    <w:rsid w:val="00636B62"/>
    <w:rsid w:val="00636C8D"/>
    <w:rsid w:val="00637129"/>
    <w:rsid w:val="0063737E"/>
    <w:rsid w:val="0063766F"/>
    <w:rsid w:val="00637979"/>
    <w:rsid w:val="00637A2B"/>
    <w:rsid w:val="00637C96"/>
    <w:rsid w:val="00637DEF"/>
    <w:rsid w:val="0064049B"/>
    <w:rsid w:val="006404E5"/>
    <w:rsid w:val="0064056D"/>
    <w:rsid w:val="00640B05"/>
    <w:rsid w:val="00640F5E"/>
    <w:rsid w:val="00641105"/>
    <w:rsid w:val="006411A6"/>
    <w:rsid w:val="00641674"/>
    <w:rsid w:val="00641843"/>
    <w:rsid w:val="00641876"/>
    <w:rsid w:val="00641B19"/>
    <w:rsid w:val="00641E08"/>
    <w:rsid w:val="0064204E"/>
    <w:rsid w:val="006426F1"/>
    <w:rsid w:val="0064271C"/>
    <w:rsid w:val="006427D9"/>
    <w:rsid w:val="00642821"/>
    <w:rsid w:val="00642D29"/>
    <w:rsid w:val="00642E92"/>
    <w:rsid w:val="00642F9F"/>
    <w:rsid w:val="0064312D"/>
    <w:rsid w:val="00643185"/>
    <w:rsid w:val="006433B4"/>
    <w:rsid w:val="0064346B"/>
    <w:rsid w:val="00643FAF"/>
    <w:rsid w:val="006440B4"/>
    <w:rsid w:val="006440ED"/>
    <w:rsid w:val="00644196"/>
    <w:rsid w:val="0064432A"/>
    <w:rsid w:val="00644388"/>
    <w:rsid w:val="00644401"/>
    <w:rsid w:val="00644814"/>
    <w:rsid w:val="00644819"/>
    <w:rsid w:val="00644FB2"/>
    <w:rsid w:val="00645259"/>
    <w:rsid w:val="006452C9"/>
    <w:rsid w:val="0064535E"/>
    <w:rsid w:val="00645461"/>
    <w:rsid w:val="00645573"/>
    <w:rsid w:val="0064582C"/>
    <w:rsid w:val="006458BA"/>
    <w:rsid w:val="00645BA7"/>
    <w:rsid w:val="00645C1D"/>
    <w:rsid w:val="00645E3A"/>
    <w:rsid w:val="00645E53"/>
    <w:rsid w:val="006462DA"/>
    <w:rsid w:val="0064661A"/>
    <w:rsid w:val="006468B4"/>
    <w:rsid w:val="006468C1"/>
    <w:rsid w:val="00646B03"/>
    <w:rsid w:val="00647372"/>
    <w:rsid w:val="00647770"/>
    <w:rsid w:val="006477F8"/>
    <w:rsid w:val="00647898"/>
    <w:rsid w:val="00647A04"/>
    <w:rsid w:val="00647B0D"/>
    <w:rsid w:val="00647B9B"/>
    <w:rsid w:val="00647DD8"/>
    <w:rsid w:val="00650012"/>
    <w:rsid w:val="006500A6"/>
    <w:rsid w:val="006504AA"/>
    <w:rsid w:val="00650511"/>
    <w:rsid w:val="00650744"/>
    <w:rsid w:val="00651034"/>
    <w:rsid w:val="006510EE"/>
    <w:rsid w:val="0065158C"/>
    <w:rsid w:val="006517F3"/>
    <w:rsid w:val="0065188D"/>
    <w:rsid w:val="00651928"/>
    <w:rsid w:val="0065192D"/>
    <w:rsid w:val="00651C64"/>
    <w:rsid w:val="00651E4F"/>
    <w:rsid w:val="00652161"/>
    <w:rsid w:val="006524A3"/>
    <w:rsid w:val="00652EE2"/>
    <w:rsid w:val="00653C45"/>
    <w:rsid w:val="00653FB1"/>
    <w:rsid w:val="00654598"/>
    <w:rsid w:val="0065462E"/>
    <w:rsid w:val="0065467D"/>
    <w:rsid w:val="006547C6"/>
    <w:rsid w:val="00654D50"/>
    <w:rsid w:val="00654DFD"/>
    <w:rsid w:val="00654F39"/>
    <w:rsid w:val="0065592E"/>
    <w:rsid w:val="00655A29"/>
    <w:rsid w:val="00655A5A"/>
    <w:rsid w:val="00655B51"/>
    <w:rsid w:val="00655BD5"/>
    <w:rsid w:val="00655CB5"/>
    <w:rsid w:val="00655EE2"/>
    <w:rsid w:val="00656035"/>
    <w:rsid w:val="006567C9"/>
    <w:rsid w:val="00656883"/>
    <w:rsid w:val="00656BA3"/>
    <w:rsid w:val="00656E47"/>
    <w:rsid w:val="00656E96"/>
    <w:rsid w:val="00657082"/>
    <w:rsid w:val="0065710D"/>
    <w:rsid w:val="00657122"/>
    <w:rsid w:val="006572FE"/>
    <w:rsid w:val="0065778D"/>
    <w:rsid w:val="00657797"/>
    <w:rsid w:val="006578EB"/>
    <w:rsid w:val="00657C18"/>
    <w:rsid w:val="00657E58"/>
    <w:rsid w:val="00657FC8"/>
    <w:rsid w:val="0066003E"/>
    <w:rsid w:val="00660260"/>
    <w:rsid w:val="00660C03"/>
    <w:rsid w:val="006614D6"/>
    <w:rsid w:val="006618CF"/>
    <w:rsid w:val="0066190F"/>
    <w:rsid w:val="00661AEF"/>
    <w:rsid w:val="00661B42"/>
    <w:rsid w:val="00661D20"/>
    <w:rsid w:val="00661E84"/>
    <w:rsid w:val="0066204E"/>
    <w:rsid w:val="0066240C"/>
    <w:rsid w:val="00662C83"/>
    <w:rsid w:val="00662CF1"/>
    <w:rsid w:val="00662FB8"/>
    <w:rsid w:val="0066325E"/>
    <w:rsid w:val="006635C6"/>
    <w:rsid w:val="0066375A"/>
    <w:rsid w:val="00663B2C"/>
    <w:rsid w:val="00663C1D"/>
    <w:rsid w:val="00663C60"/>
    <w:rsid w:val="00664120"/>
    <w:rsid w:val="00664582"/>
    <w:rsid w:val="006645E9"/>
    <w:rsid w:val="006646D7"/>
    <w:rsid w:val="00664A8F"/>
    <w:rsid w:val="00664CE6"/>
    <w:rsid w:val="00664F2A"/>
    <w:rsid w:val="006651EA"/>
    <w:rsid w:val="006651FC"/>
    <w:rsid w:val="00665220"/>
    <w:rsid w:val="00665242"/>
    <w:rsid w:val="00665490"/>
    <w:rsid w:val="006654B8"/>
    <w:rsid w:val="00665870"/>
    <w:rsid w:val="00665F5E"/>
    <w:rsid w:val="0066602B"/>
    <w:rsid w:val="00666086"/>
    <w:rsid w:val="006664DF"/>
    <w:rsid w:val="006670A1"/>
    <w:rsid w:val="0066714F"/>
    <w:rsid w:val="00667704"/>
    <w:rsid w:val="00667E23"/>
    <w:rsid w:val="006700C8"/>
    <w:rsid w:val="0067044F"/>
    <w:rsid w:val="006704ED"/>
    <w:rsid w:val="00670659"/>
    <w:rsid w:val="00670BD7"/>
    <w:rsid w:val="00671048"/>
    <w:rsid w:val="00671366"/>
    <w:rsid w:val="006713BD"/>
    <w:rsid w:val="006715E6"/>
    <w:rsid w:val="006717F9"/>
    <w:rsid w:val="00671A5B"/>
    <w:rsid w:val="00671BC5"/>
    <w:rsid w:val="00671CDC"/>
    <w:rsid w:val="006720AC"/>
    <w:rsid w:val="00672117"/>
    <w:rsid w:val="0067216A"/>
    <w:rsid w:val="006728F8"/>
    <w:rsid w:val="00672963"/>
    <w:rsid w:val="00672DE4"/>
    <w:rsid w:val="00673097"/>
    <w:rsid w:val="00673133"/>
    <w:rsid w:val="0067322A"/>
    <w:rsid w:val="006734CF"/>
    <w:rsid w:val="006735CC"/>
    <w:rsid w:val="00673735"/>
    <w:rsid w:val="00673842"/>
    <w:rsid w:val="00673A99"/>
    <w:rsid w:val="00673B20"/>
    <w:rsid w:val="00673B71"/>
    <w:rsid w:val="00673D99"/>
    <w:rsid w:val="0067458F"/>
    <w:rsid w:val="006745B0"/>
    <w:rsid w:val="00674684"/>
    <w:rsid w:val="006746FB"/>
    <w:rsid w:val="00674779"/>
    <w:rsid w:val="006748C8"/>
    <w:rsid w:val="00674C38"/>
    <w:rsid w:val="00674C89"/>
    <w:rsid w:val="00674FEB"/>
    <w:rsid w:val="006751F5"/>
    <w:rsid w:val="00675630"/>
    <w:rsid w:val="0067581E"/>
    <w:rsid w:val="0067588B"/>
    <w:rsid w:val="00675BE6"/>
    <w:rsid w:val="0067639A"/>
    <w:rsid w:val="006763E6"/>
    <w:rsid w:val="006764B0"/>
    <w:rsid w:val="0067660A"/>
    <w:rsid w:val="006769DC"/>
    <w:rsid w:val="006769DD"/>
    <w:rsid w:val="00676A28"/>
    <w:rsid w:val="00676AF4"/>
    <w:rsid w:val="00677100"/>
    <w:rsid w:val="00677289"/>
    <w:rsid w:val="00677404"/>
    <w:rsid w:val="0068060C"/>
    <w:rsid w:val="006810F1"/>
    <w:rsid w:val="00681181"/>
    <w:rsid w:val="0068159A"/>
    <w:rsid w:val="0068169A"/>
    <w:rsid w:val="006819A6"/>
    <w:rsid w:val="00681D1B"/>
    <w:rsid w:val="00681EDE"/>
    <w:rsid w:val="00682160"/>
    <w:rsid w:val="00682187"/>
    <w:rsid w:val="0068229A"/>
    <w:rsid w:val="00682626"/>
    <w:rsid w:val="00682690"/>
    <w:rsid w:val="006828D8"/>
    <w:rsid w:val="00682E31"/>
    <w:rsid w:val="00682E87"/>
    <w:rsid w:val="00683160"/>
    <w:rsid w:val="0068335F"/>
    <w:rsid w:val="0068372B"/>
    <w:rsid w:val="00683BA7"/>
    <w:rsid w:val="00683C36"/>
    <w:rsid w:val="00683C72"/>
    <w:rsid w:val="00683D20"/>
    <w:rsid w:val="006841CF"/>
    <w:rsid w:val="00684290"/>
    <w:rsid w:val="006845DB"/>
    <w:rsid w:val="0068475E"/>
    <w:rsid w:val="006849D3"/>
    <w:rsid w:val="0068510B"/>
    <w:rsid w:val="006854B1"/>
    <w:rsid w:val="00685BC2"/>
    <w:rsid w:val="00685F38"/>
    <w:rsid w:val="00686081"/>
    <w:rsid w:val="006861F1"/>
    <w:rsid w:val="00686357"/>
    <w:rsid w:val="006864AE"/>
    <w:rsid w:val="00686577"/>
    <w:rsid w:val="006866FF"/>
    <w:rsid w:val="00686C20"/>
    <w:rsid w:val="006870F7"/>
    <w:rsid w:val="006873DC"/>
    <w:rsid w:val="006875CF"/>
    <w:rsid w:val="00687838"/>
    <w:rsid w:val="00687EED"/>
    <w:rsid w:val="0069058D"/>
    <w:rsid w:val="00690623"/>
    <w:rsid w:val="00690833"/>
    <w:rsid w:val="00690B5A"/>
    <w:rsid w:val="00690C6E"/>
    <w:rsid w:val="00690E80"/>
    <w:rsid w:val="00691404"/>
    <w:rsid w:val="00691882"/>
    <w:rsid w:val="00691FEB"/>
    <w:rsid w:val="0069205D"/>
    <w:rsid w:val="006921F9"/>
    <w:rsid w:val="00692376"/>
    <w:rsid w:val="0069261A"/>
    <w:rsid w:val="006926BE"/>
    <w:rsid w:val="0069277C"/>
    <w:rsid w:val="006929D6"/>
    <w:rsid w:val="00692A6F"/>
    <w:rsid w:val="00692B7C"/>
    <w:rsid w:val="00692B9D"/>
    <w:rsid w:val="00692BAB"/>
    <w:rsid w:val="00692FC4"/>
    <w:rsid w:val="0069387F"/>
    <w:rsid w:val="0069389D"/>
    <w:rsid w:val="00693D82"/>
    <w:rsid w:val="00693DE2"/>
    <w:rsid w:val="0069408A"/>
    <w:rsid w:val="006943D7"/>
    <w:rsid w:val="00694686"/>
    <w:rsid w:val="00694B5A"/>
    <w:rsid w:val="00694C1D"/>
    <w:rsid w:val="00694CE6"/>
    <w:rsid w:val="00694D67"/>
    <w:rsid w:val="00694E26"/>
    <w:rsid w:val="00694F86"/>
    <w:rsid w:val="00695046"/>
    <w:rsid w:val="006952F3"/>
    <w:rsid w:val="00695586"/>
    <w:rsid w:val="00695769"/>
    <w:rsid w:val="00695A55"/>
    <w:rsid w:val="00695AA6"/>
    <w:rsid w:val="00695ABC"/>
    <w:rsid w:val="00695AE3"/>
    <w:rsid w:val="00695BAC"/>
    <w:rsid w:val="00695C13"/>
    <w:rsid w:val="00695D28"/>
    <w:rsid w:val="00695F2D"/>
    <w:rsid w:val="00695F33"/>
    <w:rsid w:val="00695F5E"/>
    <w:rsid w:val="006960D3"/>
    <w:rsid w:val="0069617D"/>
    <w:rsid w:val="0069651D"/>
    <w:rsid w:val="00696D38"/>
    <w:rsid w:val="006970AB"/>
    <w:rsid w:val="00697135"/>
    <w:rsid w:val="006971C3"/>
    <w:rsid w:val="006971D0"/>
    <w:rsid w:val="00697240"/>
    <w:rsid w:val="006972AB"/>
    <w:rsid w:val="0069738A"/>
    <w:rsid w:val="00697421"/>
    <w:rsid w:val="0069745B"/>
    <w:rsid w:val="00697495"/>
    <w:rsid w:val="006976FA"/>
    <w:rsid w:val="00697A06"/>
    <w:rsid w:val="00697A4E"/>
    <w:rsid w:val="00697B84"/>
    <w:rsid w:val="006A0305"/>
    <w:rsid w:val="006A03CF"/>
    <w:rsid w:val="006A0475"/>
    <w:rsid w:val="006A0662"/>
    <w:rsid w:val="006A0890"/>
    <w:rsid w:val="006A0DAA"/>
    <w:rsid w:val="006A1030"/>
    <w:rsid w:val="006A12BD"/>
    <w:rsid w:val="006A12E6"/>
    <w:rsid w:val="006A160F"/>
    <w:rsid w:val="006A16CD"/>
    <w:rsid w:val="006A173E"/>
    <w:rsid w:val="006A212D"/>
    <w:rsid w:val="006A248B"/>
    <w:rsid w:val="006A262E"/>
    <w:rsid w:val="006A27A3"/>
    <w:rsid w:val="006A2B8D"/>
    <w:rsid w:val="006A2DD1"/>
    <w:rsid w:val="006A31B8"/>
    <w:rsid w:val="006A3224"/>
    <w:rsid w:val="006A3412"/>
    <w:rsid w:val="006A34A2"/>
    <w:rsid w:val="006A3895"/>
    <w:rsid w:val="006A3A89"/>
    <w:rsid w:val="006A3F74"/>
    <w:rsid w:val="006A4268"/>
    <w:rsid w:val="006A4A72"/>
    <w:rsid w:val="006A4FE1"/>
    <w:rsid w:val="006A506E"/>
    <w:rsid w:val="006A52F1"/>
    <w:rsid w:val="006A577F"/>
    <w:rsid w:val="006A5D6E"/>
    <w:rsid w:val="006A63EA"/>
    <w:rsid w:val="006A663A"/>
    <w:rsid w:val="006A6BA3"/>
    <w:rsid w:val="006A6DC2"/>
    <w:rsid w:val="006A707D"/>
    <w:rsid w:val="006A712A"/>
    <w:rsid w:val="006A782F"/>
    <w:rsid w:val="006A784D"/>
    <w:rsid w:val="006A79E0"/>
    <w:rsid w:val="006A7FC4"/>
    <w:rsid w:val="006B0068"/>
    <w:rsid w:val="006B02D7"/>
    <w:rsid w:val="006B04AA"/>
    <w:rsid w:val="006B06EF"/>
    <w:rsid w:val="006B08A3"/>
    <w:rsid w:val="006B0C3E"/>
    <w:rsid w:val="006B0CDA"/>
    <w:rsid w:val="006B0EC1"/>
    <w:rsid w:val="006B0FE7"/>
    <w:rsid w:val="006B0FF0"/>
    <w:rsid w:val="006B1332"/>
    <w:rsid w:val="006B144B"/>
    <w:rsid w:val="006B18E3"/>
    <w:rsid w:val="006B191C"/>
    <w:rsid w:val="006B1A14"/>
    <w:rsid w:val="006B1AFD"/>
    <w:rsid w:val="006B1B37"/>
    <w:rsid w:val="006B2185"/>
    <w:rsid w:val="006B2282"/>
    <w:rsid w:val="006B22D2"/>
    <w:rsid w:val="006B2418"/>
    <w:rsid w:val="006B2599"/>
    <w:rsid w:val="006B2DDA"/>
    <w:rsid w:val="006B3077"/>
    <w:rsid w:val="006B3393"/>
    <w:rsid w:val="006B34C8"/>
    <w:rsid w:val="006B379F"/>
    <w:rsid w:val="006B3BB3"/>
    <w:rsid w:val="006B3C17"/>
    <w:rsid w:val="006B3E2B"/>
    <w:rsid w:val="006B40A0"/>
    <w:rsid w:val="006B41FD"/>
    <w:rsid w:val="006B43A7"/>
    <w:rsid w:val="006B4651"/>
    <w:rsid w:val="006B4691"/>
    <w:rsid w:val="006B4718"/>
    <w:rsid w:val="006B478D"/>
    <w:rsid w:val="006B4914"/>
    <w:rsid w:val="006B4B1D"/>
    <w:rsid w:val="006B5064"/>
    <w:rsid w:val="006B57FB"/>
    <w:rsid w:val="006B5B54"/>
    <w:rsid w:val="006B5B7E"/>
    <w:rsid w:val="006B63A4"/>
    <w:rsid w:val="006B6477"/>
    <w:rsid w:val="006B67A7"/>
    <w:rsid w:val="006B6BC9"/>
    <w:rsid w:val="006B70C1"/>
    <w:rsid w:val="006B72C6"/>
    <w:rsid w:val="006B7373"/>
    <w:rsid w:val="006B79E2"/>
    <w:rsid w:val="006B7A87"/>
    <w:rsid w:val="006B7E18"/>
    <w:rsid w:val="006B7F9B"/>
    <w:rsid w:val="006C0133"/>
    <w:rsid w:val="006C014C"/>
    <w:rsid w:val="006C018A"/>
    <w:rsid w:val="006C0267"/>
    <w:rsid w:val="006C033B"/>
    <w:rsid w:val="006C06F6"/>
    <w:rsid w:val="006C0D8F"/>
    <w:rsid w:val="006C0E61"/>
    <w:rsid w:val="006C0ED3"/>
    <w:rsid w:val="006C1A28"/>
    <w:rsid w:val="006C1E99"/>
    <w:rsid w:val="006C1F0F"/>
    <w:rsid w:val="006C20E0"/>
    <w:rsid w:val="006C25A5"/>
    <w:rsid w:val="006C2681"/>
    <w:rsid w:val="006C2811"/>
    <w:rsid w:val="006C32DC"/>
    <w:rsid w:val="006C358A"/>
    <w:rsid w:val="006C3E17"/>
    <w:rsid w:val="006C3E62"/>
    <w:rsid w:val="006C4547"/>
    <w:rsid w:val="006C4B00"/>
    <w:rsid w:val="006C4B04"/>
    <w:rsid w:val="006C4D22"/>
    <w:rsid w:val="006C4F60"/>
    <w:rsid w:val="006C4FDA"/>
    <w:rsid w:val="006C56C4"/>
    <w:rsid w:val="006C57FC"/>
    <w:rsid w:val="006C5A1A"/>
    <w:rsid w:val="006C5ADC"/>
    <w:rsid w:val="006C5ED6"/>
    <w:rsid w:val="006C6A66"/>
    <w:rsid w:val="006C6B2C"/>
    <w:rsid w:val="006C6F18"/>
    <w:rsid w:val="006C7340"/>
    <w:rsid w:val="006C7951"/>
    <w:rsid w:val="006C7B34"/>
    <w:rsid w:val="006C7B3C"/>
    <w:rsid w:val="006C7F1F"/>
    <w:rsid w:val="006D011B"/>
    <w:rsid w:val="006D0182"/>
    <w:rsid w:val="006D02C9"/>
    <w:rsid w:val="006D0341"/>
    <w:rsid w:val="006D07A4"/>
    <w:rsid w:val="006D0819"/>
    <w:rsid w:val="006D0826"/>
    <w:rsid w:val="006D0CC3"/>
    <w:rsid w:val="006D0D08"/>
    <w:rsid w:val="006D0F78"/>
    <w:rsid w:val="006D0FA9"/>
    <w:rsid w:val="006D1496"/>
    <w:rsid w:val="006D1B02"/>
    <w:rsid w:val="006D1BFA"/>
    <w:rsid w:val="006D1D1F"/>
    <w:rsid w:val="006D205E"/>
    <w:rsid w:val="006D26ED"/>
    <w:rsid w:val="006D275F"/>
    <w:rsid w:val="006D28D1"/>
    <w:rsid w:val="006D2ACD"/>
    <w:rsid w:val="006D2C06"/>
    <w:rsid w:val="006D2F6B"/>
    <w:rsid w:val="006D30DC"/>
    <w:rsid w:val="006D3164"/>
    <w:rsid w:val="006D33FA"/>
    <w:rsid w:val="006D35F7"/>
    <w:rsid w:val="006D37A6"/>
    <w:rsid w:val="006D37A9"/>
    <w:rsid w:val="006D380F"/>
    <w:rsid w:val="006D399E"/>
    <w:rsid w:val="006D3BDD"/>
    <w:rsid w:val="006D3D2A"/>
    <w:rsid w:val="006D3D32"/>
    <w:rsid w:val="006D3F3D"/>
    <w:rsid w:val="006D400B"/>
    <w:rsid w:val="006D4173"/>
    <w:rsid w:val="006D452D"/>
    <w:rsid w:val="006D4A0A"/>
    <w:rsid w:val="006D4BEB"/>
    <w:rsid w:val="006D51AD"/>
    <w:rsid w:val="006D51CD"/>
    <w:rsid w:val="006D5548"/>
    <w:rsid w:val="006D578C"/>
    <w:rsid w:val="006D57A4"/>
    <w:rsid w:val="006D5939"/>
    <w:rsid w:val="006D5DE7"/>
    <w:rsid w:val="006D5FFA"/>
    <w:rsid w:val="006D60EC"/>
    <w:rsid w:val="006D6185"/>
    <w:rsid w:val="006D61AD"/>
    <w:rsid w:val="006D62D6"/>
    <w:rsid w:val="006D63BD"/>
    <w:rsid w:val="006D63D2"/>
    <w:rsid w:val="006D67C9"/>
    <w:rsid w:val="006D6EB4"/>
    <w:rsid w:val="006D756A"/>
    <w:rsid w:val="006D7595"/>
    <w:rsid w:val="006D7782"/>
    <w:rsid w:val="006D79AA"/>
    <w:rsid w:val="006D7CBA"/>
    <w:rsid w:val="006D7D58"/>
    <w:rsid w:val="006D7DE6"/>
    <w:rsid w:val="006D7ED7"/>
    <w:rsid w:val="006E082C"/>
    <w:rsid w:val="006E09C1"/>
    <w:rsid w:val="006E0A08"/>
    <w:rsid w:val="006E0A38"/>
    <w:rsid w:val="006E102D"/>
    <w:rsid w:val="006E12A8"/>
    <w:rsid w:val="006E1891"/>
    <w:rsid w:val="006E1B30"/>
    <w:rsid w:val="006E2281"/>
    <w:rsid w:val="006E233D"/>
    <w:rsid w:val="006E27CD"/>
    <w:rsid w:val="006E284C"/>
    <w:rsid w:val="006E2A26"/>
    <w:rsid w:val="006E2B14"/>
    <w:rsid w:val="006E2B38"/>
    <w:rsid w:val="006E2B62"/>
    <w:rsid w:val="006E2F65"/>
    <w:rsid w:val="006E31CD"/>
    <w:rsid w:val="006E3406"/>
    <w:rsid w:val="006E348C"/>
    <w:rsid w:val="006E3894"/>
    <w:rsid w:val="006E38BF"/>
    <w:rsid w:val="006E39FD"/>
    <w:rsid w:val="006E3D17"/>
    <w:rsid w:val="006E3D4D"/>
    <w:rsid w:val="006E3F41"/>
    <w:rsid w:val="006E44A0"/>
    <w:rsid w:val="006E46CC"/>
    <w:rsid w:val="006E4733"/>
    <w:rsid w:val="006E4809"/>
    <w:rsid w:val="006E49C3"/>
    <w:rsid w:val="006E4ADF"/>
    <w:rsid w:val="006E4D39"/>
    <w:rsid w:val="006E4F1F"/>
    <w:rsid w:val="006E5100"/>
    <w:rsid w:val="006E5767"/>
    <w:rsid w:val="006E591C"/>
    <w:rsid w:val="006E5994"/>
    <w:rsid w:val="006E5ABF"/>
    <w:rsid w:val="006E5B46"/>
    <w:rsid w:val="006E5BB1"/>
    <w:rsid w:val="006E5F00"/>
    <w:rsid w:val="006E62E3"/>
    <w:rsid w:val="006E6B14"/>
    <w:rsid w:val="006E6F46"/>
    <w:rsid w:val="006E6FC5"/>
    <w:rsid w:val="006E7488"/>
    <w:rsid w:val="006E75D6"/>
    <w:rsid w:val="006E7627"/>
    <w:rsid w:val="006E7B12"/>
    <w:rsid w:val="006E7B9B"/>
    <w:rsid w:val="006E7BC2"/>
    <w:rsid w:val="006E7C81"/>
    <w:rsid w:val="006E7D52"/>
    <w:rsid w:val="006E7FAC"/>
    <w:rsid w:val="006F01CC"/>
    <w:rsid w:val="006F0708"/>
    <w:rsid w:val="006F0B6F"/>
    <w:rsid w:val="006F1D7D"/>
    <w:rsid w:val="006F1DEC"/>
    <w:rsid w:val="006F1F15"/>
    <w:rsid w:val="006F2049"/>
    <w:rsid w:val="006F23F8"/>
    <w:rsid w:val="006F24D4"/>
    <w:rsid w:val="006F26E3"/>
    <w:rsid w:val="006F272E"/>
    <w:rsid w:val="006F29EC"/>
    <w:rsid w:val="006F2BED"/>
    <w:rsid w:val="006F2C18"/>
    <w:rsid w:val="006F2D9B"/>
    <w:rsid w:val="006F2E42"/>
    <w:rsid w:val="006F311E"/>
    <w:rsid w:val="006F31C7"/>
    <w:rsid w:val="006F351D"/>
    <w:rsid w:val="006F358B"/>
    <w:rsid w:val="006F3593"/>
    <w:rsid w:val="006F363B"/>
    <w:rsid w:val="006F3785"/>
    <w:rsid w:val="006F3AD3"/>
    <w:rsid w:val="006F3CAA"/>
    <w:rsid w:val="006F4182"/>
    <w:rsid w:val="006F43B9"/>
    <w:rsid w:val="006F458A"/>
    <w:rsid w:val="006F45B1"/>
    <w:rsid w:val="006F50E5"/>
    <w:rsid w:val="006F583B"/>
    <w:rsid w:val="006F5F37"/>
    <w:rsid w:val="006F5F8F"/>
    <w:rsid w:val="006F6202"/>
    <w:rsid w:val="006F67B4"/>
    <w:rsid w:val="006F6D19"/>
    <w:rsid w:val="006F6D29"/>
    <w:rsid w:val="006F7464"/>
    <w:rsid w:val="006F751E"/>
    <w:rsid w:val="006F7931"/>
    <w:rsid w:val="006F7967"/>
    <w:rsid w:val="006F7A85"/>
    <w:rsid w:val="006F7DBD"/>
    <w:rsid w:val="006F7E0C"/>
    <w:rsid w:val="006F7E2D"/>
    <w:rsid w:val="0070042A"/>
    <w:rsid w:val="00700C56"/>
    <w:rsid w:val="00700D38"/>
    <w:rsid w:val="00700D93"/>
    <w:rsid w:val="00700DD7"/>
    <w:rsid w:val="00700EF2"/>
    <w:rsid w:val="0070119E"/>
    <w:rsid w:val="00701383"/>
    <w:rsid w:val="00701924"/>
    <w:rsid w:val="00701BA5"/>
    <w:rsid w:val="00701FDF"/>
    <w:rsid w:val="007027C0"/>
    <w:rsid w:val="00702962"/>
    <w:rsid w:val="00702AE9"/>
    <w:rsid w:val="00703340"/>
    <w:rsid w:val="007036F8"/>
    <w:rsid w:val="007039F7"/>
    <w:rsid w:val="00703B11"/>
    <w:rsid w:val="007043C2"/>
    <w:rsid w:val="0070445F"/>
    <w:rsid w:val="00704468"/>
    <w:rsid w:val="007045E5"/>
    <w:rsid w:val="007045FE"/>
    <w:rsid w:val="007046B7"/>
    <w:rsid w:val="00704887"/>
    <w:rsid w:val="00704899"/>
    <w:rsid w:val="00704C7E"/>
    <w:rsid w:val="00705016"/>
    <w:rsid w:val="00705090"/>
    <w:rsid w:val="0070528C"/>
    <w:rsid w:val="007052A2"/>
    <w:rsid w:val="00705454"/>
    <w:rsid w:val="00705913"/>
    <w:rsid w:val="00705AB5"/>
    <w:rsid w:val="00705C83"/>
    <w:rsid w:val="007067C1"/>
    <w:rsid w:val="007069B6"/>
    <w:rsid w:val="00706ACB"/>
    <w:rsid w:val="00706E39"/>
    <w:rsid w:val="00706E5C"/>
    <w:rsid w:val="00707297"/>
    <w:rsid w:val="007074E3"/>
    <w:rsid w:val="007075B4"/>
    <w:rsid w:val="00707934"/>
    <w:rsid w:val="00707C38"/>
    <w:rsid w:val="00707C6E"/>
    <w:rsid w:val="00707C7C"/>
    <w:rsid w:val="00710181"/>
    <w:rsid w:val="00710368"/>
    <w:rsid w:val="007103A2"/>
    <w:rsid w:val="007103CD"/>
    <w:rsid w:val="0071073D"/>
    <w:rsid w:val="0071090C"/>
    <w:rsid w:val="00710927"/>
    <w:rsid w:val="00710AD2"/>
    <w:rsid w:val="00710EC2"/>
    <w:rsid w:val="00710FA2"/>
    <w:rsid w:val="00711040"/>
    <w:rsid w:val="007111AF"/>
    <w:rsid w:val="00711544"/>
    <w:rsid w:val="00711589"/>
    <w:rsid w:val="0071167D"/>
    <w:rsid w:val="007119F1"/>
    <w:rsid w:val="00711B68"/>
    <w:rsid w:val="00711B85"/>
    <w:rsid w:val="00711D9F"/>
    <w:rsid w:val="00711E50"/>
    <w:rsid w:val="0071206A"/>
    <w:rsid w:val="00712097"/>
    <w:rsid w:val="007122A4"/>
    <w:rsid w:val="0071263E"/>
    <w:rsid w:val="00712C8F"/>
    <w:rsid w:val="00712E27"/>
    <w:rsid w:val="00712F3E"/>
    <w:rsid w:val="00713370"/>
    <w:rsid w:val="007133A9"/>
    <w:rsid w:val="007135B3"/>
    <w:rsid w:val="0071398A"/>
    <w:rsid w:val="00713EB8"/>
    <w:rsid w:val="0071422C"/>
    <w:rsid w:val="007143F5"/>
    <w:rsid w:val="00714831"/>
    <w:rsid w:val="00714965"/>
    <w:rsid w:val="00714FA1"/>
    <w:rsid w:val="00715246"/>
    <w:rsid w:val="00715252"/>
    <w:rsid w:val="00715260"/>
    <w:rsid w:val="007152F3"/>
    <w:rsid w:val="00715A7E"/>
    <w:rsid w:val="00715F7D"/>
    <w:rsid w:val="007163A5"/>
    <w:rsid w:val="007163BC"/>
    <w:rsid w:val="00716549"/>
    <w:rsid w:val="00716B66"/>
    <w:rsid w:val="007172B6"/>
    <w:rsid w:val="007178EF"/>
    <w:rsid w:val="00717A64"/>
    <w:rsid w:val="007200E2"/>
    <w:rsid w:val="00720301"/>
    <w:rsid w:val="00720471"/>
    <w:rsid w:val="0072048A"/>
    <w:rsid w:val="00720684"/>
    <w:rsid w:val="00720860"/>
    <w:rsid w:val="00720960"/>
    <w:rsid w:val="00720992"/>
    <w:rsid w:val="00720A57"/>
    <w:rsid w:val="00720D75"/>
    <w:rsid w:val="00721488"/>
    <w:rsid w:val="00721844"/>
    <w:rsid w:val="00721A05"/>
    <w:rsid w:val="00721FB3"/>
    <w:rsid w:val="00722176"/>
    <w:rsid w:val="0072228A"/>
    <w:rsid w:val="007222BD"/>
    <w:rsid w:val="007222DA"/>
    <w:rsid w:val="007224D3"/>
    <w:rsid w:val="007228AF"/>
    <w:rsid w:val="00722AC6"/>
    <w:rsid w:val="00722B7B"/>
    <w:rsid w:val="00722C10"/>
    <w:rsid w:val="00723272"/>
    <w:rsid w:val="0072362E"/>
    <w:rsid w:val="00723B5C"/>
    <w:rsid w:val="00723DAA"/>
    <w:rsid w:val="00723DD1"/>
    <w:rsid w:val="007241A7"/>
    <w:rsid w:val="0072439C"/>
    <w:rsid w:val="007243BD"/>
    <w:rsid w:val="0072483C"/>
    <w:rsid w:val="00724870"/>
    <w:rsid w:val="00724CA2"/>
    <w:rsid w:val="00724D8A"/>
    <w:rsid w:val="00725175"/>
    <w:rsid w:val="0072522B"/>
    <w:rsid w:val="007252A1"/>
    <w:rsid w:val="0072555F"/>
    <w:rsid w:val="00725586"/>
    <w:rsid w:val="007258A8"/>
    <w:rsid w:val="00725904"/>
    <w:rsid w:val="00725CDF"/>
    <w:rsid w:val="00725EDD"/>
    <w:rsid w:val="0072612C"/>
    <w:rsid w:val="00726541"/>
    <w:rsid w:val="007266A1"/>
    <w:rsid w:val="0072688C"/>
    <w:rsid w:val="00726D60"/>
    <w:rsid w:val="00727018"/>
    <w:rsid w:val="007275A3"/>
    <w:rsid w:val="00727665"/>
    <w:rsid w:val="00727793"/>
    <w:rsid w:val="00727BCC"/>
    <w:rsid w:val="00727FFE"/>
    <w:rsid w:val="00730051"/>
    <w:rsid w:val="007305F9"/>
    <w:rsid w:val="00730984"/>
    <w:rsid w:val="00730A2A"/>
    <w:rsid w:val="00730BB2"/>
    <w:rsid w:val="00730E9C"/>
    <w:rsid w:val="0073112E"/>
    <w:rsid w:val="00731479"/>
    <w:rsid w:val="00731678"/>
    <w:rsid w:val="00731A49"/>
    <w:rsid w:val="0073233D"/>
    <w:rsid w:val="007326F6"/>
    <w:rsid w:val="00732918"/>
    <w:rsid w:val="007331C6"/>
    <w:rsid w:val="00733344"/>
    <w:rsid w:val="007337A0"/>
    <w:rsid w:val="007337C8"/>
    <w:rsid w:val="007338CA"/>
    <w:rsid w:val="00733F54"/>
    <w:rsid w:val="007342D6"/>
    <w:rsid w:val="0073444C"/>
    <w:rsid w:val="007347DF"/>
    <w:rsid w:val="007349B1"/>
    <w:rsid w:val="00734C9F"/>
    <w:rsid w:val="00734F42"/>
    <w:rsid w:val="00734F67"/>
    <w:rsid w:val="007350CC"/>
    <w:rsid w:val="007352BC"/>
    <w:rsid w:val="0073536F"/>
    <w:rsid w:val="0073549D"/>
    <w:rsid w:val="00735B4A"/>
    <w:rsid w:val="00735E7D"/>
    <w:rsid w:val="00735EF3"/>
    <w:rsid w:val="00735F46"/>
    <w:rsid w:val="00736252"/>
    <w:rsid w:val="00736456"/>
    <w:rsid w:val="00736584"/>
    <w:rsid w:val="00736888"/>
    <w:rsid w:val="0073709E"/>
    <w:rsid w:val="0073751D"/>
    <w:rsid w:val="007375BE"/>
    <w:rsid w:val="00737B05"/>
    <w:rsid w:val="00737BF0"/>
    <w:rsid w:val="00737D57"/>
    <w:rsid w:val="00737D90"/>
    <w:rsid w:val="00740910"/>
    <w:rsid w:val="0074099E"/>
    <w:rsid w:val="00740AAF"/>
    <w:rsid w:val="00740B4F"/>
    <w:rsid w:val="00740CDA"/>
    <w:rsid w:val="007410AE"/>
    <w:rsid w:val="00741175"/>
    <w:rsid w:val="00741343"/>
    <w:rsid w:val="007413A0"/>
    <w:rsid w:val="00741427"/>
    <w:rsid w:val="007414E0"/>
    <w:rsid w:val="007415E1"/>
    <w:rsid w:val="00741E76"/>
    <w:rsid w:val="00741FB7"/>
    <w:rsid w:val="00742084"/>
    <w:rsid w:val="007424B5"/>
    <w:rsid w:val="0074262D"/>
    <w:rsid w:val="007429F5"/>
    <w:rsid w:val="00742A21"/>
    <w:rsid w:val="00742CF0"/>
    <w:rsid w:val="00742D4A"/>
    <w:rsid w:val="00742E48"/>
    <w:rsid w:val="00742F90"/>
    <w:rsid w:val="0074366D"/>
    <w:rsid w:val="00743891"/>
    <w:rsid w:val="00743A5F"/>
    <w:rsid w:val="00743AD6"/>
    <w:rsid w:val="00743B8B"/>
    <w:rsid w:val="007441C0"/>
    <w:rsid w:val="007442AB"/>
    <w:rsid w:val="007444DD"/>
    <w:rsid w:val="00744677"/>
    <w:rsid w:val="00744800"/>
    <w:rsid w:val="00744917"/>
    <w:rsid w:val="00744C78"/>
    <w:rsid w:val="00744D48"/>
    <w:rsid w:val="0074526E"/>
    <w:rsid w:val="0074554E"/>
    <w:rsid w:val="00745582"/>
    <w:rsid w:val="007459B2"/>
    <w:rsid w:val="00745E76"/>
    <w:rsid w:val="00746150"/>
    <w:rsid w:val="00746BE3"/>
    <w:rsid w:val="00746CB0"/>
    <w:rsid w:val="00747A64"/>
    <w:rsid w:val="00747B54"/>
    <w:rsid w:val="00747CD4"/>
    <w:rsid w:val="00747D3B"/>
    <w:rsid w:val="00747EE3"/>
    <w:rsid w:val="00747F86"/>
    <w:rsid w:val="0075003E"/>
    <w:rsid w:val="00750186"/>
    <w:rsid w:val="00750708"/>
    <w:rsid w:val="00750AC7"/>
    <w:rsid w:val="00750D91"/>
    <w:rsid w:val="00750E29"/>
    <w:rsid w:val="007511E7"/>
    <w:rsid w:val="00751291"/>
    <w:rsid w:val="0075182D"/>
    <w:rsid w:val="0075190E"/>
    <w:rsid w:val="00751963"/>
    <w:rsid w:val="00751A86"/>
    <w:rsid w:val="00751F7D"/>
    <w:rsid w:val="00752199"/>
    <w:rsid w:val="00752352"/>
    <w:rsid w:val="007523C2"/>
    <w:rsid w:val="00752683"/>
    <w:rsid w:val="00752BD7"/>
    <w:rsid w:val="00752DC2"/>
    <w:rsid w:val="007530FD"/>
    <w:rsid w:val="007532A7"/>
    <w:rsid w:val="007535D7"/>
    <w:rsid w:val="007538DB"/>
    <w:rsid w:val="00753DA3"/>
    <w:rsid w:val="00753EC8"/>
    <w:rsid w:val="00753F44"/>
    <w:rsid w:val="00754052"/>
    <w:rsid w:val="007540D5"/>
    <w:rsid w:val="00754302"/>
    <w:rsid w:val="0075445F"/>
    <w:rsid w:val="00754BEA"/>
    <w:rsid w:val="007557A3"/>
    <w:rsid w:val="00755DA0"/>
    <w:rsid w:val="007561AA"/>
    <w:rsid w:val="00756201"/>
    <w:rsid w:val="0075631E"/>
    <w:rsid w:val="00756554"/>
    <w:rsid w:val="0075665D"/>
    <w:rsid w:val="007567AD"/>
    <w:rsid w:val="007569BD"/>
    <w:rsid w:val="0075702B"/>
    <w:rsid w:val="00757071"/>
    <w:rsid w:val="0075710D"/>
    <w:rsid w:val="00757530"/>
    <w:rsid w:val="00757792"/>
    <w:rsid w:val="00757B54"/>
    <w:rsid w:val="00757D7F"/>
    <w:rsid w:val="00760628"/>
    <w:rsid w:val="00760689"/>
    <w:rsid w:val="00760A66"/>
    <w:rsid w:val="00760E00"/>
    <w:rsid w:val="00760E4F"/>
    <w:rsid w:val="0076108B"/>
    <w:rsid w:val="00761705"/>
    <w:rsid w:val="00761959"/>
    <w:rsid w:val="00761A0F"/>
    <w:rsid w:val="00761A5E"/>
    <w:rsid w:val="00761C67"/>
    <w:rsid w:val="00761DC8"/>
    <w:rsid w:val="00762103"/>
    <w:rsid w:val="007623D1"/>
    <w:rsid w:val="00762545"/>
    <w:rsid w:val="00762610"/>
    <w:rsid w:val="007626DF"/>
    <w:rsid w:val="0076278D"/>
    <w:rsid w:val="0076279B"/>
    <w:rsid w:val="0076282B"/>
    <w:rsid w:val="0076312F"/>
    <w:rsid w:val="00763295"/>
    <w:rsid w:val="00763621"/>
    <w:rsid w:val="00763A0D"/>
    <w:rsid w:val="00763A9C"/>
    <w:rsid w:val="00763BE4"/>
    <w:rsid w:val="00763C63"/>
    <w:rsid w:val="00763D42"/>
    <w:rsid w:val="00763F08"/>
    <w:rsid w:val="00763FE1"/>
    <w:rsid w:val="0076441D"/>
    <w:rsid w:val="00764595"/>
    <w:rsid w:val="007648DA"/>
    <w:rsid w:val="00765803"/>
    <w:rsid w:val="00765D9C"/>
    <w:rsid w:val="0076610F"/>
    <w:rsid w:val="00766270"/>
    <w:rsid w:val="00766CD8"/>
    <w:rsid w:val="007677A5"/>
    <w:rsid w:val="007678FE"/>
    <w:rsid w:val="0076798C"/>
    <w:rsid w:val="00767D04"/>
    <w:rsid w:val="00767E7F"/>
    <w:rsid w:val="00770056"/>
    <w:rsid w:val="007700F3"/>
    <w:rsid w:val="00770384"/>
    <w:rsid w:val="0077071D"/>
    <w:rsid w:val="00770A7F"/>
    <w:rsid w:val="0077109E"/>
    <w:rsid w:val="00771173"/>
    <w:rsid w:val="0077129A"/>
    <w:rsid w:val="00771352"/>
    <w:rsid w:val="00771386"/>
    <w:rsid w:val="007714A5"/>
    <w:rsid w:val="00771BCB"/>
    <w:rsid w:val="00772087"/>
    <w:rsid w:val="00772127"/>
    <w:rsid w:val="0077225C"/>
    <w:rsid w:val="00772295"/>
    <w:rsid w:val="0077266C"/>
    <w:rsid w:val="0077283C"/>
    <w:rsid w:val="00772B3A"/>
    <w:rsid w:val="007734A2"/>
    <w:rsid w:val="007734C0"/>
    <w:rsid w:val="00773635"/>
    <w:rsid w:val="0077377A"/>
    <w:rsid w:val="00773A85"/>
    <w:rsid w:val="00773AFF"/>
    <w:rsid w:val="00773E2F"/>
    <w:rsid w:val="00773FA1"/>
    <w:rsid w:val="00774170"/>
    <w:rsid w:val="00774448"/>
    <w:rsid w:val="00774AA7"/>
    <w:rsid w:val="00775093"/>
    <w:rsid w:val="00775258"/>
    <w:rsid w:val="007755FB"/>
    <w:rsid w:val="0077586E"/>
    <w:rsid w:val="007758D5"/>
    <w:rsid w:val="00775D28"/>
    <w:rsid w:val="00775F07"/>
    <w:rsid w:val="00775F0D"/>
    <w:rsid w:val="007762C6"/>
    <w:rsid w:val="00776798"/>
    <w:rsid w:val="00776DC4"/>
    <w:rsid w:val="00777206"/>
    <w:rsid w:val="00777480"/>
    <w:rsid w:val="0077772E"/>
    <w:rsid w:val="007778D1"/>
    <w:rsid w:val="007778F1"/>
    <w:rsid w:val="00777BB2"/>
    <w:rsid w:val="007800DA"/>
    <w:rsid w:val="00780238"/>
    <w:rsid w:val="007803C1"/>
    <w:rsid w:val="007803D8"/>
    <w:rsid w:val="0078049E"/>
    <w:rsid w:val="00780843"/>
    <w:rsid w:val="007809BB"/>
    <w:rsid w:val="0078119F"/>
    <w:rsid w:val="0078136B"/>
    <w:rsid w:val="00781868"/>
    <w:rsid w:val="0078193F"/>
    <w:rsid w:val="00781B61"/>
    <w:rsid w:val="007822D0"/>
    <w:rsid w:val="00782966"/>
    <w:rsid w:val="00782A0D"/>
    <w:rsid w:val="00782C94"/>
    <w:rsid w:val="0078340E"/>
    <w:rsid w:val="0078342E"/>
    <w:rsid w:val="00783519"/>
    <w:rsid w:val="007836C6"/>
    <w:rsid w:val="007837DB"/>
    <w:rsid w:val="00783B72"/>
    <w:rsid w:val="00783BFC"/>
    <w:rsid w:val="00783F01"/>
    <w:rsid w:val="00783FB0"/>
    <w:rsid w:val="00783FB2"/>
    <w:rsid w:val="00784057"/>
    <w:rsid w:val="00784176"/>
    <w:rsid w:val="007847CE"/>
    <w:rsid w:val="00784A47"/>
    <w:rsid w:val="00784BC4"/>
    <w:rsid w:val="00784D61"/>
    <w:rsid w:val="00784E42"/>
    <w:rsid w:val="00785128"/>
    <w:rsid w:val="007857C5"/>
    <w:rsid w:val="00786126"/>
    <w:rsid w:val="00786245"/>
    <w:rsid w:val="0078631A"/>
    <w:rsid w:val="007864D6"/>
    <w:rsid w:val="007867F9"/>
    <w:rsid w:val="007868B9"/>
    <w:rsid w:val="00786AB1"/>
    <w:rsid w:val="00786C04"/>
    <w:rsid w:val="00786EE2"/>
    <w:rsid w:val="007872A7"/>
    <w:rsid w:val="00787681"/>
    <w:rsid w:val="0078770B"/>
    <w:rsid w:val="0079003E"/>
    <w:rsid w:val="007901BE"/>
    <w:rsid w:val="0079069E"/>
    <w:rsid w:val="00790735"/>
    <w:rsid w:val="007908AB"/>
    <w:rsid w:val="00790A81"/>
    <w:rsid w:val="00790AFF"/>
    <w:rsid w:val="00790F2D"/>
    <w:rsid w:val="007915F7"/>
    <w:rsid w:val="007918A0"/>
    <w:rsid w:val="007919EE"/>
    <w:rsid w:val="00791AC2"/>
    <w:rsid w:val="00791BBA"/>
    <w:rsid w:val="00791BE1"/>
    <w:rsid w:val="00791D0E"/>
    <w:rsid w:val="00791D26"/>
    <w:rsid w:val="00791DBD"/>
    <w:rsid w:val="00791F15"/>
    <w:rsid w:val="00791F27"/>
    <w:rsid w:val="00792235"/>
    <w:rsid w:val="007924C2"/>
    <w:rsid w:val="007924E3"/>
    <w:rsid w:val="00792B08"/>
    <w:rsid w:val="00792B21"/>
    <w:rsid w:val="00792EE6"/>
    <w:rsid w:val="00792F7C"/>
    <w:rsid w:val="00793162"/>
    <w:rsid w:val="00793634"/>
    <w:rsid w:val="007936AF"/>
    <w:rsid w:val="00793807"/>
    <w:rsid w:val="00793B6E"/>
    <w:rsid w:val="00793C0C"/>
    <w:rsid w:val="007940CF"/>
    <w:rsid w:val="007943C5"/>
    <w:rsid w:val="00794829"/>
    <w:rsid w:val="007948A7"/>
    <w:rsid w:val="00794952"/>
    <w:rsid w:val="00794B2B"/>
    <w:rsid w:val="00794B68"/>
    <w:rsid w:val="00795465"/>
    <w:rsid w:val="00795707"/>
    <w:rsid w:val="007959DB"/>
    <w:rsid w:val="00796149"/>
    <w:rsid w:val="007962EB"/>
    <w:rsid w:val="007965AC"/>
    <w:rsid w:val="007966E8"/>
    <w:rsid w:val="00797D5D"/>
    <w:rsid w:val="00797E5C"/>
    <w:rsid w:val="007A0122"/>
    <w:rsid w:val="007A019C"/>
    <w:rsid w:val="007A03F6"/>
    <w:rsid w:val="007A053E"/>
    <w:rsid w:val="007A0B1F"/>
    <w:rsid w:val="007A0DF4"/>
    <w:rsid w:val="007A0FB5"/>
    <w:rsid w:val="007A10F6"/>
    <w:rsid w:val="007A172E"/>
    <w:rsid w:val="007A1817"/>
    <w:rsid w:val="007A196A"/>
    <w:rsid w:val="007A1BED"/>
    <w:rsid w:val="007A214A"/>
    <w:rsid w:val="007A243C"/>
    <w:rsid w:val="007A25FD"/>
    <w:rsid w:val="007A2809"/>
    <w:rsid w:val="007A2862"/>
    <w:rsid w:val="007A2896"/>
    <w:rsid w:val="007A2991"/>
    <w:rsid w:val="007A3290"/>
    <w:rsid w:val="007A39A5"/>
    <w:rsid w:val="007A3CAF"/>
    <w:rsid w:val="007A3D73"/>
    <w:rsid w:val="007A3F6B"/>
    <w:rsid w:val="007A4263"/>
    <w:rsid w:val="007A4831"/>
    <w:rsid w:val="007A4D29"/>
    <w:rsid w:val="007A5043"/>
    <w:rsid w:val="007A5772"/>
    <w:rsid w:val="007A5876"/>
    <w:rsid w:val="007A589F"/>
    <w:rsid w:val="007A5A8F"/>
    <w:rsid w:val="007A5BB1"/>
    <w:rsid w:val="007A5CB4"/>
    <w:rsid w:val="007A5F49"/>
    <w:rsid w:val="007A637D"/>
    <w:rsid w:val="007A678F"/>
    <w:rsid w:val="007A679E"/>
    <w:rsid w:val="007A6884"/>
    <w:rsid w:val="007A6C82"/>
    <w:rsid w:val="007A773E"/>
    <w:rsid w:val="007A7768"/>
    <w:rsid w:val="007A7F88"/>
    <w:rsid w:val="007B04E2"/>
    <w:rsid w:val="007B05DC"/>
    <w:rsid w:val="007B08B8"/>
    <w:rsid w:val="007B0918"/>
    <w:rsid w:val="007B09E6"/>
    <w:rsid w:val="007B0ED4"/>
    <w:rsid w:val="007B113D"/>
    <w:rsid w:val="007B13E2"/>
    <w:rsid w:val="007B1438"/>
    <w:rsid w:val="007B17E2"/>
    <w:rsid w:val="007B19A6"/>
    <w:rsid w:val="007B1BAD"/>
    <w:rsid w:val="007B1DA8"/>
    <w:rsid w:val="007B1EEF"/>
    <w:rsid w:val="007B2870"/>
    <w:rsid w:val="007B2AF7"/>
    <w:rsid w:val="007B2AFA"/>
    <w:rsid w:val="007B2B45"/>
    <w:rsid w:val="007B3165"/>
    <w:rsid w:val="007B3A5E"/>
    <w:rsid w:val="007B3A86"/>
    <w:rsid w:val="007B3B21"/>
    <w:rsid w:val="007B3C43"/>
    <w:rsid w:val="007B3DB0"/>
    <w:rsid w:val="007B3FD2"/>
    <w:rsid w:val="007B4554"/>
    <w:rsid w:val="007B48DD"/>
    <w:rsid w:val="007B494E"/>
    <w:rsid w:val="007B4A0C"/>
    <w:rsid w:val="007B4B6A"/>
    <w:rsid w:val="007B4BB3"/>
    <w:rsid w:val="007B4EDC"/>
    <w:rsid w:val="007B52EC"/>
    <w:rsid w:val="007B5448"/>
    <w:rsid w:val="007B58AF"/>
    <w:rsid w:val="007B596E"/>
    <w:rsid w:val="007B5A7D"/>
    <w:rsid w:val="007B5BE5"/>
    <w:rsid w:val="007B5C2D"/>
    <w:rsid w:val="007B5D29"/>
    <w:rsid w:val="007B611F"/>
    <w:rsid w:val="007B66CA"/>
    <w:rsid w:val="007B691A"/>
    <w:rsid w:val="007B69CE"/>
    <w:rsid w:val="007B7034"/>
    <w:rsid w:val="007B728D"/>
    <w:rsid w:val="007B7429"/>
    <w:rsid w:val="007B75E9"/>
    <w:rsid w:val="007B7635"/>
    <w:rsid w:val="007B76AC"/>
    <w:rsid w:val="007B7727"/>
    <w:rsid w:val="007B789A"/>
    <w:rsid w:val="007B7C7E"/>
    <w:rsid w:val="007B7C88"/>
    <w:rsid w:val="007B7DDD"/>
    <w:rsid w:val="007B7F6D"/>
    <w:rsid w:val="007B7F6E"/>
    <w:rsid w:val="007B7F74"/>
    <w:rsid w:val="007B7FA9"/>
    <w:rsid w:val="007B7FB7"/>
    <w:rsid w:val="007C047F"/>
    <w:rsid w:val="007C0E1E"/>
    <w:rsid w:val="007C10F4"/>
    <w:rsid w:val="007C12F9"/>
    <w:rsid w:val="007C134C"/>
    <w:rsid w:val="007C172C"/>
    <w:rsid w:val="007C1851"/>
    <w:rsid w:val="007C1AB4"/>
    <w:rsid w:val="007C1D99"/>
    <w:rsid w:val="007C1E2E"/>
    <w:rsid w:val="007C1E87"/>
    <w:rsid w:val="007C217E"/>
    <w:rsid w:val="007C2399"/>
    <w:rsid w:val="007C252E"/>
    <w:rsid w:val="007C253D"/>
    <w:rsid w:val="007C258D"/>
    <w:rsid w:val="007C25B6"/>
    <w:rsid w:val="007C27A3"/>
    <w:rsid w:val="007C27F9"/>
    <w:rsid w:val="007C28CF"/>
    <w:rsid w:val="007C2B61"/>
    <w:rsid w:val="007C302D"/>
    <w:rsid w:val="007C322F"/>
    <w:rsid w:val="007C3255"/>
    <w:rsid w:val="007C34A0"/>
    <w:rsid w:val="007C3554"/>
    <w:rsid w:val="007C3700"/>
    <w:rsid w:val="007C3EC4"/>
    <w:rsid w:val="007C3ED5"/>
    <w:rsid w:val="007C430B"/>
    <w:rsid w:val="007C456F"/>
    <w:rsid w:val="007C45B1"/>
    <w:rsid w:val="007C47E7"/>
    <w:rsid w:val="007C4BC5"/>
    <w:rsid w:val="007C4C7D"/>
    <w:rsid w:val="007C5516"/>
    <w:rsid w:val="007C5720"/>
    <w:rsid w:val="007C57A4"/>
    <w:rsid w:val="007C587F"/>
    <w:rsid w:val="007C5A7B"/>
    <w:rsid w:val="007C5AC4"/>
    <w:rsid w:val="007C5CAE"/>
    <w:rsid w:val="007C5D5A"/>
    <w:rsid w:val="007C5E57"/>
    <w:rsid w:val="007C622B"/>
    <w:rsid w:val="007C6364"/>
    <w:rsid w:val="007C6412"/>
    <w:rsid w:val="007C672C"/>
    <w:rsid w:val="007C6844"/>
    <w:rsid w:val="007C6B38"/>
    <w:rsid w:val="007C6F44"/>
    <w:rsid w:val="007C708A"/>
    <w:rsid w:val="007C71A1"/>
    <w:rsid w:val="007C71CC"/>
    <w:rsid w:val="007C73F9"/>
    <w:rsid w:val="007C73FB"/>
    <w:rsid w:val="007C7704"/>
    <w:rsid w:val="007C7CE2"/>
    <w:rsid w:val="007D0240"/>
    <w:rsid w:val="007D02F7"/>
    <w:rsid w:val="007D091A"/>
    <w:rsid w:val="007D0931"/>
    <w:rsid w:val="007D0CC0"/>
    <w:rsid w:val="007D0F64"/>
    <w:rsid w:val="007D100D"/>
    <w:rsid w:val="007D1334"/>
    <w:rsid w:val="007D159C"/>
    <w:rsid w:val="007D15C3"/>
    <w:rsid w:val="007D19CD"/>
    <w:rsid w:val="007D19F9"/>
    <w:rsid w:val="007D1C1D"/>
    <w:rsid w:val="007D1E75"/>
    <w:rsid w:val="007D1ED9"/>
    <w:rsid w:val="007D1FC8"/>
    <w:rsid w:val="007D2071"/>
    <w:rsid w:val="007D238C"/>
    <w:rsid w:val="007D2B05"/>
    <w:rsid w:val="007D2E42"/>
    <w:rsid w:val="007D3137"/>
    <w:rsid w:val="007D31A7"/>
    <w:rsid w:val="007D3294"/>
    <w:rsid w:val="007D3370"/>
    <w:rsid w:val="007D341D"/>
    <w:rsid w:val="007D3467"/>
    <w:rsid w:val="007D3870"/>
    <w:rsid w:val="007D3991"/>
    <w:rsid w:val="007D399B"/>
    <w:rsid w:val="007D3A40"/>
    <w:rsid w:val="007D3D35"/>
    <w:rsid w:val="007D3DF7"/>
    <w:rsid w:val="007D3E05"/>
    <w:rsid w:val="007D3ECF"/>
    <w:rsid w:val="007D4C1B"/>
    <w:rsid w:val="007D4F2B"/>
    <w:rsid w:val="007D51D8"/>
    <w:rsid w:val="007D51EE"/>
    <w:rsid w:val="007D5359"/>
    <w:rsid w:val="007D5A21"/>
    <w:rsid w:val="007D5C9E"/>
    <w:rsid w:val="007D5D0E"/>
    <w:rsid w:val="007D5E71"/>
    <w:rsid w:val="007D6189"/>
    <w:rsid w:val="007D67B7"/>
    <w:rsid w:val="007D6BFD"/>
    <w:rsid w:val="007D6CBE"/>
    <w:rsid w:val="007D6EC4"/>
    <w:rsid w:val="007D716A"/>
    <w:rsid w:val="007D7272"/>
    <w:rsid w:val="007D75FD"/>
    <w:rsid w:val="007D7B67"/>
    <w:rsid w:val="007E02ED"/>
    <w:rsid w:val="007E05BE"/>
    <w:rsid w:val="007E097C"/>
    <w:rsid w:val="007E0986"/>
    <w:rsid w:val="007E0AA8"/>
    <w:rsid w:val="007E0D1F"/>
    <w:rsid w:val="007E109B"/>
    <w:rsid w:val="007E1695"/>
    <w:rsid w:val="007E19EE"/>
    <w:rsid w:val="007E1B05"/>
    <w:rsid w:val="007E1F2B"/>
    <w:rsid w:val="007E1FD7"/>
    <w:rsid w:val="007E1FF0"/>
    <w:rsid w:val="007E219A"/>
    <w:rsid w:val="007E21C0"/>
    <w:rsid w:val="007E22CF"/>
    <w:rsid w:val="007E2427"/>
    <w:rsid w:val="007E245A"/>
    <w:rsid w:val="007E25E8"/>
    <w:rsid w:val="007E2639"/>
    <w:rsid w:val="007E2B14"/>
    <w:rsid w:val="007E2D3B"/>
    <w:rsid w:val="007E3064"/>
    <w:rsid w:val="007E33C8"/>
    <w:rsid w:val="007E351D"/>
    <w:rsid w:val="007E3FBF"/>
    <w:rsid w:val="007E41F4"/>
    <w:rsid w:val="007E42FB"/>
    <w:rsid w:val="007E451A"/>
    <w:rsid w:val="007E4F05"/>
    <w:rsid w:val="007E5130"/>
    <w:rsid w:val="007E5290"/>
    <w:rsid w:val="007E54B4"/>
    <w:rsid w:val="007E5785"/>
    <w:rsid w:val="007E57AF"/>
    <w:rsid w:val="007E5A7F"/>
    <w:rsid w:val="007E5C33"/>
    <w:rsid w:val="007E6079"/>
    <w:rsid w:val="007E6100"/>
    <w:rsid w:val="007E66D5"/>
    <w:rsid w:val="007E690E"/>
    <w:rsid w:val="007E6B4F"/>
    <w:rsid w:val="007E6BC5"/>
    <w:rsid w:val="007E6EA3"/>
    <w:rsid w:val="007E7197"/>
    <w:rsid w:val="007E779B"/>
    <w:rsid w:val="007E78E7"/>
    <w:rsid w:val="007E7A25"/>
    <w:rsid w:val="007E7E7B"/>
    <w:rsid w:val="007F00D8"/>
    <w:rsid w:val="007F076E"/>
    <w:rsid w:val="007F0DE4"/>
    <w:rsid w:val="007F0DE7"/>
    <w:rsid w:val="007F0FB4"/>
    <w:rsid w:val="007F1301"/>
    <w:rsid w:val="007F14E4"/>
    <w:rsid w:val="007F14EC"/>
    <w:rsid w:val="007F1625"/>
    <w:rsid w:val="007F162C"/>
    <w:rsid w:val="007F179A"/>
    <w:rsid w:val="007F1A7A"/>
    <w:rsid w:val="007F1C79"/>
    <w:rsid w:val="007F219E"/>
    <w:rsid w:val="007F2509"/>
    <w:rsid w:val="007F2802"/>
    <w:rsid w:val="007F2994"/>
    <w:rsid w:val="007F2EF6"/>
    <w:rsid w:val="007F33F0"/>
    <w:rsid w:val="007F352F"/>
    <w:rsid w:val="007F367D"/>
    <w:rsid w:val="007F3BB3"/>
    <w:rsid w:val="007F3DCA"/>
    <w:rsid w:val="007F3E3C"/>
    <w:rsid w:val="007F3E59"/>
    <w:rsid w:val="007F420E"/>
    <w:rsid w:val="007F46F5"/>
    <w:rsid w:val="007F4B94"/>
    <w:rsid w:val="007F4F3F"/>
    <w:rsid w:val="007F53BC"/>
    <w:rsid w:val="007F54CA"/>
    <w:rsid w:val="007F5660"/>
    <w:rsid w:val="007F5824"/>
    <w:rsid w:val="007F5AE9"/>
    <w:rsid w:val="007F5D04"/>
    <w:rsid w:val="007F61E9"/>
    <w:rsid w:val="007F63FA"/>
    <w:rsid w:val="007F643C"/>
    <w:rsid w:val="007F6446"/>
    <w:rsid w:val="007F671D"/>
    <w:rsid w:val="007F685B"/>
    <w:rsid w:val="007F6B21"/>
    <w:rsid w:val="007F6F2B"/>
    <w:rsid w:val="007F72FC"/>
    <w:rsid w:val="007F75EF"/>
    <w:rsid w:val="007F799F"/>
    <w:rsid w:val="007F7A34"/>
    <w:rsid w:val="007F7E12"/>
    <w:rsid w:val="007F7E2F"/>
    <w:rsid w:val="00800271"/>
    <w:rsid w:val="00800293"/>
    <w:rsid w:val="0080044E"/>
    <w:rsid w:val="00800C89"/>
    <w:rsid w:val="00800F23"/>
    <w:rsid w:val="00800FF7"/>
    <w:rsid w:val="00801331"/>
    <w:rsid w:val="00801738"/>
    <w:rsid w:val="00801858"/>
    <w:rsid w:val="008019E7"/>
    <w:rsid w:val="00801A40"/>
    <w:rsid w:val="008025C5"/>
    <w:rsid w:val="0080294A"/>
    <w:rsid w:val="00802B11"/>
    <w:rsid w:val="00802FF6"/>
    <w:rsid w:val="00803306"/>
    <w:rsid w:val="00803A2A"/>
    <w:rsid w:val="00803BDA"/>
    <w:rsid w:val="00803D62"/>
    <w:rsid w:val="0080471A"/>
    <w:rsid w:val="00804A95"/>
    <w:rsid w:val="00804AD0"/>
    <w:rsid w:val="00804E2F"/>
    <w:rsid w:val="00804FA0"/>
    <w:rsid w:val="00804FBD"/>
    <w:rsid w:val="00805338"/>
    <w:rsid w:val="0080554D"/>
    <w:rsid w:val="008059E9"/>
    <w:rsid w:val="00805E6E"/>
    <w:rsid w:val="00805E8D"/>
    <w:rsid w:val="008063CA"/>
    <w:rsid w:val="008064F5"/>
    <w:rsid w:val="00806885"/>
    <w:rsid w:val="008068C4"/>
    <w:rsid w:val="00806A09"/>
    <w:rsid w:val="00806B64"/>
    <w:rsid w:val="00806D2D"/>
    <w:rsid w:val="008071AB"/>
    <w:rsid w:val="00807328"/>
    <w:rsid w:val="0080773C"/>
    <w:rsid w:val="008077F8"/>
    <w:rsid w:val="008078C7"/>
    <w:rsid w:val="00807AB9"/>
    <w:rsid w:val="00807D72"/>
    <w:rsid w:val="00807E52"/>
    <w:rsid w:val="008101BB"/>
    <w:rsid w:val="00810240"/>
    <w:rsid w:val="0081047A"/>
    <w:rsid w:val="00810807"/>
    <w:rsid w:val="00810808"/>
    <w:rsid w:val="00810960"/>
    <w:rsid w:val="00810A8A"/>
    <w:rsid w:val="00810BDF"/>
    <w:rsid w:val="00811181"/>
    <w:rsid w:val="00811473"/>
    <w:rsid w:val="00811FDC"/>
    <w:rsid w:val="00812043"/>
    <w:rsid w:val="00812684"/>
    <w:rsid w:val="00812824"/>
    <w:rsid w:val="008128E1"/>
    <w:rsid w:val="00812AA8"/>
    <w:rsid w:val="00812C97"/>
    <w:rsid w:val="00813348"/>
    <w:rsid w:val="0081340E"/>
    <w:rsid w:val="00813507"/>
    <w:rsid w:val="00813530"/>
    <w:rsid w:val="00813755"/>
    <w:rsid w:val="00813968"/>
    <w:rsid w:val="008139A8"/>
    <w:rsid w:val="00813CA3"/>
    <w:rsid w:val="00814436"/>
    <w:rsid w:val="00814C96"/>
    <w:rsid w:val="00814CD2"/>
    <w:rsid w:val="00814D3D"/>
    <w:rsid w:val="00814F78"/>
    <w:rsid w:val="00815021"/>
    <w:rsid w:val="00815132"/>
    <w:rsid w:val="00815678"/>
    <w:rsid w:val="008157B2"/>
    <w:rsid w:val="00815DDA"/>
    <w:rsid w:val="00815E4E"/>
    <w:rsid w:val="00816058"/>
    <w:rsid w:val="00816065"/>
    <w:rsid w:val="008163B5"/>
    <w:rsid w:val="00816609"/>
    <w:rsid w:val="008169E9"/>
    <w:rsid w:val="00816A06"/>
    <w:rsid w:val="00816D8F"/>
    <w:rsid w:val="00816F9D"/>
    <w:rsid w:val="008172A3"/>
    <w:rsid w:val="008177C3"/>
    <w:rsid w:val="00817888"/>
    <w:rsid w:val="00820071"/>
    <w:rsid w:val="008201A7"/>
    <w:rsid w:val="0082031F"/>
    <w:rsid w:val="00820492"/>
    <w:rsid w:val="00820608"/>
    <w:rsid w:val="008208BC"/>
    <w:rsid w:val="008209A1"/>
    <w:rsid w:val="008209E3"/>
    <w:rsid w:val="00820A85"/>
    <w:rsid w:val="00820D72"/>
    <w:rsid w:val="00820D83"/>
    <w:rsid w:val="00820E95"/>
    <w:rsid w:val="00821171"/>
    <w:rsid w:val="008212D0"/>
    <w:rsid w:val="008214EE"/>
    <w:rsid w:val="00821854"/>
    <w:rsid w:val="0082196B"/>
    <w:rsid w:val="008219D6"/>
    <w:rsid w:val="00821A00"/>
    <w:rsid w:val="00821B2E"/>
    <w:rsid w:val="00821C75"/>
    <w:rsid w:val="00821F1B"/>
    <w:rsid w:val="00821FDD"/>
    <w:rsid w:val="0082242F"/>
    <w:rsid w:val="00822787"/>
    <w:rsid w:val="00822B15"/>
    <w:rsid w:val="00823387"/>
    <w:rsid w:val="0082353F"/>
    <w:rsid w:val="00823720"/>
    <w:rsid w:val="00823B26"/>
    <w:rsid w:val="00824292"/>
    <w:rsid w:val="00824420"/>
    <w:rsid w:val="008246AA"/>
    <w:rsid w:val="008246D3"/>
    <w:rsid w:val="0082481B"/>
    <w:rsid w:val="00824CC0"/>
    <w:rsid w:val="00824DAC"/>
    <w:rsid w:val="00824E4E"/>
    <w:rsid w:val="00825404"/>
    <w:rsid w:val="008256E6"/>
    <w:rsid w:val="008256F4"/>
    <w:rsid w:val="00825874"/>
    <w:rsid w:val="00825929"/>
    <w:rsid w:val="00825CF1"/>
    <w:rsid w:val="00825F54"/>
    <w:rsid w:val="00826086"/>
    <w:rsid w:val="00826342"/>
    <w:rsid w:val="00826866"/>
    <w:rsid w:val="00826C7D"/>
    <w:rsid w:val="00826CEF"/>
    <w:rsid w:val="00826CFE"/>
    <w:rsid w:val="00826DED"/>
    <w:rsid w:val="008279B8"/>
    <w:rsid w:val="00827BB5"/>
    <w:rsid w:val="00827DDC"/>
    <w:rsid w:val="00827FE3"/>
    <w:rsid w:val="0083001E"/>
    <w:rsid w:val="008300AA"/>
    <w:rsid w:val="008301E2"/>
    <w:rsid w:val="008307D9"/>
    <w:rsid w:val="00830AFB"/>
    <w:rsid w:val="00830B8D"/>
    <w:rsid w:val="00830DCA"/>
    <w:rsid w:val="00830DDE"/>
    <w:rsid w:val="00831060"/>
    <w:rsid w:val="008315AC"/>
    <w:rsid w:val="00831B5A"/>
    <w:rsid w:val="00831C39"/>
    <w:rsid w:val="0083213F"/>
    <w:rsid w:val="008321C6"/>
    <w:rsid w:val="00832222"/>
    <w:rsid w:val="008325A9"/>
    <w:rsid w:val="00832A02"/>
    <w:rsid w:val="00832D5B"/>
    <w:rsid w:val="008332FC"/>
    <w:rsid w:val="00833529"/>
    <w:rsid w:val="0083377D"/>
    <w:rsid w:val="00833DDE"/>
    <w:rsid w:val="00833F22"/>
    <w:rsid w:val="008340D8"/>
    <w:rsid w:val="008341CE"/>
    <w:rsid w:val="00834409"/>
    <w:rsid w:val="008344ED"/>
    <w:rsid w:val="00834AFD"/>
    <w:rsid w:val="00834BCC"/>
    <w:rsid w:val="00834CF0"/>
    <w:rsid w:val="00834EF0"/>
    <w:rsid w:val="00834FF4"/>
    <w:rsid w:val="00835583"/>
    <w:rsid w:val="00835C70"/>
    <w:rsid w:val="00835FD6"/>
    <w:rsid w:val="008364E1"/>
    <w:rsid w:val="0083667A"/>
    <w:rsid w:val="008367F0"/>
    <w:rsid w:val="00836C27"/>
    <w:rsid w:val="0083720B"/>
    <w:rsid w:val="0083725A"/>
    <w:rsid w:val="008372CE"/>
    <w:rsid w:val="008375E2"/>
    <w:rsid w:val="0083763F"/>
    <w:rsid w:val="00837933"/>
    <w:rsid w:val="00837EFA"/>
    <w:rsid w:val="00837FB3"/>
    <w:rsid w:val="00840165"/>
    <w:rsid w:val="00840281"/>
    <w:rsid w:val="00840476"/>
    <w:rsid w:val="008407EC"/>
    <w:rsid w:val="00840841"/>
    <w:rsid w:val="008409BB"/>
    <w:rsid w:val="00840E38"/>
    <w:rsid w:val="00840F30"/>
    <w:rsid w:val="00840FAD"/>
    <w:rsid w:val="00841173"/>
    <w:rsid w:val="008413C2"/>
    <w:rsid w:val="0084157C"/>
    <w:rsid w:val="00841BA4"/>
    <w:rsid w:val="00841C82"/>
    <w:rsid w:val="00841CB1"/>
    <w:rsid w:val="00842018"/>
    <w:rsid w:val="008424DF"/>
    <w:rsid w:val="00842A27"/>
    <w:rsid w:val="00842D24"/>
    <w:rsid w:val="00843167"/>
    <w:rsid w:val="00843274"/>
    <w:rsid w:val="0084351A"/>
    <w:rsid w:val="00843889"/>
    <w:rsid w:val="00843975"/>
    <w:rsid w:val="008445FD"/>
    <w:rsid w:val="008449E5"/>
    <w:rsid w:val="00844C8C"/>
    <w:rsid w:val="00844CAD"/>
    <w:rsid w:val="00845182"/>
    <w:rsid w:val="008454C1"/>
    <w:rsid w:val="00845B7B"/>
    <w:rsid w:val="00845D28"/>
    <w:rsid w:val="0084603F"/>
    <w:rsid w:val="00846126"/>
    <w:rsid w:val="008465C5"/>
    <w:rsid w:val="008467B3"/>
    <w:rsid w:val="00846950"/>
    <w:rsid w:val="00846BFF"/>
    <w:rsid w:val="00846C5D"/>
    <w:rsid w:val="00846C89"/>
    <w:rsid w:val="00846DB7"/>
    <w:rsid w:val="00846F63"/>
    <w:rsid w:val="00846FB4"/>
    <w:rsid w:val="0084722B"/>
    <w:rsid w:val="0084771F"/>
    <w:rsid w:val="008478DB"/>
    <w:rsid w:val="00847B67"/>
    <w:rsid w:val="00847E8B"/>
    <w:rsid w:val="008500A0"/>
    <w:rsid w:val="008501FF"/>
    <w:rsid w:val="008505CB"/>
    <w:rsid w:val="008505FA"/>
    <w:rsid w:val="00850725"/>
    <w:rsid w:val="00850955"/>
    <w:rsid w:val="00850B6D"/>
    <w:rsid w:val="00850BD6"/>
    <w:rsid w:val="00850E56"/>
    <w:rsid w:val="00850EAC"/>
    <w:rsid w:val="0085111E"/>
    <w:rsid w:val="00851410"/>
    <w:rsid w:val="008515CA"/>
    <w:rsid w:val="00851A01"/>
    <w:rsid w:val="00851A7A"/>
    <w:rsid w:val="0085200A"/>
    <w:rsid w:val="0085204E"/>
    <w:rsid w:val="00852462"/>
    <w:rsid w:val="0085296B"/>
    <w:rsid w:val="008530CB"/>
    <w:rsid w:val="00853B7C"/>
    <w:rsid w:val="00853B9D"/>
    <w:rsid w:val="00853C8D"/>
    <w:rsid w:val="00853D8C"/>
    <w:rsid w:val="008540E4"/>
    <w:rsid w:val="00854175"/>
    <w:rsid w:val="00854268"/>
    <w:rsid w:val="008542BD"/>
    <w:rsid w:val="00854399"/>
    <w:rsid w:val="008543A9"/>
    <w:rsid w:val="00854438"/>
    <w:rsid w:val="00854BEF"/>
    <w:rsid w:val="00854C3D"/>
    <w:rsid w:val="00854D24"/>
    <w:rsid w:val="00854D29"/>
    <w:rsid w:val="00854DDB"/>
    <w:rsid w:val="00854F91"/>
    <w:rsid w:val="00854FF9"/>
    <w:rsid w:val="0085511E"/>
    <w:rsid w:val="0085599D"/>
    <w:rsid w:val="00855D32"/>
    <w:rsid w:val="00856257"/>
    <w:rsid w:val="00856342"/>
    <w:rsid w:val="00856487"/>
    <w:rsid w:val="008567B5"/>
    <w:rsid w:val="00856B6C"/>
    <w:rsid w:val="00856C7D"/>
    <w:rsid w:val="00856FDC"/>
    <w:rsid w:val="00857101"/>
    <w:rsid w:val="0085713F"/>
    <w:rsid w:val="008573C2"/>
    <w:rsid w:val="008574A9"/>
    <w:rsid w:val="00857AD2"/>
    <w:rsid w:val="00857C36"/>
    <w:rsid w:val="00857C40"/>
    <w:rsid w:val="00857CD3"/>
    <w:rsid w:val="008602FA"/>
    <w:rsid w:val="00860309"/>
    <w:rsid w:val="00860336"/>
    <w:rsid w:val="00860495"/>
    <w:rsid w:val="0086051A"/>
    <w:rsid w:val="00860C5E"/>
    <w:rsid w:val="00860CDD"/>
    <w:rsid w:val="00860EF3"/>
    <w:rsid w:val="00860FA2"/>
    <w:rsid w:val="0086101C"/>
    <w:rsid w:val="008615F8"/>
    <w:rsid w:val="00861D9D"/>
    <w:rsid w:val="00861E2C"/>
    <w:rsid w:val="00861ED5"/>
    <w:rsid w:val="0086243A"/>
    <w:rsid w:val="00862784"/>
    <w:rsid w:val="008627F9"/>
    <w:rsid w:val="008628D2"/>
    <w:rsid w:val="008628DA"/>
    <w:rsid w:val="00862D45"/>
    <w:rsid w:val="008630ED"/>
    <w:rsid w:val="008635EB"/>
    <w:rsid w:val="0086371E"/>
    <w:rsid w:val="00863AFE"/>
    <w:rsid w:val="00863C8F"/>
    <w:rsid w:val="00863DDE"/>
    <w:rsid w:val="00863F1B"/>
    <w:rsid w:val="008641C1"/>
    <w:rsid w:val="008643C3"/>
    <w:rsid w:val="0086448E"/>
    <w:rsid w:val="00864AB6"/>
    <w:rsid w:val="00864C6B"/>
    <w:rsid w:val="00864CEA"/>
    <w:rsid w:val="0086502D"/>
    <w:rsid w:val="008650F2"/>
    <w:rsid w:val="00865220"/>
    <w:rsid w:val="008654AF"/>
    <w:rsid w:val="00865760"/>
    <w:rsid w:val="00865793"/>
    <w:rsid w:val="008657AA"/>
    <w:rsid w:val="00865B93"/>
    <w:rsid w:val="00865BCE"/>
    <w:rsid w:val="00866332"/>
    <w:rsid w:val="00866673"/>
    <w:rsid w:val="00866946"/>
    <w:rsid w:val="00866B94"/>
    <w:rsid w:val="00866C2F"/>
    <w:rsid w:val="0086741D"/>
    <w:rsid w:val="008675E7"/>
    <w:rsid w:val="00867620"/>
    <w:rsid w:val="00867AB0"/>
    <w:rsid w:val="00867E4C"/>
    <w:rsid w:val="00867ED8"/>
    <w:rsid w:val="00867F9E"/>
    <w:rsid w:val="008700BE"/>
    <w:rsid w:val="00870222"/>
    <w:rsid w:val="008704F6"/>
    <w:rsid w:val="0087050B"/>
    <w:rsid w:val="008705F9"/>
    <w:rsid w:val="008706D4"/>
    <w:rsid w:val="00870755"/>
    <w:rsid w:val="008707DB"/>
    <w:rsid w:val="0087083A"/>
    <w:rsid w:val="008709A8"/>
    <w:rsid w:val="00870A6D"/>
    <w:rsid w:val="00870B8F"/>
    <w:rsid w:val="00870C11"/>
    <w:rsid w:val="00870C56"/>
    <w:rsid w:val="00870D08"/>
    <w:rsid w:val="0087127D"/>
    <w:rsid w:val="008713E7"/>
    <w:rsid w:val="00871662"/>
    <w:rsid w:val="00871D12"/>
    <w:rsid w:val="00871F82"/>
    <w:rsid w:val="008720DF"/>
    <w:rsid w:val="008728FD"/>
    <w:rsid w:val="00872ACB"/>
    <w:rsid w:val="00872CB9"/>
    <w:rsid w:val="00872FFC"/>
    <w:rsid w:val="0087301D"/>
    <w:rsid w:val="00873041"/>
    <w:rsid w:val="0087313D"/>
    <w:rsid w:val="008731CC"/>
    <w:rsid w:val="00873502"/>
    <w:rsid w:val="00873966"/>
    <w:rsid w:val="008739AB"/>
    <w:rsid w:val="00873D79"/>
    <w:rsid w:val="00873E86"/>
    <w:rsid w:val="0087419F"/>
    <w:rsid w:val="008741BC"/>
    <w:rsid w:val="00874319"/>
    <w:rsid w:val="00874658"/>
    <w:rsid w:val="00874B17"/>
    <w:rsid w:val="00874BD0"/>
    <w:rsid w:val="0087521D"/>
    <w:rsid w:val="008753EF"/>
    <w:rsid w:val="008753F1"/>
    <w:rsid w:val="008756D9"/>
    <w:rsid w:val="00875800"/>
    <w:rsid w:val="008758B4"/>
    <w:rsid w:val="00875975"/>
    <w:rsid w:val="00875A72"/>
    <w:rsid w:val="00875B90"/>
    <w:rsid w:val="00876040"/>
    <w:rsid w:val="0087609E"/>
    <w:rsid w:val="00876410"/>
    <w:rsid w:val="008764FD"/>
    <w:rsid w:val="008767F0"/>
    <w:rsid w:val="00877176"/>
    <w:rsid w:val="0087730E"/>
    <w:rsid w:val="00877956"/>
    <w:rsid w:val="008779FD"/>
    <w:rsid w:val="00877D21"/>
    <w:rsid w:val="00877D8A"/>
    <w:rsid w:val="00880532"/>
    <w:rsid w:val="0088053D"/>
    <w:rsid w:val="0088094E"/>
    <w:rsid w:val="00880A11"/>
    <w:rsid w:val="00880ABF"/>
    <w:rsid w:val="00880BA5"/>
    <w:rsid w:val="00880C1E"/>
    <w:rsid w:val="0088135F"/>
    <w:rsid w:val="008813DE"/>
    <w:rsid w:val="00881663"/>
    <w:rsid w:val="00882269"/>
    <w:rsid w:val="008822DC"/>
    <w:rsid w:val="008822E2"/>
    <w:rsid w:val="00882677"/>
    <w:rsid w:val="00882748"/>
    <w:rsid w:val="00882A91"/>
    <w:rsid w:val="0088315D"/>
    <w:rsid w:val="008834AA"/>
    <w:rsid w:val="008836F4"/>
    <w:rsid w:val="00883B2E"/>
    <w:rsid w:val="00883C6E"/>
    <w:rsid w:val="00883C8A"/>
    <w:rsid w:val="00883D44"/>
    <w:rsid w:val="00883E15"/>
    <w:rsid w:val="008840CA"/>
    <w:rsid w:val="00884250"/>
    <w:rsid w:val="00884563"/>
    <w:rsid w:val="00884B7A"/>
    <w:rsid w:val="00884D5B"/>
    <w:rsid w:val="00884FD4"/>
    <w:rsid w:val="00884FEC"/>
    <w:rsid w:val="00885328"/>
    <w:rsid w:val="008854C6"/>
    <w:rsid w:val="00885860"/>
    <w:rsid w:val="008858E9"/>
    <w:rsid w:val="00885AE3"/>
    <w:rsid w:val="00885B07"/>
    <w:rsid w:val="00885C59"/>
    <w:rsid w:val="00885C7B"/>
    <w:rsid w:val="008868EF"/>
    <w:rsid w:val="008868F8"/>
    <w:rsid w:val="00886A37"/>
    <w:rsid w:val="00886DFA"/>
    <w:rsid w:val="00886EE6"/>
    <w:rsid w:val="00886F48"/>
    <w:rsid w:val="00887137"/>
    <w:rsid w:val="00887261"/>
    <w:rsid w:val="00887489"/>
    <w:rsid w:val="00887535"/>
    <w:rsid w:val="008879F5"/>
    <w:rsid w:val="00887D15"/>
    <w:rsid w:val="00887D39"/>
    <w:rsid w:val="00887E4E"/>
    <w:rsid w:val="008904C2"/>
    <w:rsid w:val="00890B06"/>
    <w:rsid w:val="00890B5E"/>
    <w:rsid w:val="008910FF"/>
    <w:rsid w:val="008911CE"/>
    <w:rsid w:val="00891587"/>
    <w:rsid w:val="008916DC"/>
    <w:rsid w:val="008917DC"/>
    <w:rsid w:val="00891872"/>
    <w:rsid w:val="0089189A"/>
    <w:rsid w:val="0089209E"/>
    <w:rsid w:val="0089216D"/>
    <w:rsid w:val="008927C4"/>
    <w:rsid w:val="00892C23"/>
    <w:rsid w:val="0089322B"/>
    <w:rsid w:val="008932EC"/>
    <w:rsid w:val="008933AA"/>
    <w:rsid w:val="008935AF"/>
    <w:rsid w:val="00893A49"/>
    <w:rsid w:val="00893CF2"/>
    <w:rsid w:val="00893DB9"/>
    <w:rsid w:val="00893DE0"/>
    <w:rsid w:val="00893EE2"/>
    <w:rsid w:val="00894021"/>
    <w:rsid w:val="0089403A"/>
    <w:rsid w:val="008944FB"/>
    <w:rsid w:val="008946B8"/>
    <w:rsid w:val="00894C1B"/>
    <w:rsid w:val="00895777"/>
    <w:rsid w:val="00895908"/>
    <w:rsid w:val="00895913"/>
    <w:rsid w:val="00895A7D"/>
    <w:rsid w:val="00895CFC"/>
    <w:rsid w:val="00896124"/>
    <w:rsid w:val="00896201"/>
    <w:rsid w:val="008964B3"/>
    <w:rsid w:val="0089655E"/>
    <w:rsid w:val="0089661E"/>
    <w:rsid w:val="00896621"/>
    <w:rsid w:val="0089683D"/>
    <w:rsid w:val="00896A27"/>
    <w:rsid w:val="00896AED"/>
    <w:rsid w:val="00896C55"/>
    <w:rsid w:val="00896D27"/>
    <w:rsid w:val="008970E4"/>
    <w:rsid w:val="0089718F"/>
    <w:rsid w:val="00897198"/>
    <w:rsid w:val="008971CB"/>
    <w:rsid w:val="00897927"/>
    <w:rsid w:val="00897A48"/>
    <w:rsid w:val="008A00EB"/>
    <w:rsid w:val="008A07F6"/>
    <w:rsid w:val="008A0926"/>
    <w:rsid w:val="008A0E60"/>
    <w:rsid w:val="008A103C"/>
    <w:rsid w:val="008A1048"/>
    <w:rsid w:val="008A10D7"/>
    <w:rsid w:val="008A1566"/>
    <w:rsid w:val="008A1674"/>
    <w:rsid w:val="008A1909"/>
    <w:rsid w:val="008A1935"/>
    <w:rsid w:val="008A19C5"/>
    <w:rsid w:val="008A1BA6"/>
    <w:rsid w:val="008A200C"/>
    <w:rsid w:val="008A22C4"/>
    <w:rsid w:val="008A230A"/>
    <w:rsid w:val="008A26CE"/>
    <w:rsid w:val="008A2859"/>
    <w:rsid w:val="008A2C57"/>
    <w:rsid w:val="008A2D3C"/>
    <w:rsid w:val="008A3110"/>
    <w:rsid w:val="008A3658"/>
    <w:rsid w:val="008A383B"/>
    <w:rsid w:val="008A3DC4"/>
    <w:rsid w:val="008A3DC5"/>
    <w:rsid w:val="008A439F"/>
    <w:rsid w:val="008A460B"/>
    <w:rsid w:val="008A4616"/>
    <w:rsid w:val="008A4644"/>
    <w:rsid w:val="008A47B8"/>
    <w:rsid w:val="008A4E91"/>
    <w:rsid w:val="008A4FAA"/>
    <w:rsid w:val="008A50E0"/>
    <w:rsid w:val="008A50F0"/>
    <w:rsid w:val="008A514F"/>
    <w:rsid w:val="008A5176"/>
    <w:rsid w:val="008A53EC"/>
    <w:rsid w:val="008A5473"/>
    <w:rsid w:val="008A561C"/>
    <w:rsid w:val="008A5847"/>
    <w:rsid w:val="008A5AA5"/>
    <w:rsid w:val="008A5E86"/>
    <w:rsid w:val="008A5F70"/>
    <w:rsid w:val="008A618E"/>
    <w:rsid w:val="008A691E"/>
    <w:rsid w:val="008A6C65"/>
    <w:rsid w:val="008A6F7B"/>
    <w:rsid w:val="008A711C"/>
    <w:rsid w:val="008A71FF"/>
    <w:rsid w:val="008A79FF"/>
    <w:rsid w:val="008A7C00"/>
    <w:rsid w:val="008A7D8E"/>
    <w:rsid w:val="008B0B47"/>
    <w:rsid w:val="008B0ED4"/>
    <w:rsid w:val="008B0F58"/>
    <w:rsid w:val="008B0FA2"/>
    <w:rsid w:val="008B1158"/>
    <w:rsid w:val="008B11F7"/>
    <w:rsid w:val="008B1406"/>
    <w:rsid w:val="008B1874"/>
    <w:rsid w:val="008B1945"/>
    <w:rsid w:val="008B21E5"/>
    <w:rsid w:val="008B228C"/>
    <w:rsid w:val="008B2AA0"/>
    <w:rsid w:val="008B2C35"/>
    <w:rsid w:val="008B2D67"/>
    <w:rsid w:val="008B2E4D"/>
    <w:rsid w:val="008B2EB4"/>
    <w:rsid w:val="008B3732"/>
    <w:rsid w:val="008B3C16"/>
    <w:rsid w:val="008B3DAD"/>
    <w:rsid w:val="008B3DE7"/>
    <w:rsid w:val="008B425B"/>
    <w:rsid w:val="008B42DA"/>
    <w:rsid w:val="008B458A"/>
    <w:rsid w:val="008B4D95"/>
    <w:rsid w:val="008B5262"/>
    <w:rsid w:val="008B532C"/>
    <w:rsid w:val="008B533F"/>
    <w:rsid w:val="008B541A"/>
    <w:rsid w:val="008B55A5"/>
    <w:rsid w:val="008B5796"/>
    <w:rsid w:val="008B58B0"/>
    <w:rsid w:val="008B5B6B"/>
    <w:rsid w:val="008B5C15"/>
    <w:rsid w:val="008B5D56"/>
    <w:rsid w:val="008B608C"/>
    <w:rsid w:val="008B60F3"/>
    <w:rsid w:val="008B62C2"/>
    <w:rsid w:val="008B62FF"/>
    <w:rsid w:val="008B6467"/>
    <w:rsid w:val="008B672E"/>
    <w:rsid w:val="008B6F93"/>
    <w:rsid w:val="008B70BD"/>
    <w:rsid w:val="008B728D"/>
    <w:rsid w:val="008B72E1"/>
    <w:rsid w:val="008B74AE"/>
    <w:rsid w:val="008B7703"/>
    <w:rsid w:val="008B7837"/>
    <w:rsid w:val="008B7C17"/>
    <w:rsid w:val="008C00AD"/>
    <w:rsid w:val="008C02F0"/>
    <w:rsid w:val="008C0800"/>
    <w:rsid w:val="008C0A19"/>
    <w:rsid w:val="008C0CAF"/>
    <w:rsid w:val="008C0D3D"/>
    <w:rsid w:val="008C1382"/>
    <w:rsid w:val="008C1653"/>
    <w:rsid w:val="008C173F"/>
    <w:rsid w:val="008C19F5"/>
    <w:rsid w:val="008C1B29"/>
    <w:rsid w:val="008C1D1D"/>
    <w:rsid w:val="008C1FBD"/>
    <w:rsid w:val="008C22AC"/>
    <w:rsid w:val="008C22DF"/>
    <w:rsid w:val="008C2370"/>
    <w:rsid w:val="008C2598"/>
    <w:rsid w:val="008C25A7"/>
    <w:rsid w:val="008C2647"/>
    <w:rsid w:val="008C316F"/>
    <w:rsid w:val="008C31DD"/>
    <w:rsid w:val="008C328D"/>
    <w:rsid w:val="008C3648"/>
    <w:rsid w:val="008C3B84"/>
    <w:rsid w:val="008C3D69"/>
    <w:rsid w:val="008C4052"/>
    <w:rsid w:val="008C443A"/>
    <w:rsid w:val="008C4760"/>
    <w:rsid w:val="008C4AC0"/>
    <w:rsid w:val="008C4F5C"/>
    <w:rsid w:val="008C4F5F"/>
    <w:rsid w:val="008C4FC0"/>
    <w:rsid w:val="008C4FC9"/>
    <w:rsid w:val="008C50E3"/>
    <w:rsid w:val="008C54F6"/>
    <w:rsid w:val="008C57A5"/>
    <w:rsid w:val="008C57CD"/>
    <w:rsid w:val="008C59DB"/>
    <w:rsid w:val="008C5C35"/>
    <w:rsid w:val="008C5C59"/>
    <w:rsid w:val="008C61B4"/>
    <w:rsid w:val="008C650B"/>
    <w:rsid w:val="008C68EF"/>
    <w:rsid w:val="008C6923"/>
    <w:rsid w:val="008C69B3"/>
    <w:rsid w:val="008C6ACF"/>
    <w:rsid w:val="008C6BE2"/>
    <w:rsid w:val="008C6E74"/>
    <w:rsid w:val="008C73C7"/>
    <w:rsid w:val="008C7B7F"/>
    <w:rsid w:val="008C7D4B"/>
    <w:rsid w:val="008D00BC"/>
    <w:rsid w:val="008D014E"/>
    <w:rsid w:val="008D0276"/>
    <w:rsid w:val="008D0569"/>
    <w:rsid w:val="008D08A4"/>
    <w:rsid w:val="008D0FB4"/>
    <w:rsid w:val="008D10EB"/>
    <w:rsid w:val="008D1461"/>
    <w:rsid w:val="008D1838"/>
    <w:rsid w:val="008D1B8B"/>
    <w:rsid w:val="008D1C39"/>
    <w:rsid w:val="008D1C88"/>
    <w:rsid w:val="008D2022"/>
    <w:rsid w:val="008D25A0"/>
    <w:rsid w:val="008D25BB"/>
    <w:rsid w:val="008D292F"/>
    <w:rsid w:val="008D2AF6"/>
    <w:rsid w:val="008D2BE4"/>
    <w:rsid w:val="008D3256"/>
    <w:rsid w:val="008D3276"/>
    <w:rsid w:val="008D3614"/>
    <w:rsid w:val="008D3785"/>
    <w:rsid w:val="008D3C07"/>
    <w:rsid w:val="008D3D20"/>
    <w:rsid w:val="008D3EED"/>
    <w:rsid w:val="008D401D"/>
    <w:rsid w:val="008D4077"/>
    <w:rsid w:val="008D46EA"/>
    <w:rsid w:val="008D4A3E"/>
    <w:rsid w:val="008D4D8A"/>
    <w:rsid w:val="008D4E33"/>
    <w:rsid w:val="008D4E4E"/>
    <w:rsid w:val="008D50C1"/>
    <w:rsid w:val="008D53A3"/>
    <w:rsid w:val="008D541D"/>
    <w:rsid w:val="008D57CF"/>
    <w:rsid w:val="008D5B97"/>
    <w:rsid w:val="008D5C00"/>
    <w:rsid w:val="008D5D6D"/>
    <w:rsid w:val="008D63C5"/>
    <w:rsid w:val="008D681D"/>
    <w:rsid w:val="008D69EA"/>
    <w:rsid w:val="008D6A68"/>
    <w:rsid w:val="008D6E5D"/>
    <w:rsid w:val="008D6E7B"/>
    <w:rsid w:val="008D72F0"/>
    <w:rsid w:val="008D75E1"/>
    <w:rsid w:val="008D7645"/>
    <w:rsid w:val="008D7A1C"/>
    <w:rsid w:val="008D7BB5"/>
    <w:rsid w:val="008D7DAD"/>
    <w:rsid w:val="008E040D"/>
    <w:rsid w:val="008E0933"/>
    <w:rsid w:val="008E1077"/>
    <w:rsid w:val="008E1644"/>
    <w:rsid w:val="008E20C6"/>
    <w:rsid w:val="008E223D"/>
    <w:rsid w:val="008E2675"/>
    <w:rsid w:val="008E29E6"/>
    <w:rsid w:val="008E2B9B"/>
    <w:rsid w:val="008E2C4A"/>
    <w:rsid w:val="008E2DA9"/>
    <w:rsid w:val="008E336A"/>
    <w:rsid w:val="008E38E3"/>
    <w:rsid w:val="008E3928"/>
    <w:rsid w:val="008E395E"/>
    <w:rsid w:val="008E3967"/>
    <w:rsid w:val="008E3C3E"/>
    <w:rsid w:val="008E3FCA"/>
    <w:rsid w:val="008E4188"/>
    <w:rsid w:val="008E425E"/>
    <w:rsid w:val="008E455F"/>
    <w:rsid w:val="008E45E4"/>
    <w:rsid w:val="008E4649"/>
    <w:rsid w:val="008E4650"/>
    <w:rsid w:val="008E46FE"/>
    <w:rsid w:val="008E478A"/>
    <w:rsid w:val="008E48AE"/>
    <w:rsid w:val="008E4A4D"/>
    <w:rsid w:val="008E4CB3"/>
    <w:rsid w:val="008E5724"/>
    <w:rsid w:val="008E5AF1"/>
    <w:rsid w:val="008E5C3B"/>
    <w:rsid w:val="008E5F6C"/>
    <w:rsid w:val="008E60D6"/>
    <w:rsid w:val="008E6109"/>
    <w:rsid w:val="008E6204"/>
    <w:rsid w:val="008E621A"/>
    <w:rsid w:val="008E62C0"/>
    <w:rsid w:val="008E63B7"/>
    <w:rsid w:val="008E6618"/>
    <w:rsid w:val="008E669A"/>
    <w:rsid w:val="008E6C55"/>
    <w:rsid w:val="008E6D9B"/>
    <w:rsid w:val="008E6DFE"/>
    <w:rsid w:val="008E6EB6"/>
    <w:rsid w:val="008E7574"/>
    <w:rsid w:val="008E7724"/>
    <w:rsid w:val="008E796E"/>
    <w:rsid w:val="008E7D40"/>
    <w:rsid w:val="008E7E4A"/>
    <w:rsid w:val="008E7F24"/>
    <w:rsid w:val="008F0318"/>
    <w:rsid w:val="008F06ED"/>
    <w:rsid w:val="008F09D7"/>
    <w:rsid w:val="008F1E59"/>
    <w:rsid w:val="008F21B2"/>
    <w:rsid w:val="008F25C5"/>
    <w:rsid w:val="008F2781"/>
    <w:rsid w:val="008F28C1"/>
    <w:rsid w:val="008F2CD8"/>
    <w:rsid w:val="008F2D14"/>
    <w:rsid w:val="008F2D29"/>
    <w:rsid w:val="008F355A"/>
    <w:rsid w:val="008F3676"/>
    <w:rsid w:val="008F3957"/>
    <w:rsid w:val="008F416A"/>
    <w:rsid w:val="008F4283"/>
    <w:rsid w:val="008F455E"/>
    <w:rsid w:val="008F4C23"/>
    <w:rsid w:val="008F5176"/>
    <w:rsid w:val="008F5310"/>
    <w:rsid w:val="008F54DD"/>
    <w:rsid w:val="008F5B33"/>
    <w:rsid w:val="008F5B77"/>
    <w:rsid w:val="008F5F55"/>
    <w:rsid w:val="008F5FA5"/>
    <w:rsid w:val="008F6147"/>
    <w:rsid w:val="008F6429"/>
    <w:rsid w:val="008F6536"/>
    <w:rsid w:val="008F657C"/>
    <w:rsid w:val="008F6958"/>
    <w:rsid w:val="008F6972"/>
    <w:rsid w:val="008F6BC0"/>
    <w:rsid w:val="008F6C40"/>
    <w:rsid w:val="008F6F78"/>
    <w:rsid w:val="008F7007"/>
    <w:rsid w:val="008F732C"/>
    <w:rsid w:val="008F75CA"/>
    <w:rsid w:val="008F76A9"/>
    <w:rsid w:val="008F7910"/>
    <w:rsid w:val="008F7BAE"/>
    <w:rsid w:val="008F7BEE"/>
    <w:rsid w:val="008F7DB8"/>
    <w:rsid w:val="008F7DDE"/>
    <w:rsid w:val="009002F9"/>
    <w:rsid w:val="00900441"/>
    <w:rsid w:val="009004D2"/>
    <w:rsid w:val="009005BD"/>
    <w:rsid w:val="00900623"/>
    <w:rsid w:val="00900845"/>
    <w:rsid w:val="00900864"/>
    <w:rsid w:val="009015B8"/>
    <w:rsid w:val="00901757"/>
    <w:rsid w:val="0090183E"/>
    <w:rsid w:val="00901D36"/>
    <w:rsid w:val="00901D59"/>
    <w:rsid w:val="00901E5E"/>
    <w:rsid w:val="0090204D"/>
    <w:rsid w:val="00902145"/>
    <w:rsid w:val="0090255E"/>
    <w:rsid w:val="0090275E"/>
    <w:rsid w:val="00902822"/>
    <w:rsid w:val="00902DAB"/>
    <w:rsid w:val="00902E9D"/>
    <w:rsid w:val="00902F0F"/>
    <w:rsid w:val="0090311E"/>
    <w:rsid w:val="009032A2"/>
    <w:rsid w:val="009033DE"/>
    <w:rsid w:val="009034A4"/>
    <w:rsid w:val="0090436C"/>
    <w:rsid w:val="009048CB"/>
    <w:rsid w:val="00904A7E"/>
    <w:rsid w:val="00904C7E"/>
    <w:rsid w:val="00905139"/>
    <w:rsid w:val="009051AF"/>
    <w:rsid w:val="009059F5"/>
    <w:rsid w:val="00905BDD"/>
    <w:rsid w:val="00906141"/>
    <w:rsid w:val="009061F0"/>
    <w:rsid w:val="009064F8"/>
    <w:rsid w:val="0090676E"/>
    <w:rsid w:val="0090684E"/>
    <w:rsid w:val="00907164"/>
    <w:rsid w:val="009071C8"/>
    <w:rsid w:val="0090727A"/>
    <w:rsid w:val="00907682"/>
    <w:rsid w:val="009079A7"/>
    <w:rsid w:val="00907DDB"/>
    <w:rsid w:val="009100D4"/>
    <w:rsid w:val="009100E6"/>
    <w:rsid w:val="00910376"/>
    <w:rsid w:val="0091038F"/>
    <w:rsid w:val="00910530"/>
    <w:rsid w:val="00910780"/>
    <w:rsid w:val="00910C81"/>
    <w:rsid w:val="00910CF1"/>
    <w:rsid w:val="00910D42"/>
    <w:rsid w:val="00910EA9"/>
    <w:rsid w:val="00910FEC"/>
    <w:rsid w:val="00910FF4"/>
    <w:rsid w:val="009114D3"/>
    <w:rsid w:val="00911526"/>
    <w:rsid w:val="009115D9"/>
    <w:rsid w:val="00911795"/>
    <w:rsid w:val="009118BB"/>
    <w:rsid w:val="00911D8A"/>
    <w:rsid w:val="00911E0D"/>
    <w:rsid w:val="00911E7E"/>
    <w:rsid w:val="00912196"/>
    <w:rsid w:val="0091241E"/>
    <w:rsid w:val="009134BF"/>
    <w:rsid w:val="00913738"/>
    <w:rsid w:val="00913A92"/>
    <w:rsid w:val="00913D18"/>
    <w:rsid w:val="00913F4D"/>
    <w:rsid w:val="00914061"/>
    <w:rsid w:val="009141B9"/>
    <w:rsid w:val="0091437D"/>
    <w:rsid w:val="009149F2"/>
    <w:rsid w:val="00914C77"/>
    <w:rsid w:val="00915290"/>
    <w:rsid w:val="009152EF"/>
    <w:rsid w:val="00915567"/>
    <w:rsid w:val="009156CF"/>
    <w:rsid w:val="00915ED5"/>
    <w:rsid w:val="00915F05"/>
    <w:rsid w:val="00916503"/>
    <w:rsid w:val="00916674"/>
    <w:rsid w:val="0091682B"/>
    <w:rsid w:val="00916895"/>
    <w:rsid w:val="009168D5"/>
    <w:rsid w:val="00916BDC"/>
    <w:rsid w:val="00916D4C"/>
    <w:rsid w:val="00916F14"/>
    <w:rsid w:val="0091735F"/>
    <w:rsid w:val="00917570"/>
    <w:rsid w:val="00917B6B"/>
    <w:rsid w:val="00917D0C"/>
    <w:rsid w:val="00917D7E"/>
    <w:rsid w:val="00917DB9"/>
    <w:rsid w:val="00917ECA"/>
    <w:rsid w:val="009200D2"/>
    <w:rsid w:val="00920201"/>
    <w:rsid w:val="00920273"/>
    <w:rsid w:val="00920644"/>
    <w:rsid w:val="00920713"/>
    <w:rsid w:val="009207D5"/>
    <w:rsid w:val="009209DB"/>
    <w:rsid w:val="00920BEF"/>
    <w:rsid w:val="00920C58"/>
    <w:rsid w:val="00920F74"/>
    <w:rsid w:val="0092121B"/>
    <w:rsid w:val="00921727"/>
    <w:rsid w:val="00921749"/>
    <w:rsid w:val="00921B6D"/>
    <w:rsid w:val="00921F22"/>
    <w:rsid w:val="00921F30"/>
    <w:rsid w:val="00921F95"/>
    <w:rsid w:val="00922025"/>
    <w:rsid w:val="009226EB"/>
    <w:rsid w:val="00922780"/>
    <w:rsid w:val="0092294A"/>
    <w:rsid w:val="00922CE5"/>
    <w:rsid w:val="00922FB7"/>
    <w:rsid w:val="00923552"/>
    <w:rsid w:val="009235CF"/>
    <w:rsid w:val="00923624"/>
    <w:rsid w:val="00923734"/>
    <w:rsid w:val="00923B4B"/>
    <w:rsid w:val="00923BA8"/>
    <w:rsid w:val="00923CC4"/>
    <w:rsid w:val="00924009"/>
    <w:rsid w:val="009243C1"/>
    <w:rsid w:val="009245A7"/>
    <w:rsid w:val="009245D5"/>
    <w:rsid w:val="0092476B"/>
    <w:rsid w:val="00924D39"/>
    <w:rsid w:val="00924E1F"/>
    <w:rsid w:val="00924F9B"/>
    <w:rsid w:val="00925381"/>
    <w:rsid w:val="009257B6"/>
    <w:rsid w:val="00925C32"/>
    <w:rsid w:val="00925FA3"/>
    <w:rsid w:val="009260C4"/>
    <w:rsid w:val="009260D3"/>
    <w:rsid w:val="009265C7"/>
    <w:rsid w:val="009267A0"/>
    <w:rsid w:val="00926B08"/>
    <w:rsid w:val="00926B5E"/>
    <w:rsid w:val="00926F39"/>
    <w:rsid w:val="00927023"/>
    <w:rsid w:val="009273BD"/>
    <w:rsid w:val="00927419"/>
    <w:rsid w:val="00927948"/>
    <w:rsid w:val="0092796E"/>
    <w:rsid w:val="00927B89"/>
    <w:rsid w:val="00927D99"/>
    <w:rsid w:val="009300EC"/>
    <w:rsid w:val="00930312"/>
    <w:rsid w:val="00930D81"/>
    <w:rsid w:val="00931384"/>
    <w:rsid w:val="009314BC"/>
    <w:rsid w:val="00931923"/>
    <w:rsid w:val="00931D81"/>
    <w:rsid w:val="00931F43"/>
    <w:rsid w:val="00932489"/>
    <w:rsid w:val="00932B13"/>
    <w:rsid w:val="00932D71"/>
    <w:rsid w:val="00932E5D"/>
    <w:rsid w:val="0093311D"/>
    <w:rsid w:val="009335C8"/>
    <w:rsid w:val="00933A74"/>
    <w:rsid w:val="00933DC7"/>
    <w:rsid w:val="00933EE7"/>
    <w:rsid w:val="00934820"/>
    <w:rsid w:val="009354A7"/>
    <w:rsid w:val="009357E0"/>
    <w:rsid w:val="00935B92"/>
    <w:rsid w:val="00935CA8"/>
    <w:rsid w:val="00935D49"/>
    <w:rsid w:val="00935FAD"/>
    <w:rsid w:val="00936046"/>
    <w:rsid w:val="009361B9"/>
    <w:rsid w:val="00936F46"/>
    <w:rsid w:val="009376F3"/>
    <w:rsid w:val="009378FA"/>
    <w:rsid w:val="00937B65"/>
    <w:rsid w:val="00937C46"/>
    <w:rsid w:val="00937C7B"/>
    <w:rsid w:val="009400C4"/>
    <w:rsid w:val="0094039A"/>
    <w:rsid w:val="00940983"/>
    <w:rsid w:val="009409FB"/>
    <w:rsid w:val="009410E3"/>
    <w:rsid w:val="009413D5"/>
    <w:rsid w:val="009414DA"/>
    <w:rsid w:val="00941A21"/>
    <w:rsid w:val="00941B8A"/>
    <w:rsid w:val="00941BBE"/>
    <w:rsid w:val="00941C6C"/>
    <w:rsid w:val="00941D2D"/>
    <w:rsid w:val="0094204A"/>
    <w:rsid w:val="009422B4"/>
    <w:rsid w:val="00942346"/>
    <w:rsid w:val="0094236E"/>
    <w:rsid w:val="00942665"/>
    <w:rsid w:val="00942871"/>
    <w:rsid w:val="009428CF"/>
    <w:rsid w:val="00942AB4"/>
    <w:rsid w:val="00942B17"/>
    <w:rsid w:val="00943100"/>
    <w:rsid w:val="009434BB"/>
    <w:rsid w:val="009435A3"/>
    <w:rsid w:val="0094376C"/>
    <w:rsid w:val="00943843"/>
    <w:rsid w:val="00943946"/>
    <w:rsid w:val="00943BDB"/>
    <w:rsid w:val="00943FE7"/>
    <w:rsid w:val="00944067"/>
    <w:rsid w:val="009448DF"/>
    <w:rsid w:val="009449D5"/>
    <w:rsid w:val="00944AB3"/>
    <w:rsid w:val="00944D68"/>
    <w:rsid w:val="00945931"/>
    <w:rsid w:val="009459DB"/>
    <w:rsid w:val="00945C63"/>
    <w:rsid w:val="00946414"/>
    <w:rsid w:val="00946601"/>
    <w:rsid w:val="009473A7"/>
    <w:rsid w:val="009476D4"/>
    <w:rsid w:val="00947970"/>
    <w:rsid w:val="00947A2E"/>
    <w:rsid w:val="00947C3C"/>
    <w:rsid w:val="00947C3D"/>
    <w:rsid w:val="00947C4F"/>
    <w:rsid w:val="00947C52"/>
    <w:rsid w:val="00947FDE"/>
    <w:rsid w:val="009501B9"/>
    <w:rsid w:val="0095048E"/>
    <w:rsid w:val="00950D92"/>
    <w:rsid w:val="00950F49"/>
    <w:rsid w:val="0095137D"/>
    <w:rsid w:val="0095149D"/>
    <w:rsid w:val="009515E1"/>
    <w:rsid w:val="009516C1"/>
    <w:rsid w:val="0095183D"/>
    <w:rsid w:val="00951A7D"/>
    <w:rsid w:val="00951B4F"/>
    <w:rsid w:val="00951C0E"/>
    <w:rsid w:val="00951CEE"/>
    <w:rsid w:val="009520C9"/>
    <w:rsid w:val="00952276"/>
    <w:rsid w:val="00952293"/>
    <w:rsid w:val="00952444"/>
    <w:rsid w:val="00952676"/>
    <w:rsid w:val="00952B6F"/>
    <w:rsid w:val="00952DF8"/>
    <w:rsid w:val="00952E01"/>
    <w:rsid w:val="009532CD"/>
    <w:rsid w:val="009533D4"/>
    <w:rsid w:val="009538B0"/>
    <w:rsid w:val="00953CFC"/>
    <w:rsid w:val="00953E5D"/>
    <w:rsid w:val="00953EAE"/>
    <w:rsid w:val="00954429"/>
    <w:rsid w:val="0095445D"/>
    <w:rsid w:val="009545F4"/>
    <w:rsid w:val="00954D9B"/>
    <w:rsid w:val="009551C7"/>
    <w:rsid w:val="00955A04"/>
    <w:rsid w:val="00955C8F"/>
    <w:rsid w:val="00955D83"/>
    <w:rsid w:val="00956074"/>
    <w:rsid w:val="00956102"/>
    <w:rsid w:val="00956249"/>
    <w:rsid w:val="0095624F"/>
    <w:rsid w:val="0095677D"/>
    <w:rsid w:val="00956800"/>
    <w:rsid w:val="00956FB0"/>
    <w:rsid w:val="00957079"/>
    <w:rsid w:val="009573D8"/>
    <w:rsid w:val="009574AD"/>
    <w:rsid w:val="00957505"/>
    <w:rsid w:val="009577FC"/>
    <w:rsid w:val="0096014C"/>
    <w:rsid w:val="00960869"/>
    <w:rsid w:val="00960947"/>
    <w:rsid w:val="009617E9"/>
    <w:rsid w:val="00962113"/>
    <w:rsid w:val="009621DC"/>
    <w:rsid w:val="00962340"/>
    <w:rsid w:val="00962A6D"/>
    <w:rsid w:val="00962ACF"/>
    <w:rsid w:val="00962C45"/>
    <w:rsid w:val="00962FAD"/>
    <w:rsid w:val="009631CD"/>
    <w:rsid w:val="009632E2"/>
    <w:rsid w:val="009633F7"/>
    <w:rsid w:val="009634CC"/>
    <w:rsid w:val="0096360E"/>
    <w:rsid w:val="0096416C"/>
    <w:rsid w:val="009641D9"/>
    <w:rsid w:val="009645CF"/>
    <w:rsid w:val="00964A6C"/>
    <w:rsid w:val="00964FA7"/>
    <w:rsid w:val="009651BD"/>
    <w:rsid w:val="00965275"/>
    <w:rsid w:val="00965398"/>
    <w:rsid w:val="009656A5"/>
    <w:rsid w:val="00965BFB"/>
    <w:rsid w:val="0096637B"/>
    <w:rsid w:val="009666A5"/>
    <w:rsid w:val="00966F63"/>
    <w:rsid w:val="009673C7"/>
    <w:rsid w:val="00967711"/>
    <w:rsid w:val="009677F2"/>
    <w:rsid w:val="0096787A"/>
    <w:rsid w:val="00967893"/>
    <w:rsid w:val="009678E8"/>
    <w:rsid w:val="00967900"/>
    <w:rsid w:val="0096799D"/>
    <w:rsid w:val="00967CE7"/>
    <w:rsid w:val="00967D67"/>
    <w:rsid w:val="0097039F"/>
    <w:rsid w:val="009703F2"/>
    <w:rsid w:val="0097043B"/>
    <w:rsid w:val="00970814"/>
    <w:rsid w:val="00970AA3"/>
    <w:rsid w:val="00970B66"/>
    <w:rsid w:val="00970C5E"/>
    <w:rsid w:val="00970E9A"/>
    <w:rsid w:val="00971363"/>
    <w:rsid w:val="00971DF9"/>
    <w:rsid w:val="00971FE7"/>
    <w:rsid w:val="00972076"/>
    <w:rsid w:val="0097250F"/>
    <w:rsid w:val="009728E5"/>
    <w:rsid w:val="00972A2D"/>
    <w:rsid w:val="00972B63"/>
    <w:rsid w:val="00972D0E"/>
    <w:rsid w:val="009737D1"/>
    <w:rsid w:val="00973992"/>
    <w:rsid w:val="009739B1"/>
    <w:rsid w:val="00973B7C"/>
    <w:rsid w:val="00973DB8"/>
    <w:rsid w:val="00973FF9"/>
    <w:rsid w:val="00974077"/>
    <w:rsid w:val="00974101"/>
    <w:rsid w:val="00974181"/>
    <w:rsid w:val="00974382"/>
    <w:rsid w:val="009743E0"/>
    <w:rsid w:val="00974594"/>
    <w:rsid w:val="00974740"/>
    <w:rsid w:val="00974C36"/>
    <w:rsid w:val="00974D0E"/>
    <w:rsid w:val="00974E7C"/>
    <w:rsid w:val="00974F1C"/>
    <w:rsid w:val="0097513C"/>
    <w:rsid w:val="009751E0"/>
    <w:rsid w:val="009752AA"/>
    <w:rsid w:val="009757B5"/>
    <w:rsid w:val="009758DC"/>
    <w:rsid w:val="009758E2"/>
    <w:rsid w:val="00975C66"/>
    <w:rsid w:val="00975CB2"/>
    <w:rsid w:val="0097607D"/>
    <w:rsid w:val="009761C2"/>
    <w:rsid w:val="00976297"/>
    <w:rsid w:val="00976617"/>
    <w:rsid w:val="00976693"/>
    <w:rsid w:val="009766C0"/>
    <w:rsid w:val="009766C1"/>
    <w:rsid w:val="00976B65"/>
    <w:rsid w:val="00976D26"/>
    <w:rsid w:val="00976EAB"/>
    <w:rsid w:val="0097703A"/>
    <w:rsid w:val="009770BA"/>
    <w:rsid w:val="00977190"/>
    <w:rsid w:val="009774CE"/>
    <w:rsid w:val="0097752A"/>
    <w:rsid w:val="00977728"/>
    <w:rsid w:val="00977936"/>
    <w:rsid w:val="00977A77"/>
    <w:rsid w:val="00977A7F"/>
    <w:rsid w:val="00977AE2"/>
    <w:rsid w:val="00977C24"/>
    <w:rsid w:val="00977D55"/>
    <w:rsid w:val="00980C00"/>
    <w:rsid w:val="00980D7C"/>
    <w:rsid w:val="00980D98"/>
    <w:rsid w:val="00980FF2"/>
    <w:rsid w:val="009811C5"/>
    <w:rsid w:val="0098149B"/>
    <w:rsid w:val="009814F3"/>
    <w:rsid w:val="00981689"/>
    <w:rsid w:val="00981DA8"/>
    <w:rsid w:val="00981E09"/>
    <w:rsid w:val="00981E2A"/>
    <w:rsid w:val="00981F18"/>
    <w:rsid w:val="00981FF1"/>
    <w:rsid w:val="00982C9B"/>
    <w:rsid w:val="00982E0C"/>
    <w:rsid w:val="00983068"/>
    <w:rsid w:val="009830AB"/>
    <w:rsid w:val="0098312E"/>
    <w:rsid w:val="00983A04"/>
    <w:rsid w:val="00983C60"/>
    <w:rsid w:val="00983F27"/>
    <w:rsid w:val="00983FF2"/>
    <w:rsid w:val="00984061"/>
    <w:rsid w:val="00984180"/>
    <w:rsid w:val="00984239"/>
    <w:rsid w:val="00984471"/>
    <w:rsid w:val="009845AA"/>
    <w:rsid w:val="00984727"/>
    <w:rsid w:val="00984E58"/>
    <w:rsid w:val="00984EB3"/>
    <w:rsid w:val="00985340"/>
    <w:rsid w:val="00985353"/>
    <w:rsid w:val="0098575C"/>
    <w:rsid w:val="00985910"/>
    <w:rsid w:val="00985956"/>
    <w:rsid w:val="00985D21"/>
    <w:rsid w:val="0098633F"/>
    <w:rsid w:val="0098641B"/>
    <w:rsid w:val="00986499"/>
    <w:rsid w:val="00986933"/>
    <w:rsid w:val="00986B22"/>
    <w:rsid w:val="00986D0D"/>
    <w:rsid w:val="00986E97"/>
    <w:rsid w:val="00987144"/>
    <w:rsid w:val="00987223"/>
    <w:rsid w:val="0098760A"/>
    <w:rsid w:val="009876B1"/>
    <w:rsid w:val="00987A49"/>
    <w:rsid w:val="00987B96"/>
    <w:rsid w:val="00990208"/>
    <w:rsid w:val="00990285"/>
    <w:rsid w:val="0099044B"/>
    <w:rsid w:val="009906E5"/>
    <w:rsid w:val="0099077B"/>
    <w:rsid w:val="00990798"/>
    <w:rsid w:val="00990939"/>
    <w:rsid w:val="00990B9A"/>
    <w:rsid w:val="00990BB1"/>
    <w:rsid w:val="00990CB8"/>
    <w:rsid w:val="0099107B"/>
    <w:rsid w:val="00991391"/>
    <w:rsid w:val="0099148D"/>
    <w:rsid w:val="00991DB2"/>
    <w:rsid w:val="00991E82"/>
    <w:rsid w:val="0099210B"/>
    <w:rsid w:val="00992131"/>
    <w:rsid w:val="0099236C"/>
    <w:rsid w:val="009924AC"/>
    <w:rsid w:val="00992531"/>
    <w:rsid w:val="00992617"/>
    <w:rsid w:val="0099267A"/>
    <w:rsid w:val="009928B9"/>
    <w:rsid w:val="00992BB8"/>
    <w:rsid w:val="00992C15"/>
    <w:rsid w:val="00993560"/>
    <w:rsid w:val="00993586"/>
    <w:rsid w:val="0099359B"/>
    <w:rsid w:val="00993611"/>
    <w:rsid w:val="00993877"/>
    <w:rsid w:val="0099399F"/>
    <w:rsid w:val="00993C22"/>
    <w:rsid w:val="00993C4D"/>
    <w:rsid w:val="00993D0B"/>
    <w:rsid w:val="00993EFD"/>
    <w:rsid w:val="00993FFB"/>
    <w:rsid w:val="009942D5"/>
    <w:rsid w:val="009948E1"/>
    <w:rsid w:val="00994B41"/>
    <w:rsid w:val="00994B62"/>
    <w:rsid w:val="00994BDE"/>
    <w:rsid w:val="00994E4E"/>
    <w:rsid w:val="00994F0B"/>
    <w:rsid w:val="00995250"/>
    <w:rsid w:val="0099582D"/>
    <w:rsid w:val="00995BB1"/>
    <w:rsid w:val="00995DE7"/>
    <w:rsid w:val="00995E23"/>
    <w:rsid w:val="00995F1B"/>
    <w:rsid w:val="00995FDE"/>
    <w:rsid w:val="00996036"/>
    <w:rsid w:val="00996355"/>
    <w:rsid w:val="009963FF"/>
    <w:rsid w:val="009968E3"/>
    <w:rsid w:val="00996A2F"/>
    <w:rsid w:val="00996AC9"/>
    <w:rsid w:val="00996BFC"/>
    <w:rsid w:val="00996D80"/>
    <w:rsid w:val="00996E84"/>
    <w:rsid w:val="00996F85"/>
    <w:rsid w:val="0099701F"/>
    <w:rsid w:val="00997022"/>
    <w:rsid w:val="00997415"/>
    <w:rsid w:val="00997420"/>
    <w:rsid w:val="009975D7"/>
    <w:rsid w:val="009975E3"/>
    <w:rsid w:val="00997741"/>
    <w:rsid w:val="00997A5E"/>
    <w:rsid w:val="00997D43"/>
    <w:rsid w:val="00997DE8"/>
    <w:rsid w:val="009A01E1"/>
    <w:rsid w:val="009A04A5"/>
    <w:rsid w:val="009A0577"/>
    <w:rsid w:val="009A05C2"/>
    <w:rsid w:val="009A0B03"/>
    <w:rsid w:val="009A0C61"/>
    <w:rsid w:val="009A0D17"/>
    <w:rsid w:val="009A0F8F"/>
    <w:rsid w:val="009A108A"/>
    <w:rsid w:val="009A1304"/>
    <w:rsid w:val="009A13E7"/>
    <w:rsid w:val="009A14A2"/>
    <w:rsid w:val="009A1542"/>
    <w:rsid w:val="009A1A5F"/>
    <w:rsid w:val="009A1E11"/>
    <w:rsid w:val="009A1F15"/>
    <w:rsid w:val="009A201C"/>
    <w:rsid w:val="009A220F"/>
    <w:rsid w:val="009A22B8"/>
    <w:rsid w:val="009A28E6"/>
    <w:rsid w:val="009A291F"/>
    <w:rsid w:val="009A2E44"/>
    <w:rsid w:val="009A34F9"/>
    <w:rsid w:val="009A355D"/>
    <w:rsid w:val="009A37E8"/>
    <w:rsid w:val="009A3D66"/>
    <w:rsid w:val="009A3FCC"/>
    <w:rsid w:val="009A41D6"/>
    <w:rsid w:val="009A47CA"/>
    <w:rsid w:val="009A48FB"/>
    <w:rsid w:val="009A51A1"/>
    <w:rsid w:val="009A52CA"/>
    <w:rsid w:val="009A5602"/>
    <w:rsid w:val="009A5679"/>
    <w:rsid w:val="009A59A6"/>
    <w:rsid w:val="009A59DD"/>
    <w:rsid w:val="009A5B60"/>
    <w:rsid w:val="009A5CC9"/>
    <w:rsid w:val="009A5D04"/>
    <w:rsid w:val="009A5EF2"/>
    <w:rsid w:val="009A60A1"/>
    <w:rsid w:val="009A60B3"/>
    <w:rsid w:val="009A6202"/>
    <w:rsid w:val="009A6856"/>
    <w:rsid w:val="009A6B37"/>
    <w:rsid w:val="009A71E0"/>
    <w:rsid w:val="009A7278"/>
    <w:rsid w:val="009A73FF"/>
    <w:rsid w:val="009A74E8"/>
    <w:rsid w:val="009A7777"/>
    <w:rsid w:val="009A7854"/>
    <w:rsid w:val="009A7B24"/>
    <w:rsid w:val="009A7FE8"/>
    <w:rsid w:val="009B0141"/>
    <w:rsid w:val="009B0908"/>
    <w:rsid w:val="009B0AB1"/>
    <w:rsid w:val="009B0CA4"/>
    <w:rsid w:val="009B0D9B"/>
    <w:rsid w:val="009B0D9F"/>
    <w:rsid w:val="009B1348"/>
    <w:rsid w:val="009B1550"/>
    <w:rsid w:val="009B17EB"/>
    <w:rsid w:val="009B19AD"/>
    <w:rsid w:val="009B1BFB"/>
    <w:rsid w:val="009B23DC"/>
    <w:rsid w:val="009B2921"/>
    <w:rsid w:val="009B2D17"/>
    <w:rsid w:val="009B30CD"/>
    <w:rsid w:val="009B321A"/>
    <w:rsid w:val="009B32E2"/>
    <w:rsid w:val="009B35C5"/>
    <w:rsid w:val="009B36F3"/>
    <w:rsid w:val="009B36FE"/>
    <w:rsid w:val="009B37C2"/>
    <w:rsid w:val="009B3CEF"/>
    <w:rsid w:val="009B3D42"/>
    <w:rsid w:val="009B3DDF"/>
    <w:rsid w:val="009B3EB2"/>
    <w:rsid w:val="009B4169"/>
    <w:rsid w:val="009B430F"/>
    <w:rsid w:val="009B4980"/>
    <w:rsid w:val="009B4A6E"/>
    <w:rsid w:val="009B536C"/>
    <w:rsid w:val="009B56D6"/>
    <w:rsid w:val="009B588F"/>
    <w:rsid w:val="009B5AFC"/>
    <w:rsid w:val="009B5B13"/>
    <w:rsid w:val="009B5C40"/>
    <w:rsid w:val="009B5E78"/>
    <w:rsid w:val="009B5F15"/>
    <w:rsid w:val="009B5F17"/>
    <w:rsid w:val="009B6048"/>
    <w:rsid w:val="009B660D"/>
    <w:rsid w:val="009B6701"/>
    <w:rsid w:val="009B69BD"/>
    <w:rsid w:val="009B7245"/>
    <w:rsid w:val="009B744E"/>
    <w:rsid w:val="009B752C"/>
    <w:rsid w:val="009B765F"/>
    <w:rsid w:val="009C00A7"/>
    <w:rsid w:val="009C041B"/>
    <w:rsid w:val="009C0453"/>
    <w:rsid w:val="009C07CC"/>
    <w:rsid w:val="009C0A4A"/>
    <w:rsid w:val="009C105B"/>
    <w:rsid w:val="009C10C4"/>
    <w:rsid w:val="009C12D4"/>
    <w:rsid w:val="009C13D3"/>
    <w:rsid w:val="009C141D"/>
    <w:rsid w:val="009C146C"/>
    <w:rsid w:val="009C1599"/>
    <w:rsid w:val="009C1658"/>
    <w:rsid w:val="009C1774"/>
    <w:rsid w:val="009C1962"/>
    <w:rsid w:val="009C1969"/>
    <w:rsid w:val="009C1DD1"/>
    <w:rsid w:val="009C1E45"/>
    <w:rsid w:val="009C2AA9"/>
    <w:rsid w:val="009C30D0"/>
    <w:rsid w:val="009C33D3"/>
    <w:rsid w:val="009C3C74"/>
    <w:rsid w:val="009C4059"/>
    <w:rsid w:val="009C40A9"/>
    <w:rsid w:val="009C4429"/>
    <w:rsid w:val="009C4462"/>
    <w:rsid w:val="009C44C8"/>
    <w:rsid w:val="009C4585"/>
    <w:rsid w:val="009C4C40"/>
    <w:rsid w:val="009C4D4E"/>
    <w:rsid w:val="009C5637"/>
    <w:rsid w:val="009C5787"/>
    <w:rsid w:val="009C5997"/>
    <w:rsid w:val="009C5A6D"/>
    <w:rsid w:val="009C5BF1"/>
    <w:rsid w:val="009C5D7C"/>
    <w:rsid w:val="009C5F13"/>
    <w:rsid w:val="009C5FEE"/>
    <w:rsid w:val="009C618A"/>
    <w:rsid w:val="009C6385"/>
    <w:rsid w:val="009C63A6"/>
    <w:rsid w:val="009C68F1"/>
    <w:rsid w:val="009C69B6"/>
    <w:rsid w:val="009C6BC3"/>
    <w:rsid w:val="009C6DF2"/>
    <w:rsid w:val="009C71A1"/>
    <w:rsid w:val="009C75BF"/>
    <w:rsid w:val="009C7AF7"/>
    <w:rsid w:val="009C7F16"/>
    <w:rsid w:val="009D07A4"/>
    <w:rsid w:val="009D089F"/>
    <w:rsid w:val="009D0FBA"/>
    <w:rsid w:val="009D1013"/>
    <w:rsid w:val="009D13FA"/>
    <w:rsid w:val="009D1430"/>
    <w:rsid w:val="009D149A"/>
    <w:rsid w:val="009D1BC6"/>
    <w:rsid w:val="009D20F1"/>
    <w:rsid w:val="009D2143"/>
    <w:rsid w:val="009D2616"/>
    <w:rsid w:val="009D26F7"/>
    <w:rsid w:val="009D2A52"/>
    <w:rsid w:val="009D2A5E"/>
    <w:rsid w:val="009D2A98"/>
    <w:rsid w:val="009D2D3F"/>
    <w:rsid w:val="009D3121"/>
    <w:rsid w:val="009D319E"/>
    <w:rsid w:val="009D3612"/>
    <w:rsid w:val="009D3855"/>
    <w:rsid w:val="009D3B51"/>
    <w:rsid w:val="009D3C96"/>
    <w:rsid w:val="009D3CB0"/>
    <w:rsid w:val="009D4545"/>
    <w:rsid w:val="009D45F2"/>
    <w:rsid w:val="009D4655"/>
    <w:rsid w:val="009D465C"/>
    <w:rsid w:val="009D46B7"/>
    <w:rsid w:val="009D4738"/>
    <w:rsid w:val="009D4763"/>
    <w:rsid w:val="009D4764"/>
    <w:rsid w:val="009D49E4"/>
    <w:rsid w:val="009D51B3"/>
    <w:rsid w:val="009D51CA"/>
    <w:rsid w:val="009D53A5"/>
    <w:rsid w:val="009D57E4"/>
    <w:rsid w:val="009D5ABD"/>
    <w:rsid w:val="009D6090"/>
    <w:rsid w:val="009D6183"/>
    <w:rsid w:val="009D61E0"/>
    <w:rsid w:val="009D61FD"/>
    <w:rsid w:val="009D6362"/>
    <w:rsid w:val="009D649C"/>
    <w:rsid w:val="009D673B"/>
    <w:rsid w:val="009D69D5"/>
    <w:rsid w:val="009D6BBE"/>
    <w:rsid w:val="009D6FBD"/>
    <w:rsid w:val="009D7176"/>
    <w:rsid w:val="009D7696"/>
    <w:rsid w:val="009D76B5"/>
    <w:rsid w:val="009D7A5B"/>
    <w:rsid w:val="009D7C86"/>
    <w:rsid w:val="009DD6EC"/>
    <w:rsid w:val="009E01E5"/>
    <w:rsid w:val="009E034A"/>
    <w:rsid w:val="009E0B36"/>
    <w:rsid w:val="009E11D1"/>
    <w:rsid w:val="009E1569"/>
    <w:rsid w:val="009E15A9"/>
    <w:rsid w:val="009E171A"/>
    <w:rsid w:val="009E1763"/>
    <w:rsid w:val="009E17EC"/>
    <w:rsid w:val="009E1AF4"/>
    <w:rsid w:val="009E1C68"/>
    <w:rsid w:val="009E1EFC"/>
    <w:rsid w:val="009E204F"/>
    <w:rsid w:val="009E2149"/>
    <w:rsid w:val="009E21C7"/>
    <w:rsid w:val="009E246B"/>
    <w:rsid w:val="009E260D"/>
    <w:rsid w:val="009E366C"/>
    <w:rsid w:val="009E3784"/>
    <w:rsid w:val="009E3AEC"/>
    <w:rsid w:val="009E3C89"/>
    <w:rsid w:val="009E3EFC"/>
    <w:rsid w:val="009E42A9"/>
    <w:rsid w:val="009E433A"/>
    <w:rsid w:val="009E43B4"/>
    <w:rsid w:val="009E45D4"/>
    <w:rsid w:val="009E46A7"/>
    <w:rsid w:val="009E47D7"/>
    <w:rsid w:val="009E4A72"/>
    <w:rsid w:val="009E4E22"/>
    <w:rsid w:val="009E5060"/>
    <w:rsid w:val="009E50C2"/>
    <w:rsid w:val="009E50F0"/>
    <w:rsid w:val="009E5358"/>
    <w:rsid w:val="009E5714"/>
    <w:rsid w:val="009E581D"/>
    <w:rsid w:val="009E5C31"/>
    <w:rsid w:val="009E5D99"/>
    <w:rsid w:val="009E5EED"/>
    <w:rsid w:val="009E600A"/>
    <w:rsid w:val="009E61C8"/>
    <w:rsid w:val="009E6253"/>
    <w:rsid w:val="009E628A"/>
    <w:rsid w:val="009E6502"/>
    <w:rsid w:val="009E683E"/>
    <w:rsid w:val="009E6C83"/>
    <w:rsid w:val="009E7156"/>
    <w:rsid w:val="009E7165"/>
    <w:rsid w:val="009E746B"/>
    <w:rsid w:val="009E79B5"/>
    <w:rsid w:val="009E7A78"/>
    <w:rsid w:val="009F01F8"/>
    <w:rsid w:val="009F0607"/>
    <w:rsid w:val="009F0778"/>
    <w:rsid w:val="009F07D9"/>
    <w:rsid w:val="009F13CC"/>
    <w:rsid w:val="009F1476"/>
    <w:rsid w:val="009F1C16"/>
    <w:rsid w:val="009F2206"/>
    <w:rsid w:val="009F248C"/>
    <w:rsid w:val="009F2579"/>
    <w:rsid w:val="009F29D2"/>
    <w:rsid w:val="009F2EA9"/>
    <w:rsid w:val="009F3C4B"/>
    <w:rsid w:val="009F45C3"/>
    <w:rsid w:val="009F4729"/>
    <w:rsid w:val="009F486A"/>
    <w:rsid w:val="009F4894"/>
    <w:rsid w:val="009F48E2"/>
    <w:rsid w:val="009F494F"/>
    <w:rsid w:val="009F4C0A"/>
    <w:rsid w:val="009F4F68"/>
    <w:rsid w:val="009F4FE3"/>
    <w:rsid w:val="009F535A"/>
    <w:rsid w:val="009F53B6"/>
    <w:rsid w:val="009F54AB"/>
    <w:rsid w:val="009F589F"/>
    <w:rsid w:val="009F5AC0"/>
    <w:rsid w:val="009F5BED"/>
    <w:rsid w:val="009F5C0D"/>
    <w:rsid w:val="009F5DCE"/>
    <w:rsid w:val="009F5E6B"/>
    <w:rsid w:val="009F603D"/>
    <w:rsid w:val="009F60D9"/>
    <w:rsid w:val="009F6339"/>
    <w:rsid w:val="009F6E55"/>
    <w:rsid w:val="009F7195"/>
    <w:rsid w:val="009F728C"/>
    <w:rsid w:val="009F7406"/>
    <w:rsid w:val="009F7809"/>
    <w:rsid w:val="009F7C4F"/>
    <w:rsid w:val="009F7C90"/>
    <w:rsid w:val="009F7F6F"/>
    <w:rsid w:val="00A00246"/>
    <w:rsid w:val="00A00613"/>
    <w:rsid w:val="00A00A0F"/>
    <w:rsid w:val="00A00B29"/>
    <w:rsid w:val="00A00BD9"/>
    <w:rsid w:val="00A00C2F"/>
    <w:rsid w:val="00A00EF6"/>
    <w:rsid w:val="00A00F5E"/>
    <w:rsid w:val="00A013E9"/>
    <w:rsid w:val="00A01630"/>
    <w:rsid w:val="00A01978"/>
    <w:rsid w:val="00A0203A"/>
    <w:rsid w:val="00A02259"/>
    <w:rsid w:val="00A02408"/>
    <w:rsid w:val="00A026EB"/>
    <w:rsid w:val="00A02968"/>
    <w:rsid w:val="00A02BE6"/>
    <w:rsid w:val="00A02F78"/>
    <w:rsid w:val="00A02F9B"/>
    <w:rsid w:val="00A032FF"/>
    <w:rsid w:val="00A034A0"/>
    <w:rsid w:val="00A035B9"/>
    <w:rsid w:val="00A038D7"/>
    <w:rsid w:val="00A04176"/>
    <w:rsid w:val="00A04784"/>
    <w:rsid w:val="00A048C8"/>
    <w:rsid w:val="00A0493D"/>
    <w:rsid w:val="00A04B5D"/>
    <w:rsid w:val="00A04BD8"/>
    <w:rsid w:val="00A04CDC"/>
    <w:rsid w:val="00A04CDD"/>
    <w:rsid w:val="00A05C68"/>
    <w:rsid w:val="00A05CAD"/>
    <w:rsid w:val="00A06437"/>
    <w:rsid w:val="00A06D62"/>
    <w:rsid w:val="00A07068"/>
    <w:rsid w:val="00A07573"/>
    <w:rsid w:val="00A07633"/>
    <w:rsid w:val="00A0775E"/>
    <w:rsid w:val="00A07820"/>
    <w:rsid w:val="00A07929"/>
    <w:rsid w:val="00A07933"/>
    <w:rsid w:val="00A07A51"/>
    <w:rsid w:val="00A07BEA"/>
    <w:rsid w:val="00A07CF1"/>
    <w:rsid w:val="00A07E66"/>
    <w:rsid w:val="00A07FEB"/>
    <w:rsid w:val="00A1005E"/>
    <w:rsid w:val="00A10192"/>
    <w:rsid w:val="00A10266"/>
    <w:rsid w:val="00A10A0F"/>
    <w:rsid w:val="00A10B3B"/>
    <w:rsid w:val="00A10BF3"/>
    <w:rsid w:val="00A10C91"/>
    <w:rsid w:val="00A10DFA"/>
    <w:rsid w:val="00A11247"/>
    <w:rsid w:val="00A112E6"/>
    <w:rsid w:val="00A116E3"/>
    <w:rsid w:val="00A1181F"/>
    <w:rsid w:val="00A1197F"/>
    <w:rsid w:val="00A11D7D"/>
    <w:rsid w:val="00A12392"/>
    <w:rsid w:val="00A123C8"/>
    <w:rsid w:val="00A123FC"/>
    <w:rsid w:val="00A12604"/>
    <w:rsid w:val="00A128CE"/>
    <w:rsid w:val="00A1328D"/>
    <w:rsid w:val="00A13291"/>
    <w:rsid w:val="00A13355"/>
    <w:rsid w:val="00A134B6"/>
    <w:rsid w:val="00A13799"/>
    <w:rsid w:val="00A1380A"/>
    <w:rsid w:val="00A1392D"/>
    <w:rsid w:val="00A13B68"/>
    <w:rsid w:val="00A145BA"/>
    <w:rsid w:val="00A147F7"/>
    <w:rsid w:val="00A14863"/>
    <w:rsid w:val="00A14C37"/>
    <w:rsid w:val="00A14C96"/>
    <w:rsid w:val="00A1500E"/>
    <w:rsid w:val="00A150DF"/>
    <w:rsid w:val="00A151CC"/>
    <w:rsid w:val="00A152A9"/>
    <w:rsid w:val="00A15508"/>
    <w:rsid w:val="00A157EE"/>
    <w:rsid w:val="00A15FBE"/>
    <w:rsid w:val="00A1609F"/>
    <w:rsid w:val="00A16213"/>
    <w:rsid w:val="00A16272"/>
    <w:rsid w:val="00A1650D"/>
    <w:rsid w:val="00A166A6"/>
    <w:rsid w:val="00A16752"/>
    <w:rsid w:val="00A16CF7"/>
    <w:rsid w:val="00A16D12"/>
    <w:rsid w:val="00A1704C"/>
    <w:rsid w:val="00A17305"/>
    <w:rsid w:val="00A17311"/>
    <w:rsid w:val="00A17359"/>
    <w:rsid w:val="00A17379"/>
    <w:rsid w:val="00A17704"/>
    <w:rsid w:val="00A1771A"/>
    <w:rsid w:val="00A1792B"/>
    <w:rsid w:val="00A17DB3"/>
    <w:rsid w:val="00A17DFA"/>
    <w:rsid w:val="00A17E76"/>
    <w:rsid w:val="00A17EAA"/>
    <w:rsid w:val="00A17EE1"/>
    <w:rsid w:val="00A17F43"/>
    <w:rsid w:val="00A202BF"/>
    <w:rsid w:val="00A20F8D"/>
    <w:rsid w:val="00A212A7"/>
    <w:rsid w:val="00A21577"/>
    <w:rsid w:val="00A21711"/>
    <w:rsid w:val="00A218ED"/>
    <w:rsid w:val="00A219EA"/>
    <w:rsid w:val="00A21A47"/>
    <w:rsid w:val="00A22051"/>
    <w:rsid w:val="00A2207E"/>
    <w:rsid w:val="00A221BA"/>
    <w:rsid w:val="00A225FB"/>
    <w:rsid w:val="00A228AA"/>
    <w:rsid w:val="00A2300A"/>
    <w:rsid w:val="00A236E1"/>
    <w:rsid w:val="00A238D9"/>
    <w:rsid w:val="00A23FB9"/>
    <w:rsid w:val="00A2480C"/>
    <w:rsid w:val="00A24987"/>
    <w:rsid w:val="00A24AFD"/>
    <w:rsid w:val="00A24D7B"/>
    <w:rsid w:val="00A24E46"/>
    <w:rsid w:val="00A24F42"/>
    <w:rsid w:val="00A24F88"/>
    <w:rsid w:val="00A24F8F"/>
    <w:rsid w:val="00A24FB4"/>
    <w:rsid w:val="00A254C8"/>
    <w:rsid w:val="00A2560B"/>
    <w:rsid w:val="00A25850"/>
    <w:rsid w:val="00A258D9"/>
    <w:rsid w:val="00A2594F"/>
    <w:rsid w:val="00A25D6E"/>
    <w:rsid w:val="00A25DEB"/>
    <w:rsid w:val="00A25F95"/>
    <w:rsid w:val="00A26031"/>
    <w:rsid w:val="00A26114"/>
    <w:rsid w:val="00A26251"/>
    <w:rsid w:val="00A26585"/>
    <w:rsid w:val="00A26766"/>
    <w:rsid w:val="00A26796"/>
    <w:rsid w:val="00A26800"/>
    <w:rsid w:val="00A268E8"/>
    <w:rsid w:val="00A26A12"/>
    <w:rsid w:val="00A26B3D"/>
    <w:rsid w:val="00A270B3"/>
    <w:rsid w:val="00A27166"/>
    <w:rsid w:val="00A271A1"/>
    <w:rsid w:val="00A277CF"/>
    <w:rsid w:val="00A277F0"/>
    <w:rsid w:val="00A27A78"/>
    <w:rsid w:val="00A27D4D"/>
    <w:rsid w:val="00A27E1E"/>
    <w:rsid w:val="00A27F57"/>
    <w:rsid w:val="00A30003"/>
    <w:rsid w:val="00A302F4"/>
    <w:rsid w:val="00A303A6"/>
    <w:rsid w:val="00A30980"/>
    <w:rsid w:val="00A30B80"/>
    <w:rsid w:val="00A30B9F"/>
    <w:rsid w:val="00A30BE6"/>
    <w:rsid w:val="00A30D94"/>
    <w:rsid w:val="00A30E14"/>
    <w:rsid w:val="00A30F3D"/>
    <w:rsid w:val="00A30FDD"/>
    <w:rsid w:val="00A31212"/>
    <w:rsid w:val="00A31279"/>
    <w:rsid w:val="00A31360"/>
    <w:rsid w:val="00A314CF"/>
    <w:rsid w:val="00A315F5"/>
    <w:rsid w:val="00A31735"/>
    <w:rsid w:val="00A31B5A"/>
    <w:rsid w:val="00A32119"/>
    <w:rsid w:val="00A327FA"/>
    <w:rsid w:val="00A32E07"/>
    <w:rsid w:val="00A32F7D"/>
    <w:rsid w:val="00A33019"/>
    <w:rsid w:val="00A332EB"/>
    <w:rsid w:val="00A339DB"/>
    <w:rsid w:val="00A33CA3"/>
    <w:rsid w:val="00A34333"/>
    <w:rsid w:val="00A34781"/>
    <w:rsid w:val="00A347DA"/>
    <w:rsid w:val="00A34936"/>
    <w:rsid w:val="00A34D2D"/>
    <w:rsid w:val="00A34EEB"/>
    <w:rsid w:val="00A35139"/>
    <w:rsid w:val="00A35231"/>
    <w:rsid w:val="00A352ED"/>
    <w:rsid w:val="00A354AA"/>
    <w:rsid w:val="00A355ED"/>
    <w:rsid w:val="00A35872"/>
    <w:rsid w:val="00A35959"/>
    <w:rsid w:val="00A35DDE"/>
    <w:rsid w:val="00A35E8D"/>
    <w:rsid w:val="00A360DC"/>
    <w:rsid w:val="00A361F5"/>
    <w:rsid w:val="00A36269"/>
    <w:rsid w:val="00A3658E"/>
    <w:rsid w:val="00A36907"/>
    <w:rsid w:val="00A370CD"/>
    <w:rsid w:val="00A370EA"/>
    <w:rsid w:val="00A3743A"/>
    <w:rsid w:val="00A37BEB"/>
    <w:rsid w:val="00A37D4F"/>
    <w:rsid w:val="00A40159"/>
    <w:rsid w:val="00A40BE4"/>
    <w:rsid w:val="00A40C35"/>
    <w:rsid w:val="00A40D6C"/>
    <w:rsid w:val="00A40DDD"/>
    <w:rsid w:val="00A4110F"/>
    <w:rsid w:val="00A41144"/>
    <w:rsid w:val="00A41299"/>
    <w:rsid w:val="00A417CE"/>
    <w:rsid w:val="00A41BCD"/>
    <w:rsid w:val="00A41DBF"/>
    <w:rsid w:val="00A424E5"/>
    <w:rsid w:val="00A42566"/>
    <w:rsid w:val="00A42A91"/>
    <w:rsid w:val="00A42BC9"/>
    <w:rsid w:val="00A42C5E"/>
    <w:rsid w:val="00A4342F"/>
    <w:rsid w:val="00A4348D"/>
    <w:rsid w:val="00A43D78"/>
    <w:rsid w:val="00A43FF9"/>
    <w:rsid w:val="00A4407F"/>
    <w:rsid w:val="00A44129"/>
    <w:rsid w:val="00A4413A"/>
    <w:rsid w:val="00A4454E"/>
    <w:rsid w:val="00A44598"/>
    <w:rsid w:val="00A4485F"/>
    <w:rsid w:val="00A448CB"/>
    <w:rsid w:val="00A44CF4"/>
    <w:rsid w:val="00A45078"/>
    <w:rsid w:val="00A45125"/>
    <w:rsid w:val="00A45198"/>
    <w:rsid w:val="00A453F4"/>
    <w:rsid w:val="00A454E1"/>
    <w:rsid w:val="00A45CE8"/>
    <w:rsid w:val="00A45E7F"/>
    <w:rsid w:val="00A45F54"/>
    <w:rsid w:val="00A462B2"/>
    <w:rsid w:val="00A46326"/>
    <w:rsid w:val="00A463B4"/>
    <w:rsid w:val="00A4672F"/>
    <w:rsid w:val="00A469BA"/>
    <w:rsid w:val="00A46B37"/>
    <w:rsid w:val="00A46E31"/>
    <w:rsid w:val="00A470DB"/>
    <w:rsid w:val="00A4740F"/>
    <w:rsid w:val="00A47424"/>
    <w:rsid w:val="00A4788B"/>
    <w:rsid w:val="00A47A14"/>
    <w:rsid w:val="00A50063"/>
    <w:rsid w:val="00A503F4"/>
    <w:rsid w:val="00A5193D"/>
    <w:rsid w:val="00A519A4"/>
    <w:rsid w:val="00A51BE7"/>
    <w:rsid w:val="00A521C2"/>
    <w:rsid w:val="00A5281F"/>
    <w:rsid w:val="00A5288A"/>
    <w:rsid w:val="00A52B52"/>
    <w:rsid w:val="00A52CC8"/>
    <w:rsid w:val="00A534EF"/>
    <w:rsid w:val="00A538C7"/>
    <w:rsid w:val="00A539DA"/>
    <w:rsid w:val="00A53A46"/>
    <w:rsid w:val="00A53A9B"/>
    <w:rsid w:val="00A53BD8"/>
    <w:rsid w:val="00A54248"/>
    <w:rsid w:val="00A543F8"/>
    <w:rsid w:val="00A54B8C"/>
    <w:rsid w:val="00A54BB8"/>
    <w:rsid w:val="00A550AE"/>
    <w:rsid w:val="00A55210"/>
    <w:rsid w:val="00A55653"/>
    <w:rsid w:val="00A5588C"/>
    <w:rsid w:val="00A5596D"/>
    <w:rsid w:val="00A56284"/>
    <w:rsid w:val="00A567D7"/>
    <w:rsid w:val="00A56823"/>
    <w:rsid w:val="00A568FB"/>
    <w:rsid w:val="00A56D20"/>
    <w:rsid w:val="00A57124"/>
    <w:rsid w:val="00A578A8"/>
    <w:rsid w:val="00A57AB0"/>
    <w:rsid w:val="00A57CB7"/>
    <w:rsid w:val="00A601A1"/>
    <w:rsid w:val="00A602B9"/>
    <w:rsid w:val="00A6045F"/>
    <w:rsid w:val="00A60834"/>
    <w:rsid w:val="00A6088C"/>
    <w:rsid w:val="00A6092E"/>
    <w:rsid w:val="00A60C1B"/>
    <w:rsid w:val="00A60D5D"/>
    <w:rsid w:val="00A61099"/>
    <w:rsid w:val="00A6134B"/>
    <w:rsid w:val="00A616A3"/>
    <w:rsid w:val="00A616DA"/>
    <w:rsid w:val="00A61B19"/>
    <w:rsid w:val="00A61CE0"/>
    <w:rsid w:val="00A6204B"/>
    <w:rsid w:val="00A62180"/>
    <w:rsid w:val="00A62475"/>
    <w:rsid w:val="00A6285C"/>
    <w:rsid w:val="00A6287F"/>
    <w:rsid w:val="00A629C2"/>
    <w:rsid w:val="00A62BAF"/>
    <w:rsid w:val="00A62E7B"/>
    <w:rsid w:val="00A631E7"/>
    <w:rsid w:val="00A63397"/>
    <w:rsid w:val="00A63466"/>
    <w:rsid w:val="00A63487"/>
    <w:rsid w:val="00A6397F"/>
    <w:rsid w:val="00A639B1"/>
    <w:rsid w:val="00A63ABF"/>
    <w:rsid w:val="00A63DC9"/>
    <w:rsid w:val="00A63F68"/>
    <w:rsid w:val="00A640FA"/>
    <w:rsid w:val="00A641A4"/>
    <w:rsid w:val="00A6429A"/>
    <w:rsid w:val="00A6464A"/>
    <w:rsid w:val="00A649D7"/>
    <w:rsid w:val="00A64A5D"/>
    <w:rsid w:val="00A64BC4"/>
    <w:rsid w:val="00A64C5A"/>
    <w:rsid w:val="00A64C88"/>
    <w:rsid w:val="00A64F30"/>
    <w:rsid w:val="00A64F55"/>
    <w:rsid w:val="00A657AA"/>
    <w:rsid w:val="00A657B5"/>
    <w:rsid w:val="00A6591A"/>
    <w:rsid w:val="00A6595D"/>
    <w:rsid w:val="00A65E39"/>
    <w:rsid w:val="00A660AF"/>
    <w:rsid w:val="00A663CC"/>
    <w:rsid w:val="00A6645E"/>
    <w:rsid w:val="00A669C6"/>
    <w:rsid w:val="00A671AB"/>
    <w:rsid w:val="00A67367"/>
    <w:rsid w:val="00A67666"/>
    <w:rsid w:val="00A6774F"/>
    <w:rsid w:val="00A67BC3"/>
    <w:rsid w:val="00A67E6C"/>
    <w:rsid w:val="00A67EA6"/>
    <w:rsid w:val="00A70617"/>
    <w:rsid w:val="00A7075F"/>
    <w:rsid w:val="00A70C4E"/>
    <w:rsid w:val="00A70E2B"/>
    <w:rsid w:val="00A712D0"/>
    <w:rsid w:val="00A71417"/>
    <w:rsid w:val="00A714B5"/>
    <w:rsid w:val="00A71619"/>
    <w:rsid w:val="00A717FE"/>
    <w:rsid w:val="00A7198D"/>
    <w:rsid w:val="00A71B0D"/>
    <w:rsid w:val="00A71C63"/>
    <w:rsid w:val="00A723BD"/>
    <w:rsid w:val="00A72651"/>
    <w:rsid w:val="00A729D6"/>
    <w:rsid w:val="00A72F6C"/>
    <w:rsid w:val="00A72F71"/>
    <w:rsid w:val="00A73156"/>
    <w:rsid w:val="00A739D4"/>
    <w:rsid w:val="00A73AAB"/>
    <w:rsid w:val="00A73CFE"/>
    <w:rsid w:val="00A741E3"/>
    <w:rsid w:val="00A741FF"/>
    <w:rsid w:val="00A7421C"/>
    <w:rsid w:val="00A74376"/>
    <w:rsid w:val="00A744CA"/>
    <w:rsid w:val="00A747BF"/>
    <w:rsid w:val="00A7494E"/>
    <w:rsid w:val="00A75037"/>
    <w:rsid w:val="00A75660"/>
    <w:rsid w:val="00A758D3"/>
    <w:rsid w:val="00A75AF7"/>
    <w:rsid w:val="00A75C39"/>
    <w:rsid w:val="00A75D05"/>
    <w:rsid w:val="00A75DAC"/>
    <w:rsid w:val="00A76A5E"/>
    <w:rsid w:val="00A76D7B"/>
    <w:rsid w:val="00A76F18"/>
    <w:rsid w:val="00A770BF"/>
    <w:rsid w:val="00A77161"/>
    <w:rsid w:val="00A77C70"/>
    <w:rsid w:val="00A77E00"/>
    <w:rsid w:val="00A77FC3"/>
    <w:rsid w:val="00A802BE"/>
    <w:rsid w:val="00A8064D"/>
    <w:rsid w:val="00A80812"/>
    <w:rsid w:val="00A80E7B"/>
    <w:rsid w:val="00A80FFC"/>
    <w:rsid w:val="00A813A4"/>
    <w:rsid w:val="00A81487"/>
    <w:rsid w:val="00A815CA"/>
    <w:rsid w:val="00A817F4"/>
    <w:rsid w:val="00A8183C"/>
    <w:rsid w:val="00A81980"/>
    <w:rsid w:val="00A81C30"/>
    <w:rsid w:val="00A81DEA"/>
    <w:rsid w:val="00A81E6C"/>
    <w:rsid w:val="00A82138"/>
    <w:rsid w:val="00A8218F"/>
    <w:rsid w:val="00A823BD"/>
    <w:rsid w:val="00A8255A"/>
    <w:rsid w:val="00A82A7C"/>
    <w:rsid w:val="00A832A6"/>
    <w:rsid w:val="00A834F4"/>
    <w:rsid w:val="00A836C4"/>
    <w:rsid w:val="00A8376E"/>
    <w:rsid w:val="00A837D5"/>
    <w:rsid w:val="00A8385D"/>
    <w:rsid w:val="00A83E07"/>
    <w:rsid w:val="00A844DD"/>
    <w:rsid w:val="00A84AA4"/>
    <w:rsid w:val="00A84AC5"/>
    <w:rsid w:val="00A84B32"/>
    <w:rsid w:val="00A84C48"/>
    <w:rsid w:val="00A85157"/>
    <w:rsid w:val="00A85166"/>
    <w:rsid w:val="00A8537F"/>
    <w:rsid w:val="00A854BE"/>
    <w:rsid w:val="00A858BC"/>
    <w:rsid w:val="00A85CE4"/>
    <w:rsid w:val="00A85D6C"/>
    <w:rsid w:val="00A85DDA"/>
    <w:rsid w:val="00A86127"/>
    <w:rsid w:val="00A86332"/>
    <w:rsid w:val="00A86374"/>
    <w:rsid w:val="00A8694E"/>
    <w:rsid w:val="00A86DCA"/>
    <w:rsid w:val="00A870EE"/>
    <w:rsid w:val="00A87115"/>
    <w:rsid w:val="00A871A9"/>
    <w:rsid w:val="00A871B7"/>
    <w:rsid w:val="00A87264"/>
    <w:rsid w:val="00A8765A"/>
    <w:rsid w:val="00A8777D"/>
    <w:rsid w:val="00A8791D"/>
    <w:rsid w:val="00A87F8B"/>
    <w:rsid w:val="00A9036C"/>
    <w:rsid w:val="00A903C8"/>
    <w:rsid w:val="00A9073F"/>
    <w:rsid w:val="00A9089B"/>
    <w:rsid w:val="00A90AEC"/>
    <w:rsid w:val="00A90BE7"/>
    <w:rsid w:val="00A90CA2"/>
    <w:rsid w:val="00A9100C"/>
    <w:rsid w:val="00A910D7"/>
    <w:rsid w:val="00A9143A"/>
    <w:rsid w:val="00A914AD"/>
    <w:rsid w:val="00A9165A"/>
    <w:rsid w:val="00A9173A"/>
    <w:rsid w:val="00A9176B"/>
    <w:rsid w:val="00A91E28"/>
    <w:rsid w:val="00A91E2F"/>
    <w:rsid w:val="00A91F8C"/>
    <w:rsid w:val="00A924A5"/>
    <w:rsid w:val="00A9283C"/>
    <w:rsid w:val="00A92944"/>
    <w:rsid w:val="00A92953"/>
    <w:rsid w:val="00A92D4D"/>
    <w:rsid w:val="00A92DA3"/>
    <w:rsid w:val="00A92EB5"/>
    <w:rsid w:val="00A9310C"/>
    <w:rsid w:val="00A93705"/>
    <w:rsid w:val="00A93762"/>
    <w:rsid w:val="00A93CDA"/>
    <w:rsid w:val="00A93DA1"/>
    <w:rsid w:val="00A93E94"/>
    <w:rsid w:val="00A93F2C"/>
    <w:rsid w:val="00A93FE5"/>
    <w:rsid w:val="00A94129"/>
    <w:rsid w:val="00A94267"/>
    <w:rsid w:val="00A943FF"/>
    <w:rsid w:val="00A94562"/>
    <w:rsid w:val="00A94B48"/>
    <w:rsid w:val="00A94CC8"/>
    <w:rsid w:val="00A95016"/>
    <w:rsid w:val="00A950E7"/>
    <w:rsid w:val="00A95123"/>
    <w:rsid w:val="00A9524E"/>
    <w:rsid w:val="00A95291"/>
    <w:rsid w:val="00A952A3"/>
    <w:rsid w:val="00A953FB"/>
    <w:rsid w:val="00A954A0"/>
    <w:rsid w:val="00A9552C"/>
    <w:rsid w:val="00A956EE"/>
    <w:rsid w:val="00A958E0"/>
    <w:rsid w:val="00A95C6E"/>
    <w:rsid w:val="00A95E16"/>
    <w:rsid w:val="00A962E5"/>
    <w:rsid w:val="00A9634F"/>
    <w:rsid w:val="00A965B5"/>
    <w:rsid w:val="00A965E5"/>
    <w:rsid w:val="00A9698D"/>
    <w:rsid w:val="00A96A6B"/>
    <w:rsid w:val="00A96A87"/>
    <w:rsid w:val="00A972D5"/>
    <w:rsid w:val="00A97601"/>
    <w:rsid w:val="00A97FE1"/>
    <w:rsid w:val="00AA01D1"/>
    <w:rsid w:val="00AA024B"/>
    <w:rsid w:val="00AA0A0B"/>
    <w:rsid w:val="00AA0B39"/>
    <w:rsid w:val="00AA0D2E"/>
    <w:rsid w:val="00AA0FD2"/>
    <w:rsid w:val="00AA12E2"/>
    <w:rsid w:val="00AA16D0"/>
    <w:rsid w:val="00AA1A16"/>
    <w:rsid w:val="00AA1ACA"/>
    <w:rsid w:val="00AA1F78"/>
    <w:rsid w:val="00AA2699"/>
    <w:rsid w:val="00AA272B"/>
    <w:rsid w:val="00AA296F"/>
    <w:rsid w:val="00AA2A1F"/>
    <w:rsid w:val="00AA2A45"/>
    <w:rsid w:val="00AA2A8E"/>
    <w:rsid w:val="00AA2A94"/>
    <w:rsid w:val="00AA2B39"/>
    <w:rsid w:val="00AA2ECF"/>
    <w:rsid w:val="00AA2F07"/>
    <w:rsid w:val="00AA2F18"/>
    <w:rsid w:val="00AA347F"/>
    <w:rsid w:val="00AA36AF"/>
    <w:rsid w:val="00AA3938"/>
    <w:rsid w:val="00AA3DA4"/>
    <w:rsid w:val="00AA4298"/>
    <w:rsid w:val="00AA435D"/>
    <w:rsid w:val="00AA45DB"/>
    <w:rsid w:val="00AA4614"/>
    <w:rsid w:val="00AA4747"/>
    <w:rsid w:val="00AA4896"/>
    <w:rsid w:val="00AA4962"/>
    <w:rsid w:val="00AA4981"/>
    <w:rsid w:val="00AA4ACE"/>
    <w:rsid w:val="00AA4B48"/>
    <w:rsid w:val="00AA4D4C"/>
    <w:rsid w:val="00AA4E55"/>
    <w:rsid w:val="00AA526B"/>
    <w:rsid w:val="00AA528B"/>
    <w:rsid w:val="00AA5950"/>
    <w:rsid w:val="00AA5F6F"/>
    <w:rsid w:val="00AA5F8A"/>
    <w:rsid w:val="00AA6261"/>
    <w:rsid w:val="00AA66DA"/>
    <w:rsid w:val="00AA6F89"/>
    <w:rsid w:val="00AA714F"/>
    <w:rsid w:val="00AA7388"/>
    <w:rsid w:val="00AA7391"/>
    <w:rsid w:val="00AA7472"/>
    <w:rsid w:val="00AA74DB"/>
    <w:rsid w:val="00AA7533"/>
    <w:rsid w:val="00AA7727"/>
    <w:rsid w:val="00AA7DB7"/>
    <w:rsid w:val="00AB005C"/>
    <w:rsid w:val="00AB060C"/>
    <w:rsid w:val="00AB0691"/>
    <w:rsid w:val="00AB0842"/>
    <w:rsid w:val="00AB09B7"/>
    <w:rsid w:val="00AB0EB7"/>
    <w:rsid w:val="00AB13F6"/>
    <w:rsid w:val="00AB150C"/>
    <w:rsid w:val="00AB17EF"/>
    <w:rsid w:val="00AB17F5"/>
    <w:rsid w:val="00AB1C71"/>
    <w:rsid w:val="00AB1C7B"/>
    <w:rsid w:val="00AB1E03"/>
    <w:rsid w:val="00AB1E27"/>
    <w:rsid w:val="00AB1E4B"/>
    <w:rsid w:val="00AB2152"/>
    <w:rsid w:val="00AB228A"/>
    <w:rsid w:val="00AB22D4"/>
    <w:rsid w:val="00AB233D"/>
    <w:rsid w:val="00AB2392"/>
    <w:rsid w:val="00AB2397"/>
    <w:rsid w:val="00AB247C"/>
    <w:rsid w:val="00AB25F2"/>
    <w:rsid w:val="00AB2780"/>
    <w:rsid w:val="00AB29E5"/>
    <w:rsid w:val="00AB2F11"/>
    <w:rsid w:val="00AB3667"/>
    <w:rsid w:val="00AB385A"/>
    <w:rsid w:val="00AB3927"/>
    <w:rsid w:val="00AB3CAF"/>
    <w:rsid w:val="00AB3ECD"/>
    <w:rsid w:val="00AB426F"/>
    <w:rsid w:val="00AB4300"/>
    <w:rsid w:val="00AB441E"/>
    <w:rsid w:val="00AB49A2"/>
    <w:rsid w:val="00AB4D73"/>
    <w:rsid w:val="00AB4DB3"/>
    <w:rsid w:val="00AB5150"/>
    <w:rsid w:val="00AB55AE"/>
    <w:rsid w:val="00AB56DC"/>
    <w:rsid w:val="00AB5ED0"/>
    <w:rsid w:val="00AB5F69"/>
    <w:rsid w:val="00AB668A"/>
    <w:rsid w:val="00AB690C"/>
    <w:rsid w:val="00AB6C76"/>
    <w:rsid w:val="00AB6D54"/>
    <w:rsid w:val="00AB6F49"/>
    <w:rsid w:val="00AB727C"/>
    <w:rsid w:val="00AB7392"/>
    <w:rsid w:val="00AB760F"/>
    <w:rsid w:val="00AB7726"/>
    <w:rsid w:val="00AB79D6"/>
    <w:rsid w:val="00AB79DD"/>
    <w:rsid w:val="00AB7A55"/>
    <w:rsid w:val="00AB7CC6"/>
    <w:rsid w:val="00AB7E1B"/>
    <w:rsid w:val="00AB7FC7"/>
    <w:rsid w:val="00AC010C"/>
    <w:rsid w:val="00AC012D"/>
    <w:rsid w:val="00AC0658"/>
    <w:rsid w:val="00AC0669"/>
    <w:rsid w:val="00AC0A7B"/>
    <w:rsid w:val="00AC0B5C"/>
    <w:rsid w:val="00AC0E2C"/>
    <w:rsid w:val="00AC0FF9"/>
    <w:rsid w:val="00AC115A"/>
    <w:rsid w:val="00AC169A"/>
    <w:rsid w:val="00AC1A9C"/>
    <w:rsid w:val="00AC1E3C"/>
    <w:rsid w:val="00AC2086"/>
    <w:rsid w:val="00AC2610"/>
    <w:rsid w:val="00AC2B84"/>
    <w:rsid w:val="00AC2C8E"/>
    <w:rsid w:val="00AC30F5"/>
    <w:rsid w:val="00AC324E"/>
    <w:rsid w:val="00AC340A"/>
    <w:rsid w:val="00AC3593"/>
    <w:rsid w:val="00AC3601"/>
    <w:rsid w:val="00AC39A5"/>
    <w:rsid w:val="00AC3E99"/>
    <w:rsid w:val="00AC42B5"/>
    <w:rsid w:val="00AC4617"/>
    <w:rsid w:val="00AC46D2"/>
    <w:rsid w:val="00AC48BD"/>
    <w:rsid w:val="00AC4BFE"/>
    <w:rsid w:val="00AC55FD"/>
    <w:rsid w:val="00AC5754"/>
    <w:rsid w:val="00AC58FA"/>
    <w:rsid w:val="00AC5AD3"/>
    <w:rsid w:val="00AC5BF9"/>
    <w:rsid w:val="00AC5E06"/>
    <w:rsid w:val="00AC5F42"/>
    <w:rsid w:val="00AC5F66"/>
    <w:rsid w:val="00AC635D"/>
    <w:rsid w:val="00AC657D"/>
    <w:rsid w:val="00AC68EF"/>
    <w:rsid w:val="00AC7014"/>
    <w:rsid w:val="00AC710F"/>
    <w:rsid w:val="00AC715B"/>
    <w:rsid w:val="00AC7197"/>
    <w:rsid w:val="00AC738E"/>
    <w:rsid w:val="00AC766F"/>
    <w:rsid w:val="00AC79AC"/>
    <w:rsid w:val="00AC7B5B"/>
    <w:rsid w:val="00AC7E5B"/>
    <w:rsid w:val="00AC7ED0"/>
    <w:rsid w:val="00AD0034"/>
    <w:rsid w:val="00AD00A8"/>
    <w:rsid w:val="00AD00AF"/>
    <w:rsid w:val="00AD016C"/>
    <w:rsid w:val="00AD0513"/>
    <w:rsid w:val="00AD07CE"/>
    <w:rsid w:val="00AD0A34"/>
    <w:rsid w:val="00AD0A92"/>
    <w:rsid w:val="00AD0AF1"/>
    <w:rsid w:val="00AD0E31"/>
    <w:rsid w:val="00AD0EE3"/>
    <w:rsid w:val="00AD0FD7"/>
    <w:rsid w:val="00AD1274"/>
    <w:rsid w:val="00AD1393"/>
    <w:rsid w:val="00AD18DA"/>
    <w:rsid w:val="00AD19BB"/>
    <w:rsid w:val="00AD1A85"/>
    <w:rsid w:val="00AD1B13"/>
    <w:rsid w:val="00AD1C30"/>
    <w:rsid w:val="00AD1C94"/>
    <w:rsid w:val="00AD1D55"/>
    <w:rsid w:val="00AD1D72"/>
    <w:rsid w:val="00AD1E57"/>
    <w:rsid w:val="00AD1F5C"/>
    <w:rsid w:val="00AD217D"/>
    <w:rsid w:val="00AD2473"/>
    <w:rsid w:val="00AD2690"/>
    <w:rsid w:val="00AD27F3"/>
    <w:rsid w:val="00AD289A"/>
    <w:rsid w:val="00AD2A82"/>
    <w:rsid w:val="00AD2C25"/>
    <w:rsid w:val="00AD2D28"/>
    <w:rsid w:val="00AD2D3E"/>
    <w:rsid w:val="00AD396F"/>
    <w:rsid w:val="00AD3970"/>
    <w:rsid w:val="00AD39B4"/>
    <w:rsid w:val="00AD3E50"/>
    <w:rsid w:val="00AD415C"/>
    <w:rsid w:val="00AD4373"/>
    <w:rsid w:val="00AD4399"/>
    <w:rsid w:val="00AD43C4"/>
    <w:rsid w:val="00AD4897"/>
    <w:rsid w:val="00AD496E"/>
    <w:rsid w:val="00AD4BD3"/>
    <w:rsid w:val="00AD4D78"/>
    <w:rsid w:val="00AD5131"/>
    <w:rsid w:val="00AD528F"/>
    <w:rsid w:val="00AD550F"/>
    <w:rsid w:val="00AD5567"/>
    <w:rsid w:val="00AD56FE"/>
    <w:rsid w:val="00AD585E"/>
    <w:rsid w:val="00AD587D"/>
    <w:rsid w:val="00AD5903"/>
    <w:rsid w:val="00AD5A5F"/>
    <w:rsid w:val="00AD5BD7"/>
    <w:rsid w:val="00AD5DA1"/>
    <w:rsid w:val="00AD5DDA"/>
    <w:rsid w:val="00AD5DF4"/>
    <w:rsid w:val="00AD5FBE"/>
    <w:rsid w:val="00AD6045"/>
    <w:rsid w:val="00AD61B5"/>
    <w:rsid w:val="00AD61D0"/>
    <w:rsid w:val="00AD6685"/>
    <w:rsid w:val="00AD6786"/>
    <w:rsid w:val="00AD6903"/>
    <w:rsid w:val="00AD6A58"/>
    <w:rsid w:val="00AD6B12"/>
    <w:rsid w:val="00AD6B50"/>
    <w:rsid w:val="00AD6C43"/>
    <w:rsid w:val="00AD6E37"/>
    <w:rsid w:val="00AD7105"/>
    <w:rsid w:val="00AD716F"/>
    <w:rsid w:val="00AD757B"/>
    <w:rsid w:val="00AD7678"/>
    <w:rsid w:val="00AD776D"/>
    <w:rsid w:val="00AD77C9"/>
    <w:rsid w:val="00AD7821"/>
    <w:rsid w:val="00AD7A8E"/>
    <w:rsid w:val="00AD7B55"/>
    <w:rsid w:val="00AD7D22"/>
    <w:rsid w:val="00AE03F3"/>
    <w:rsid w:val="00AE0713"/>
    <w:rsid w:val="00AE0790"/>
    <w:rsid w:val="00AE085B"/>
    <w:rsid w:val="00AE0DE9"/>
    <w:rsid w:val="00AE0EF1"/>
    <w:rsid w:val="00AE1109"/>
    <w:rsid w:val="00AE1427"/>
    <w:rsid w:val="00AE1463"/>
    <w:rsid w:val="00AE17A3"/>
    <w:rsid w:val="00AE17E0"/>
    <w:rsid w:val="00AE19AC"/>
    <w:rsid w:val="00AE1B8F"/>
    <w:rsid w:val="00AE20E9"/>
    <w:rsid w:val="00AE2658"/>
    <w:rsid w:val="00AE272D"/>
    <w:rsid w:val="00AE2A21"/>
    <w:rsid w:val="00AE2C07"/>
    <w:rsid w:val="00AE2F11"/>
    <w:rsid w:val="00AE3162"/>
    <w:rsid w:val="00AE32A9"/>
    <w:rsid w:val="00AE38A8"/>
    <w:rsid w:val="00AE3A4B"/>
    <w:rsid w:val="00AE3A52"/>
    <w:rsid w:val="00AE3D4E"/>
    <w:rsid w:val="00AE3DB2"/>
    <w:rsid w:val="00AE3E8C"/>
    <w:rsid w:val="00AE4361"/>
    <w:rsid w:val="00AE4402"/>
    <w:rsid w:val="00AE4445"/>
    <w:rsid w:val="00AE4631"/>
    <w:rsid w:val="00AE4701"/>
    <w:rsid w:val="00AE49A4"/>
    <w:rsid w:val="00AE49C1"/>
    <w:rsid w:val="00AE4C0B"/>
    <w:rsid w:val="00AE4DCE"/>
    <w:rsid w:val="00AE4F95"/>
    <w:rsid w:val="00AE4FCA"/>
    <w:rsid w:val="00AE515E"/>
    <w:rsid w:val="00AE5B68"/>
    <w:rsid w:val="00AE5E01"/>
    <w:rsid w:val="00AE61A8"/>
    <w:rsid w:val="00AE6354"/>
    <w:rsid w:val="00AE677A"/>
    <w:rsid w:val="00AE69F1"/>
    <w:rsid w:val="00AE6DD2"/>
    <w:rsid w:val="00AE7159"/>
    <w:rsid w:val="00AE78D5"/>
    <w:rsid w:val="00AE7940"/>
    <w:rsid w:val="00AE7B86"/>
    <w:rsid w:val="00AE7DB6"/>
    <w:rsid w:val="00AE7F52"/>
    <w:rsid w:val="00AF0074"/>
    <w:rsid w:val="00AF0917"/>
    <w:rsid w:val="00AF0A89"/>
    <w:rsid w:val="00AF0B0F"/>
    <w:rsid w:val="00AF0F1A"/>
    <w:rsid w:val="00AF13D9"/>
    <w:rsid w:val="00AF141E"/>
    <w:rsid w:val="00AF1BF4"/>
    <w:rsid w:val="00AF20F5"/>
    <w:rsid w:val="00AF2590"/>
    <w:rsid w:val="00AF27F8"/>
    <w:rsid w:val="00AF29F1"/>
    <w:rsid w:val="00AF2C96"/>
    <w:rsid w:val="00AF2E8D"/>
    <w:rsid w:val="00AF2ED5"/>
    <w:rsid w:val="00AF335B"/>
    <w:rsid w:val="00AF34CA"/>
    <w:rsid w:val="00AF37EC"/>
    <w:rsid w:val="00AF3CA9"/>
    <w:rsid w:val="00AF4016"/>
    <w:rsid w:val="00AF406B"/>
    <w:rsid w:val="00AF40FE"/>
    <w:rsid w:val="00AF43F8"/>
    <w:rsid w:val="00AF45AF"/>
    <w:rsid w:val="00AF46AA"/>
    <w:rsid w:val="00AF4705"/>
    <w:rsid w:val="00AF4928"/>
    <w:rsid w:val="00AF4CB2"/>
    <w:rsid w:val="00AF4F82"/>
    <w:rsid w:val="00AF5454"/>
    <w:rsid w:val="00AF56A7"/>
    <w:rsid w:val="00AF58F0"/>
    <w:rsid w:val="00AF6013"/>
    <w:rsid w:val="00AF608F"/>
    <w:rsid w:val="00AF6248"/>
    <w:rsid w:val="00AF6536"/>
    <w:rsid w:val="00AF6584"/>
    <w:rsid w:val="00AF66D5"/>
    <w:rsid w:val="00AF672E"/>
    <w:rsid w:val="00AF6A08"/>
    <w:rsid w:val="00AF6A0D"/>
    <w:rsid w:val="00AF6AE1"/>
    <w:rsid w:val="00AF6CA4"/>
    <w:rsid w:val="00AF7704"/>
    <w:rsid w:val="00AF7776"/>
    <w:rsid w:val="00AF7DA7"/>
    <w:rsid w:val="00AF7E86"/>
    <w:rsid w:val="00B00314"/>
    <w:rsid w:val="00B007CC"/>
    <w:rsid w:val="00B00FDD"/>
    <w:rsid w:val="00B01207"/>
    <w:rsid w:val="00B0173C"/>
    <w:rsid w:val="00B017EE"/>
    <w:rsid w:val="00B01F09"/>
    <w:rsid w:val="00B02545"/>
    <w:rsid w:val="00B029EB"/>
    <w:rsid w:val="00B02BB7"/>
    <w:rsid w:val="00B02D3C"/>
    <w:rsid w:val="00B034B8"/>
    <w:rsid w:val="00B03553"/>
    <w:rsid w:val="00B03C38"/>
    <w:rsid w:val="00B03F6F"/>
    <w:rsid w:val="00B041AF"/>
    <w:rsid w:val="00B04291"/>
    <w:rsid w:val="00B043D7"/>
    <w:rsid w:val="00B04683"/>
    <w:rsid w:val="00B0473F"/>
    <w:rsid w:val="00B04E89"/>
    <w:rsid w:val="00B0531F"/>
    <w:rsid w:val="00B0541A"/>
    <w:rsid w:val="00B0577D"/>
    <w:rsid w:val="00B05859"/>
    <w:rsid w:val="00B05AB7"/>
    <w:rsid w:val="00B0610F"/>
    <w:rsid w:val="00B0611E"/>
    <w:rsid w:val="00B06306"/>
    <w:rsid w:val="00B06505"/>
    <w:rsid w:val="00B06713"/>
    <w:rsid w:val="00B06B56"/>
    <w:rsid w:val="00B07099"/>
    <w:rsid w:val="00B07203"/>
    <w:rsid w:val="00B072F6"/>
    <w:rsid w:val="00B07450"/>
    <w:rsid w:val="00B0759B"/>
    <w:rsid w:val="00B079F0"/>
    <w:rsid w:val="00B07D12"/>
    <w:rsid w:val="00B07EDB"/>
    <w:rsid w:val="00B10189"/>
    <w:rsid w:val="00B106C6"/>
    <w:rsid w:val="00B107AF"/>
    <w:rsid w:val="00B108C8"/>
    <w:rsid w:val="00B10B5F"/>
    <w:rsid w:val="00B10E8B"/>
    <w:rsid w:val="00B1103D"/>
    <w:rsid w:val="00B1109F"/>
    <w:rsid w:val="00B1134B"/>
    <w:rsid w:val="00B11775"/>
    <w:rsid w:val="00B11790"/>
    <w:rsid w:val="00B118DA"/>
    <w:rsid w:val="00B1191D"/>
    <w:rsid w:val="00B11A8A"/>
    <w:rsid w:val="00B11C15"/>
    <w:rsid w:val="00B11D8A"/>
    <w:rsid w:val="00B11EDC"/>
    <w:rsid w:val="00B11F4E"/>
    <w:rsid w:val="00B120D9"/>
    <w:rsid w:val="00B127FB"/>
    <w:rsid w:val="00B129E5"/>
    <w:rsid w:val="00B12A0B"/>
    <w:rsid w:val="00B13529"/>
    <w:rsid w:val="00B13925"/>
    <w:rsid w:val="00B13E95"/>
    <w:rsid w:val="00B13ECF"/>
    <w:rsid w:val="00B13EE9"/>
    <w:rsid w:val="00B13F8B"/>
    <w:rsid w:val="00B140B1"/>
    <w:rsid w:val="00B14371"/>
    <w:rsid w:val="00B1442E"/>
    <w:rsid w:val="00B1449B"/>
    <w:rsid w:val="00B14827"/>
    <w:rsid w:val="00B14AD9"/>
    <w:rsid w:val="00B14CE0"/>
    <w:rsid w:val="00B15180"/>
    <w:rsid w:val="00B15222"/>
    <w:rsid w:val="00B15A05"/>
    <w:rsid w:val="00B15B25"/>
    <w:rsid w:val="00B15F23"/>
    <w:rsid w:val="00B16057"/>
    <w:rsid w:val="00B1616B"/>
    <w:rsid w:val="00B16280"/>
    <w:rsid w:val="00B1658B"/>
    <w:rsid w:val="00B16600"/>
    <w:rsid w:val="00B16CF2"/>
    <w:rsid w:val="00B17037"/>
    <w:rsid w:val="00B170CA"/>
    <w:rsid w:val="00B17207"/>
    <w:rsid w:val="00B17413"/>
    <w:rsid w:val="00B1753C"/>
    <w:rsid w:val="00B17B8C"/>
    <w:rsid w:val="00B17CEB"/>
    <w:rsid w:val="00B202F0"/>
    <w:rsid w:val="00B205C6"/>
    <w:rsid w:val="00B20895"/>
    <w:rsid w:val="00B20ABA"/>
    <w:rsid w:val="00B20CDD"/>
    <w:rsid w:val="00B212BE"/>
    <w:rsid w:val="00B2141B"/>
    <w:rsid w:val="00B214D2"/>
    <w:rsid w:val="00B214EE"/>
    <w:rsid w:val="00B215E1"/>
    <w:rsid w:val="00B216D6"/>
    <w:rsid w:val="00B2197B"/>
    <w:rsid w:val="00B219D7"/>
    <w:rsid w:val="00B21A08"/>
    <w:rsid w:val="00B21B41"/>
    <w:rsid w:val="00B21C4C"/>
    <w:rsid w:val="00B21DDC"/>
    <w:rsid w:val="00B21E40"/>
    <w:rsid w:val="00B221A8"/>
    <w:rsid w:val="00B224BB"/>
    <w:rsid w:val="00B226C1"/>
    <w:rsid w:val="00B2287D"/>
    <w:rsid w:val="00B22902"/>
    <w:rsid w:val="00B229A7"/>
    <w:rsid w:val="00B229A9"/>
    <w:rsid w:val="00B229CC"/>
    <w:rsid w:val="00B22B04"/>
    <w:rsid w:val="00B22B47"/>
    <w:rsid w:val="00B22B54"/>
    <w:rsid w:val="00B22B81"/>
    <w:rsid w:val="00B22D80"/>
    <w:rsid w:val="00B22E62"/>
    <w:rsid w:val="00B23070"/>
    <w:rsid w:val="00B233A8"/>
    <w:rsid w:val="00B23423"/>
    <w:rsid w:val="00B2352E"/>
    <w:rsid w:val="00B2355A"/>
    <w:rsid w:val="00B23672"/>
    <w:rsid w:val="00B23678"/>
    <w:rsid w:val="00B23732"/>
    <w:rsid w:val="00B23835"/>
    <w:rsid w:val="00B23B95"/>
    <w:rsid w:val="00B23D19"/>
    <w:rsid w:val="00B23D9C"/>
    <w:rsid w:val="00B23E15"/>
    <w:rsid w:val="00B24019"/>
    <w:rsid w:val="00B24349"/>
    <w:rsid w:val="00B2479A"/>
    <w:rsid w:val="00B2492A"/>
    <w:rsid w:val="00B24A3A"/>
    <w:rsid w:val="00B24AA4"/>
    <w:rsid w:val="00B24D99"/>
    <w:rsid w:val="00B24EC7"/>
    <w:rsid w:val="00B24F86"/>
    <w:rsid w:val="00B259C9"/>
    <w:rsid w:val="00B25B08"/>
    <w:rsid w:val="00B25CFB"/>
    <w:rsid w:val="00B25D6B"/>
    <w:rsid w:val="00B26069"/>
    <w:rsid w:val="00B26234"/>
    <w:rsid w:val="00B2636C"/>
    <w:rsid w:val="00B266DD"/>
    <w:rsid w:val="00B267D2"/>
    <w:rsid w:val="00B26A31"/>
    <w:rsid w:val="00B26DB4"/>
    <w:rsid w:val="00B270C9"/>
    <w:rsid w:val="00B277C4"/>
    <w:rsid w:val="00B279C7"/>
    <w:rsid w:val="00B27EC5"/>
    <w:rsid w:val="00B27ECD"/>
    <w:rsid w:val="00B30027"/>
    <w:rsid w:val="00B30033"/>
    <w:rsid w:val="00B30153"/>
    <w:rsid w:val="00B301E4"/>
    <w:rsid w:val="00B30458"/>
    <w:rsid w:val="00B3047D"/>
    <w:rsid w:val="00B30941"/>
    <w:rsid w:val="00B309A5"/>
    <w:rsid w:val="00B30BB1"/>
    <w:rsid w:val="00B30DB1"/>
    <w:rsid w:val="00B3167F"/>
    <w:rsid w:val="00B31DA0"/>
    <w:rsid w:val="00B32728"/>
    <w:rsid w:val="00B32B1F"/>
    <w:rsid w:val="00B32B3F"/>
    <w:rsid w:val="00B32CA0"/>
    <w:rsid w:val="00B32D84"/>
    <w:rsid w:val="00B3344E"/>
    <w:rsid w:val="00B33DC6"/>
    <w:rsid w:val="00B33FF2"/>
    <w:rsid w:val="00B342B0"/>
    <w:rsid w:val="00B342CA"/>
    <w:rsid w:val="00B343AC"/>
    <w:rsid w:val="00B34457"/>
    <w:rsid w:val="00B34AFD"/>
    <w:rsid w:val="00B34C2A"/>
    <w:rsid w:val="00B34C92"/>
    <w:rsid w:val="00B34D0B"/>
    <w:rsid w:val="00B34E38"/>
    <w:rsid w:val="00B34FBA"/>
    <w:rsid w:val="00B35397"/>
    <w:rsid w:val="00B35594"/>
    <w:rsid w:val="00B35655"/>
    <w:rsid w:val="00B358E0"/>
    <w:rsid w:val="00B35A6C"/>
    <w:rsid w:val="00B35EEE"/>
    <w:rsid w:val="00B35F16"/>
    <w:rsid w:val="00B35F78"/>
    <w:rsid w:val="00B36095"/>
    <w:rsid w:val="00B3666F"/>
    <w:rsid w:val="00B36694"/>
    <w:rsid w:val="00B36735"/>
    <w:rsid w:val="00B36A5F"/>
    <w:rsid w:val="00B36CD2"/>
    <w:rsid w:val="00B36E15"/>
    <w:rsid w:val="00B36F42"/>
    <w:rsid w:val="00B37049"/>
    <w:rsid w:val="00B3704C"/>
    <w:rsid w:val="00B37052"/>
    <w:rsid w:val="00B3723D"/>
    <w:rsid w:val="00B37388"/>
    <w:rsid w:val="00B374AB"/>
    <w:rsid w:val="00B37D41"/>
    <w:rsid w:val="00B40174"/>
    <w:rsid w:val="00B401F3"/>
    <w:rsid w:val="00B4026E"/>
    <w:rsid w:val="00B402EA"/>
    <w:rsid w:val="00B4085E"/>
    <w:rsid w:val="00B408E7"/>
    <w:rsid w:val="00B40D9B"/>
    <w:rsid w:val="00B40F86"/>
    <w:rsid w:val="00B41233"/>
    <w:rsid w:val="00B412CE"/>
    <w:rsid w:val="00B41306"/>
    <w:rsid w:val="00B41698"/>
    <w:rsid w:val="00B4172F"/>
    <w:rsid w:val="00B41E6A"/>
    <w:rsid w:val="00B426A7"/>
    <w:rsid w:val="00B42AE6"/>
    <w:rsid w:val="00B42B32"/>
    <w:rsid w:val="00B42DCC"/>
    <w:rsid w:val="00B433B6"/>
    <w:rsid w:val="00B438BB"/>
    <w:rsid w:val="00B43C33"/>
    <w:rsid w:val="00B442DB"/>
    <w:rsid w:val="00B44357"/>
    <w:rsid w:val="00B44430"/>
    <w:rsid w:val="00B44612"/>
    <w:rsid w:val="00B446DA"/>
    <w:rsid w:val="00B447A1"/>
    <w:rsid w:val="00B447F3"/>
    <w:rsid w:val="00B44C09"/>
    <w:rsid w:val="00B44C55"/>
    <w:rsid w:val="00B44CA8"/>
    <w:rsid w:val="00B44E1D"/>
    <w:rsid w:val="00B4520C"/>
    <w:rsid w:val="00B45B44"/>
    <w:rsid w:val="00B45B7E"/>
    <w:rsid w:val="00B45D59"/>
    <w:rsid w:val="00B45DF1"/>
    <w:rsid w:val="00B45DF5"/>
    <w:rsid w:val="00B45F83"/>
    <w:rsid w:val="00B4657F"/>
    <w:rsid w:val="00B467DC"/>
    <w:rsid w:val="00B469AD"/>
    <w:rsid w:val="00B46C73"/>
    <w:rsid w:val="00B46CFC"/>
    <w:rsid w:val="00B470E8"/>
    <w:rsid w:val="00B47557"/>
    <w:rsid w:val="00B47821"/>
    <w:rsid w:val="00B4789A"/>
    <w:rsid w:val="00B478F8"/>
    <w:rsid w:val="00B479A0"/>
    <w:rsid w:val="00B47B18"/>
    <w:rsid w:val="00B47CCF"/>
    <w:rsid w:val="00B50500"/>
    <w:rsid w:val="00B507B4"/>
    <w:rsid w:val="00B50A1D"/>
    <w:rsid w:val="00B50DFC"/>
    <w:rsid w:val="00B5100D"/>
    <w:rsid w:val="00B511E3"/>
    <w:rsid w:val="00B51569"/>
    <w:rsid w:val="00B517AF"/>
    <w:rsid w:val="00B517EA"/>
    <w:rsid w:val="00B51A9A"/>
    <w:rsid w:val="00B51BF8"/>
    <w:rsid w:val="00B51CBD"/>
    <w:rsid w:val="00B51FFC"/>
    <w:rsid w:val="00B521E2"/>
    <w:rsid w:val="00B524E5"/>
    <w:rsid w:val="00B52508"/>
    <w:rsid w:val="00B525DE"/>
    <w:rsid w:val="00B52722"/>
    <w:rsid w:val="00B52789"/>
    <w:rsid w:val="00B5292D"/>
    <w:rsid w:val="00B52A21"/>
    <w:rsid w:val="00B52B49"/>
    <w:rsid w:val="00B53093"/>
    <w:rsid w:val="00B534D5"/>
    <w:rsid w:val="00B5386A"/>
    <w:rsid w:val="00B53878"/>
    <w:rsid w:val="00B5389C"/>
    <w:rsid w:val="00B53BAF"/>
    <w:rsid w:val="00B53E7C"/>
    <w:rsid w:val="00B5405F"/>
    <w:rsid w:val="00B547D6"/>
    <w:rsid w:val="00B54B28"/>
    <w:rsid w:val="00B5501B"/>
    <w:rsid w:val="00B55593"/>
    <w:rsid w:val="00B555C1"/>
    <w:rsid w:val="00B558E9"/>
    <w:rsid w:val="00B55A3F"/>
    <w:rsid w:val="00B55B4B"/>
    <w:rsid w:val="00B55EC2"/>
    <w:rsid w:val="00B561ED"/>
    <w:rsid w:val="00B5639C"/>
    <w:rsid w:val="00B563D5"/>
    <w:rsid w:val="00B56426"/>
    <w:rsid w:val="00B5666F"/>
    <w:rsid w:val="00B56BC8"/>
    <w:rsid w:val="00B56BFA"/>
    <w:rsid w:val="00B56E4C"/>
    <w:rsid w:val="00B56F3F"/>
    <w:rsid w:val="00B5760A"/>
    <w:rsid w:val="00B57AD7"/>
    <w:rsid w:val="00B57D2F"/>
    <w:rsid w:val="00B60046"/>
    <w:rsid w:val="00B60109"/>
    <w:rsid w:val="00B60320"/>
    <w:rsid w:val="00B6053B"/>
    <w:rsid w:val="00B60541"/>
    <w:rsid w:val="00B607C7"/>
    <w:rsid w:val="00B60930"/>
    <w:rsid w:val="00B60A8C"/>
    <w:rsid w:val="00B60C27"/>
    <w:rsid w:val="00B60EFE"/>
    <w:rsid w:val="00B613C0"/>
    <w:rsid w:val="00B618F8"/>
    <w:rsid w:val="00B61C30"/>
    <w:rsid w:val="00B61C88"/>
    <w:rsid w:val="00B61D85"/>
    <w:rsid w:val="00B620D9"/>
    <w:rsid w:val="00B62103"/>
    <w:rsid w:val="00B623CA"/>
    <w:rsid w:val="00B623D3"/>
    <w:rsid w:val="00B623D7"/>
    <w:rsid w:val="00B62441"/>
    <w:rsid w:val="00B6245C"/>
    <w:rsid w:val="00B62715"/>
    <w:rsid w:val="00B627FF"/>
    <w:rsid w:val="00B6319D"/>
    <w:rsid w:val="00B631F3"/>
    <w:rsid w:val="00B6354E"/>
    <w:rsid w:val="00B635E3"/>
    <w:rsid w:val="00B6368F"/>
    <w:rsid w:val="00B6384F"/>
    <w:rsid w:val="00B63BCC"/>
    <w:rsid w:val="00B63CEA"/>
    <w:rsid w:val="00B6402A"/>
    <w:rsid w:val="00B6460A"/>
    <w:rsid w:val="00B64619"/>
    <w:rsid w:val="00B658AA"/>
    <w:rsid w:val="00B65A1E"/>
    <w:rsid w:val="00B6638A"/>
    <w:rsid w:val="00B664D1"/>
    <w:rsid w:val="00B6699B"/>
    <w:rsid w:val="00B66EBD"/>
    <w:rsid w:val="00B6703A"/>
    <w:rsid w:val="00B6753B"/>
    <w:rsid w:val="00B676C7"/>
    <w:rsid w:val="00B678F8"/>
    <w:rsid w:val="00B67D88"/>
    <w:rsid w:val="00B67DC0"/>
    <w:rsid w:val="00B67F99"/>
    <w:rsid w:val="00B70B4A"/>
    <w:rsid w:val="00B70B81"/>
    <w:rsid w:val="00B70E84"/>
    <w:rsid w:val="00B70E9C"/>
    <w:rsid w:val="00B71110"/>
    <w:rsid w:val="00B71141"/>
    <w:rsid w:val="00B71287"/>
    <w:rsid w:val="00B7148E"/>
    <w:rsid w:val="00B719B2"/>
    <w:rsid w:val="00B71AA5"/>
    <w:rsid w:val="00B71C1C"/>
    <w:rsid w:val="00B71D45"/>
    <w:rsid w:val="00B71E9B"/>
    <w:rsid w:val="00B71F1F"/>
    <w:rsid w:val="00B71FC6"/>
    <w:rsid w:val="00B7232F"/>
    <w:rsid w:val="00B725C6"/>
    <w:rsid w:val="00B72881"/>
    <w:rsid w:val="00B72BF7"/>
    <w:rsid w:val="00B730B1"/>
    <w:rsid w:val="00B737DE"/>
    <w:rsid w:val="00B73814"/>
    <w:rsid w:val="00B73870"/>
    <w:rsid w:val="00B738FC"/>
    <w:rsid w:val="00B739F5"/>
    <w:rsid w:val="00B73A33"/>
    <w:rsid w:val="00B746A3"/>
    <w:rsid w:val="00B746FA"/>
    <w:rsid w:val="00B74BE8"/>
    <w:rsid w:val="00B752CA"/>
    <w:rsid w:val="00B753AB"/>
    <w:rsid w:val="00B758C1"/>
    <w:rsid w:val="00B758F9"/>
    <w:rsid w:val="00B75BE8"/>
    <w:rsid w:val="00B75D07"/>
    <w:rsid w:val="00B75F74"/>
    <w:rsid w:val="00B75FDA"/>
    <w:rsid w:val="00B76143"/>
    <w:rsid w:val="00B7633B"/>
    <w:rsid w:val="00B7647C"/>
    <w:rsid w:val="00B76C24"/>
    <w:rsid w:val="00B76E8C"/>
    <w:rsid w:val="00B76FA7"/>
    <w:rsid w:val="00B77080"/>
    <w:rsid w:val="00B775A4"/>
    <w:rsid w:val="00B77612"/>
    <w:rsid w:val="00B7762D"/>
    <w:rsid w:val="00B7775F"/>
    <w:rsid w:val="00B77832"/>
    <w:rsid w:val="00B77F93"/>
    <w:rsid w:val="00B801E4"/>
    <w:rsid w:val="00B80751"/>
    <w:rsid w:val="00B80A0D"/>
    <w:rsid w:val="00B81289"/>
    <w:rsid w:val="00B812BD"/>
    <w:rsid w:val="00B815B7"/>
    <w:rsid w:val="00B81A3F"/>
    <w:rsid w:val="00B81AA6"/>
    <w:rsid w:val="00B81B87"/>
    <w:rsid w:val="00B81BC7"/>
    <w:rsid w:val="00B81CFB"/>
    <w:rsid w:val="00B81D0B"/>
    <w:rsid w:val="00B81DBD"/>
    <w:rsid w:val="00B81F2E"/>
    <w:rsid w:val="00B82034"/>
    <w:rsid w:val="00B82244"/>
    <w:rsid w:val="00B82314"/>
    <w:rsid w:val="00B8232F"/>
    <w:rsid w:val="00B82406"/>
    <w:rsid w:val="00B826A3"/>
    <w:rsid w:val="00B82931"/>
    <w:rsid w:val="00B82DC2"/>
    <w:rsid w:val="00B82E7A"/>
    <w:rsid w:val="00B83833"/>
    <w:rsid w:val="00B83D49"/>
    <w:rsid w:val="00B842E1"/>
    <w:rsid w:val="00B848DA"/>
    <w:rsid w:val="00B84974"/>
    <w:rsid w:val="00B84D7C"/>
    <w:rsid w:val="00B84F41"/>
    <w:rsid w:val="00B85A8D"/>
    <w:rsid w:val="00B85BCD"/>
    <w:rsid w:val="00B85EF2"/>
    <w:rsid w:val="00B860E8"/>
    <w:rsid w:val="00B86264"/>
    <w:rsid w:val="00B863A1"/>
    <w:rsid w:val="00B86783"/>
    <w:rsid w:val="00B8697F"/>
    <w:rsid w:val="00B869E0"/>
    <w:rsid w:val="00B86BE6"/>
    <w:rsid w:val="00B87598"/>
    <w:rsid w:val="00B87883"/>
    <w:rsid w:val="00B87981"/>
    <w:rsid w:val="00B87CC1"/>
    <w:rsid w:val="00B9001B"/>
    <w:rsid w:val="00B90104"/>
    <w:rsid w:val="00B90590"/>
    <w:rsid w:val="00B905A5"/>
    <w:rsid w:val="00B90EAA"/>
    <w:rsid w:val="00B90F0F"/>
    <w:rsid w:val="00B90F5F"/>
    <w:rsid w:val="00B91261"/>
    <w:rsid w:val="00B91360"/>
    <w:rsid w:val="00B913E7"/>
    <w:rsid w:val="00B916DD"/>
    <w:rsid w:val="00B91846"/>
    <w:rsid w:val="00B91A2A"/>
    <w:rsid w:val="00B925C9"/>
    <w:rsid w:val="00B925DE"/>
    <w:rsid w:val="00B926A1"/>
    <w:rsid w:val="00B928A9"/>
    <w:rsid w:val="00B92D3C"/>
    <w:rsid w:val="00B92DF4"/>
    <w:rsid w:val="00B9307B"/>
    <w:rsid w:val="00B93568"/>
    <w:rsid w:val="00B939DF"/>
    <w:rsid w:val="00B93D41"/>
    <w:rsid w:val="00B93D8F"/>
    <w:rsid w:val="00B93E6B"/>
    <w:rsid w:val="00B9407E"/>
    <w:rsid w:val="00B942E8"/>
    <w:rsid w:val="00B9463D"/>
    <w:rsid w:val="00B94662"/>
    <w:rsid w:val="00B948FA"/>
    <w:rsid w:val="00B94B0C"/>
    <w:rsid w:val="00B94B6A"/>
    <w:rsid w:val="00B94D32"/>
    <w:rsid w:val="00B94D3F"/>
    <w:rsid w:val="00B94D49"/>
    <w:rsid w:val="00B957FE"/>
    <w:rsid w:val="00B95DBB"/>
    <w:rsid w:val="00B95EA4"/>
    <w:rsid w:val="00B9635B"/>
    <w:rsid w:val="00B9641E"/>
    <w:rsid w:val="00B965BF"/>
    <w:rsid w:val="00B97931"/>
    <w:rsid w:val="00B9798D"/>
    <w:rsid w:val="00B97A8C"/>
    <w:rsid w:val="00B97C9D"/>
    <w:rsid w:val="00BA0414"/>
    <w:rsid w:val="00BA0482"/>
    <w:rsid w:val="00BA0667"/>
    <w:rsid w:val="00BA066C"/>
    <w:rsid w:val="00BA0805"/>
    <w:rsid w:val="00BA0B00"/>
    <w:rsid w:val="00BA122A"/>
    <w:rsid w:val="00BA15E3"/>
    <w:rsid w:val="00BA1617"/>
    <w:rsid w:val="00BA1638"/>
    <w:rsid w:val="00BA176C"/>
    <w:rsid w:val="00BA19E8"/>
    <w:rsid w:val="00BA1F7C"/>
    <w:rsid w:val="00BA2099"/>
    <w:rsid w:val="00BA2260"/>
    <w:rsid w:val="00BA26F4"/>
    <w:rsid w:val="00BA2DE6"/>
    <w:rsid w:val="00BA2E0F"/>
    <w:rsid w:val="00BA3D08"/>
    <w:rsid w:val="00BA4086"/>
    <w:rsid w:val="00BA4212"/>
    <w:rsid w:val="00BA4522"/>
    <w:rsid w:val="00BA4F94"/>
    <w:rsid w:val="00BA5085"/>
    <w:rsid w:val="00BA517B"/>
    <w:rsid w:val="00BA543C"/>
    <w:rsid w:val="00BA545F"/>
    <w:rsid w:val="00BA54EA"/>
    <w:rsid w:val="00BA5687"/>
    <w:rsid w:val="00BA5741"/>
    <w:rsid w:val="00BA58A7"/>
    <w:rsid w:val="00BA5C42"/>
    <w:rsid w:val="00BA5C9F"/>
    <w:rsid w:val="00BA61A0"/>
    <w:rsid w:val="00BA667B"/>
    <w:rsid w:val="00BA6915"/>
    <w:rsid w:val="00BA69D4"/>
    <w:rsid w:val="00BA6E68"/>
    <w:rsid w:val="00BA6E88"/>
    <w:rsid w:val="00BA7022"/>
    <w:rsid w:val="00BA70BF"/>
    <w:rsid w:val="00BA74ED"/>
    <w:rsid w:val="00BA756C"/>
    <w:rsid w:val="00BA7B51"/>
    <w:rsid w:val="00BA7C6B"/>
    <w:rsid w:val="00BA7C91"/>
    <w:rsid w:val="00BA7CCE"/>
    <w:rsid w:val="00BB0065"/>
    <w:rsid w:val="00BB01DF"/>
    <w:rsid w:val="00BB02CE"/>
    <w:rsid w:val="00BB0483"/>
    <w:rsid w:val="00BB0971"/>
    <w:rsid w:val="00BB0973"/>
    <w:rsid w:val="00BB0AE2"/>
    <w:rsid w:val="00BB0B67"/>
    <w:rsid w:val="00BB0BE7"/>
    <w:rsid w:val="00BB0DE8"/>
    <w:rsid w:val="00BB0E53"/>
    <w:rsid w:val="00BB0EF8"/>
    <w:rsid w:val="00BB11D2"/>
    <w:rsid w:val="00BB14A4"/>
    <w:rsid w:val="00BB18AE"/>
    <w:rsid w:val="00BB198C"/>
    <w:rsid w:val="00BB1B19"/>
    <w:rsid w:val="00BB1E56"/>
    <w:rsid w:val="00BB1E5B"/>
    <w:rsid w:val="00BB20AF"/>
    <w:rsid w:val="00BB24A9"/>
    <w:rsid w:val="00BB2712"/>
    <w:rsid w:val="00BB30B1"/>
    <w:rsid w:val="00BB31F7"/>
    <w:rsid w:val="00BB350E"/>
    <w:rsid w:val="00BB39E4"/>
    <w:rsid w:val="00BB3AC7"/>
    <w:rsid w:val="00BB3E21"/>
    <w:rsid w:val="00BB41E6"/>
    <w:rsid w:val="00BB49F0"/>
    <w:rsid w:val="00BB4A29"/>
    <w:rsid w:val="00BB4A6A"/>
    <w:rsid w:val="00BB52AE"/>
    <w:rsid w:val="00BB55A5"/>
    <w:rsid w:val="00BB55D4"/>
    <w:rsid w:val="00BB5688"/>
    <w:rsid w:val="00BB59BA"/>
    <w:rsid w:val="00BB5ACE"/>
    <w:rsid w:val="00BB5BAD"/>
    <w:rsid w:val="00BB6241"/>
    <w:rsid w:val="00BB66C0"/>
    <w:rsid w:val="00BB6828"/>
    <w:rsid w:val="00BB6D17"/>
    <w:rsid w:val="00BB7879"/>
    <w:rsid w:val="00BC0C38"/>
    <w:rsid w:val="00BC0CDC"/>
    <w:rsid w:val="00BC0E92"/>
    <w:rsid w:val="00BC148F"/>
    <w:rsid w:val="00BC16B4"/>
    <w:rsid w:val="00BC233C"/>
    <w:rsid w:val="00BC2535"/>
    <w:rsid w:val="00BC2548"/>
    <w:rsid w:val="00BC25B6"/>
    <w:rsid w:val="00BC29E7"/>
    <w:rsid w:val="00BC2AC4"/>
    <w:rsid w:val="00BC36A5"/>
    <w:rsid w:val="00BC3901"/>
    <w:rsid w:val="00BC399C"/>
    <w:rsid w:val="00BC4155"/>
    <w:rsid w:val="00BC42AE"/>
    <w:rsid w:val="00BC448D"/>
    <w:rsid w:val="00BC44BE"/>
    <w:rsid w:val="00BC49CB"/>
    <w:rsid w:val="00BC4B44"/>
    <w:rsid w:val="00BC5214"/>
    <w:rsid w:val="00BC5268"/>
    <w:rsid w:val="00BC5720"/>
    <w:rsid w:val="00BC5B30"/>
    <w:rsid w:val="00BC5C36"/>
    <w:rsid w:val="00BC60F3"/>
    <w:rsid w:val="00BC6183"/>
    <w:rsid w:val="00BC62BB"/>
    <w:rsid w:val="00BC6923"/>
    <w:rsid w:val="00BC6ADA"/>
    <w:rsid w:val="00BC6E48"/>
    <w:rsid w:val="00BC6F86"/>
    <w:rsid w:val="00BC74C9"/>
    <w:rsid w:val="00BC79E7"/>
    <w:rsid w:val="00BC7AAA"/>
    <w:rsid w:val="00BC7C5C"/>
    <w:rsid w:val="00BC7D68"/>
    <w:rsid w:val="00BC7E68"/>
    <w:rsid w:val="00BC7ED0"/>
    <w:rsid w:val="00BD018A"/>
    <w:rsid w:val="00BD053A"/>
    <w:rsid w:val="00BD0932"/>
    <w:rsid w:val="00BD15F0"/>
    <w:rsid w:val="00BD195E"/>
    <w:rsid w:val="00BD1AA1"/>
    <w:rsid w:val="00BD24E3"/>
    <w:rsid w:val="00BD2A66"/>
    <w:rsid w:val="00BD2F0B"/>
    <w:rsid w:val="00BD2FAD"/>
    <w:rsid w:val="00BD325D"/>
    <w:rsid w:val="00BD376E"/>
    <w:rsid w:val="00BD37C3"/>
    <w:rsid w:val="00BD38F4"/>
    <w:rsid w:val="00BD3F29"/>
    <w:rsid w:val="00BD3FF2"/>
    <w:rsid w:val="00BD4093"/>
    <w:rsid w:val="00BD4590"/>
    <w:rsid w:val="00BD485A"/>
    <w:rsid w:val="00BD4977"/>
    <w:rsid w:val="00BD49F5"/>
    <w:rsid w:val="00BD507D"/>
    <w:rsid w:val="00BD50F9"/>
    <w:rsid w:val="00BD55CA"/>
    <w:rsid w:val="00BD60AE"/>
    <w:rsid w:val="00BD6255"/>
    <w:rsid w:val="00BD63F1"/>
    <w:rsid w:val="00BD65A3"/>
    <w:rsid w:val="00BD673C"/>
    <w:rsid w:val="00BD6825"/>
    <w:rsid w:val="00BD6895"/>
    <w:rsid w:val="00BD68D4"/>
    <w:rsid w:val="00BD6B56"/>
    <w:rsid w:val="00BD6E6F"/>
    <w:rsid w:val="00BD6F5D"/>
    <w:rsid w:val="00BD6FC5"/>
    <w:rsid w:val="00BD73BB"/>
    <w:rsid w:val="00BD751B"/>
    <w:rsid w:val="00BD788C"/>
    <w:rsid w:val="00BD7A71"/>
    <w:rsid w:val="00BD7E6F"/>
    <w:rsid w:val="00BE0083"/>
    <w:rsid w:val="00BE0304"/>
    <w:rsid w:val="00BE0328"/>
    <w:rsid w:val="00BE0377"/>
    <w:rsid w:val="00BE03A4"/>
    <w:rsid w:val="00BE0C72"/>
    <w:rsid w:val="00BE0F41"/>
    <w:rsid w:val="00BE1029"/>
    <w:rsid w:val="00BE17FF"/>
    <w:rsid w:val="00BE18A3"/>
    <w:rsid w:val="00BE18D0"/>
    <w:rsid w:val="00BE1977"/>
    <w:rsid w:val="00BE1AFA"/>
    <w:rsid w:val="00BE1E22"/>
    <w:rsid w:val="00BE23D0"/>
    <w:rsid w:val="00BE2D31"/>
    <w:rsid w:val="00BE31F1"/>
    <w:rsid w:val="00BE35AB"/>
    <w:rsid w:val="00BE3738"/>
    <w:rsid w:val="00BE374B"/>
    <w:rsid w:val="00BE3B71"/>
    <w:rsid w:val="00BE3DA8"/>
    <w:rsid w:val="00BE4171"/>
    <w:rsid w:val="00BE4228"/>
    <w:rsid w:val="00BE4699"/>
    <w:rsid w:val="00BE4B3F"/>
    <w:rsid w:val="00BE4DD3"/>
    <w:rsid w:val="00BE4FB1"/>
    <w:rsid w:val="00BE507C"/>
    <w:rsid w:val="00BE5326"/>
    <w:rsid w:val="00BE5B5C"/>
    <w:rsid w:val="00BE5F94"/>
    <w:rsid w:val="00BE5FE8"/>
    <w:rsid w:val="00BE631B"/>
    <w:rsid w:val="00BE64A6"/>
    <w:rsid w:val="00BE64D5"/>
    <w:rsid w:val="00BE6764"/>
    <w:rsid w:val="00BE6860"/>
    <w:rsid w:val="00BE6AE9"/>
    <w:rsid w:val="00BE6B30"/>
    <w:rsid w:val="00BE738A"/>
    <w:rsid w:val="00BE7814"/>
    <w:rsid w:val="00BE7F7B"/>
    <w:rsid w:val="00BEE444"/>
    <w:rsid w:val="00BF0259"/>
    <w:rsid w:val="00BF08B8"/>
    <w:rsid w:val="00BF08EB"/>
    <w:rsid w:val="00BF0B1B"/>
    <w:rsid w:val="00BF1007"/>
    <w:rsid w:val="00BF102B"/>
    <w:rsid w:val="00BF11E7"/>
    <w:rsid w:val="00BF1262"/>
    <w:rsid w:val="00BF1377"/>
    <w:rsid w:val="00BF13E6"/>
    <w:rsid w:val="00BF13FD"/>
    <w:rsid w:val="00BF1555"/>
    <w:rsid w:val="00BF1602"/>
    <w:rsid w:val="00BF184F"/>
    <w:rsid w:val="00BF1BBE"/>
    <w:rsid w:val="00BF1DAB"/>
    <w:rsid w:val="00BF242B"/>
    <w:rsid w:val="00BF2464"/>
    <w:rsid w:val="00BF2498"/>
    <w:rsid w:val="00BF259B"/>
    <w:rsid w:val="00BF29FE"/>
    <w:rsid w:val="00BF2C9F"/>
    <w:rsid w:val="00BF2F94"/>
    <w:rsid w:val="00BF2FE0"/>
    <w:rsid w:val="00BF32BD"/>
    <w:rsid w:val="00BF3458"/>
    <w:rsid w:val="00BF381D"/>
    <w:rsid w:val="00BF3B49"/>
    <w:rsid w:val="00BF3C1E"/>
    <w:rsid w:val="00BF40BE"/>
    <w:rsid w:val="00BF415D"/>
    <w:rsid w:val="00BF4267"/>
    <w:rsid w:val="00BF43A6"/>
    <w:rsid w:val="00BF4428"/>
    <w:rsid w:val="00BF44EF"/>
    <w:rsid w:val="00BF45F8"/>
    <w:rsid w:val="00BF4AE4"/>
    <w:rsid w:val="00BF4D14"/>
    <w:rsid w:val="00BF4E53"/>
    <w:rsid w:val="00BF4E5D"/>
    <w:rsid w:val="00BF4EEB"/>
    <w:rsid w:val="00BF4F3D"/>
    <w:rsid w:val="00BF53BE"/>
    <w:rsid w:val="00BF54CB"/>
    <w:rsid w:val="00BF579A"/>
    <w:rsid w:val="00BF57FB"/>
    <w:rsid w:val="00BF5832"/>
    <w:rsid w:val="00BF5EB2"/>
    <w:rsid w:val="00BF6326"/>
    <w:rsid w:val="00BF637C"/>
    <w:rsid w:val="00BF64B9"/>
    <w:rsid w:val="00BF6969"/>
    <w:rsid w:val="00BF697D"/>
    <w:rsid w:val="00BF6AA8"/>
    <w:rsid w:val="00BF6AE4"/>
    <w:rsid w:val="00BF6D2B"/>
    <w:rsid w:val="00BF6D44"/>
    <w:rsid w:val="00BF71EE"/>
    <w:rsid w:val="00BF71F1"/>
    <w:rsid w:val="00C0009F"/>
    <w:rsid w:val="00C00695"/>
    <w:rsid w:val="00C00757"/>
    <w:rsid w:val="00C0089B"/>
    <w:rsid w:val="00C009B2"/>
    <w:rsid w:val="00C00C6D"/>
    <w:rsid w:val="00C00F6F"/>
    <w:rsid w:val="00C0152F"/>
    <w:rsid w:val="00C015F4"/>
    <w:rsid w:val="00C01824"/>
    <w:rsid w:val="00C01A64"/>
    <w:rsid w:val="00C01F0E"/>
    <w:rsid w:val="00C0220F"/>
    <w:rsid w:val="00C023E0"/>
    <w:rsid w:val="00C027A0"/>
    <w:rsid w:val="00C02B5C"/>
    <w:rsid w:val="00C02D09"/>
    <w:rsid w:val="00C02E85"/>
    <w:rsid w:val="00C02FFA"/>
    <w:rsid w:val="00C0309E"/>
    <w:rsid w:val="00C03119"/>
    <w:rsid w:val="00C03252"/>
    <w:rsid w:val="00C03314"/>
    <w:rsid w:val="00C035CD"/>
    <w:rsid w:val="00C035E5"/>
    <w:rsid w:val="00C03619"/>
    <w:rsid w:val="00C03709"/>
    <w:rsid w:val="00C037A3"/>
    <w:rsid w:val="00C03944"/>
    <w:rsid w:val="00C03C3A"/>
    <w:rsid w:val="00C04109"/>
    <w:rsid w:val="00C0430A"/>
    <w:rsid w:val="00C0444A"/>
    <w:rsid w:val="00C04657"/>
    <w:rsid w:val="00C049EA"/>
    <w:rsid w:val="00C04B6B"/>
    <w:rsid w:val="00C04DC3"/>
    <w:rsid w:val="00C0505E"/>
    <w:rsid w:val="00C05467"/>
    <w:rsid w:val="00C059FD"/>
    <w:rsid w:val="00C05D1D"/>
    <w:rsid w:val="00C0633B"/>
    <w:rsid w:val="00C06354"/>
    <w:rsid w:val="00C063EB"/>
    <w:rsid w:val="00C063F4"/>
    <w:rsid w:val="00C0662E"/>
    <w:rsid w:val="00C06740"/>
    <w:rsid w:val="00C06A28"/>
    <w:rsid w:val="00C06A5E"/>
    <w:rsid w:val="00C06BA7"/>
    <w:rsid w:val="00C06D25"/>
    <w:rsid w:val="00C06DD4"/>
    <w:rsid w:val="00C077B8"/>
    <w:rsid w:val="00C078F5"/>
    <w:rsid w:val="00C07AD6"/>
    <w:rsid w:val="00C07B4B"/>
    <w:rsid w:val="00C07B8A"/>
    <w:rsid w:val="00C07CA2"/>
    <w:rsid w:val="00C105D0"/>
    <w:rsid w:val="00C10639"/>
    <w:rsid w:val="00C10F76"/>
    <w:rsid w:val="00C11157"/>
    <w:rsid w:val="00C11272"/>
    <w:rsid w:val="00C11710"/>
    <w:rsid w:val="00C1187E"/>
    <w:rsid w:val="00C11B0E"/>
    <w:rsid w:val="00C11FD6"/>
    <w:rsid w:val="00C12102"/>
    <w:rsid w:val="00C12281"/>
    <w:rsid w:val="00C12649"/>
    <w:rsid w:val="00C12671"/>
    <w:rsid w:val="00C126A2"/>
    <w:rsid w:val="00C129A6"/>
    <w:rsid w:val="00C12AFE"/>
    <w:rsid w:val="00C12B58"/>
    <w:rsid w:val="00C1304F"/>
    <w:rsid w:val="00C13075"/>
    <w:rsid w:val="00C13082"/>
    <w:rsid w:val="00C1331F"/>
    <w:rsid w:val="00C13457"/>
    <w:rsid w:val="00C135E5"/>
    <w:rsid w:val="00C1367D"/>
    <w:rsid w:val="00C13705"/>
    <w:rsid w:val="00C1378C"/>
    <w:rsid w:val="00C138A7"/>
    <w:rsid w:val="00C13965"/>
    <w:rsid w:val="00C13AC7"/>
    <w:rsid w:val="00C13CE6"/>
    <w:rsid w:val="00C13D9B"/>
    <w:rsid w:val="00C1417E"/>
    <w:rsid w:val="00C1419A"/>
    <w:rsid w:val="00C14382"/>
    <w:rsid w:val="00C14518"/>
    <w:rsid w:val="00C146D8"/>
    <w:rsid w:val="00C14743"/>
    <w:rsid w:val="00C14ADC"/>
    <w:rsid w:val="00C14B5D"/>
    <w:rsid w:val="00C14D49"/>
    <w:rsid w:val="00C15158"/>
    <w:rsid w:val="00C15283"/>
    <w:rsid w:val="00C15389"/>
    <w:rsid w:val="00C1560A"/>
    <w:rsid w:val="00C15AFB"/>
    <w:rsid w:val="00C15D59"/>
    <w:rsid w:val="00C15F61"/>
    <w:rsid w:val="00C15FD4"/>
    <w:rsid w:val="00C16288"/>
    <w:rsid w:val="00C16485"/>
    <w:rsid w:val="00C165DF"/>
    <w:rsid w:val="00C16752"/>
    <w:rsid w:val="00C1697C"/>
    <w:rsid w:val="00C16A0D"/>
    <w:rsid w:val="00C16F76"/>
    <w:rsid w:val="00C17476"/>
    <w:rsid w:val="00C20899"/>
    <w:rsid w:val="00C2093F"/>
    <w:rsid w:val="00C20A00"/>
    <w:rsid w:val="00C20CFF"/>
    <w:rsid w:val="00C2110A"/>
    <w:rsid w:val="00C21255"/>
    <w:rsid w:val="00C21377"/>
    <w:rsid w:val="00C213DB"/>
    <w:rsid w:val="00C2152E"/>
    <w:rsid w:val="00C21790"/>
    <w:rsid w:val="00C21B18"/>
    <w:rsid w:val="00C21BD0"/>
    <w:rsid w:val="00C21C57"/>
    <w:rsid w:val="00C21F25"/>
    <w:rsid w:val="00C2266C"/>
    <w:rsid w:val="00C22930"/>
    <w:rsid w:val="00C23175"/>
    <w:rsid w:val="00C231A3"/>
    <w:rsid w:val="00C23705"/>
    <w:rsid w:val="00C23B10"/>
    <w:rsid w:val="00C23FB6"/>
    <w:rsid w:val="00C24098"/>
    <w:rsid w:val="00C24823"/>
    <w:rsid w:val="00C249D9"/>
    <w:rsid w:val="00C24B26"/>
    <w:rsid w:val="00C24E7A"/>
    <w:rsid w:val="00C2500A"/>
    <w:rsid w:val="00C25644"/>
    <w:rsid w:val="00C25651"/>
    <w:rsid w:val="00C25850"/>
    <w:rsid w:val="00C25859"/>
    <w:rsid w:val="00C25AFC"/>
    <w:rsid w:val="00C25B2B"/>
    <w:rsid w:val="00C25B78"/>
    <w:rsid w:val="00C25E4D"/>
    <w:rsid w:val="00C26425"/>
    <w:rsid w:val="00C26BC0"/>
    <w:rsid w:val="00C26DEF"/>
    <w:rsid w:val="00C26FE9"/>
    <w:rsid w:val="00C27010"/>
    <w:rsid w:val="00C27221"/>
    <w:rsid w:val="00C2752E"/>
    <w:rsid w:val="00C27D00"/>
    <w:rsid w:val="00C27EAC"/>
    <w:rsid w:val="00C27F77"/>
    <w:rsid w:val="00C302D8"/>
    <w:rsid w:val="00C3039B"/>
    <w:rsid w:val="00C305A7"/>
    <w:rsid w:val="00C30802"/>
    <w:rsid w:val="00C30A3A"/>
    <w:rsid w:val="00C30A67"/>
    <w:rsid w:val="00C316C3"/>
    <w:rsid w:val="00C3197A"/>
    <w:rsid w:val="00C319AE"/>
    <w:rsid w:val="00C31FFB"/>
    <w:rsid w:val="00C320F5"/>
    <w:rsid w:val="00C3218C"/>
    <w:rsid w:val="00C321BC"/>
    <w:rsid w:val="00C32A4D"/>
    <w:rsid w:val="00C32C7D"/>
    <w:rsid w:val="00C33302"/>
    <w:rsid w:val="00C33448"/>
    <w:rsid w:val="00C335DC"/>
    <w:rsid w:val="00C336DF"/>
    <w:rsid w:val="00C33988"/>
    <w:rsid w:val="00C33BD6"/>
    <w:rsid w:val="00C342AA"/>
    <w:rsid w:val="00C342D7"/>
    <w:rsid w:val="00C343E9"/>
    <w:rsid w:val="00C343F9"/>
    <w:rsid w:val="00C3477B"/>
    <w:rsid w:val="00C347B2"/>
    <w:rsid w:val="00C348CA"/>
    <w:rsid w:val="00C34D29"/>
    <w:rsid w:val="00C350F8"/>
    <w:rsid w:val="00C354A7"/>
    <w:rsid w:val="00C35CF8"/>
    <w:rsid w:val="00C35E86"/>
    <w:rsid w:val="00C35EEA"/>
    <w:rsid w:val="00C35FF5"/>
    <w:rsid w:val="00C36316"/>
    <w:rsid w:val="00C363F2"/>
    <w:rsid w:val="00C3683E"/>
    <w:rsid w:val="00C3687E"/>
    <w:rsid w:val="00C3689B"/>
    <w:rsid w:val="00C36DDD"/>
    <w:rsid w:val="00C37040"/>
    <w:rsid w:val="00C37AAF"/>
    <w:rsid w:val="00C37FFE"/>
    <w:rsid w:val="00C404F7"/>
    <w:rsid w:val="00C40539"/>
    <w:rsid w:val="00C4084D"/>
    <w:rsid w:val="00C409CE"/>
    <w:rsid w:val="00C41604"/>
    <w:rsid w:val="00C41BD0"/>
    <w:rsid w:val="00C41FEE"/>
    <w:rsid w:val="00C4205E"/>
    <w:rsid w:val="00C42268"/>
    <w:rsid w:val="00C42729"/>
    <w:rsid w:val="00C42800"/>
    <w:rsid w:val="00C42A5B"/>
    <w:rsid w:val="00C42DD7"/>
    <w:rsid w:val="00C430B0"/>
    <w:rsid w:val="00C4318B"/>
    <w:rsid w:val="00C43255"/>
    <w:rsid w:val="00C43506"/>
    <w:rsid w:val="00C44354"/>
    <w:rsid w:val="00C44863"/>
    <w:rsid w:val="00C448B6"/>
    <w:rsid w:val="00C449DB"/>
    <w:rsid w:val="00C44A44"/>
    <w:rsid w:val="00C44F1F"/>
    <w:rsid w:val="00C45194"/>
    <w:rsid w:val="00C451AC"/>
    <w:rsid w:val="00C455E4"/>
    <w:rsid w:val="00C458C2"/>
    <w:rsid w:val="00C459AB"/>
    <w:rsid w:val="00C459DC"/>
    <w:rsid w:val="00C45AB5"/>
    <w:rsid w:val="00C45C33"/>
    <w:rsid w:val="00C45C4D"/>
    <w:rsid w:val="00C45EE5"/>
    <w:rsid w:val="00C460A5"/>
    <w:rsid w:val="00C468F9"/>
    <w:rsid w:val="00C46A3B"/>
    <w:rsid w:val="00C46C3E"/>
    <w:rsid w:val="00C47DE5"/>
    <w:rsid w:val="00C503B6"/>
    <w:rsid w:val="00C50690"/>
    <w:rsid w:val="00C5074C"/>
    <w:rsid w:val="00C50B72"/>
    <w:rsid w:val="00C51092"/>
    <w:rsid w:val="00C511A0"/>
    <w:rsid w:val="00C51274"/>
    <w:rsid w:val="00C515CE"/>
    <w:rsid w:val="00C51765"/>
    <w:rsid w:val="00C517D3"/>
    <w:rsid w:val="00C51858"/>
    <w:rsid w:val="00C51BA0"/>
    <w:rsid w:val="00C52575"/>
    <w:rsid w:val="00C52C65"/>
    <w:rsid w:val="00C536BF"/>
    <w:rsid w:val="00C53832"/>
    <w:rsid w:val="00C53CEC"/>
    <w:rsid w:val="00C53D86"/>
    <w:rsid w:val="00C53D99"/>
    <w:rsid w:val="00C53EB6"/>
    <w:rsid w:val="00C54308"/>
    <w:rsid w:val="00C5448B"/>
    <w:rsid w:val="00C5465B"/>
    <w:rsid w:val="00C5475D"/>
    <w:rsid w:val="00C5590A"/>
    <w:rsid w:val="00C55B8B"/>
    <w:rsid w:val="00C55BD7"/>
    <w:rsid w:val="00C55D1A"/>
    <w:rsid w:val="00C55DD1"/>
    <w:rsid w:val="00C55F6B"/>
    <w:rsid w:val="00C56879"/>
    <w:rsid w:val="00C569FB"/>
    <w:rsid w:val="00C5738B"/>
    <w:rsid w:val="00C576BA"/>
    <w:rsid w:val="00C5785D"/>
    <w:rsid w:val="00C57C34"/>
    <w:rsid w:val="00C606DC"/>
    <w:rsid w:val="00C60ADA"/>
    <w:rsid w:val="00C60DDA"/>
    <w:rsid w:val="00C6118C"/>
    <w:rsid w:val="00C61460"/>
    <w:rsid w:val="00C61475"/>
    <w:rsid w:val="00C614D5"/>
    <w:rsid w:val="00C61532"/>
    <w:rsid w:val="00C61856"/>
    <w:rsid w:val="00C61A20"/>
    <w:rsid w:val="00C61B5D"/>
    <w:rsid w:val="00C61D05"/>
    <w:rsid w:val="00C61DAE"/>
    <w:rsid w:val="00C61E12"/>
    <w:rsid w:val="00C621B1"/>
    <w:rsid w:val="00C6279A"/>
    <w:rsid w:val="00C6289E"/>
    <w:rsid w:val="00C6292E"/>
    <w:rsid w:val="00C62CAE"/>
    <w:rsid w:val="00C62E01"/>
    <w:rsid w:val="00C62E82"/>
    <w:rsid w:val="00C62EE8"/>
    <w:rsid w:val="00C63011"/>
    <w:rsid w:val="00C63129"/>
    <w:rsid w:val="00C63916"/>
    <w:rsid w:val="00C63A75"/>
    <w:rsid w:val="00C63B91"/>
    <w:rsid w:val="00C63B99"/>
    <w:rsid w:val="00C63D09"/>
    <w:rsid w:val="00C63FC8"/>
    <w:rsid w:val="00C642B9"/>
    <w:rsid w:val="00C6458C"/>
    <w:rsid w:val="00C645DC"/>
    <w:rsid w:val="00C6465E"/>
    <w:rsid w:val="00C64850"/>
    <w:rsid w:val="00C648B9"/>
    <w:rsid w:val="00C6496B"/>
    <w:rsid w:val="00C64A91"/>
    <w:rsid w:val="00C64C14"/>
    <w:rsid w:val="00C64D6E"/>
    <w:rsid w:val="00C64F2F"/>
    <w:rsid w:val="00C65707"/>
    <w:rsid w:val="00C657B9"/>
    <w:rsid w:val="00C658E7"/>
    <w:rsid w:val="00C65983"/>
    <w:rsid w:val="00C65A94"/>
    <w:rsid w:val="00C65B5E"/>
    <w:rsid w:val="00C65B79"/>
    <w:rsid w:val="00C65CBA"/>
    <w:rsid w:val="00C65DDE"/>
    <w:rsid w:val="00C65E82"/>
    <w:rsid w:val="00C66299"/>
    <w:rsid w:val="00C66526"/>
    <w:rsid w:val="00C667BF"/>
    <w:rsid w:val="00C66870"/>
    <w:rsid w:val="00C66987"/>
    <w:rsid w:val="00C66D0C"/>
    <w:rsid w:val="00C6711B"/>
    <w:rsid w:val="00C67186"/>
    <w:rsid w:val="00C67648"/>
    <w:rsid w:val="00C67AA5"/>
    <w:rsid w:val="00C67F24"/>
    <w:rsid w:val="00C67FA1"/>
    <w:rsid w:val="00C70005"/>
    <w:rsid w:val="00C70421"/>
    <w:rsid w:val="00C704D6"/>
    <w:rsid w:val="00C70763"/>
    <w:rsid w:val="00C707E1"/>
    <w:rsid w:val="00C70AD4"/>
    <w:rsid w:val="00C70C85"/>
    <w:rsid w:val="00C70EE9"/>
    <w:rsid w:val="00C711BF"/>
    <w:rsid w:val="00C7136E"/>
    <w:rsid w:val="00C7188A"/>
    <w:rsid w:val="00C71B1F"/>
    <w:rsid w:val="00C71BF4"/>
    <w:rsid w:val="00C71E41"/>
    <w:rsid w:val="00C721FC"/>
    <w:rsid w:val="00C72967"/>
    <w:rsid w:val="00C72C49"/>
    <w:rsid w:val="00C72F7B"/>
    <w:rsid w:val="00C73046"/>
    <w:rsid w:val="00C73047"/>
    <w:rsid w:val="00C7331D"/>
    <w:rsid w:val="00C7331F"/>
    <w:rsid w:val="00C73A1E"/>
    <w:rsid w:val="00C73AFF"/>
    <w:rsid w:val="00C73BED"/>
    <w:rsid w:val="00C73DCA"/>
    <w:rsid w:val="00C7413A"/>
    <w:rsid w:val="00C742A4"/>
    <w:rsid w:val="00C74908"/>
    <w:rsid w:val="00C74D3C"/>
    <w:rsid w:val="00C75067"/>
    <w:rsid w:val="00C7574E"/>
    <w:rsid w:val="00C759E2"/>
    <w:rsid w:val="00C76240"/>
    <w:rsid w:val="00C764F5"/>
    <w:rsid w:val="00C765A9"/>
    <w:rsid w:val="00C76878"/>
    <w:rsid w:val="00C76CFB"/>
    <w:rsid w:val="00C774A3"/>
    <w:rsid w:val="00C775CA"/>
    <w:rsid w:val="00C776B7"/>
    <w:rsid w:val="00C776D4"/>
    <w:rsid w:val="00C7782C"/>
    <w:rsid w:val="00C778B3"/>
    <w:rsid w:val="00C77982"/>
    <w:rsid w:val="00C77989"/>
    <w:rsid w:val="00C77CA9"/>
    <w:rsid w:val="00C77F6B"/>
    <w:rsid w:val="00C804A6"/>
    <w:rsid w:val="00C806D0"/>
    <w:rsid w:val="00C807D9"/>
    <w:rsid w:val="00C8093C"/>
    <w:rsid w:val="00C809FF"/>
    <w:rsid w:val="00C80FDD"/>
    <w:rsid w:val="00C811A1"/>
    <w:rsid w:val="00C8131C"/>
    <w:rsid w:val="00C813D6"/>
    <w:rsid w:val="00C81794"/>
    <w:rsid w:val="00C81A14"/>
    <w:rsid w:val="00C81BBC"/>
    <w:rsid w:val="00C81C5E"/>
    <w:rsid w:val="00C826DA"/>
    <w:rsid w:val="00C82B00"/>
    <w:rsid w:val="00C82EEF"/>
    <w:rsid w:val="00C82F38"/>
    <w:rsid w:val="00C82FD2"/>
    <w:rsid w:val="00C830DE"/>
    <w:rsid w:val="00C83649"/>
    <w:rsid w:val="00C838B7"/>
    <w:rsid w:val="00C8398D"/>
    <w:rsid w:val="00C840D4"/>
    <w:rsid w:val="00C84214"/>
    <w:rsid w:val="00C84280"/>
    <w:rsid w:val="00C842CB"/>
    <w:rsid w:val="00C843BF"/>
    <w:rsid w:val="00C848A1"/>
    <w:rsid w:val="00C855A4"/>
    <w:rsid w:val="00C856C6"/>
    <w:rsid w:val="00C85804"/>
    <w:rsid w:val="00C85CE7"/>
    <w:rsid w:val="00C85EA6"/>
    <w:rsid w:val="00C85EED"/>
    <w:rsid w:val="00C85F75"/>
    <w:rsid w:val="00C85FC4"/>
    <w:rsid w:val="00C86178"/>
    <w:rsid w:val="00C86578"/>
    <w:rsid w:val="00C86650"/>
    <w:rsid w:val="00C8696B"/>
    <w:rsid w:val="00C86D64"/>
    <w:rsid w:val="00C8722F"/>
    <w:rsid w:val="00C87351"/>
    <w:rsid w:val="00C8735C"/>
    <w:rsid w:val="00C87365"/>
    <w:rsid w:val="00C8750A"/>
    <w:rsid w:val="00C87664"/>
    <w:rsid w:val="00C876CC"/>
    <w:rsid w:val="00C87732"/>
    <w:rsid w:val="00C879AC"/>
    <w:rsid w:val="00C87B0A"/>
    <w:rsid w:val="00C87C19"/>
    <w:rsid w:val="00C900A9"/>
    <w:rsid w:val="00C904F2"/>
    <w:rsid w:val="00C90655"/>
    <w:rsid w:val="00C90AB4"/>
    <w:rsid w:val="00C9112F"/>
    <w:rsid w:val="00C91421"/>
    <w:rsid w:val="00C91472"/>
    <w:rsid w:val="00C91686"/>
    <w:rsid w:val="00C9175F"/>
    <w:rsid w:val="00C91807"/>
    <w:rsid w:val="00C91AD6"/>
    <w:rsid w:val="00C91F74"/>
    <w:rsid w:val="00C920BB"/>
    <w:rsid w:val="00C92631"/>
    <w:rsid w:val="00C926F4"/>
    <w:rsid w:val="00C929D0"/>
    <w:rsid w:val="00C92B17"/>
    <w:rsid w:val="00C92E23"/>
    <w:rsid w:val="00C93003"/>
    <w:rsid w:val="00C9338C"/>
    <w:rsid w:val="00C93597"/>
    <w:rsid w:val="00C9362D"/>
    <w:rsid w:val="00C9364A"/>
    <w:rsid w:val="00C936C7"/>
    <w:rsid w:val="00C93860"/>
    <w:rsid w:val="00C93E91"/>
    <w:rsid w:val="00C93F1E"/>
    <w:rsid w:val="00C94109"/>
    <w:rsid w:val="00C94288"/>
    <w:rsid w:val="00C9492E"/>
    <w:rsid w:val="00C94CE6"/>
    <w:rsid w:val="00C94E55"/>
    <w:rsid w:val="00C94EF5"/>
    <w:rsid w:val="00C9516C"/>
    <w:rsid w:val="00C95354"/>
    <w:rsid w:val="00C9571B"/>
    <w:rsid w:val="00C95793"/>
    <w:rsid w:val="00C9588C"/>
    <w:rsid w:val="00C95979"/>
    <w:rsid w:val="00C95B15"/>
    <w:rsid w:val="00C95BC6"/>
    <w:rsid w:val="00C96054"/>
    <w:rsid w:val="00C96206"/>
    <w:rsid w:val="00C962ED"/>
    <w:rsid w:val="00C96304"/>
    <w:rsid w:val="00C96758"/>
    <w:rsid w:val="00C96A8B"/>
    <w:rsid w:val="00C96AF4"/>
    <w:rsid w:val="00C96D68"/>
    <w:rsid w:val="00C96DE7"/>
    <w:rsid w:val="00C97129"/>
    <w:rsid w:val="00C97327"/>
    <w:rsid w:val="00C974ED"/>
    <w:rsid w:val="00C975E1"/>
    <w:rsid w:val="00C9760B"/>
    <w:rsid w:val="00C97BBE"/>
    <w:rsid w:val="00C97C9C"/>
    <w:rsid w:val="00C97EDD"/>
    <w:rsid w:val="00CA007B"/>
    <w:rsid w:val="00CA015A"/>
    <w:rsid w:val="00CA0394"/>
    <w:rsid w:val="00CA090F"/>
    <w:rsid w:val="00CA0E92"/>
    <w:rsid w:val="00CA1222"/>
    <w:rsid w:val="00CA18B4"/>
    <w:rsid w:val="00CA1B99"/>
    <w:rsid w:val="00CA246F"/>
    <w:rsid w:val="00CA29D5"/>
    <w:rsid w:val="00CA2F8A"/>
    <w:rsid w:val="00CA3048"/>
    <w:rsid w:val="00CA30F2"/>
    <w:rsid w:val="00CA34DC"/>
    <w:rsid w:val="00CA35B7"/>
    <w:rsid w:val="00CA36A9"/>
    <w:rsid w:val="00CA3894"/>
    <w:rsid w:val="00CA3BEE"/>
    <w:rsid w:val="00CA3C22"/>
    <w:rsid w:val="00CA3C80"/>
    <w:rsid w:val="00CA3E95"/>
    <w:rsid w:val="00CA41ED"/>
    <w:rsid w:val="00CA4897"/>
    <w:rsid w:val="00CA4966"/>
    <w:rsid w:val="00CA4DCD"/>
    <w:rsid w:val="00CA5168"/>
    <w:rsid w:val="00CA522E"/>
    <w:rsid w:val="00CA52C4"/>
    <w:rsid w:val="00CA5513"/>
    <w:rsid w:val="00CA55B4"/>
    <w:rsid w:val="00CA55DD"/>
    <w:rsid w:val="00CA55FB"/>
    <w:rsid w:val="00CA56AB"/>
    <w:rsid w:val="00CA57BC"/>
    <w:rsid w:val="00CA58F4"/>
    <w:rsid w:val="00CA58F7"/>
    <w:rsid w:val="00CA5965"/>
    <w:rsid w:val="00CA63C7"/>
    <w:rsid w:val="00CA655D"/>
    <w:rsid w:val="00CA6668"/>
    <w:rsid w:val="00CA680A"/>
    <w:rsid w:val="00CA6F11"/>
    <w:rsid w:val="00CA7596"/>
    <w:rsid w:val="00CA77EA"/>
    <w:rsid w:val="00CA798E"/>
    <w:rsid w:val="00CA7E89"/>
    <w:rsid w:val="00CA7EEC"/>
    <w:rsid w:val="00CB006B"/>
    <w:rsid w:val="00CB021D"/>
    <w:rsid w:val="00CB0922"/>
    <w:rsid w:val="00CB0994"/>
    <w:rsid w:val="00CB0B16"/>
    <w:rsid w:val="00CB0F2F"/>
    <w:rsid w:val="00CB1030"/>
    <w:rsid w:val="00CB10EB"/>
    <w:rsid w:val="00CB1244"/>
    <w:rsid w:val="00CB15CC"/>
    <w:rsid w:val="00CB162A"/>
    <w:rsid w:val="00CB166B"/>
    <w:rsid w:val="00CB1BA3"/>
    <w:rsid w:val="00CB21DB"/>
    <w:rsid w:val="00CB2461"/>
    <w:rsid w:val="00CB25C7"/>
    <w:rsid w:val="00CB28E3"/>
    <w:rsid w:val="00CB2936"/>
    <w:rsid w:val="00CB2B1D"/>
    <w:rsid w:val="00CB2BC5"/>
    <w:rsid w:val="00CB2D39"/>
    <w:rsid w:val="00CB31AD"/>
    <w:rsid w:val="00CB3253"/>
    <w:rsid w:val="00CB32FA"/>
    <w:rsid w:val="00CB3380"/>
    <w:rsid w:val="00CB354E"/>
    <w:rsid w:val="00CB37AA"/>
    <w:rsid w:val="00CB3AAC"/>
    <w:rsid w:val="00CB3BD4"/>
    <w:rsid w:val="00CB3D13"/>
    <w:rsid w:val="00CB3EF8"/>
    <w:rsid w:val="00CB425D"/>
    <w:rsid w:val="00CB4579"/>
    <w:rsid w:val="00CB48C4"/>
    <w:rsid w:val="00CB49BF"/>
    <w:rsid w:val="00CB4AFE"/>
    <w:rsid w:val="00CB4B07"/>
    <w:rsid w:val="00CB4C02"/>
    <w:rsid w:val="00CB4C90"/>
    <w:rsid w:val="00CB5170"/>
    <w:rsid w:val="00CB54F3"/>
    <w:rsid w:val="00CB58E4"/>
    <w:rsid w:val="00CB5C3F"/>
    <w:rsid w:val="00CB5F1B"/>
    <w:rsid w:val="00CB6268"/>
    <w:rsid w:val="00CB6291"/>
    <w:rsid w:val="00CB6336"/>
    <w:rsid w:val="00CB635D"/>
    <w:rsid w:val="00CB64D5"/>
    <w:rsid w:val="00CB6635"/>
    <w:rsid w:val="00CB69E4"/>
    <w:rsid w:val="00CB6CC7"/>
    <w:rsid w:val="00CB6D9A"/>
    <w:rsid w:val="00CB6F18"/>
    <w:rsid w:val="00CB6F7B"/>
    <w:rsid w:val="00CB72B7"/>
    <w:rsid w:val="00CB772F"/>
    <w:rsid w:val="00CB7956"/>
    <w:rsid w:val="00CB7C42"/>
    <w:rsid w:val="00CB7FE8"/>
    <w:rsid w:val="00CB7FFE"/>
    <w:rsid w:val="00CC0634"/>
    <w:rsid w:val="00CC0821"/>
    <w:rsid w:val="00CC0E7D"/>
    <w:rsid w:val="00CC0E9A"/>
    <w:rsid w:val="00CC155F"/>
    <w:rsid w:val="00CC15D2"/>
    <w:rsid w:val="00CC19F5"/>
    <w:rsid w:val="00CC1D1B"/>
    <w:rsid w:val="00CC1D8F"/>
    <w:rsid w:val="00CC1FAE"/>
    <w:rsid w:val="00CC212A"/>
    <w:rsid w:val="00CC214D"/>
    <w:rsid w:val="00CC21E2"/>
    <w:rsid w:val="00CC2750"/>
    <w:rsid w:val="00CC284F"/>
    <w:rsid w:val="00CC29D3"/>
    <w:rsid w:val="00CC2E63"/>
    <w:rsid w:val="00CC2ECD"/>
    <w:rsid w:val="00CC2FCA"/>
    <w:rsid w:val="00CC306B"/>
    <w:rsid w:val="00CC3771"/>
    <w:rsid w:val="00CC385E"/>
    <w:rsid w:val="00CC39BA"/>
    <w:rsid w:val="00CC4023"/>
    <w:rsid w:val="00CC42D8"/>
    <w:rsid w:val="00CC4470"/>
    <w:rsid w:val="00CC4688"/>
    <w:rsid w:val="00CC4885"/>
    <w:rsid w:val="00CC496B"/>
    <w:rsid w:val="00CC496D"/>
    <w:rsid w:val="00CC4A91"/>
    <w:rsid w:val="00CC5074"/>
    <w:rsid w:val="00CC52D3"/>
    <w:rsid w:val="00CC542F"/>
    <w:rsid w:val="00CC5440"/>
    <w:rsid w:val="00CC5524"/>
    <w:rsid w:val="00CC55F4"/>
    <w:rsid w:val="00CC5A62"/>
    <w:rsid w:val="00CC5AFF"/>
    <w:rsid w:val="00CC5B4A"/>
    <w:rsid w:val="00CC60CB"/>
    <w:rsid w:val="00CC626A"/>
    <w:rsid w:val="00CC6520"/>
    <w:rsid w:val="00CC699E"/>
    <w:rsid w:val="00CC69EB"/>
    <w:rsid w:val="00CC6AB0"/>
    <w:rsid w:val="00CC6E5C"/>
    <w:rsid w:val="00CC6E88"/>
    <w:rsid w:val="00CC6F47"/>
    <w:rsid w:val="00CC7284"/>
    <w:rsid w:val="00CC76CD"/>
    <w:rsid w:val="00CC76F8"/>
    <w:rsid w:val="00CC7A37"/>
    <w:rsid w:val="00CC7E18"/>
    <w:rsid w:val="00CD009D"/>
    <w:rsid w:val="00CD05C3"/>
    <w:rsid w:val="00CD06A2"/>
    <w:rsid w:val="00CD07E3"/>
    <w:rsid w:val="00CD095F"/>
    <w:rsid w:val="00CD0BB3"/>
    <w:rsid w:val="00CD1617"/>
    <w:rsid w:val="00CD1675"/>
    <w:rsid w:val="00CD1D38"/>
    <w:rsid w:val="00CD224F"/>
    <w:rsid w:val="00CD22D6"/>
    <w:rsid w:val="00CD2496"/>
    <w:rsid w:val="00CD2644"/>
    <w:rsid w:val="00CD2AE0"/>
    <w:rsid w:val="00CD2C35"/>
    <w:rsid w:val="00CD2FB4"/>
    <w:rsid w:val="00CD3036"/>
    <w:rsid w:val="00CD35E1"/>
    <w:rsid w:val="00CD3CF2"/>
    <w:rsid w:val="00CD3D1C"/>
    <w:rsid w:val="00CD3D47"/>
    <w:rsid w:val="00CD3DC0"/>
    <w:rsid w:val="00CD3DC3"/>
    <w:rsid w:val="00CD3DD3"/>
    <w:rsid w:val="00CD3EBB"/>
    <w:rsid w:val="00CD41DA"/>
    <w:rsid w:val="00CD446F"/>
    <w:rsid w:val="00CD44E2"/>
    <w:rsid w:val="00CD460A"/>
    <w:rsid w:val="00CD46DF"/>
    <w:rsid w:val="00CD48B7"/>
    <w:rsid w:val="00CD53C4"/>
    <w:rsid w:val="00CD5571"/>
    <w:rsid w:val="00CD5818"/>
    <w:rsid w:val="00CD5971"/>
    <w:rsid w:val="00CD5A24"/>
    <w:rsid w:val="00CD5E06"/>
    <w:rsid w:val="00CD5E67"/>
    <w:rsid w:val="00CD6107"/>
    <w:rsid w:val="00CD6312"/>
    <w:rsid w:val="00CD643D"/>
    <w:rsid w:val="00CD6542"/>
    <w:rsid w:val="00CD65B2"/>
    <w:rsid w:val="00CD660A"/>
    <w:rsid w:val="00CD6674"/>
    <w:rsid w:val="00CD6825"/>
    <w:rsid w:val="00CD69D7"/>
    <w:rsid w:val="00CD6CD7"/>
    <w:rsid w:val="00CD707E"/>
    <w:rsid w:val="00CD724A"/>
    <w:rsid w:val="00CD72CF"/>
    <w:rsid w:val="00CD749C"/>
    <w:rsid w:val="00CD7863"/>
    <w:rsid w:val="00CD7927"/>
    <w:rsid w:val="00CD7A31"/>
    <w:rsid w:val="00CD7B6F"/>
    <w:rsid w:val="00CD7E96"/>
    <w:rsid w:val="00CE01E8"/>
    <w:rsid w:val="00CE04F6"/>
    <w:rsid w:val="00CE04FF"/>
    <w:rsid w:val="00CE06BB"/>
    <w:rsid w:val="00CE09A0"/>
    <w:rsid w:val="00CE09F7"/>
    <w:rsid w:val="00CE0AAB"/>
    <w:rsid w:val="00CE0B4F"/>
    <w:rsid w:val="00CE0D03"/>
    <w:rsid w:val="00CE1224"/>
    <w:rsid w:val="00CE1CA2"/>
    <w:rsid w:val="00CE1DE4"/>
    <w:rsid w:val="00CE1E70"/>
    <w:rsid w:val="00CE20EE"/>
    <w:rsid w:val="00CE2258"/>
    <w:rsid w:val="00CE2956"/>
    <w:rsid w:val="00CE2C10"/>
    <w:rsid w:val="00CE300D"/>
    <w:rsid w:val="00CE3037"/>
    <w:rsid w:val="00CE31BD"/>
    <w:rsid w:val="00CE326A"/>
    <w:rsid w:val="00CE3921"/>
    <w:rsid w:val="00CE39BA"/>
    <w:rsid w:val="00CE3A9A"/>
    <w:rsid w:val="00CE3AB9"/>
    <w:rsid w:val="00CE41E8"/>
    <w:rsid w:val="00CE43B9"/>
    <w:rsid w:val="00CE4410"/>
    <w:rsid w:val="00CE448E"/>
    <w:rsid w:val="00CE4AA5"/>
    <w:rsid w:val="00CE54A8"/>
    <w:rsid w:val="00CE5698"/>
    <w:rsid w:val="00CE5706"/>
    <w:rsid w:val="00CE58E4"/>
    <w:rsid w:val="00CE5C90"/>
    <w:rsid w:val="00CE5C94"/>
    <w:rsid w:val="00CE5DA7"/>
    <w:rsid w:val="00CE64CA"/>
    <w:rsid w:val="00CE6B63"/>
    <w:rsid w:val="00CE6B84"/>
    <w:rsid w:val="00CE6F12"/>
    <w:rsid w:val="00CE728F"/>
    <w:rsid w:val="00CE7359"/>
    <w:rsid w:val="00CE7473"/>
    <w:rsid w:val="00CE7475"/>
    <w:rsid w:val="00CE74A8"/>
    <w:rsid w:val="00CE77CD"/>
    <w:rsid w:val="00CE7A0F"/>
    <w:rsid w:val="00CE7E72"/>
    <w:rsid w:val="00CF035F"/>
    <w:rsid w:val="00CF0471"/>
    <w:rsid w:val="00CF0490"/>
    <w:rsid w:val="00CF06FC"/>
    <w:rsid w:val="00CF08F6"/>
    <w:rsid w:val="00CF0AD7"/>
    <w:rsid w:val="00CF0CFB"/>
    <w:rsid w:val="00CF0E54"/>
    <w:rsid w:val="00CF116F"/>
    <w:rsid w:val="00CF126A"/>
    <w:rsid w:val="00CF1327"/>
    <w:rsid w:val="00CF1743"/>
    <w:rsid w:val="00CF2097"/>
    <w:rsid w:val="00CF2BEA"/>
    <w:rsid w:val="00CF2CA0"/>
    <w:rsid w:val="00CF2CB0"/>
    <w:rsid w:val="00CF2DA4"/>
    <w:rsid w:val="00CF31A3"/>
    <w:rsid w:val="00CF3427"/>
    <w:rsid w:val="00CF3984"/>
    <w:rsid w:val="00CF3CE2"/>
    <w:rsid w:val="00CF3F78"/>
    <w:rsid w:val="00CF3FD9"/>
    <w:rsid w:val="00CF4053"/>
    <w:rsid w:val="00CF4107"/>
    <w:rsid w:val="00CF411E"/>
    <w:rsid w:val="00CF41AA"/>
    <w:rsid w:val="00CF4377"/>
    <w:rsid w:val="00CF4717"/>
    <w:rsid w:val="00CF4CEE"/>
    <w:rsid w:val="00CF4DF0"/>
    <w:rsid w:val="00CF50B1"/>
    <w:rsid w:val="00CF517C"/>
    <w:rsid w:val="00CF5507"/>
    <w:rsid w:val="00CF57F2"/>
    <w:rsid w:val="00CF59AC"/>
    <w:rsid w:val="00CF5C21"/>
    <w:rsid w:val="00CF5CCC"/>
    <w:rsid w:val="00CF5CF3"/>
    <w:rsid w:val="00CF5D8D"/>
    <w:rsid w:val="00CF5DCE"/>
    <w:rsid w:val="00CF5F0F"/>
    <w:rsid w:val="00CF618A"/>
    <w:rsid w:val="00CF66FF"/>
    <w:rsid w:val="00CF6738"/>
    <w:rsid w:val="00CF675C"/>
    <w:rsid w:val="00CF6C70"/>
    <w:rsid w:val="00CF6DAC"/>
    <w:rsid w:val="00CF6E96"/>
    <w:rsid w:val="00CF7A33"/>
    <w:rsid w:val="00CF7B89"/>
    <w:rsid w:val="00D00019"/>
    <w:rsid w:val="00D000E3"/>
    <w:rsid w:val="00D00128"/>
    <w:rsid w:val="00D0056A"/>
    <w:rsid w:val="00D0086C"/>
    <w:rsid w:val="00D00959"/>
    <w:rsid w:val="00D00A60"/>
    <w:rsid w:val="00D00BE1"/>
    <w:rsid w:val="00D00D7A"/>
    <w:rsid w:val="00D00E13"/>
    <w:rsid w:val="00D00E63"/>
    <w:rsid w:val="00D00FF6"/>
    <w:rsid w:val="00D010B3"/>
    <w:rsid w:val="00D01232"/>
    <w:rsid w:val="00D018B6"/>
    <w:rsid w:val="00D01951"/>
    <w:rsid w:val="00D01B44"/>
    <w:rsid w:val="00D01E7D"/>
    <w:rsid w:val="00D02B96"/>
    <w:rsid w:val="00D02C53"/>
    <w:rsid w:val="00D02CC4"/>
    <w:rsid w:val="00D02D8E"/>
    <w:rsid w:val="00D03135"/>
    <w:rsid w:val="00D031F0"/>
    <w:rsid w:val="00D03419"/>
    <w:rsid w:val="00D03433"/>
    <w:rsid w:val="00D034DA"/>
    <w:rsid w:val="00D034DD"/>
    <w:rsid w:val="00D03992"/>
    <w:rsid w:val="00D039D2"/>
    <w:rsid w:val="00D03A61"/>
    <w:rsid w:val="00D03C6F"/>
    <w:rsid w:val="00D03CF8"/>
    <w:rsid w:val="00D041D6"/>
    <w:rsid w:val="00D04710"/>
    <w:rsid w:val="00D049F9"/>
    <w:rsid w:val="00D04B1D"/>
    <w:rsid w:val="00D04C48"/>
    <w:rsid w:val="00D04F8C"/>
    <w:rsid w:val="00D052B3"/>
    <w:rsid w:val="00D0538C"/>
    <w:rsid w:val="00D058D1"/>
    <w:rsid w:val="00D05A08"/>
    <w:rsid w:val="00D05A12"/>
    <w:rsid w:val="00D05D25"/>
    <w:rsid w:val="00D05D89"/>
    <w:rsid w:val="00D05E1E"/>
    <w:rsid w:val="00D06259"/>
    <w:rsid w:val="00D06285"/>
    <w:rsid w:val="00D0631F"/>
    <w:rsid w:val="00D063FE"/>
    <w:rsid w:val="00D0695C"/>
    <w:rsid w:val="00D06FF8"/>
    <w:rsid w:val="00D073DF"/>
    <w:rsid w:val="00D0771B"/>
    <w:rsid w:val="00D079C2"/>
    <w:rsid w:val="00D07A4B"/>
    <w:rsid w:val="00D07B2D"/>
    <w:rsid w:val="00D07C6D"/>
    <w:rsid w:val="00D07E10"/>
    <w:rsid w:val="00D07E67"/>
    <w:rsid w:val="00D1046B"/>
    <w:rsid w:val="00D107D8"/>
    <w:rsid w:val="00D1084A"/>
    <w:rsid w:val="00D10B92"/>
    <w:rsid w:val="00D10D88"/>
    <w:rsid w:val="00D11266"/>
    <w:rsid w:val="00D11311"/>
    <w:rsid w:val="00D1152E"/>
    <w:rsid w:val="00D11B93"/>
    <w:rsid w:val="00D11C14"/>
    <w:rsid w:val="00D11C70"/>
    <w:rsid w:val="00D11D08"/>
    <w:rsid w:val="00D122B7"/>
    <w:rsid w:val="00D122C4"/>
    <w:rsid w:val="00D1240B"/>
    <w:rsid w:val="00D12A9C"/>
    <w:rsid w:val="00D12C21"/>
    <w:rsid w:val="00D12F2A"/>
    <w:rsid w:val="00D135DB"/>
    <w:rsid w:val="00D13698"/>
    <w:rsid w:val="00D137E7"/>
    <w:rsid w:val="00D13D2C"/>
    <w:rsid w:val="00D14213"/>
    <w:rsid w:val="00D14663"/>
    <w:rsid w:val="00D14780"/>
    <w:rsid w:val="00D14890"/>
    <w:rsid w:val="00D14942"/>
    <w:rsid w:val="00D1512F"/>
    <w:rsid w:val="00D15B46"/>
    <w:rsid w:val="00D160AF"/>
    <w:rsid w:val="00D1617A"/>
    <w:rsid w:val="00D161CF"/>
    <w:rsid w:val="00D16350"/>
    <w:rsid w:val="00D1643D"/>
    <w:rsid w:val="00D16524"/>
    <w:rsid w:val="00D166CE"/>
    <w:rsid w:val="00D16D5A"/>
    <w:rsid w:val="00D16E7E"/>
    <w:rsid w:val="00D16F6E"/>
    <w:rsid w:val="00D17341"/>
    <w:rsid w:val="00D17473"/>
    <w:rsid w:val="00D174A6"/>
    <w:rsid w:val="00D177E9"/>
    <w:rsid w:val="00D178F2"/>
    <w:rsid w:val="00D2052B"/>
    <w:rsid w:val="00D20967"/>
    <w:rsid w:val="00D211A2"/>
    <w:rsid w:val="00D21409"/>
    <w:rsid w:val="00D215DB"/>
    <w:rsid w:val="00D21607"/>
    <w:rsid w:val="00D21871"/>
    <w:rsid w:val="00D21B47"/>
    <w:rsid w:val="00D21D94"/>
    <w:rsid w:val="00D21F82"/>
    <w:rsid w:val="00D22133"/>
    <w:rsid w:val="00D22242"/>
    <w:rsid w:val="00D2229D"/>
    <w:rsid w:val="00D22307"/>
    <w:rsid w:val="00D2271C"/>
    <w:rsid w:val="00D22A2D"/>
    <w:rsid w:val="00D22A6A"/>
    <w:rsid w:val="00D22A6D"/>
    <w:rsid w:val="00D22CF8"/>
    <w:rsid w:val="00D22EB0"/>
    <w:rsid w:val="00D230AF"/>
    <w:rsid w:val="00D231BD"/>
    <w:rsid w:val="00D23351"/>
    <w:rsid w:val="00D23D28"/>
    <w:rsid w:val="00D23FE2"/>
    <w:rsid w:val="00D24009"/>
    <w:rsid w:val="00D24275"/>
    <w:rsid w:val="00D246EA"/>
    <w:rsid w:val="00D247D1"/>
    <w:rsid w:val="00D24A5B"/>
    <w:rsid w:val="00D24C87"/>
    <w:rsid w:val="00D24E51"/>
    <w:rsid w:val="00D24F04"/>
    <w:rsid w:val="00D2585D"/>
    <w:rsid w:val="00D260B2"/>
    <w:rsid w:val="00D26563"/>
    <w:rsid w:val="00D266AD"/>
    <w:rsid w:val="00D26924"/>
    <w:rsid w:val="00D26BE4"/>
    <w:rsid w:val="00D27205"/>
    <w:rsid w:val="00D272C9"/>
    <w:rsid w:val="00D27350"/>
    <w:rsid w:val="00D2747B"/>
    <w:rsid w:val="00D275A0"/>
    <w:rsid w:val="00D27816"/>
    <w:rsid w:val="00D27B42"/>
    <w:rsid w:val="00D27C42"/>
    <w:rsid w:val="00D27EF8"/>
    <w:rsid w:val="00D3001F"/>
    <w:rsid w:val="00D30137"/>
    <w:rsid w:val="00D305A6"/>
    <w:rsid w:val="00D30800"/>
    <w:rsid w:val="00D30951"/>
    <w:rsid w:val="00D30FAA"/>
    <w:rsid w:val="00D31247"/>
    <w:rsid w:val="00D3167E"/>
    <w:rsid w:val="00D31AC3"/>
    <w:rsid w:val="00D32093"/>
    <w:rsid w:val="00D32342"/>
    <w:rsid w:val="00D32681"/>
    <w:rsid w:val="00D32931"/>
    <w:rsid w:val="00D32BF1"/>
    <w:rsid w:val="00D33009"/>
    <w:rsid w:val="00D331AA"/>
    <w:rsid w:val="00D33877"/>
    <w:rsid w:val="00D34D9E"/>
    <w:rsid w:val="00D34EC2"/>
    <w:rsid w:val="00D34FC5"/>
    <w:rsid w:val="00D3515D"/>
    <w:rsid w:val="00D351B5"/>
    <w:rsid w:val="00D3526B"/>
    <w:rsid w:val="00D35305"/>
    <w:rsid w:val="00D35788"/>
    <w:rsid w:val="00D359E7"/>
    <w:rsid w:val="00D35C1F"/>
    <w:rsid w:val="00D35F27"/>
    <w:rsid w:val="00D36373"/>
    <w:rsid w:val="00D364F3"/>
    <w:rsid w:val="00D367EE"/>
    <w:rsid w:val="00D3681D"/>
    <w:rsid w:val="00D3689B"/>
    <w:rsid w:val="00D36AC5"/>
    <w:rsid w:val="00D36E8D"/>
    <w:rsid w:val="00D36F6B"/>
    <w:rsid w:val="00D37380"/>
    <w:rsid w:val="00D373D5"/>
    <w:rsid w:val="00D37685"/>
    <w:rsid w:val="00D3770B"/>
    <w:rsid w:val="00D377D3"/>
    <w:rsid w:val="00D377E6"/>
    <w:rsid w:val="00D4032C"/>
    <w:rsid w:val="00D40655"/>
    <w:rsid w:val="00D40C67"/>
    <w:rsid w:val="00D40D78"/>
    <w:rsid w:val="00D410DD"/>
    <w:rsid w:val="00D41357"/>
    <w:rsid w:val="00D41782"/>
    <w:rsid w:val="00D41808"/>
    <w:rsid w:val="00D41A9B"/>
    <w:rsid w:val="00D41BDD"/>
    <w:rsid w:val="00D41CBB"/>
    <w:rsid w:val="00D41DE3"/>
    <w:rsid w:val="00D41DF7"/>
    <w:rsid w:val="00D41E14"/>
    <w:rsid w:val="00D42BB7"/>
    <w:rsid w:val="00D42E15"/>
    <w:rsid w:val="00D42F31"/>
    <w:rsid w:val="00D42F49"/>
    <w:rsid w:val="00D42F79"/>
    <w:rsid w:val="00D431A7"/>
    <w:rsid w:val="00D4350F"/>
    <w:rsid w:val="00D436E0"/>
    <w:rsid w:val="00D43868"/>
    <w:rsid w:val="00D4438B"/>
    <w:rsid w:val="00D44550"/>
    <w:rsid w:val="00D449B9"/>
    <w:rsid w:val="00D44A53"/>
    <w:rsid w:val="00D44BE4"/>
    <w:rsid w:val="00D44D91"/>
    <w:rsid w:val="00D44F9D"/>
    <w:rsid w:val="00D4517C"/>
    <w:rsid w:val="00D451AE"/>
    <w:rsid w:val="00D453DD"/>
    <w:rsid w:val="00D45548"/>
    <w:rsid w:val="00D4557B"/>
    <w:rsid w:val="00D4564E"/>
    <w:rsid w:val="00D4579B"/>
    <w:rsid w:val="00D458AF"/>
    <w:rsid w:val="00D459C1"/>
    <w:rsid w:val="00D45D7C"/>
    <w:rsid w:val="00D46627"/>
    <w:rsid w:val="00D4669A"/>
    <w:rsid w:val="00D46B9F"/>
    <w:rsid w:val="00D46F3F"/>
    <w:rsid w:val="00D46F61"/>
    <w:rsid w:val="00D47105"/>
    <w:rsid w:val="00D471D8"/>
    <w:rsid w:val="00D47268"/>
    <w:rsid w:val="00D477DF"/>
    <w:rsid w:val="00D47CBF"/>
    <w:rsid w:val="00D47CCB"/>
    <w:rsid w:val="00D50210"/>
    <w:rsid w:val="00D504AB"/>
    <w:rsid w:val="00D5090B"/>
    <w:rsid w:val="00D50AD3"/>
    <w:rsid w:val="00D51251"/>
    <w:rsid w:val="00D5134D"/>
    <w:rsid w:val="00D51B90"/>
    <w:rsid w:val="00D51D89"/>
    <w:rsid w:val="00D51ED2"/>
    <w:rsid w:val="00D520AE"/>
    <w:rsid w:val="00D526EF"/>
    <w:rsid w:val="00D52842"/>
    <w:rsid w:val="00D52D7B"/>
    <w:rsid w:val="00D52ED4"/>
    <w:rsid w:val="00D535D7"/>
    <w:rsid w:val="00D539BA"/>
    <w:rsid w:val="00D5430A"/>
    <w:rsid w:val="00D545DE"/>
    <w:rsid w:val="00D545F0"/>
    <w:rsid w:val="00D546F0"/>
    <w:rsid w:val="00D54774"/>
    <w:rsid w:val="00D54E08"/>
    <w:rsid w:val="00D55189"/>
    <w:rsid w:val="00D5522B"/>
    <w:rsid w:val="00D55393"/>
    <w:rsid w:val="00D5550D"/>
    <w:rsid w:val="00D55553"/>
    <w:rsid w:val="00D55B51"/>
    <w:rsid w:val="00D55C1F"/>
    <w:rsid w:val="00D55DBD"/>
    <w:rsid w:val="00D56134"/>
    <w:rsid w:val="00D56143"/>
    <w:rsid w:val="00D56232"/>
    <w:rsid w:val="00D562A7"/>
    <w:rsid w:val="00D5653F"/>
    <w:rsid w:val="00D56796"/>
    <w:rsid w:val="00D56830"/>
    <w:rsid w:val="00D56988"/>
    <w:rsid w:val="00D56BAD"/>
    <w:rsid w:val="00D56D11"/>
    <w:rsid w:val="00D56E09"/>
    <w:rsid w:val="00D56E5F"/>
    <w:rsid w:val="00D57165"/>
    <w:rsid w:val="00D5719D"/>
    <w:rsid w:val="00D57622"/>
    <w:rsid w:val="00D576F2"/>
    <w:rsid w:val="00D57746"/>
    <w:rsid w:val="00D578A3"/>
    <w:rsid w:val="00D57C35"/>
    <w:rsid w:val="00D57C54"/>
    <w:rsid w:val="00D57CAF"/>
    <w:rsid w:val="00D57CD2"/>
    <w:rsid w:val="00D601E9"/>
    <w:rsid w:val="00D60358"/>
    <w:rsid w:val="00D60383"/>
    <w:rsid w:val="00D608FC"/>
    <w:rsid w:val="00D60C30"/>
    <w:rsid w:val="00D6105B"/>
    <w:rsid w:val="00D61166"/>
    <w:rsid w:val="00D6126F"/>
    <w:rsid w:val="00D61B1C"/>
    <w:rsid w:val="00D62162"/>
    <w:rsid w:val="00D62A13"/>
    <w:rsid w:val="00D62BDC"/>
    <w:rsid w:val="00D62C86"/>
    <w:rsid w:val="00D62E3C"/>
    <w:rsid w:val="00D6324B"/>
    <w:rsid w:val="00D632CF"/>
    <w:rsid w:val="00D63627"/>
    <w:rsid w:val="00D64096"/>
    <w:rsid w:val="00D641FA"/>
    <w:rsid w:val="00D64343"/>
    <w:rsid w:val="00D643A1"/>
    <w:rsid w:val="00D643DA"/>
    <w:rsid w:val="00D644B3"/>
    <w:rsid w:val="00D644F5"/>
    <w:rsid w:val="00D64616"/>
    <w:rsid w:val="00D646DA"/>
    <w:rsid w:val="00D64920"/>
    <w:rsid w:val="00D64A4F"/>
    <w:rsid w:val="00D64B7D"/>
    <w:rsid w:val="00D64E04"/>
    <w:rsid w:val="00D65211"/>
    <w:rsid w:val="00D653F7"/>
    <w:rsid w:val="00D6546E"/>
    <w:rsid w:val="00D65567"/>
    <w:rsid w:val="00D65664"/>
    <w:rsid w:val="00D65B8E"/>
    <w:rsid w:val="00D65D05"/>
    <w:rsid w:val="00D65E5F"/>
    <w:rsid w:val="00D65F5D"/>
    <w:rsid w:val="00D660A0"/>
    <w:rsid w:val="00D66430"/>
    <w:rsid w:val="00D66594"/>
    <w:rsid w:val="00D6686C"/>
    <w:rsid w:val="00D6689A"/>
    <w:rsid w:val="00D66903"/>
    <w:rsid w:val="00D669B2"/>
    <w:rsid w:val="00D66C78"/>
    <w:rsid w:val="00D66D89"/>
    <w:rsid w:val="00D66E58"/>
    <w:rsid w:val="00D671A0"/>
    <w:rsid w:val="00D67252"/>
    <w:rsid w:val="00D6746F"/>
    <w:rsid w:val="00D67518"/>
    <w:rsid w:val="00D67708"/>
    <w:rsid w:val="00D67844"/>
    <w:rsid w:val="00D678C2"/>
    <w:rsid w:val="00D67BB7"/>
    <w:rsid w:val="00D67D31"/>
    <w:rsid w:val="00D70234"/>
    <w:rsid w:val="00D704DA"/>
    <w:rsid w:val="00D70AD9"/>
    <w:rsid w:val="00D70F9F"/>
    <w:rsid w:val="00D71240"/>
    <w:rsid w:val="00D71940"/>
    <w:rsid w:val="00D719EC"/>
    <w:rsid w:val="00D71A1A"/>
    <w:rsid w:val="00D71A3D"/>
    <w:rsid w:val="00D724AF"/>
    <w:rsid w:val="00D726CF"/>
    <w:rsid w:val="00D72C56"/>
    <w:rsid w:val="00D72E1E"/>
    <w:rsid w:val="00D73846"/>
    <w:rsid w:val="00D73B51"/>
    <w:rsid w:val="00D74186"/>
    <w:rsid w:val="00D748EB"/>
    <w:rsid w:val="00D74B1A"/>
    <w:rsid w:val="00D74C39"/>
    <w:rsid w:val="00D74C42"/>
    <w:rsid w:val="00D74D4C"/>
    <w:rsid w:val="00D74FDA"/>
    <w:rsid w:val="00D7556F"/>
    <w:rsid w:val="00D75837"/>
    <w:rsid w:val="00D7586D"/>
    <w:rsid w:val="00D75B1F"/>
    <w:rsid w:val="00D7654F"/>
    <w:rsid w:val="00D765F0"/>
    <w:rsid w:val="00D76761"/>
    <w:rsid w:val="00D76994"/>
    <w:rsid w:val="00D76AA1"/>
    <w:rsid w:val="00D76DC2"/>
    <w:rsid w:val="00D76DFE"/>
    <w:rsid w:val="00D76ED2"/>
    <w:rsid w:val="00D76ED5"/>
    <w:rsid w:val="00D773DB"/>
    <w:rsid w:val="00D777C0"/>
    <w:rsid w:val="00D7796E"/>
    <w:rsid w:val="00D77AF6"/>
    <w:rsid w:val="00D77C5C"/>
    <w:rsid w:val="00D80402"/>
    <w:rsid w:val="00D804C5"/>
    <w:rsid w:val="00D80545"/>
    <w:rsid w:val="00D80969"/>
    <w:rsid w:val="00D80D0D"/>
    <w:rsid w:val="00D81437"/>
    <w:rsid w:val="00D815BE"/>
    <w:rsid w:val="00D81722"/>
    <w:rsid w:val="00D817C2"/>
    <w:rsid w:val="00D81C4C"/>
    <w:rsid w:val="00D81ED3"/>
    <w:rsid w:val="00D82CE5"/>
    <w:rsid w:val="00D836DE"/>
    <w:rsid w:val="00D83711"/>
    <w:rsid w:val="00D83A02"/>
    <w:rsid w:val="00D83A44"/>
    <w:rsid w:val="00D83BA9"/>
    <w:rsid w:val="00D83D08"/>
    <w:rsid w:val="00D8408D"/>
    <w:rsid w:val="00D842DB"/>
    <w:rsid w:val="00D842EC"/>
    <w:rsid w:val="00D845C0"/>
    <w:rsid w:val="00D84701"/>
    <w:rsid w:val="00D84964"/>
    <w:rsid w:val="00D849EE"/>
    <w:rsid w:val="00D85030"/>
    <w:rsid w:val="00D85091"/>
    <w:rsid w:val="00D851CB"/>
    <w:rsid w:val="00D855F1"/>
    <w:rsid w:val="00D8561A"/>
    <w:rsid w:val="00D8561F"/>
    <w:rsid w:val="00D85A5D"/>
    <w:rsid w:val="00D85B13"/>
    <w:rsid w:val="00D85B64"/>
    <w:rsid w:val="00D85BD9"/>
    <w:rsid w:val="00D85F3A"/>
    <w:rsid w:val="00D86043"/>
    <w:rsid w:val="00D8614D"/>
    <w:rsid w:val="00D86347"/>
    <w:rsid w:val="00D863FD"/>
    <w:rsid w:val="00D86467"/>
    <w:rsid w:val="00D86478"/>
    <w:rsid w:val="00D8662F"/>
    <w:rsid w:val="00D86C8B"/>
    <w:rsid w:val="00D86E48"/>
    <w:rsid w:val="00D874E9"/>
    <w:rsid w:val="00D87851"/>
    <w:rsid w:val="00D87B32"/>
    <w:rsid w:val="00D902B5"/>
    <w:rsid w:val="00D903DC"/>
    <w:rsid w:val="00D9075E"/>
    <w:rsid w:val="00D9086C"/>
    <w:rsid w:val="00D908C0"/>
    <w:rsid w:val="00D90EEC"/>
    <w:rsid w:val="00D91047"/>
    <w:rsid w:val="00D91048"/>
    <w:rsid w:val="00D9126C"/>
    <w:rsid w:val="00D91406"/>
    <w:rsid w:val="00D917CD"/>
    <w:rsid w:val="00D91938"/>
    <w:rsid w:val="00D91C80"/>
    <w:rsid w:val="00D91ED3"/>
    <w:rsid w:val="00D922B8"/>
    <w:rsid w:val="00D9245A"/>
    <w:rsid w:val="00D92493"/>
    <w:rsid w:val="00D925EE"/>
    <w:rsid w:val="00D92604"/>
    <w:rsid w:val="00D929DE"/>
    <w:rsid w:val="00D92A60"/>
    <w:rsid w:val="00D92A79"/>
    <w:rsid w:val="00D92D6F"/>
    <w:rsid w:val="00D92D76"/>
    <w:rsid w:val="00D92E38"/>
    <w:rsid w:val="00D92E3A"/>
    <w:rsid w:val="00D92FF4"/>
    <w:rsid w:val="00D92FF9"/>
    <w:rsid w:val="00D93304"/>
    <w:rsid w:val="00D936A2"/>
    <w:rsid w:val="00D93D42"/>
    <w:rsid w:val="00D940A7"/>
    <w:rsid w:val="00D9417C"/>
    <w:rsid w:val="00D94350"/>
    <w:rsid w:val="00D9439F"/>
    <w:rsid w:val="00D94547"/>
    <w:rsid w:val="00D94A2D"/>
    <w:rsid w:val="00D94ACF"/>
    <w:rsid w:val="00D94B6C"/>
    <w:rsid w:val="00D94B94"/>
    <w:rsid w:val="00D94CFC"/>
    <w:rsid w:val="00D950DA"/>
    <w:rsid w:val="00D9518F"/>
    <w:rsid w:val="00D95286"/>
    <w:rsid w:val="00D9579C"/>
    <w:rsid w:val="00D957C6"/>
    <w:rsid w:val="00D95997"/>
    <w:rsid w:val="00D961C8"/>
    <w:rsid w:val="00D9672C"/>
    <w:rsid w:val="00D96A95"/>
    <w:rsid w:val="00D96BAF"/>
    <w:rsid w:val="00D979A6"/>
    <w:rsid w:val="00D97A58"/>
    <w:rsid w:val="00D97FBD"/>
    <w:rsid w:val="00DA0035"/>
    <w:rsid w:val="00DA0484"/>
    <w:rsid w:val="00DA06B8"/>
    <w:rsid w:val="00DA06C9"/>
    <w:rsid w:val="00DA0756"/>
    <w:rsid w:val="00DA0B18"/>
    <w:rsid w:val="00DA0E47"/>
    <w:rsid w:val="00DA0EFB"/>
    <w:rsid w:val="00DA13EA"/>
    <w:rsid w:val="00DA1CA1"/>
    <w:rsid w:val="00DA1F94"/>
    <w:rsid w:val="00DA236F"/>
    <w:rsid w:val="00DA23AD"/>
    <w:rsid w:val="00DA2482"/>
    <w:rsid w:val="00DA2750"/>
    <w:rsid w:val="00DA2B1A"/>
    <w:rsid w:val="00DA2C38"/>
    <w:rsid w:val="00DA2CE4"/>
    <w:rsid w:val="00DA2CF1"/>
    <w:rsid w:val="00DA2F0D"/>
    <w:rsid w:val="00DA352F"/>
    <w:rsid w:val="00DA38D4"/>
    <w:rsid w:val="00DA3959"/>
    <w:rsid w:val="00DA3E02"/>
    <w:rsid w:val="00DA416F"/>
    <w:rsid w:val="00DA421F"/>
    <w:rsid w:val="00DA42FC"/>
    <w:rsid w:val="00DA430B"/>
    <w:rsid w:val="00DA4416"/>
    <w:rsid w:val="00DA4DD8"/>
    <w:rsid w:val="00DA4F3B"/>
    <w:rsid w:val="00DA53B9"/>
    <w:rsid w:val="00DA5473"/>
    <w:rsid w:val="00DA562D"/>
    <w:rsid w:val="00DA5A13"/>
    <w:rsid w:val="00DA5B5B"/>
    <w:rsid w:val="00DA5F5A"/>
    <w:rsid w:val="00DA65EF"/>
    <w:rsid w:val="00DA681A"/>
    <w:rsid w:val="00DA6C48"/>
    <w:rsid w:val="00DA6D0A"/>
    <w:rsid w:val="00DA6FC3"/>
    <w:rsid w:val="00DA7005"/>
    <w:rsid w:val="00DA748B"/>
    <w:rsid w:val="00DA7669"/>
    <w:rsid w:val="00DA7696"/>
    <w:rsid w:val="00DA76B8"/>
    <w:rsid w:val="00DA79A6"/>
    <w:rsid w:val="00DA7BEC"/>
    <w:rsid w:val="00DA7C87"/>
    <w:rsid w:val="00DA7D8E"/>
    <w:rsid w:val="00DB0079"/>
    <w:rsid w:val="00DB0334"/>
    <w:rsid w:val="00DB052B"/>
    <w:rsid w:val="00DB071F"/>
    <w:rsid w:val="00DB09B0"/>
    <w:rsid w:val="00DB14F3"/>
    <w:rsid w:val="00DB1A84"/>
    <w:rsid w:val="00DB1E03"/>
    <w:rsid w:val="00DB20A4"/>
    <w:rsid w:val="00DB2298"/>
    <w:rsid w:val="00DB23AD"/>
    <w:rsid w:val="00DB26E7"/>
    <w:rsid w:val="00DB27A7"/>
    <w:rsid w:val="00DB27D2"/>
    <w:rsid w:val="00DB3005"/>
    <w:rsid w:val="00DB355A"/>
    <w:rsid w:val="00DB3AED"/>
    <w:rsid w:val="00DB3D06"/>
    <w:rsid w:val="00DB3DBB"/>
    <w:rsid w:val="00DB3FCC"/>
    <w:rsid w:val="00DB42AA"/>
    <w:rsid w:val="00DB42AD"/>
    <w:rsid w:val="00DB460C"/>
    <w:rsid w:val="00DB4629"/>
    <w:rsid w:val="00DB4803"/>
    <w:rsid w:val="00DB49F7"/>
    <w:rsid w:val="00DB4FB3"/>
    <w:rsid w:val="00DB5141"/>
    <w:rsid w:val="00DB51BC"/>
    <w:rsid w:val="00DB5271"/>
    <w:rsid w:val="00DB5309"/>
    <w:rsid w:val="00DB5479"/>
    <w:rsid w:val="00DB56A4"/>
    <w:rsid w:val="00DB58CF"/>
    <w:rsid w:val="00DB5DBD"/>
    <w:rsid w:val="00DB5E4E"/>
    <w:rsid w:val="00DB5F98"/>
    <w:rsid w:val="00DB5FE6"/>
    <w:rsid w:val="00DB606F"/>
    <w:rsid w:val="00DB6071"/>
    <w:rsid w:val="00DB63DB"/>
    <w:rsid w:val="00DB6430"/>
    <w:rsid w:val="00DB6CB2"/>
    <w:rsid w:val="00DB6DB0"/>
    <w:rsid w:val="00DB71E7"/>
    <w:rsid w:val="00DB781B"/>
    <w:rsid w:val="00DB793B"/>
    <w:rsid w:val="00DB7C56"/>
    <w:rsid w:val="00DC0057"/>
    <w:rsid w:val="00DC04DC"/>
    <w:rsid w:val="00DC054F"/>
    <w:rsid w:val="00DC0926"/>
    <w:rsid w:val="00DC0E27"/>
    <w:rsid w:val="00DC0E6F"/>
    <w:rsid w:val="00DC17F3"/>
    <w:rsid w:val="00DC1DA7"/>
    <w:rsid w:val="00DC1F14"/>
    <w:rsid w:val="00DC2099"/>
    <w:rsid w:val="00DC2340"/>
    <w:rsid w:val="00DC25A1"/>
    <w:rsid w:val="00DC2884"/>
    <w:rsid w:val="00DC292E"/>
    <w:rsid w:val="00DC2B25"/>
    <w:rsid w:val="00DC2B94"/>
    <w:rsid w:val="00DC2D85"/>
    <w:rsid w:val="00DC3008"/>
    <w:rsid w:val="00DC3109"/>
    <w:rsid w:val="00DC3964"/>
    <w:rsid w:val="00DC3AC9"/>
    <w:rsid w:val="00DC3CA7"/>
    <w:rsid w:val="00DC3E63"/>
    <w:rsid w:val="00DC3EE8"/>
    <w:rsid w:val="00DC46D1"/>
    <w:rsid w:val="00DC47DE"/>
    <w:rsid w:val="00DC49EC"/>
    <w:rsid w:val="00DC4ACD"/>
    <w:rsid w:val="00DC521B"/>
    <w:rsid w:val="00DC568C"/>
    <w:rsid w:val="00DC594E"/>
    <w:rsid w:val="00DC59CC"/>
    <w:rsid w:val="00DC5BAE"/>
    <w:rsid w:val="00DC5E23"/>
    <w:rsid w:val="00DC6071"/>
    <w:rsid w:val="00DC6356"/>
    <w:rsid w:val="00DC66BD"/>
    <w:rsid w:val="00DC69F4"/>
    <w:rsid w:val="00DC6E74"/>
    <w:rsid w:val="00DC75F7"/>
    <w:rsid w:val="00DC75F9"/>
    <w:rsid w:val="00DC78B9"/>
    <w:rsid w:val="00DC7902"/>
    <w:rsid w:val="00DC7966"/>
    <w:rsid w:val="00DC7E8A"/>
    <w:rsid w:val="00DC7ED4"/>
    <w:rsid w:val="00DC7FB1"/>
    <w:rsid w:val="00DD0151"/>
    <w:rsid w:val="00DD03C4"/>
    <w:rsid w:val="00DD047E"/>
    <w:rsid w:val="00DD04A6"/>
    <w:rsid w:val="00DD04D0"/>
    <w:rsid w:val="00DD0536"/>
    <w:rsid w:val="00DD08C6"/>
    <w:rsid w:val="00DD08C9"/>
    <w:rsid w:val="00DD0942"/>
    <w:rsid w:val="00DD0A48"/>
    <w:rsid w:val="00DD0CE0"/>
    <w:rsid w:val="00DD0EA7"/>
    <w:rsid w:val="00DD10B1"/>
    <w:rsid w:val="00DD1B00"/>
    <w:rsid w:val="00DD1B33"/>
    <w:rsid w:val="00DD1D4A"/>
    <w:rsid w:val="00DD20A1"/>
    <w:rsid w:val="00DD21D8"/>
    <w:rsid w:val="00DD22BA"/>
    <w:rsid w:val="00DD256F"/>
    <w:rsid w:val="00DD28BC"/>
    <w:rsid w:val="00DD2AE2"/>
    <w:rsid w:val="00DD2C33"/>
    <w:rsid w:val="00DD2EAC"/>
    <w:rsid w:val="00DD2FEE"/>
    <w:rsid w:val="00DD31C8"/>
    <w:rsid w:val="00DD3296"/>
    <w:rsid w:val="00DD35AC"/>
    <w:rsid w:val="00DD35F1"/>
    <w:rsid w:val="00DD36CD"/>
    <w:rsid w:val="00DD3865"/>
    <w:rsid w:val="00DD39C5"/>
    <w:rsid w:val="00DD3B1D"/>
    <w:rsid w:val="00DD3F55"/>
    <w:rsid w:val="00DD4500"/>
    <w:rsid w:val="00DD46F9"/>
    <w:rsid w:val="00DD4A87"/>
    <w:rsid w:val="00DD4AE4"/>
    <w:rsid w:val="00DD4BDD"/>
    <w:rsid w:val="00DD4BFD"/>
    <w:rsid w:val="00DD4DD0"/>
    <w:rsid w:val="00DD4DE1"/>
    <w:rsid w:val="00DD4EAE"/>
    <w:rsid w:val="00DD594A"/>
    <w:rsid w:val="00DD5D21"/>
    <w:rsid w:val="00DD5E6F"/>
    <w:rsid w:val="00DD5E8B"/>
    <w:rsid w:val="00DD674E"/>
    <w:rsid w:val="00DD6EAF"/>
    <w:rsid w:val="00DD79C7"/>
    <w:rsid w:val="00DD7CAE"/>
    <w:rsid w:val="00DD7E89"/>
    <w:rsid w:val="00DE058A"/>
    <w:rsid w:val="00DE0702"/>
    <w:rsid w:val="00DE08E1"/>
    <w:rsid w:val="00DE0BC9"/>
    <w:rsid w:val="00DE0DB6"/>
    <w:rsid w:val="00DE0F50"/>
    <w:rsid w:val="00DE133E"/>
    <w:rsid w:val="00DE1435"/>
    <w:rsid w:val="00DE180F"/>
    <w:rsid w:val="00DE1814"/>
    <w:rsid w:val="00DE18AE"/>
    <w:rsid w:val="00DE1929"/>
    <w:rsid w:val="00DE1931"/>
    <w:rsid w:val="00DE195A"/>
    <w:rsid w:val="00DE2067"/>
    <w:rsid w:val="00DE2111"/>
    <w:rsid w:val="00DE2170"/>
    <w:rsid w:val="00DE2865"/>
    <w:rsid w:val="00DE291C"/>
    <w:rsid w:val="00DE2948"/>
    <w:rsid w:val="00DE2995"/>
    <w:rsid w:val="00DE29E6"/>
    <w:rsid w:val="00DE2C2C"/>
    <w:rsid w:val="00DE2ECF"/>
    <w:rsid w:val="00DE2FE1"/>
    <w:rsid w:val="00DE301D"/>
    <w:rsid w:val="00DE3244"/>
    <w:rsid w:val="00DE335E"/>
    <w:rsid w:val="00DE33E0"/>
    <w:rsid w:val="00DE34D4"/>
    <w:rsid w:val="00DE3594"/>
    <w:rsid w:val="00DE3967"/>
    <w:rsid w:val="00DE3ADD"/>
    <w:rsid w:val="00DE3C6D"/>
    <w:rsid w:val="00DE491E"/>
    <w:rsid w:val="00DE498A"/>
    <w:rsid w:val="00DE4A58"/>
    <w:rsid w:val="00DE4AFB"/>
    <w:rsid w:val="00DE4B67"/>
    <w:rsid w:val="00DE4E4F"/>
    <w:rsid w:val="00DE4ED4"/>
    <w:rsid w:val="00DE526E"/>
    <w:rsid w:val="00DE5354"/>
    <w:rsid w:val="00DE53A4"/>
    <w:rsid w:val="00DE5668"/>
    <w:rsid w:val="00DE57BE"/>
    <w:rsid w:val="00DE590F"/>
    <w:rsid w:val="00DE5A7B"/>
    <w:rsid w:val="00DE5B64"/>
    <w:rsid w:val="00DE5C16"/>
    <w:rsid w:val="00DE5EAC"/>
    <w:rsid w:val="00DE5F30"/>
    <w:rsid w:val="00DE626B"/>
    <w:rsid w:val="00DE62CC"/>
    <w:rsid w:val="00DE66E4"/>
    <w:rsid w:val="00DE67C0"/>
    <w:rsid w:val="00DE68D9"/>
    <w:rsid w:val="00DE6953"/>
    <w:rsid w:val="00DE6B0E"/>
    <w:rsid w:val="00DE6D29"/>
    <w:rsid w:val="00DE71E0"/>
    <w:rsid w:val="00DE74D9"/>
    <w:rsid w:val="00DE7604"/>
    <w:rsid w:val="00DE7792"/>
    <w:rsid w:val="00DE7ADB"/>
    <w:rsid w:val="00DE7D2B"/>
    <w:rsid w:val="00DE7E2D"/>
    <w:rsid w:val="00DF03D3"/>
    <w:rsid w:val="00DF06D8"/>
    <w:rsid w:val="00DF09D3"/>
    <w:rsid w:val="00DF0B37"/>
    <w:rsid w:val="00DF0D13"/>
    <w:rsid w:val="00DF0D4B"/>
    <w:rsid w:val="00DF1079"/>
    <w:rsid w:val="00DF121A"/>
    <w:rsid w:val="00DF125F"/>
    <w:rsid w:val="00DF144C"/>
    <w:rsid w:val="00DF15F8"/>
    <w:rsid w:val="00DF1AC3"/>
    <w:rsid w:val="00DF1D36"/>
    <w:rsid w:val="00DF1F22"/>
    <w:rsid w:val="00DF24A9"/>
    <w:rsid w:val="00DF24FE"/>
    <w:rsid w:val="00DF2A4B"/>
    <w:rsid w:val="00DF2B7E"/>
    <w:rsid w:val="00DF2F11"/>
    <w:rsid w:val="00DF3149"/>
    <w:rsid w:val="00DF31A8"/>
    <w:rsid w:val="00DF3259"/>
    <w:rsid w:val="00DF335E"/>
    <w:rsid w:val="00DF3973"/>
    <w:rsid w:val="00DF39BD"/>
    <w:rsid w:val="00DF3C57"/>
    <w:rsid w:val="00DF3C72"/>
    <w:rsid w:val="00DF4333"/>
    <w:rsid w:val="00DF43C4"/>
    <w:rsid w:val="00DF4452"/>
    <w:rsid w:val="00DF4A9C"/>
    <w:rsid w:val="00DF4C35"/>
    <w:rsid w:val="00DF4EB7"/>
    <w:rsid w:val="00DF50AA"/>
    <w:rsid w:val="00DF5179"/>
    <w:rsid w:val="00DF5365"/>
    <w:rsid w:val="00DF54B0"/>
    <w:rsid w:val="00DF5B66"/>
    <w:rsid w:val="00DF5BD2"/>
    <w:rsid w:val="00DF5E86"/>
    <w:rsid w:val="00DF5FD9"/>
    <w:rsid w:val="00DF623D"/>
    <w:rsid w:val="00DF635F"/>
    <w:rsid w:val="00DF6603"/>
    <w:rsid w:val="00DF67B7"/>
    <w:rsid w:val="00DF6828"/>
    <w:rsid w:val="00DF6864"/>
    <w:rsid w:val="00DF6A9A"/>
    <w:rsid w:val="00DF6B6C"/>
    <w:rsid w:val="00DF6FCC"/>
    <w:rsid w:val="00DF701E"/>
    <w:rsid w:val="00DF70DE"/>
    <w:rsid w:val="00DF711E"/>
    <w:rsid w:val="00DF7BBD"/>
    <w:rsid w:val="00DF7D08"/>
    <w:rsid w:val="00DF7E35"/>
    <w:rsid w:val="00DF7EAA"/>
    <w:rsid w:val="00E0051E"/>
    <w:rsid w:val="00E007A5"/>
    <w:rsid w:val="00E008CA"/>
    <w:rsid w:val="00E0094F"/>
    <w:rsid w:val="00E00A6A"/>
    <w:rsid w:val="00E01078"/>
    <w:rsid w:val="00E010C2"/>
    <w:rsid w:val="00E01154"/>
    <w:rsid w:val="00E01656"/>
    <w:rsid w:val="00E01702"/>
    <w:rsid w:val="00E017DC"/>
    <w:rsid w:val="00E0189F"/>
    <w:rsid w:val="00E01C99"/>
    <w:rsid w:val="00E01FC8"/>
    <w:rsid w:val="00E02371"/>
    <w:rsid w:val="00E028C4"/>
    <w:rsid w:val="00E02AA5"/>
    <w:rsid w:val="00E02DE7"/>
    <w:rsid w:val="00E03133"/>
    <w:rsid w:val="00E031A6"/>
    <w:rsid w:val="00E033A7"/>
    <w:rsid w:val="00E03A49"/>
    <w:rsid w:val="00E03ADB"/>
    <w:rsid w:val="00E03BE9"/>
    <w:rsid w:val="00E03E05"/>
    <w:rsid w:val="00E03F17"/>
    <w:rsid w:val="00E03F29"/>
    <w:rsid w:val="00E04133"/>
    <w:rsid w:val="00E0413F"/>
    <w:rsid w:val="00E04146"/>
    <w:rsid w:val="00E046BC"/>
    <w:rsid w:val="00E04711"/>
    <w:rsid w:val="00E04C2C"/>
    <w:rsid w:val="00E04D13"/>
    <w:rsid w:val="00E053DC"/>
    <w:rsid w:val="00E06164"/>
    <w:rsid w:val="00E063A7"/>
    <w:rsid w:val="00E06852"/>
    <w:rsid w:val="00E06B20"/>
    <w:rsid w:val="00E06E91"/>
    <w:rsid w:val="00E06EC8"/>
    <w:rsid w:val="00E06EE8"/>
    <w:rsid w:val="00E076FF"/>
    <w:rsid w:val="00E100A8"/>
    <w:rsid w:val="00E10740"/>
    <w:rsid w:val="00E10DA2"/>
    <w:rsid w:val="00E10F58"/>
    <w:rsid w:val="00E10FD1"/>
    <w:rsid w:val="00E11094"/>
    <w:rsid w:val="00E115ED"/>
    <w:rsid w:val="00E11827"/>
    <w:rsid w:val="00E11A36"/>
    <w:rsid w:val="00E12B8A"/>
    <w:rsid w:val="00E12BDE"/>
    <w:rsid w:val="00E12F88"/>
    <w:rsid w:val="00E13232"/>
    <w:rsid w:val="00E133B1"/>
    <w:rsid w:val="00E13A80"/>
    <w:rsid w:val="00E13BBA"/>
    <w:rsid w:val="00E13EA2"/>
    <w:rsid w:val="00E145AB"/>
    <w:rsid w:val="00E1481F"/>
    <w:rsid w:val="00E148A1"/>
    <w:rsid w:val="00E14B05"/>
    <w:rsid w:val="00E14E70"/>
    <w:rsid w:val="00E15112"/>
    <w:rsid w:val="00E1591A"/>
    <w:rsid w:val="00E1595B"/>
    <w:rsid w:val="00E15AD4"/>
    <w:rsid w:val="00E15DD2"/>
    <w:rsid w:val="00E1633F"/>
    <w:rsid w:val="00E16479"/>
    <w:rsid w:val="00E16B46"/>
    <w:rsid w:val="00E16E9C"/>
    <w:rsid w:val="00E175C6"/>
    <w:rsid w:val="00E17A6F"/>
    <w:rsid w:val="00E17A86"/>
    <w:rsid w:val="00E17BCB"/>
    <w:rsid w:val="00E200AC"/>
    <w:rsid w:val="00E200C0"/>
    <w:rsid w:val="00E20333"/>
    <w:rsid w:val="00E2050E"/>
    <w:rsid w:val="00E207FF"/>
    <w:rsid w:val="00E209A6"/>
    <w:rsid w:val="00E211D0"/>
    <w:rsid w:val="00E215D7"/>
    <w:rsid w:val="00E21671"/>
    <w:rsid w:val="00E21892"/>
    <w:rsid w:val="00E21944"/>
    <w:rsid w:val="00E219BB"/>
    <w:rsid w:val="00E21A78"/>
    <w:rsid w:val="00E21EB8"/>
    <w:rsid w:val="00E22451"/>
    <w:rsid w:val="00E224ED"/>
    <w:rsid w:val="00E226B3"/>
    <w:rsid w:val="00E2281F"/>
    <w:rsid w:val="00E22954"/>
    <w:rsid w:val="00E22E87"/>
    <w:rsid w:val="00E23358"/>
    <w:rsid w:val="00E23712"/>
    <w:rsid w:val="00E23804"/>
    <w:rsid w:val="00E2394E"/>
    <w:rsid w:val="00E23DC0"/>
    <w:rsid w:val="00E2450F"/>
    <w:rsid w:val="00E2464E"/>
    <w:rsid w:val="00E2480E"/>
    <w:rsid w:val="00E24B53"/>
    <w:rsid w:val="00E24CBB"/>
    <w:rsid w:val="00E250D5"/>
    <w:rsid w:val="00E254FA"/>
    <w:rsid w:val="00E25839"/>
    <w:rsid w:val="00E25B24"/>
    <w:rsid w:val="00E25CF6"/>
    <w:rsid w:val="00E25D7C"/>
    <w:rsid w:val="00E25E47"/>
    <w:rsid w:val="00E25EBA"/>
    <w:rsid w:val="00E2626A"/>
    <w:rsid w:val="00E26948"/>
    <w:rsid w:val="00E26DD2"/>
    <w:rsid w:val="00E2717A"/>
    <w:rsid w:val="00E272B8"/>
    <w:rsid w:val="00E274CB"/>
    <w:rsid w:val="00E278FF"/>
    <w:rsid w:val="00E279A8"/>
    <w:rsid w:val="00E27B51"/>
    <w:rsid w:val="00E27B7C"/>
    <w:rsid w:val="00E27F87"/>
    <w:rsid w:val="00E300D6"/>
    <w:rsid w:val="00E3028D"/>
    <w:rsid w:val="00E3078C"/>
    <w:rsid w:val="00E311C6"/>
    <w:rsid w:val="00E31277"/>
    <w:rsid w:val="00E31438"/>
    <w:rsid w:val="00E314CD"/>
    <w:rsid w:val="00E31C85"/>
    <w:rsid w:val="00E31F7B"/>
    <w:rsid w:val="00E31FA2"/>
    <w:rsid w:val="00E31FC4"/>
    <w:rsid w:val="00E32356"/>
    <w:rsid w:val="00E32A36"/>
    <w:rsid w:val="00E339F8"/>
    <w:rsid w:val="00E339FC"/>
    <w:rsid w:val="00E33B88"/>
    <w:rsid w:val="00E33BEF"/>
    <w:rsid w:val="00E33D16"/>
    <w:rsid w:val="00E33E1B"/>
    <w:rsid w:val="00E34843"/>
    <w:rsid w:val="00E34BB4"/>
    <w:rsid w:val="00E34E24"/>
    <w:rsid w:val="00E3506C"/>
    <w:rsid w:val="00E356B7"/>
    <w:rsid w:val="00E35E1A"/>
    <w:rsid w:val="00E36129"/>
    <w:rsid w:val="00E3635E"/>
    <w:rsid w:val="00E363A8"/>
    <w:rsid w:val="00E364C1"/>
    <w:rsid w:val="00E364D1"/>
    <w:rsid w:val="00E3667D"/>
    <w:rsid w:val="00E366F5"/>
    <w:rsid w:val="00E3673D"/>
    <w:rsid w:val="00E368CC"/>
    <w:rsid w:val="00E36BDE"/>
    <w:rsid w:val="00E36C41"/>
    <w:rsid w:val="00E3765A"/>
    <w:rsid w:val="00E376BE"/>
    <w:rsid w:val="00E378BD"/>
    <w:rsid w:val="00E37B1A"/>
    <w:rsid w:val="00E37EDE"/>
    <w:rsid w:val="00E405CA"/>
    <w:rsid w:val="00E406D2"/>
    <w:rsid w:val="00E40969"/>
    <w:rsid w:val="00E40A6E"/>
    <w:rsid w:val="00E40F6F"/>
    <w:rsid w:val="00E41286"/>
    <w:rsid w:val="00E4153C"/>
    <w:rsid w:val="00E416F5"/>
    <w:rsid w:val="00E417F5"/>
    <w:rsid w:val="00E41A11"/>
    <w:rsid w:val="00E41A9A"/>
    <w:rsid w:val="00E41BB2"/>
    <w:rsid w:val="00E41E46"/>
    <w:rsid w:val="00E4204C"/>
    <w:rsid w:val="00E426EA"/>
    <w:rsid w:val="00E42873"/>
    <w:rsid w:val="00E428D0"/>
    <w:rsid w:val="00E42AB6"/>
    <w:rsid w:val="00E43023"/>
    <w:rsid w:val="00E43477"/>
    <w:rsid w:val="00E440DF"/>
    <w:rsid w:val="00E4412E"/>
    <w:rsid w:val="00E441BB"/>
    <w:rsid w:val="00E448DD"/>
    <w:rsid w:val="00E44AED"/>
    <w:rsid w:val="00E44B50"/>
    <w:rsid w:val="00E44D7E"/>
    <w:rsid w:val="00E450EB"/>
    <w:rsid w:val="00E451D1"/>
    <w:rsid w:val="00E451D5"/>
    <w:rsid w:val="00E454F1"/>
    <w:rsid w:val="00E45760"/>
    <w:rsid w:val="00E4592B"/>
    <w:rsid w:val="00E45BA6"/>
    <w:rsid w:val="00E4630F"/>
    <w:rsid w:val="00E464AB"/>
    <w:rsid w:val="00E469E8"/>
    <w:rsid w:val="00E46AFC"/>
    <w:rsid w:val="00E46C34"/>
    <w:rsid w:val="00E47053"/>
    <w:rsid w:val="00E470E7"/>
    <w:rsid w:val="00E47155"/>
    <w:rsid w:val="00E471DC"/>
    <w:rsid w:val="00E4739F"/>
    <w:rsid w:val="00E476ED"/>
    <w:rsid w:val="00E4772E"/>
    <w:rsid w:val="00E47794"/>
    <w:rsid w:val="00E47B96"/>
    <w:rsid w:val="00E47BF3"/>
    <w:rsid w:val="00E50082"/>
    <w:rsid w:val="00E50192"/>
    <w:rsid w:val="00E50993"/>
    <w:rsid w:val="00E5108F"/>
    <w:rsid w:val="00E515A7"/>
    <w:rsid w:val="00E51853"/>
    <w:rsid w:val="00E51CAC"/>
    <w:rsid w:val="00E5220F"/>
    <w:rsid w:val="00E52460"/>
    <w:rsid w:val="00E52BA3"/>
    <w:rsid w:val="00E52D4D"/>
    <w:rsid w:val="00E5368E"/>
    <w:rsid w:val="00E53921"/>
    <w:rsid w:val="00E53A86"/>
    <w:rsid w:val="00E5436E"/>
    <w:rsid w:val="00E54588"/>
    <w:rsid w:val="00E5470F"/>
    <w:rsid w:val="00E54CDB"/>
    <w:rsid w:val="00E54E78"/>
    <w:rsid w:val="00E55095"/>
    <w:rsid w:val="00E55147"/>
    <w:rsid w:val="00E556F3"/>
    <w:rsid w:val="00E5574F"/>
    <w:rsid w:val="00E55850"/>
    <w:rsid w:val="00E55D93"/>
    <w:rsid w:val="00E55EAD"/>
    <w:rsid w:val="00E55F87"/>
    <w:rsid w:val="00E56333"/>
    <w:rsid w:val="00E56766"/>
    <w:rsid w:val="00E56A20"/>
    <w:rsid w:val="00E56B62"/>
    <w:rsid w:val="00E56BC4"/>
    <w:rsid w:val="00E5721F"/>
    <w:rsid w:val="00E57365"/>
    <w:rsid w:val="00E57ABD"/>
    <w:rsid w:val="00E57BF6"/>
    <w:rsid w:val="00E57DE0"/>
    <w:rsid w:val="00E57F72"/>
    <w:rsid w:val="00E57F78"/>
    <w:rsid w:val="00E6034A"/>
    <w:rsid w:val="00E60694"/>
    <w:rsid w:val="00E607C4"/>
    <w:rsid w:val="00E607DB"/>
    <w:rsid w:val="00E60FA8"/>
    <w:rsid w:val="00E61131"/>
    <w:rsid w:val="00E6128A"/>
    <w:rsid w:val="00E61330"/>
    <w:rsid w:val="00E61426"/>
    <w:rsid w:val="00E6144B"/>
    <w:rsid w:val="00E616F3"/>
    <w:rsid w:val="00E61A3B"/>
    <w:rsid w:val="00E61CC3"/>
    <w:rsid w:val="00E620C4"/>
    <w:rsid w:val="00E62B3B"/>
    <w:rsid w:val="00E62C53"/>
    <w:rsid w:val="00E62DD3"/>
    <w:rsid w:val="00E63217"/>
    <w:rsid w:val="00E6341C"/>
    <w:rsid w:val="00E634AE"/>
    <w:rsid w:val="00E63567"/>
    <w:rsid w:val="00E636D8"/>
    <w:rsid w:val="00E637F5"/>
    <w:rsid w:val="00E63A79"/>
    <w:rsid w:val="00E63C5B"/>
    <w:rsid w:val="00E641EB"/>
    <w:rsid w:val="00E6448D"/>
    <w:rsid w:val="00E645C4"/>
    <w:rsid w:val="00E64638"/>
    <w:rsid w:val="00E646B2"/>
    <w:rsid w:val="00E648CD"/>
    <w:rsid w:val="00E64913"/>
    <w:rsid w:val="00E64B30"/>
    <w:rsid w:val="00E64F64"/>
    <w:rsid w:val="00E655C8"/>
    <w:rsid w:val="00E65CFC"/>
    <w:rsid w:val="00E65E85"/>
    <w:rsid w:val="00E65F1D"/>
    <w:rsid w:val="00E66C35"/>
    <w:rsid w:val="00E66FF8"/>
    <w:rsid w:val="00E672B1"/>
    <w:rsid w:val="00E672E2"/>
    <w:rsid w:val="00E67396"/>
    <w:rsid w:val="00E67861"/>
    <w:rsid w:val="00E67935"/>
    <w:rsid w:val="00E67A22"/>
    <w:rsid w:val="00E67A8D"/>
    <w:rsid w:val="00E67AA9"/>
    <w:rsid w:val="00E67B83"/>
    <w:rsid w:val="00E67D27"/>
    <w:rsid w:val="00E67F0F"/>
    <w:rsid w:val="00E7023F"/>
    <w:rsid w:val="00E7024B"/>
    <w:rsid w:val="00E70B38"/>
    <w:rsid w:val="00E70E1B"/>
    <w:rsid w:val="00E70EC3"/>
    <w:rsid w:val="00E70EE2"/>
    <w:rsid w:val="00E71478"/>
    <w:rsid w:val="00E71AA0"/>
    <w:rsid w:val="00E71B49"/>
    <w:rsid w:val="00E71C79"/>
    <w:rsid w:val="00E71E98"/>
    <w:rsid w:val="00E71F7C"/>
    <w:rsid w:val="00E72058"/>
    <w:rsid w:val="00E72449"/>
    <w:rsid w:val="00E726AE"/>
    <w:rsid w:val="00E7284B"/>
    <w:rsid w:val="00E72B16"/>
    <w:rsid w:val="00E72C74"/>
    <w:rsid w:val="00E72D4F"/>
    <w:rsid w:val="00E7304E"/>
    <w:rsid w:val="00E73147"/>
    <w:rsid w:val="00E731FD"/>
    <w:rsid w:val="00E73677"/>
    <w:rsid w:val="00E738B2"/>
    <w:rsid w:val="00E739C0"/>
    <w:rsid w:val="00E73A6E"/>
    <w:rsid w:val="00E73BB4"/>
    <w:rsid w:val="00E73F36"/>
    <w:rsid w:val="00E73FF4"/>
    <w:rsid w:val="00E745CE"/>
    <w:rsid w:val="00E74647"/>
    <w:rsid w:val="00E74780"/>
    <w:rsid w:val="00E7497D"/>
    <w:rsid w:val="00E74CC2"/>
    <w:rsid w:val="00E74D24"/>
    <w:rsid w:val="00E74D84"/>
    <w:rsid w:val="00E7534B"/>
    <w:rsid w:val="00E75837"/>
    <w:rsid w:val="00E75D43"/>
    <w:rsid w:val="00E75E31"/>
    <w:rsid w:val="00E76024"/>
    <w:rsid w:val="00E7621F"/>
    <w:rsid w:val="00E764BE"/>
    <w:rsid w:val="00E7652D"/>
    <w:rsid w:val="00E76569"/>
    <w:rsid w:val="00E76601"/>
    <w:rsid w:val="00E76815"/>
    <w:rsid w:val="00E7685C"/>
    <w:rsid w:val="00E76866"/>
    <w:rsid w:val="00E76F47"/>
    <w:rsid w:val="00E7733C"/>
    <w:rsid w:val="00E773E8"/>
    <w:rsid w:val="00E7776C"/>
    <w:rsid w:val="00E77ADE"/>
    <w:rsid w:val="00E77D2C"/>
    <w:rsid w:val="00E77DD1"/>
    <w:rsid w:val="00E77F27"/>
    <w:rsid w:val="00E77FBD"/>
    <w:rsid w:val="00E80039"/>
    <w:rsid w:val="00E800ED"/>
    <w:rsid w:val="00E80195"/>
    <w:rsid w:val="00E803A2"/>
    <w:rsid w:val="00E804D1"/>
    <w:rsid w:val="00E808EC"/>
    <w:rsid w:val="00E808EE"/>
    <w:rsid w:val="00E809D8"/>
    <w:rsid w:val="00E80ABA"/>
    <w:rsid w:val="00E80AE1"/>
    <w:rsid w:val="00E81214"/>
    <w:rsid w:val="00E81739"/>
    <w:rsid w:val="00E8186E"/>
    <w:rsid w:val="00E81FDD"/>
    <w:rsid w:val="00E82000"/>
    <w:rsid w:val="00E8205D"/>
    <w:rsid w:val="00E8211B"/>
    <w:rsid w:val="00E82245"/>
    <w:rsid w:val="00E8237B"/>
    <w:rsid w:val="00E8239F"/>
    <w:rsid w:val="00E82462"/>
    <w:rsid w:val="00E825FA"/>
    <w:rsid w:val="00E8276B"/>
    <w:rsid w:val="00E82C67"/>
    <w:rsid w:val="00E83146"/>
    <w:rsid w:val="00E83296"/>
    <w:rsid w:val="00E83366"/>
    <w:rsid w:val="00E83685"/>
    <w:rsid w:val="00E83764"/>
    <w:rsid w:val="00E83823"/>
    <w:rsid w:val="00E8396A"/>
    <w:rsid w:val="00E83AA2"/>
    <w:rsid w:val="00E843DA"/>
    <w:rsid w:val="00E8453D"/>
    <w:rsid w:val="00E8494D"/>
    <w:rsid w:val="00E849A0"/>
    <w:rsid w:val="00E850B8"/>
    <w:rsid w:val="00E85105"/>
    <w:rsid w:val="00E85195"/>
    <w:rsid w:val="00E853B6"/>
    <w:rsid w:val="00E85522"/>
    <w:rsid w:val="00E85852"/>
    <w:rsid w:val="00E859CA"/>
    <w:rsid w:val="00E85CBD"/>
    <w:rsid w:val="00E85D5E"/>
    <w:rsid w:val="00E8612D"/>
    <w:rsid w:val="00E86836"/>
    <w:rsid w:val="00E8686E"/>
    <w:rsid w:val="00E86989"/>
    <w:rsid w:val="00E86E8D"/>
    <w:rsid w:val="00E870E5"/>
    <w:rsid w:val="00E873C3"/>
    <w:rsid w:val="00E87628"/>
    <w:rsid w:val="00E87629"/>
    <w:rsid w:val="00E87C36"/>
    <w:rsid w:val="00E87D05"/>
    <w:rsid w:val="00E87DA1"/>
    <w:rsid w:val="00E87ECD"/>
    <w:rsid w:val="00E902E1"/>
    <w:rsid w:val="00E90377"/>
    <w:rsid w:val="00E90409"/>
    <w:rsid w:val="00E90426"/>
    <w:rsid w:val="00E90798"/>
    <w:rsid w:val="00E90DD2"/>
    <w:rsid w:val="00E9112E"/>
    <w:rsid w:val="00E9165D"/>
    <w:rsid w:val="00E916D0"/>
    <w:rsid w:val="00E916D3"/>
    <w:rsid w:val="00E91791"/>
    <w:rsid w:val="00E918B6"/>
    <w:rsid w:val="00E9199C"/>
    <w:rsid w:val="00E91C19"/>
    <w:rsid w:val="00E91FCD"/>
    <w:rsid w:val="00E921B7"/>
    <w:rsid w:val="00E92714"/>
    <w:rsid w:val="00E92878"/>
    <w:rsid w:val="00E928BF"/>
    <w:rsid w:val="00E92905"/>
    <w:rsid w:val="00E92B10"/>
    <w:rsid w:val="00E92E8E"/>
    <w:rsid w:val="00E92F4A"/>
    <w:rsid w:val="00E9356E"/>
    <w:rsid w:val="00E936D6"/>
    <w:rsid w:val="00E93BCD"/>
    <w:rsid w:val="00E93DA1"/>
    <w:rsid w:val="00E93FAE"/>
    <w:rsid w:val="00E9403B"/>
    <w:rsid w:val="00E940C6"/>
    <w:rsid w:val="00E941F8"/>
    <w:rsid w:val="00E94384"/>
    <w:rsid w:val="00E94544"/>
    <w:rsid w:val="00E9455D"/>
    <w:rsid w:val="00E9473A"/>
    <w:rsid w:val="00E949C9"/>
    <w:rsid w:val="00E94A13"/>
    <w:rsid w:val="00E94DAC"/>
    <w:rsid w:val="00E94EDE"/>
    <w:rsid w:val="00E950EC"/>
    <w:rsid w:val="00E9574B"/>
    <w:rsid w:val="00E9579A"/>
    <w:rsid w:val="00E95AFF"/>
    <w:rsid w:val="00E95B58"/>
    <w:rsid w:val="00E95C57"/>
    <w:rsid w:val="00E95C73"/>
    <w:rsid w:val="00E95EB9"/>
    <w:rsid w:val="00E96173"/>
    <w:rsid w:val="00E969C5"/>
    <w:rsid w:val="00E96B7D"/>
    <w:rsid w:val="00E96F24"/>
    <w:rsid w:val="00E97072"/>
    <w:rsid w:val="00E9726E"/>
    <w:rsid w:val="00E97433"/>
    <w:rsid w:val="00E97818"/>
    <w:rsid w:val="00E97B99"/>
    <w:rsid w:val="00E97C99"/>
    <w:rsid w:val="00E97D30"/>
    <w:rsid w:val="00E97D71"/>
    <w:rsid w:val="00E97F97"/>
    <w:rsid w:val="00EA0075"/>
    <w:rsid w:val="00EA00BA"/>
    <w:rsid w:val="00EA00C5"/>
    <w:rsid w:val="00EA0190"/>
    <w:rsid w:val="00EA021F"/>
    <w:rsid w:val="00EA06D0"/>
    <w:rsid w:val="00EA08D3"/>
    <w:rsid w:val="00EA090F"/>
    <w:rsid w:val="00EA0A50"/>
    <w:rsid w:val="00EA0A89"/>
    <w:rsid w:val="00EA0E5D"/>
    <w:rsid w:val="00EA0F42"/>
    <w:rsid w:val="00EA123A"/>
    <w:rsid w:val="00EA1240"/>
    <w:rsid w:val="00EA1300"/>
    <w:rsid w:val="00EA1474"/>
    <w:rsid w:val="00EA15D1"/>
    <w:rsid w:val="00EA19D5"/>
    <w:rsid w:val="00EA1A83"/>
    <w:rsid w:val="00EA1B08"/>
    <w:rsid w:val="00EA1F19"/>
    <w:rsid w:val="00EA2196"/>
    <w:rsid w:val="00EA224C"/>
    <w:rsid w:val="00EA2277"/>
    <w:rsid w:val="00EA2340"/>
    <w:rsid w:val="00EA26D1"/>
    <w:rsid w:val="00EA281E"/>
    <w:rsid w:val="00EA2909"/>
    <w:rsid w:val="00EA2989"/>
    <w:rsid w:val="00EA2A93"/>
    <w:rsid w:val="00EA2B62"/>
    <w:rsid w:val="00EA2CB3"/>
    <w:rsid w:val="00EA2FF9"/>
    <w:rsid w:val="00EA3155"/>
    <w:rsid w:val="00EA3390"/>
    <w:rsid w:val="00EA3847"/>
    <w:rsid w:val="00EA39EC"/>
    <w:rsid w:val="00EA3C65"/>
    <w:rsid w:val="00EA3C7E"/>
    <w:rsid w:val="00EA3C86"/>
    <w:rsid w:val="00EA3D2C"/>
    <w:rsid w:val="00EA3D64"/>
    <w:rsid w:val="00EA485F"/>
    <w:rsid w:val="00EA4C0C"/>
    <w:rsid w:val="00EA50A9"/>
    <w:rsid w:val="00EA5111"/>
    <w:rsid w:val="00EA529C"/>
    <w:rsid w:val="00EA5323"/>
    <w:rsid w:val="00EA54AF"/>
    <w:rsid w:val="00EA54C7"/>
    <w:rsid w:val="00EA57FB"/>
    <w:rsid w:val="00EA5839"/>
    <w:rsid w:val="00EA5B99"/>
    <w:rsid w:val="00EA7231"/>
    <w:rsid w:val="00EA72BD"/>
    <w:rsid w:val="00EA752E"/>
    <w:rsid w:val="00EA757D"/>
    <w:rsid w:val="00EA7CA3"/>
    <w:rsid w:val="00EA7E8B"/>
    <w:rsid w:val="00EB0685"/>
    <w:rsid w:val="00EB0A53"/>
    <w:rsid w:val="00EB0DD4"/>
    <w:rsid w:val="00EB157F"/>
    <w:rsid w:val="00EB17EA"/>
    <w:rsid w:val="00EB2141"/>
    <w:rsid w:val="00EB2294"/>
    <w:rsid w:val="00EB22D2"/>
    <w:rsid w:val="00EB242E"/>
    <w:rsid w:val="00EB253A"/>
    <w:rsid w:val="00EB2ACF"/>
    <w:rsid w:val="00EB2B18"/>
    <w:rsid w:val="00EB2B81"/>
    <w:rsid w:val="00EB2C2F"/>
    <w:rsid w:val="00EB2C33"/>
    <w:rsid w:val="00EB2C9E"/>
    <w:rsid w:val="00EB2FC3"/>
    <w:rsid w:val="00EB35A9"/>
    <w:rsid w:val="00EB3784"/>
    <w:rsid w:val="00EB37AD"/>
    <w:rsid w:val="00EB3A58"/>
    <w:rsid w:val="00EB3E1F"/>
    <w:rsid w:val="00EB3E45"/>
    <w:rsid w:val="00EB3E75"/>
    <w:rsid w:val="00EB3FFE"/>
    <w:rsid w:val="00EB41AB"/>
    <w:rsid w:val="00EB48C6"/>
    <w:rsid w:val="00EB4B04"/>
    <w:rsid w:val="00EB4B44"/>
    <w:rsid w:val="00EB4BBB"/>
    <w:rsid w:val="00EB4CB3"/>
    <w:rsid w:val="00EB5332"/>
    <w:rsid w:val="00EB5435"/>
    <w:rsid w:val="00EB55C6"/>
    <w:rsid w:val="00EB5A14"/>
    <w:rsid w:val="00EB5A50"/>
    <w:rsid w:val="00EB5BC7"/>
    <w:rsid w:val="00EB5C80"/>
    <w:rsid w:val="00EB6956"/>
    <w:rsid w:val="00EB6CBA"/>
    <w:rsid w:val="00EB6F15"/>
    <w:rsid w:val="00EB6F1C"/>
    <w:rsid w:val="00EB705A"/>
    <w:rsid w:val="00EB707C"/>
    <w:rsid w:val="00EB7144"/>
    <w:rsid w:val="00EB72CD"/>
    <w:rsid w:val="00EB734B"/>
    <w:rsid w:val="00EB74D5"/>
    <w:rsid w:val="00EB7A3D"/>
    <w:rsid w:val="00EB7ABD"/>
    <w:rsid w:val="00EB7C69"/>
    <w:rsid w:val="00EB7CE1"/>
    <w:rsid w:val="00EB7DB8"/>
    <w:rsid w:val="00EC000B"/>
    <w:rsid w:val="00EC0108"/>
    <w:rsid w:val="00EC051E"/>
    <w:rsid w:val="00EC08B6"/>
    <w:rsid w:val="00EC0913"/>
    <w:rsid w:val="00EC0B2E"/>
    <w:rsid w:val="00EC0CC9"/>
    <w:rsid w:val="00EC1043"/>
    <w:rsid w:val="00EC1149"/>
    <w:rsid w:val="00EC145F"/>
    <w:rsid w:val="00EC1855"/>
    <w:rsid w:val="00EC19D6"/>
    <w:rsid w:val="00EC1CD2"/>
    <w:rsid w:val="00EC201C"/>
    <w:rsid w:val="00EC2822"/>
    <w:rsid w:val="00EC2923"/>
    <w:rsid w:val="00EC2E80"/>
    <w:rsid w:val="00EC2FD7"/>
    <w:rsid w:val="00EC30F0"/>
    <w:rsid w:val="00EC316D"/>
    <w:rsid w:val="00EC32E4"/>
    <w:rsid w:val="00EC347C"/>
    <w:rsid w:val="00EC3E10"/>
    <w:rsid w:val="00EC3E3D"/>
    <w:rsid w:val="00EC4115"/>
    <w:rsid w:val="00EC414F"/>
    <w:rsid w:val="00EC444A"/>
    <w:rsid w:val="00EC457E"/>
    <w:rsid w:val="00EC4605"/>
    <w:rsid w:val="00EC4637"/>
    <w:rsid w:val="00EC46C0"/>
    <w:rsid w:val="00EC536C"/>
    <w:rsid w:val="00EC553D"/>
    <w:rsid w:val="00EC56A4"/>
    <w:rsid w:val="00EC56BA"/>
    <w:rsid w:val="00EC592C"/>
    <w:rsid w:val="00EC594A"/>
    <w:rsid w:val="00EC5C64"/>
    <w:rsid w:val="00EC5FD8"/>
    <w:rsid w:val="00EC5FE6"/>
    <w:rsid w:val="00EC649B"/>
    <w:rsid w:val="00EC664E"/>
    <w:rsid w:val="00EC6822"/>
    <w:rsid w:val="00EC6889"/>
    <w:rsid w:val="00EC69E4"/>
    <w:rsid w:val="00EC6C56"/>
    <w:rsid w:val="00EC709F"/>
    <w:rsid w:val="00EC70F8"/>
    <w:rsid w:val="00EC752D"/>
    <w:rsid w:val="00EC75E1"/>
    <w:rsid w:val="00EC76E8"/>
    <w:rsid w:val="00EC7B82"/>
    <w:rsid w:val="00EC7CAF"/>
    <w:rsid w:val="00ED033B"/>
    <w:rsid w:val="00ED0399"/>
    <w:rsid w:val="00ED03A0"/>
    <w:rsid w:val="00ED06F6"/>
    <w:rsid w:val="00ED093B"/>
    <w:rsid w:val="00ED09EE"/>
    <w:rsid w:val="00ED0A92"/>
    <w:rsid w:val="00ED0F31"/>
    <w:rsid w:val="00ED0F8D"/>
    <w:rsid w:val="00ED104D"/>
    <w:rsid w:val="00ED10DC"/>
    <w:rsid w:val="00ED1693"/>
    <w:rsid w:val="00ED172F"/>
    <w:rsid w:val="00ED1732"/>
    <w:rsid w:val="00ED1E03"/>
    <w:rsid w:val="00ED1FC1"/>
    <w:rsid w:val="00ED218B"/>
    <w:rsid w:val="00ED22B1"/>
    <w:rsid w:val="00ED2395"/>
    <w:rsid w:val="00ED2777"/>
    <w:rsid w:val="00ED2BEF"/>
    <w:rsid w:val="00ED2E91"/>
    <w:rsid w:val="00ED2FD8"/>
    <w:rsid w:val="00ED3062"/>
    <w:rsid w:val="00ED348F"/>
    <w:rsid w:val="00ED349D"/>
    <w:rsid w:val="00ED35C0"/>
    <w:rsid w:val="00ED39B5"/>
    <w:rsid w:val="00ED3EC2"/>
    <w:rsid w:val="00ED442A"/>
    <w:rsid w:val="00ED4505"/>
    <w:rsid w:val="00ED45DE"/>
    <w:rsid w:val="00ED4E7E"/>
    <w:rsid w:val="00ED501A"/>
    <w:rsid w:val="00ED50FC"/>
    <w:rsid w:val="00ED5146"/>
    <w:rsid w:val="00ED5372"/>
    <w:rsid w:val="00ED54C2"/>
    <w:rsid w:val="00ED5647"/>
    <w:rsid w:val="00ED5851"/>
    <w:rsid w:val="00ED5882"/>
    <w:rsid w:val="00ED5A75"/>
    <w:rsid w:val="00ED5DDD"/>
    <w:rsid w:val="00ED5F01"/>
    <w:rsid w:val="00ED5F8A"/>
    <w:rsid w:val="00ED61AB"/>
    <w:rsid w:val="00ED6254"/>
    <w:rsid w:val="00ED713A"/>
    <w:rsid w:val="00ED7479"/>
    <w:rsid w:val="00ED7520"/>
    <w:rsid w:val="00ED7608"/>
    <w:rsid w:val="00ED790D"/>
    <w:rsid w:val="00ED7C0E"/>
    <w:rsid w:val="00EE01C0"/>
    <w:rsid w:val="00EE02B2"/>
    <w:rsid w:val="00EE037A"/>
    <w:rsid w:val="00EE0D64"/>
    <w:rsid w:val="00EE155C"/>
    <w:rsid w:val="00EE1671"/>
    <w:rsid w:val="00EE16BC"/>
    <w:rsid w:val="00EE1BB9"/>
    <w:rsid w:val="00EE1D0F"/>
    <w:rsid w:val="00EE1E8A"/>
    <w:rsid w:val="00EE1FEB"/>
    <w:rsid w:val="00EE2118"/>
    <w:rsid w:val="00EE221A"/>
    <w:rsid w:val="00EE241D"/>
    <w:rsid w:val="00EE2421"/>
    <w:rsid w:val="00EE2998"/>
    <w:rsid w:val="00EE2B1C"/>
    <w:rsid w:val="00EE2E72"/>
    <w:rsid w:val="00EE308C"/>
    <w:rsid w:val="00EE3355"/>
    <w:rsid w:val="00EE335C"/>
    <w:rsid w:val="00EE3896"/>
    <w:rsid w:val="00EE39E5"/>
    <w:rsid w:val="00EE3B2B"/>
    <w:rsid w:val="00EE3BC3"/>
    <w:rsid w:val="00EE3D6F"/>
    <w:rsid w:val="00EE3EE9"/>
    <w:rsid w:val="00EE40C5"/>
    <w:rsid w:val="00EE41E6"/>
    <w:rsid w:val="00EE4B74"/>
    <w:rsid w:val="00EE550C"/>
    <w:rsid w:val="00EE580E"/>
    <w:rsid w:val="00EE586A"/>
    <w:rsid w:val="00EE5AB2"/>
    <w:rsid w:val="00EE5CEC"/>
    <w:rsid w:val="00EE5D20"/>
    <w:rsid w:val="00EE5EAF"/>
    <w:rsid w:val="00EE5EC0"/>
    <w:rsid w:val="00EE6008"/>
    <w:rsid w:val="00EE6303"/>
    <w:rsid w:val="00EE641B"/>
    <w:rsid w:val="00EE65A3"/>
    <w:rsid w:val="00EE661B"/>
    <w:rsid w:val="00EE6893"/>
    <w:rsid w:val="00EE6AE5"/>
    <w:rsid w:val="00EE6BF4"/>
    <w:rsid w:val="00EE6C0C"/>
    <w:rsid w:val="00EE6EBA"/>
    <w:rsid w:val="00EE731A"/>
    <w:rsid w:val="00EE742B"/>
    <w:rsid w:val="00EE74D0"/>
    <w:rsid w:val="00EE762E"/>
    <w:rsid w:val="00EE7929"/>
    <w:rsid w:val="00EE79A3"/>
    <w:rsid w:val="00EF0018"/>
    <w:rsid w:val="00EF014E"/>
    <w:rsid w:val="00EF0836"/>
    <w:rsid w:val="00EF08CA"/>
    <w:rsid w:val="00EF0AA9"/>
    <w:rsid w:val="00EF0BB2"/>
    <w:rsid w:val="00EF0C3D"/>
    <w:rsid w:val="00EF0E05"/>
    <w:rsid w:val="00EF0E4B"/>
    <w:rsid w:val="00EF0E8F"/>
    <w:rsid w:val="00EF1255"/>
    <w:rsid w:val="00EF1990"/>
    <w:rsid w:val="00EF1D3E"/>
    <w:rsid w:val="00EF1D4A"/>
    <w:rsid w:val="00EF1DBA"/>
    <w:rsid w:val="00EF1E42"/>
    <w:rsid w:val="00EF206F"/>
    <w:rsid w:val="00EF2457"/>
    <w:rsid w:val="00EF24A6"/>
    <w:rsid w:val="00EF2D1A"/>
    <w:rsid w:val="00EF2EC7"/>
    <w:rsid w:val="00EF35F5"/>
    <w:rsid w:val="00EF3A26"/>
    <w:rsid w:val="00EF3BB9"/>
    <w:rsid w:val="00EF3CB4"/>
    <w:rsid w:val="00EF413E"/>
    <w:rsid w:val="00EF4254"/>
    <w:rsid w:val="00EF4941"/>
    <w:rsid w:val="00EF499B"/>
    <w:rsid w:val="00EF4BC5"/>
    <w:rsid w:val="00EF4CC6"/>
    <w:rsid w:val="00EF5168"/>
    <w:rsid w:val="00EF5706"/>
    <w:rsid w:val="00EF5AA6"/>
    <w:rsid w:val="00EF5E00"/>
    <w:rsid w:val="00EF61E0"/>
    <w:rsid w:val="00EF6457"/>
    <w:rsid w:val="00EF64AC"/>
    <w:rsid w:val="00EF6808"/>
    <w:rsid w:val="00EF6CBA"/>
    <w:rsid w:val="00EF6CF5"/>
    <w:rsid w:val="00EF6D20"/>
    <w:rsid w:val="00EF6DF5"/>
    <w:rsid w:val="00EF6EAA"/>
    <w:rsid w:val="00EF7334"/>
    <w:rsid w:val="00EF7633"/>
    <w:rsid w:val="00EF77A8"/>
    <w:rsid w:val="00EF7836"/>
    <w:rsid w:val="00EF7E5F"/>
    <w:rsid w:val="00EF7F5E"/>
    <w:rsid w:val="00F000F9"/>
    <w:rsid w:val="00F00148"/>
    <w:rsid w:val="00F002B0"/>
    <w:rsid w:val="00F0048C"/>
    <w:rsid w:val="00F004CF"/>
    <w:rsid w:val="00F00665"/>
    <w:rsid w:val="00F006B8"/>
    <w:rsid w:val="00F00765"/>
    <w:rsid w:val="00F0092D"/>
    <w:rsid w:val="00F00987"/>
    <w:rsid w:val="00F00AE6"/>
    <w:rsid w:val="00F00D32"/>
    <w:rsid w:val="00F00DB6"/>
    <w:rsid w:val="00F010C0"/>
    <w:rsid w:val="00F0124B"/>
    <w:rsid w:val="00F01DDD"/>
    <w:rsid w:val="00F01DFB"/>
    <w:rsid w:val="00F01E3B"/>
    <w:rsid w:val="00F021DE"/>
    <w:rsid w:val="00F022DC"/>
    <w:rsid w:val="00F022E0"/>
    <w:rsid w:val="00F024BB"/>
    <w:rsid w:val="00F0252A"/>
    <w:rsid w:val="00F02B86"/>
    <w:rsid w:val="00F03250"/>
    <w:rsid w:val="00F0338C"/>
    <w:rsid w:val="00F038E8"/>
    <w:rsid w:val="00F03E40"/>
    <w:rsid w:val="00F04440"/>
    <w:rsid w:val="00F0462C"/>
    <w:rsid w:val="00F04719"/>
    <w:rsid w:val="00F0476C"/>
    <w:rsid w:val="00F047ED"/>
    <w:rsid w:val="00F04A05"/>
    <w:rsid w:val="00F04ADF"/>
    <w:rsid w:val="00F04B79"/>
    <w:rsid w:val="00F04B8E"/>
    <w:rsid w:val="00F04D86"/>
    <w:rsid w:val="00F05068"/>
    <w:rsid w:val="00F05216"/>
    <w:rsid w:val="00F05561"/>
    <w:rsid w:val="00F055AD"/>
    <w:rsid w:val="00F056FA"/>
    <w:rsid w:val="00F05862"/>
    <w:rsid w:val="00F05AD0"/>
    <w:rsid w:val="00F05B77"/>
    <w:rsid w:val="00F05EF9"/>
    <w:rsid w:val="00F05F44"/>
    <w:rsid w:val="00F06007"/>
    <w:rsid w:val="00F06770"/>
    <w:rsid w:val="00F06861"/>
    <w:rsid w:val="00F06927"/>
    <w:rsid w:val="00F06B37"/>
    <w:rsid w:val="00F07326"/>
    <w:rsid w:val="00F07418"/>
    <w:rsid w:val="00F07787"/>
    <w:rsid w:val="00F078D9"/>
    <w:rsid w:val="00F07F21"/>
    <w:rsid w:val="00F103C2"/>
    <w:rsid w:val="00F1040E"/>
    <w:rsid w:val="00F104AE"/>
    <w:rsid w:val="00F1053B"/>
    <w:rsid w:val="00F106A2"/>
    <w:rsid w:val="00F106B3"/>
    <w:rsid w:val="00F106EE"/>
    <w:rsid w:val="00F10F95"/>
    <w:rsid w:val="00F11089"/>
    <w:rsid w:val="00F1117D"/>
    <w:rsid w:val="00F11339"/>
    <w:rsid w:val="00F11947"/>
    <w:rsid w:val="00F11FA3"/>
    <w:rsid w:val="00F12676"/>
    <w:rsid w:val="00F126FC"/>
    <w:rsid w:val="00F1276F"/>
    <w:rsid w:val="00F12AA9"/>
    <w:rsid w:val="00F12BBB"/>
    <w:rsid w:val="00F132CE"/>
    <w:rsid w:val="00F1333F"/>
    <w:rsid w:val="00F139D4"/>
    <w:rsid w:val="00F13A7D"/>
    <w:rsid w:val="00F13C01"/>
    <w:rsid w:val="00F13CF2"/>
    <w:rsid w:val="00F13D74"/>
    <w:rsid w:val="00F13EE3"/>
    <w:rsid w:val="00F13FEF"/>
    <w:rsid w:val="00F140A8"/>
    <w:rsid w:val="00F145D4"/>
    <w:rsid w:val="00F14E05"/>
    <w:rsid w:val="00F14F16"/>
    <w:rsid w:val="00F15227"/>
    <w:rsid w:val="00F15351"/>
    <w:rsid w:val="00F15471"/>
    <w:rsid w:val="00F154E4"/>
    <w:rsid w:val="00F1572B"/>
    <w:rsid w:val="00F15B9E"/>
    <w:rsid w:val="00F15D4E"/>
    <w:rsid w:val="00F15F33"/>
    <w:rsid w:val="00F160FA"/>
    <w:rsid w:val="00F1620A"/>
    <w:rsid w:val="00F164BC"/>
    <w:rsid w:val="00F16A3E"/>
    <w:rsid w:val="00F16B7C"/>
    <w:rsid w:val="00F16C19"/>
    <w:rsid w:val="00F16D54"/>
    <w:rsid w:val="00F16DCE"/>
    <w:rsid w:val="00F172E1"/>
    <w:rsid w:val="00F173E5"/>
    <w:rsid w:val="00F17CD6"/>
    <w:rsid w:val="00F17CEF"/>
    <w:rsid w:val="00F17D1D"/>
    <w:rsid w:val="00F17D5B"/>
    <w:rsid w:val="00F17EDC"/>
    <w:rsid w:val="00F203E9"/>
    <w:rsid w:val="00F2067D"/>
    <w:rsid w:val="00F207B0"/>
    <w:rsid w:val="00F20A7B"/>
    <w:rsid w:val="00F20B11"/>
    <w:rsid w:val="00F20B94"/>
    <w:rsid w:val="00F20E72"/>
    <w:rsid w:val="00F20FBE"/>
    <w:rsid w:val="00F211F8"/>
    <w:rsid w:val="00F21328"/>
    <w:rsid w:val="00F21330"/>
    <w:rsid w:val="00F21470"/>
    <w:rsid w:val="00F21481"/>
    <w:rsid w:val="00F21674"/>
    <w:rsid w:val="00F216D4"/>
    <w:rsid w:val="00F2185D"/>
    <w:rsid w:val="00F21917"/>
    <w:rsid w:val="00F21952"/>
    <w:rsid w:val="00F21ED9"/>
    <w:rsid w:val="00F22022"/>
    <w:rsid w:val="00F224F7"/>
    <w:rsid w:val="00F22752"/>
    <w:rsid w:val="00F2277B"/>
    <w:rsid w:val="00F22A1F"/>
    <w:rsid w:val="00F22E21"/>
    <w:rsid w:val="00F2318E"/>
    <w:rsid w:val="00F2375B"/>
    <w:rsid w:val="00F23936"/>
    <w:rsid w:val="00F23ECD"/>
    <w:rsid w:val="00F240D8"/>
    <w:rsid w:val="00F24594"/>
    <w:rsid w:val="00F24607"/>
    <w:rsid w:val="00F24666"/>
    <w:rsid w:val="00F24696"/>
    <w:rsid w:val="00F246CB"/>
    <w:rsid w:val="00F2471C"/>
    <w:rsid w:val="00F248A9"/>
    <w:rsid w:val="00F24A51"/>
    <w:rsid w:val="00F24B06"/>
    <w:rsid w:val="00F24BFB"/>
    <w:rsid w:val="00F24C5B"/>
    <w:rsid w:val="00F2514B"/>
    <w:rsid w:val="00F253C6"/>
    <w:rsid w:val="00F25405"/>
    <w:rsid w:val="00F25599"/>
    <w:rsid w:val="00F25693"/>
    <w:rsid w:val="00F25729"/>
    <w:rsid w:val="00F25A33"/>
    <w:rsid w:val="00F25A71"/>
    <w:rsid w:val="00F25B2F"/>
    <w:rsid w:val="00F25FE1"/>
    <w:rsid w:val="00F265E7"/>
    <w:rsid w:val="00F26600"/>
    <w:rsid w:val="00F266CD"/>
    <w:rsid w:val="00F266ED"/>
    <w:rsid w:val="00F26782"/>
    <w:rsid w:val="00F26AF8"/>
    <w:rsid w:val="00F2734B"/>
    <w:rsid w:val="00F300E1"/>
    <w:rsid w:val="00F302BC"/>
    <w:rsid w:val="00F302FD"/>
    <w:rsid w:val="00F30601"/>
    <w:rsid w:val="00F30621"/>
    <w:rsid w:val="00F30865"/>
    <w:rsid w:val="00F308EF"/>
    <w:rsid w:val="00F3113C"/>
    <w:rsid w:val="00F31279"/>
    <w:rsid w:val="00F31710"/>
    <w:rsid w:val="00F319BD"/>
    <w:rsid w:val="00F31C35"/>
    <w:rsid w:val="00F31DCB"/>
    <w:rsid w:val="00F31DD1"/>
    <w:rsid w:val="00F3271B"/>
    <w:rsid w:val="00F32AFC"/>
    <w:rsid w:val="00F3300C"/>
    <w:rsid w:val="00F3340B"/>
    <w:rsid w:val="00F33489"/>
    <w:rsid w:val="00F33571"/>
    <w:rsid w:val="00F337EA"/>
    <w:rsid w:val="00F3388E"/>
    <w:rsid w:val="00F338D3"/>
    <w:rsid w:val="00F33A48"/>
    <w:rsid w:val="00F33A4E"/>
    <w:rsid w:val="00F33BFE"/>
    <w:rsid w:val="00F33F7A"/>
    <w:rsid w:val="00F34775"/>
    <w:rsid w:val="00F34937"/>
    <w:rsid w:val="00F34B66"/>
    <w:rsid w:val="00F34D6A"/>
    <w:rsid w:val="00F35121"/>
    <w:rsid w:val="00F35A41"/>
    <w:rsid w:val="00F35F41"/>
    <w:rsid w:val="00F36060"/>
    <w:rsid w:val="00F365D1"/>
    <w:rsid w:val="00F36825"/>
    <w:rsid w:val="00F3682C"/>
    <w:rsid w:val="00F37140"/>
    <w:rsid w:val="00F371EB"/>
    <w:rsid w:val="00F37701"/>
    <w:rsid w:val="00F37B53"/>
    <w:rsid w:val="00F37CB0"/>
    <w:rsid w:val="00F37D2B"/>
    <w:rsid w:val="00F37DE6"/>
    <w:rsid w:val="00F37E1D"/>
    <w:rsid w:val="00F37F41"/>
    <w:rsid w:val="00F37FF9"/>
    <w:rsid w:val="00F40344"/>
    <w:rsid w:val="00F408DD"/>
    <w:rsid w:val="00F40C8C"/>
    <w:rsid w:val="00F40E11"/>
    <w:rsid w:val="00F40E34"/>
    <w:rsid w:val="00F40F01"/>
    <w:rsid w:val="00F40F37"/>
    <w:rsid w:val="00F412B8"/>
    <w:rsid w:val="00F416B7"/>
    <w:rsid w:val="00F41703"/>
    <w:rsid w:val="00F41807"/>
    <w:rsid w:val="00F41FDB"/>
    <w:rsid w:val="00F42052"/>
    <w:rsid w:val="00F420D2"/>
    <w:rsid w:val="00F42374"/>
    <w:rsid w:val="00F424BA"/>
    <w:rsid w:val="00F42A52"/>
    <w:rsid w:val="00F42B41"/>
    <w:rsid w:val="00F42E27"/>
    <w:rsid w:val="00F4306A"/>
    <w:rsid w:val="00F43413"/>
    <w:rsid w:val="00F4360D"/>
    <w:rsid w:val="00F437B4"/>
    <w:rsid w:val="00F43816"/>
    <w:rsid w:val="00F43971"/>
    <w:rsid w:val="00F43D07"/>
    <w:rsid w:val="00F43FCB"/>
    <w:rsid w:val="00F43FF9"/>
    <w:rsid w:val="00F442FD"/>
    <w:rsid w:val="00F4442D"/>
    <w:rsid w:val="00F44509"/>
    <w:rsid w:val="00F4472A"/>
    <w:rsid w:val="00F44CD5"/>
    <w:rsid w:val="00F44D7A"/>
    <w:rsid w:val="00F44F77"/>
    <w:rsid w:val="00F44F89"/>
    <w:rsid w:val="00F451FF"/>
    <w:rsid w:val="00F45221"/>
    <w:rsid w:val="00F45436"/>
    <w:rsid w:val="00F458D7"/>
    <w:rsid w:val="00F45BE0"/>
    <w:rsid w:val="00F45E12"/>
    <w:rsid w:val="00F45E2F"/>
    <w:rsid w:val="00F45E65"/>
    <w:rsid w:val="00F45FAB"/>
    <w:rsid w:val="00F45FBE"/>
    <w:rsid w:val="00F45FD3"/>
    <w:rsid w:val="00F46136"/>
    <w:rsid w:val="00F47333"/>
    <w:rsid w:val="00F477E6"/>
    <w:rsid w:val="00F47964"/>
    <w:rsid w:val="00F4799B"/>
    <w:rsid w:val="00F50678"/>
    <w:rsid w:val="00F50679"/>
    <w:rsid w:val="00F5089D"/>
    <w:rsid w:val="00F50B47"/>
    <w:rsid w:val="00F50B7B"/>
    <w:rsid w:val="00F50C85"/>
    <w:rsid w:val="00F50DF8"/>
    <w:rsid w:val="00F50FD2"/>
    <w:rsid w:val="00F51333"/>
    <w:rsid w:val="00F513C6"/>
    <w:rsid w:val="00F519DD"/>
    <w:rsid w:val="00F5209E"/>
    <w:rsid w:val="00F520A9"/>
    <w:rsid w:val="00F522F5"/>
    <w:rsid w:val="00F52342"/>
    <w:rsid w:val="00F52430"/>
    <w:rsid w:val="00F52836"/>
    <w:rsid w:val="00F52839"/>
    <w:rsid w:val="00F52B0A"/>
    <w:rsid w:val="00F52CFB"/>
    <w:rsid w:val="00F52F9A"/>
    <w:rsid w:val="00F5304B"/>
    <w:rsid w:val="00F532A4"/>
    <w:rsid w:val="00F53A30"/>
    <w:rsid w:val="00F53C44"/>
    <w:rsid w:val="00F53DA6"/>
    <w:rsid w:val="00F54666"/>
    <w:rsid w:val="00F54675"/>
    <w:rsid w:val="00F54C3C"/>
    <w:rsid w:val="00F54CE8"/>
    <w:rsid w:val="00F551A8"/>
    <w:rsid w:val="00F5527C"/>
    <w:rsid w:val="00F5549C"/>
    <w:rsid w:val="00F55AD6"/>
    <w:rsid w:val="00F55D1F"/>
    <w:rsid w:val="00F563BC"/>
    <w:rsid w:val="00F566BE"/>
    <w:rsid w:val="00F56C9E"/>
    <w:rsid w:val="00F56CDE"/>
    <w:rsid w:val="00F56E28"/>
    <w:rsid w:val="00F5741A"/>
    <w:rsid w:val="00F5753B"/>
    <w:rsid w:val="00F57618"/>
    <w:rsid w:val="00F57821"/>
    <w:rsid w:val="00F57988"/>
    <w:rsid w:val="00F57D11"/>
    <w:rsid w:val="00F57E3B"/>
    <w:rsid w:val="00F601A5"/>
    <w:rsid w:val="00F60368"/>
    <w:rsid w:val="00F60416"/>
    <w:rsid w:val="00F60470"/>
    <w:rsid w:val="00F60533"/>
    <w:rsid w:val="00F6085F"/>
    <w:rsid w:val="00F612BB"/>
    <w:rsid w:val="00F613A5"/>
    <w:rsid w:val="00F61429"/>
    <w:rsid w:val="00F61B02"/>
    <w:rsid w:val="00F61B7B"/>
    <w:rsid w:val="00F620F0"/>
    <w:rsid w:val="00F621EF"/>
    <w:rsid w:val="00F6231A"/>
    <w:rsid w:val="00F6261C"/>
    <w:rsid w:val="00F6267B"/>
    <w:rsid w:val="00F626AD"/>
    <w:rsid w:val="00F62A69"/>
    <w:rsid w:val="00F63020"/>
    <w:rsid w:val="00F637D0"/>
    <w:rsid w:val="00F63924"/>
    <w:rsid w:val="00F63AEA"/>
    <w:rsid w:val="00F63B2E"/>
    <w:rsid w:val="00F63D55"/>
    <w:rsid w:val="00F63DE1"/>
    <w:rsid w:val="00F64813"/>
    <w:rsid w:val="00F64B8D"/>
    <w:rsid w:val="00F6537E"/>
    <w:rsid w:val="00F6544F"/>
    <w:rsid w:val="00F65A17"/>
    <w:rsid w:val="00F65C12"/>
    <w:rsid w:val="00F65D64"/>
    <w:rsid w:val="00F65DB1"/>
    <w:rsid w:val="00F66132"/>
    <w:rsid w:val="00F66199"/>
    <w:rsid w:val="00F66422"/>
    <w:rsid w:val="00F6655D"/>
    <w:rsid w:val="00F66852"/>
    <w:rsid w:val="00F66AE7"/>
    <w:rsid w:val="00F66E26"/>
    <w:rsid w:val="00F66E61"/>
    <w:rsid w:val="00F671D2"/>
    <w:rsid w:val="00F675BB"/>
    <w:rsid w:val="00F678CB"/>
    <w:rsid w:val="00F67907"/>
    <w:rsid w:val="00F67AEE"/>
    <w:rsid w:val="00F67C50"/>
    <w:rsid w:val="00F700D9"/>
    <w:rsid w:val="00F7033D"/>
    <w:rsid w:val="00F70404"/>
    <w:rsid w:val="00F70B33"/>
    <w:rsid w:val="00F70DE5"/>
    <w:rsid w:val="00F70EEA"/>
    <w:rsid w:val="00F70F39"/>
    <w:rsid w:val="00F70F65"/>
    <w:rsid w:val="00F70FBA"/>
    <w:rsid w:val="00F712E2"/>
    <w:rsid w:val="00F71357"/>
    <w:rsid w:val="00F713E1"/>
    <w:rsid w:val="00F71590"/>
    <w:rsid w:val="00F7174E"/>
    <w:rsid w:val="00F718D5"/>
    <w:rsid w:val="00F71999"/>
    <w:rsid w:val="00F71CB6"/>
    <w:rsid w:val="00F71F5C"/>
    <w:rsid w:val="00F72C61"/>
    <w:rsid w:val="00F72D63"/>
    <w:rsid w:val="00F72E3A"/>
    <w:rsid w:val="00F7303B"/>
    <w:rsid w:val="00F7326D"/>
    <w:rsid w:val="00F73592"/>
    <w:rsid w:val="00F73670"/>
    <w:rsid w:val="00F73826"/>
    <w:rsid w:val="00F73B7B"/>
    <w:rsid w:val="00F73E78"/>
    <w:rsid w:val="00F7400B"/>
    <w:rsid w:val="00F74120"/>
    <w:rsid w:val="00F74248"/>
    <w:rsid w:val="00F743AD"/>
    <w:rsid w:val="00F74CA4"/>
    <w:rsid w:val="00F74DD7"/>
    <w:rsid w:val="00F75002"/>
    <w:rsid w:val="00F7529B"/>
    <w:rsid w:val="00F755A7"/>
    <w:rsid w:val="00F7560B"/>
    <w:rsid w:val="00F757A3"/>
    <w:rsid w:val="00F759CD"/>
    <w:rsid w:val="00F759DE"/>
    <w:rsid w:val="00F75A51"/>
    <w:rsid w:val="00F75CDA"/>
    <w:rsid w:val="00F75D12"/>
    <w:rsid w:val="00F76096"/>
    <w:rsid w:val="00F7611B"/>
    <w:rsid w:val="00F761DC"/>
    <w:rsid w:val="00F765C8"/>
    <w:rsid w:val="00F76913"/>
    <w:rsid w:val="00F76F92"/>
    <w:rsid w:val="00F77187"/>
    <w:rsid w:val="00F771C4"/>
    <w:rsid w:val="00F77773"/>
    <w:rsid w:val="00F8017B"/>
    <w:rsid w:val="00F80232"/>
    <w:rsid w:val="00F80934"/>
    <w:rsid w:val="00F80AE4"/>
    <w:rsid w:val="00F81054"/>
    <w:rsid w:val="00F8120A"/>
    <w:rsid w:val="00F8130F"/>
    <w:rsid w:val="00F8142B"/>
    <w:rsid w:val="00F814E1"/>
    <w:rsid w:val="00F81A8D"/>
    <w:rsid w:val="00F81B50"/>
    <w:rsid w:val="00F81BC6"/>
    <w:rsid w:val="00F81D26"/>
    <w:rsid w:val="00F8205F"/>
    <w:rsid w:val="00F821D9"/>
    <w:rsid w:val="00F829F8"/>
    <w:rsid w:val="00F82BD8"/>
    <w:rsid w:val="00F82CFC"/>
    <w:rsid w:val="00F833DA"/>
    <w:rsid w:val="00F83C80"/>
    <w:rsid w:val="00F83EEF"/>
    <w:rsid w:val="00F8419C"/>
    <w:rsid w:val="00F84276"/>
    <w:rsid w:val="00F84572"/>
    <w:rsid w:val="00F84876"/>
    <w:rsid w:val="00F84D0A"/>
    <w:rsid w:val="00F84D22"/>
    <w:rsid w:val="00F85354"/>
    <w:rsid w:val="00F859A5"/>
    <w:rsid w:val="00F85CED"/>
    <w:rsid w:val="00F8608E"/>
    <w:rsid w:val="00F865B2"/>
    <w:rsid w:val="00F86682"/>
    <w:rsid w:val="00F86D09"/>
    <w:rsid w:val="00F86EF9"/>
    <w:rsid w:val="00F87238"/>
    <w:rsid w:val="00F8733D"/>
    <w:rsid w:val="00F87469"/>
    <w:rsid w:val="00F87DD3"/>
    <w:rsid w:val="00F9056B"/>
    <w:rsid w:val="00F90612"/>
    <w:rsid w:val="00F908C9"/>
    <w:rsid w:val="00F909AC"/>
    <w:rsid w:val="00F90C5B"/>
    <w:rsid w:val="00F90CBB"/>
    <w:rsid w:val="00F90CDA"/>
    <w:rsid w:val="00F91235"/>
    <w:rsid w:val="00F915DE"/>
    <w:rsid w:val="00F91AA2"/>
    <w:rsid w:val="00F91C76"/>
    <w:rsid w:val="00F921BD"/>
    <w:rsid w:val="00F92528"/>
    <w:rsid w:val="00F92690"/>
    <w:rsid w:val="00F926C4"/>
    <w:rsid w:val="00F929EA"/>
    <w:rsid w:val="00F92AC2"/>
    <w:rsid w:val="00F92C18"/>
    <w:rsid w:val="00F93003"/>
    <w:rsid w:val="00F930CD"/>
    <w:rsid w:val="00F932CB"/>
    <w:rsid w:val="00F934A5"/>
    <w:rsid w:val="00F93613"/>
    <w:rsid w:val="00F93742"/>
    <w:rsid w:val="00F939C5"/>
    <w:rsid w:val="00F9404C"/>
    <w:rsid w:val="00F941B3"/>
    <w:rsid w:val="00F946A6"/>
    <w:rsid w:val="00F946B1"/>
    <w:rsid w:val="00F947A7"/>
    <w:rsid w:val="00F949D8"/>
    <w:rsid w:val="00F95402"/>
    <w:rsid w:val="00F9571E"/>
    <w:rsid w:val="00F95A30"/>
    <w:rsid w:val="00F95ADD"/>
    <w:rsid w:val="00F9618C"/>
    <w:rsid w:val="00F9636B"/>
    <w:rsid w:val="00F96B9E"/>
    <w:rsid w:val="00F96EA6"/>
    <w:rsid w:val="00F972A7"/>
    <w:rsid w:val="00FA00C2"/>
    <w:rsid w:val="00FA08EC"/>
    <w:rsid w:val="00FA0C20"/>
    <w:rsid w:val="00FA0CD3"/>
    <w:rsid w:val="00FA103F"/>
    <w:rsid w:val="00FA1090"/>
    <w:rsid w:val="00FA1197"/>
    <w:rsid w:val="00FA11E0"/>
    <w:rsid w:val="00FA1301"/>
    <w:rsid w:val="00FA15D8"/>
    <w:rsid w:val="00FA161D"/>
    <w:rsid w:val="00FA173D"/>
    <w:rsid w:val="00FA195C"/>
    <w:rsid w:val="00FA1985"/>
    <w:rsid w:val="00FA1EE9"/>
    <w:rsid w:val="00FA2308"/>
    <w:rsid w:val="00FA2313"/>
    <w:rsid w:val="00FA2464"/>
    <w:rsid w:val="00FA2882"/>
    <w:rsid w:val="00FA29BF"/>
    <w:rsid w:val="00FA2AB5"/>
    <w:rsid w:val="00FA2C4E"/>
    <w:rsid w:val="00FA2CF8"/>
    <w:rsid w:val="00FA2F27"/>
    <w:rsid w:val="00FA3296"/>
    <w:rsid w:val="00FA32A8"/>
    <w:rsid w:val="00FA342E"/>
    <w:rsid w:val="00FA3444"/>
    <w:rsid w:val="00FA363C"/>
    <w:rsid w:val="00FA36C8"/>
    <w:rsid w:val="00FA3AA3"/>
    <w:rsid w:val="00FA3BB4"/>
    <w:rsid w:val="00FA3CF4"/>
    <w:rsid w:val="00FA426B"/>
    <w:rsid w:val="00FA442E"/>
    <w:rsid w:val="00FA4444"/>
    <w:rsid w:val="00FA4B88"/>
    <w:rsid w:val="00FA540B"/>
    <w:rsid w:val="00FA55C1"/>
    <w:rsid w:val="00FA58FB"/>
    <w:rsid w:val="00FA5BB6"/>
    <w:rsid w:val="00FA5CB8"/>
    <w:rsid w:val="00FA5DB2"/>
    <w:rsid w:val="00FA63D2"/>
    <w:rsid w:val="00FA6497"/>
    <w:rsid w:val="00FA6684"/>
    <w:rsid w:val="00FA67B1"/>
    <w:rsid w:val="00FA6936"/>
    <w:rsid w:val="00FA71B9"/>
    <w:rsid w:val="00FA73A3"/>
    <w:rsid w:val="00FA7554"/>
    <w:rsid w:val="00FA7574"/>
    <w:rsid w:val="00FA76D2"/>
    <w:rsid w:val="00FA777B"/>
    <w:rsid w:val="00FA7935"/>
    <w:rsid w:val="00FA7A3A"/>
    <w:rsid w:val="00FA7BEF"/>
    <w:rsid w:val="00FA7C59"/>
    <w:rsid w:val="00FA7CCC"/>
    <w:rsid w:val="00FB01C6"/>
    <w:rsid w:val="00FB0326"/>
    <w:rsid w:val="00FB084B"/>
    <w:rsid w:val="00FB0D30"/>
    <w:rsid w:val="00FB0E65"/>
    <w:rsid w:val="00FB11EE"/>
    <w:rsid w:val="00FB12BF"/>
    <w:rsid w:val="00FB1573"/>
    <w:rsid w:val="00FB18E1"/>
    <w:rsid w:val="00FB19C1"/>
    <w:rsid w:val="00FB1C61"/>
    <w:rsid w:val="00FB20C6"/>
    <w:rsid w:val="00FB2AAA"/>
    <w:rsid w:val="00FB2D6A"/>
    <w:rsid w:val="00FB3067"/>
    <w:rsid w:val="00FB3207"/>
    <w:rsid w:val="00FB3533"/>
    <w:rsid w:val="00FB3B45"/>
    <w:rsid w:val="00FB3B96"/>
    <w:rsid w:val="00FB3F61"/>
    <w:rsid w:val="00FB3FAF"/>
    <w:rsid w:val="00FB3FD6"/>
    <w:rsid w:val="00FB4211"/>
    <w:rsid w:val="00FB4230"/>
    <w:rsid w:val="00FB457F"/>
    <w:rsid w:val="00FB4716"/>
    <w:rsid w:val="00FB4AE6"/>
    <w:rsid w:val="00FB4BA9"/>
    <w:rsid w:val="00FB4C06"/>
    <w:rsid w:val="00FB4D2A"/>
    <w:rsid w:val="00FB4E47"/>
    <w:rsid w:val="00FB4F59"/>
    <w:rsid w:val="00FB4FB5"/>
    <w:rsid w:val="00FB55E4"/>
    <w:rsid w:val="00FB582D"/>
    <w:rsid w:val="00FB5955"/>
    <w:rsid w:val="00FB5FA3"/>
    <w:rsid w:val="00FB64E8"/>
    <w:rsid w:val="00FB6572"/>
    <w:rsid w:val="00FB67FD"/>
    <w:rsid w:val="00FB6DBF"/>
    <w:rsid w:val="00FB6E5E"/>
    <w:rsid w:val="00FB7506"/>
    <w:rsid w:val="00FB781B"/>
    <w:rsid w:val="00FB7C6D"/>
    <w:rsid w:val="00FB7F8F"/>
    <w:rsid w:val="00FB7FBA"/>
    <w:rsid w:val="00FC0111"/>
    <w:rsid w:val="00FC019C"/>
    <w:rsid w:val="00FC07E1"/>
    <w:rsid w:val="00FC0D92"/>
    <w:rsid w:val="00FC0E3C"/>
    <w:rsid w:val="00FC0E91"/>
    <w:rsid w:val="00FC1055"/>
    <w:rsid w:val="00FC1456"/>
    <w:rsid w:val="00FC1905"/>
    <w:rsid w:val="00FC1C82"/>
    <w:rsid w:val="00FC1F0D"/>
    <w:rsid w:val="00FC229D"/>
    <w:rsid w:val="00FC235F"/>
    <w:rsid w:val="00FC23CC"/>
    <w:rsid w:val="00FC2C2E"/>
    <w:rsid w:val="00FC34BB"/>
    <w:rsid w:val="00FC35ED"/>
    <w:rsid w:val="00FC3BE1"/>
    <w:rsid w:val="00FC3BEA"/>
    <w:rsid w:val="00FC3CF0"/>
    <w:rsid w:val="00FC3E83"/>
    <w:rsid w:val="00FC4160"/>
    <w:rsid w:val="00FC4190"/>
    <w:rsid w:val="00FC41DA"/>
    <w:rsid w:val="00FC42DE"/>
    <w:rsid w:val="00FC432F"/>
    <w:rsid w:val="00FC4405"/>
    <w:rsid w:val="00FC459F"/>
    <w:rsid w:val="00FC4602"/>
    <w:rsid w:val="00FC4668"/>
    <w:rsid w:val="00FC4D7A"/>
    <w:rsid w:val="00FC50CA"/>
    <w:rsid w:val="00FC523F"/>
    <w:rsid w:val="00FC5277"/>
    <w:rsid w:val="00FC53E2"/>
    <w:rsid w:val="00FC56CB"/>
    <w:rsid w:val="00FC57B8"/>
    <w:rsid w:val="00FC5B6C"/>
    <w:rsid w:val="00FC65BE"/>
    <w:rsid w:val="00FC65FD"/>
    <w:rsid w:val="00FC6DBC"/>
    <w:rsid w:val="00FC6F01"/>
    <w:rsid w:val="00FC6F89"/>
    <w:rsid w:val="00FC6FE3"/>
    <w:rsid w:val="00FC703A"/>
    <w:rsid w:val="00FC70D8"/>
    <w:rsid w:val="00FC71F6"/>
    <w:rsid w:val="00FC7526"/>
    <w:rsid w:val="00FC75AF"/>
    <w:rsid w:val="00FC7691"/>
    <w:rsid w:val="00FC77E2"/>
    <w:rsid w:val="00FC7AB7"/>
    <w:rsid w:val="00FD0171"/>
    <w:rsid w:val="00FD0224"/>
    <w:rsid w:val="00FD05EE"/>
    <w:rsid w:val="00FD0625"/>
    <w:rsid w:val="00FD066B"/>
    <w:rsid w:val="00FD074D"/>
    <w:rsid w:val="00FD0B6C"/>
    <w:rsid w:val="00FD0DC4"/>
    <w:rsid w:val="00FD0F4E"/>
    <w:rsid w:val="00FD0F93"/>
    <w:rsid w:val="00FD12F6"/>
    <w:rsid w:val="00FD1307"/>
    <w:rsid w:val="00FD1524"/>
    <w:rsid w:val="00FD1894"/>
    <w:rsid w:val="00FD18BA"/>
    <w:rsid w:val="00FD1E22"/>
    <w:rsid w:val="00FD1E7B"/>
    <w:rsid w:val="00FD2913"/>
    <w:rsid w:val="00FD29D3"/>
    <w:rsid w:val="00FD31DE"/>
    <w:rsid w:val="00FD3539"/>
    <w:rsid w:val="00FD3651"/>
    <w:rsid w:val="00FD3A87"/>
    <w:rsid w:val="00FD3D5B"/>
    <w:rsid w:val="00FD3D6F"/>
    <w:rsid w:val="00FD3F9C"/>
    <w:rsid w:val="00FD41F1"/>
    <w:rsid w:val="00FD42DC"/>
    <w:rsid w:val="00FD44A8"/>
    <w:rsid w:val="00FD475A"/>
    <w:rsid w:val="00FD481F"/>
    <w:rsid w:val="00FD4858"/>
    <w:rsid w:val="00FD49F3"/>
    <w:rsid w:val="00FD4A3E"/>
    <w:rsid w:val="00FD4D9F"/>
    <w:rsid w:val="00FD4F90"/>
    <w:rsid w:val="00FD4FDF"/>
    <w:rsid w:val="00FD514B"/>
    <w:rsid w:val="00FD51B7"/>
    <w:rsid w:val="00FD5712"/>
    <w:rsid w:val="00FD5D47"/>
    <w:rsid w:val="00FD5F44"/>
    <w:rsid w:val="00FD5FBE"/>
    <w:rsid w:val="00FD641B"/>
    <w:rsid w:val="00FD65C5"/>
    <w:rsid w:val="00FD6ED4"/>
    <w:rsid w:val="00FD71F6"/>
    <w:rsid w:val="00FD732D"/>
    <w:rsid w:val="00FD73BC"/>
    <w:rsid w:val="00FD7414"/>
    <w:rsid w:val="00FD7612"/>
    <w:rsid w:val="00FD76FF"/>
    <w:rsid w:val="00FD7765"/>
    <w:rsid w:val="00FD7BA4"/>
    <w:rsid w:val="00FD7D8B"/>
    <w:rsid w:val="00FE014C"/>
    <w:rsid w:val="00FE022A"/>
    <w:rsid w:val="00FE0591"/>
    <w:rsid w:val="00FE0598"/>
    <w:rsid w:val="00FE06D6"/>
    <w:rsid w:val="00FE1391"/>
    <w:rsid w:val="00FE147A"/>
    <w:rsid w:val="00FE1571"/>
    <w:rsid w:val="00FE15AB"/>
    <w:rsid w:val="00FE17D7"/>
    <w:rsid w:val="00FE1874"/>
    <w:rsid w:val="00FE195F"/>
    <w:rsid w:val="00FE1B6E"/>
    <w:rsid w:val="00FE1C25"/>
    <w:rsid w:val="00FE274A"/>
    <w:rsid w:val="00FE27CA"/>
    <w:rsid w:val="00FE281E"/>
    <w:rsid w:val="00FE28FE"/>
    <w:rsid w:val="00FE2C20"/>
    <w:rsid w:val="00FE30D1"/>
    <w:rsid w:val="00FE34E1"/>
    <w:rsid w:val="00FE3B34"/>
    <w:rsid w:val="00FE3BD6"/>
    <w:rsid w:val="00FE3DC1"/>
    <w:rsid w:val="00FE408D"/>
    <w:rsid w:val="00FE41F9"/>
    <w:rsid w:val="00FE47D6"/>
    <w:rsid w:val="00FE495C"/>
    <w:rsid w:val="00FE4967"/>
    <w:rsid w:val="00FE4AB1"/>
    <w:rsid w:val="00FE4CBB"/>
    <w:rsid w:val="00FE4D03"/>
    <w:rsid w:val="00FE4E9B"/>
    <w:rsid w:val="00FE54AC"/>
    <w:rsid w:val="00FE5852"/>
    <w:rsid w:val="00FE59F6"/>
    <w:rsid w:val="00FE5CF9"/>
    <w:rsid w:val="00FE63EF"/>
    <w:rsid w:val="00FE6816"/>
    <w:rsid w:val="00FE69E2"/>
    <w:rsid w:val="00FE6ACF"/>
    <w:rsid w:val="00FE6B46"/>
    <w:rsid w:val="00FE6E75"/>
    <w:rsid w:val="00FE6F47"/>
    <w:rsid w:val="00FE7611"/>
    <w:rsid w:val="00FE77BA"/>
    <w:rsid w:val="00FE7914"/>
    <w:rsid w:val="00FE7915"/>
    <w:rsid w:val="00FE7984"/>
    <w:rsid w:val="00FE7F34"/>
    <w:rsid w:val="00FF014B"/>
    <w:rsid w:val="00FF0504"/>
    <w:rsid w:val="00FF07EE"/>
    <w:rsid w:val="00FF0A39"/>
    <w:rsid w:val="00FF0AD2"/>
    <w:rsid w:val="00FF0B49"/>
    <w:rsid w:val="00FF0D98"/>
    <w:rsid w:val="00FF0E9D"/>
    <w:rsid w:val="00FF1C0E"/>
    <w:rsid w:val="00FF1D01"/>
    <w:rsid w:val="00FF1DAF"/>
    <w:rsid w:val="00FF1E98"/>
    <w:rsid w:val="00FF213D"/>
    <w:rsid w:val="00FF2392"/>
    <w:rsid w:val="00FF2768"/>
    <w:rsid w:val="00FF2E63"/>
    <w:rsid w:val="00FF2EB7"/>
    <w:rsid w:val="00FF3026"/>
    <w:rsid w:val="00FF31A6"/>
    <w:rsid w:val="00FF337A"/>
    <w:rsid w:val="00FF381D"/>
    <w:rsid w:val="00FF3B18"/>
    <w:rsid w:val="00FF3BCD"/>
    <w:rsid w:val="00FF3BD4"/>
    <w:rsid w:val="00FF400A"/>
    <w:rsid w:val="00FF4338"/>
    <w:rsid w:val="00FF457B"/>
    <w:rsid w:val="00FF4884"/>
    <w:rsid w:val="00FF4B5F"/>
    <w:rsid w:val="00FF4B99"/>
    <w:rsid w:val="00FF4EFC"/>
    <w:rsid w:val="00FF5127"/>
    <w:rsid w:val="00FF519E"/>
    <w:rsid w:val="00FF5559"/>
    <w:rsid w:val="00FF5707"/>
    <w:rsid w:val="00FF57C7"/>
    <w:rsid w:val="00FF6593"/>
    <w:rsid w:val="00FF668E"/>
    <w:rsid w:val="00FF6A6B"/>
    <w:rsid w:val="00FF6B7D"/>
    <w:rsid w:val="00FF6C2D"/>
    <w:rsid w:val="00FF6CCF"/>
    <w:rsid w:val="00FF6DA9"/>
    <w:rsid w:val="00FF6E90"/>
    <w:rsid w:val="00FF6EE8"/>
    <w:rsid w:val="00FF6FA1"/>
    <w:rsid w:val="00FF745B"/>
    <w:rsid w:val="00FF74AC"/>
    <w:rsid w:val="00FF7681"/>
    <w:rsid w:val="00FF7A17"/>
    <w:rsid w:val="00FF7BFE"/>
    <w:rsid w:val="00FF7C89"/>
    <w:rsid w:val="00FF7F9F"/>
    <w:rsid w:val="010A9FAF"/>
    <w:rsid w:val="01165DEC"/>
    <w:rsid w:val="012D5763"/>
    <w:rsid w:val="0134DD4C"/>
    <w:rsid w:val="0145833C"/>
    <w:rsid w:val="014816B9"/>
    <w:rsid w:val="0162C5FD"/>
    <w:rsid w:val="01682276"/>
    <w:rsid w:val="019CB35E"/>
    <w:rsid w:val="01AB1A0D"/>
    <w:rsid w:val="01D21C43"/>
    <w:rsid w:val="01D70CC8"/>
    <w:rsid w:val="01ED6DF6"/>
    <w:rsid w:val="01EFDE8A"/>
    <w:rsid w:val="021B7C69"/>
    <w:rsid w:val="021F78BA"/>
    <w:rsid w:val="0223AD6D"/>
    <w:rsid w:val="022FA68B"/>
    <w:rsid w:val="0237A919"/>
    <w:rsid w:val="0273B8C3"/>
    <w:rsid w:val="02751246"/>
    <w:rsid w:val="02A680B1"/>
    <w:rsid w:val="02A871F1"/>
    <w:rsid w:val="02B44D60"/>
    <w:rsid w:val="02C5BB41"/>
    <w:rsid w:val="02D05324"/>
    <w:rsid w:val="02E335D6"/>
    <w:rsid w:val="032BB871"/>
    <w:rsid w:val="037B8F7F"/>
    <w:rsid w:val="03D0E7E5"/>
    <w:rsid w:val="041572C8"/>
    <w:rsid w:val="0419DF90"/>
    <w:rsid w:val="042064BE"/>
    <w:rsid w:val="0469EA89"/>
    <w:rsid w:val="0477365B"/>
    <w:rsid w:val="047901A0"/>
    <w:rsid w:val="04D88A85"/>
    <w:rsid w:val="04DC5F7A"/>
    <w:rsid w:val="04E6C271"/>
    <w:rsid w:val="04F0B357"/>
    <w:rsid w:val="050B41B6"/>
    <w:rsid w:val="056EC8E4"/>
    <w:rsid w:val="05949124"/>
    <w:rsid w:val="05BD10E8"/>
    <w:rsid w:val="05D95214"/>
    <w:rsid w:val="06233206"/>
    <w:rsid w:val="064322A1"/>
    <w:rsid w:val="064693E1"/>
    <w:rsid w:val="06878C7A"/>
    <w:rsid w:val="0692B114"/>
    <w:rsid w:val="06A2866F"/>
    <w:rsid w:val="06CEF33D"/>
    <w:rsid w:val="06CF307D"/>
    <w:rsid w:val="06E132B3"/>
    <w:rsid w:val="06E93860"/>
    <w:rsid w:val="07160C2A"/>
    <w:rsid w:val="07161D58"/>
    <w:rsid w:val="075BB8D5"/>
    <w:rsid w:val="0778935E"/>
    <w:rsid w:val="07BEAB16"/>
    <w:rsid w:val="07C12A31"/>
    <w:rsid w:val="07CA19A5"/>
    <w:rsid w:val="07F896D0"/>
    <w:rsid w:val="084383A8"/>
    <w:rsid w:val="0853E702"/>
    <w:rsid w:val="087D5769"/>
    <w:rsid w:val="08952DE7"/>
    <w:rsid w:val="08B81B52"/>
    <w:rsid w:val="08C7CC86"/>
    <w:rsid w:val="08E95C1E"/>
    <w:rsid w:val="08EB70DA"/>
    <w:rsid w:val="0922BF24"/>
    <w:rsid w:val="09394777"/>
    <w:rsid w:val="09417DDF"/>
    <w:rsid w:val="0942F227"/>
    <w:rsid w:val="095FE5B2"/>
    <w:rsid w:val="097B7EBA"/>
    <w:rsid w:val="0989D840"/>
    <w:rsid w:val="098B5600"/>
    <w:rsid w:val="09918C4D"/>
    <w:rsid w:val="09D689D9"/>
    <w:rsid w:val="09DD2FBC"/>
    <w:rsid w:val="09F553B7"/>
    <w:rsid w:val="0A04CAFC"/>
    <w:rsid w:val="0A0A490A"/>
    <w:rsid w:val="0A0E07E0"/>
    <w:rsid w:val="0A149324"/>
    <w:rsid w:val="0A2398AC"/>
    <w:rsid w:val="0A28E4A1"/>
    <w:rsid w:val="0A49B00A"/>
    <w:rsid w:val="0A83D679"/>
    <w:rsid w:val="0A8FB66F"/>
    <w:rsid w:val="0A9A72EC"/>
    <w:rsid w:val="0AB941E4"/>
    <w:rsid w:val="0AD8A233"/>
    <w:rsid w:val="0AFEC8EA"/>
    <w:rsid w:val="0B07C9FD"/>
    <w:rsid w:val="0B3BBA7F"/>
    <w:rsid w:val="0B52CAF6"/>
    <w:rsid w:val="0B8D3E5C"/>
    <w:rsid w:val="0BA1085E"/>
    <w:rsid w:val="0BA50C44"/>
    <w:rsid w:val="0BCA03EB"/>
    <w:rsid w:val="0BCD3686"/>
    <w:rsid w:val="0BED6A73"/>
    <w:rsid w:val="0BEE577F"/>
    <w:rsid w:val="0C3BFAB0"/>
    <w:rsid w:val="0C56A49D"/>
    <w:rsid w:val="0C6E9618"/>
    <w:rsid w:val="0C984ED9"/>
    <w:rsid w:val="0CB62952"/>
    <w:rsid w:val="0CD6C381"/>
    <w:rsid w:val="0D0B5D09"/>
    <w:rsid w:val="0D1EDC5C"/>
    <w:rsid w:val="0D2C8040"/>
    <w:rsid w:val="0D379B23"/>
    <w:rsid w:val="0D3F5F36"/>
    <w:rsid w:val="0D6D3294"/>
    <w:rsid w:val="0D76C808"/>
    <w:rsid w:val="0D943642"/>
    <w:rsid w:val="0DCC7CA0"/>
    <w:rsid w:val="0DE613B0"/>
    <w:rsid w:val="0E2D65D3"/>
    <w:rsid w:val="0E5A8D97"/>
    <w:rsid w:val="0E6208EE"/>
    <w:rsid w:val="0E670AD7"/>
    <w:rsid w:val="0E6AEC50"/>
    <w:rsid w:val="0E888BDC"/>
    <w:rsid w:val="0E8C5547"/>
    <w:rsid w:val="0ECBED89"/>
    <w:rsid w:val="0F546FC7"/>
    <w:rsid w:val="0F6A8896"/>
    <w:rsid w:val="0F7D5E78"/>
    <w:rsid w:val="0F8396A5"/>
    <w:rsid w:val="0FA58A77"/>
    <w:rsid w:val="0FAE0AD7"/>
    <w:rsid w:val="0FB04589"/>
    <w:rsid w:val="10035A7B"/>
    <w:rsid w:val="101BEAE9"/>
    <w:rsid w:val="102825A8"/>
    <w:rsid w:val="102D9AF7"/>
    <w:rsid w:val="10334E2B"/>
    <w:rsid w:val="10345157"/>
    <w:rsid w:val="10481C02"/>
    <w:rsid w:val="10734F16"/>
    <w:rsid w:val="10762DCE"/>
    <w:rsid w:val="10C5DB9A"/>
    <w:rsid w:val="10C9F021"/>
    <w:rsid w:val="10F417DF"/>
    <w:rsid w:val="10FA4CB8"/>
    <w:rsid w:val="10FDA60A"/>
    <w:rsid w:val="113CCAB6"/>
    <w:rsid w:val="1149CE5B"/>
    <w:rsid w:val="114A473E"/>
    <w:rsid w:val="114E4526"/>
    <w:rsid w:val="11650A2B"/>
    <w:rsid w:val="117D3D65"/>
    <w:rsid w:val="1199E892"/>
    <w:rsid w:val="11A1A2BE"/>
    <w:rsid w:val="11A74849"/>
    <w:rsid w:val="11B112D7"/>
    <w:rsid w:val="11DC130F"/>
    <w:rsid w:val="11F6091B"/>
    <w:rsid w:val="11F74205"/>
    <w:rsid w:val="1244AF13"/>
    <w:rsid w:val="125656F4"/>
    <w:rsid w:val="125B9A57"/>
    <w:rsid w:val="12854994"/>
    <w:rsid w:val="12986752"/>
    <w:rsid w:val="12A7FE06"/>
    <w:rsid w:val="12AE4A0A"/>
    <w:rsid w:val="13001B84"/>
    <w:rsid w:val="13064368"/>
    <w:rsid w:val="131707BA"/>
    <w:rsid w:val="131C09CC"/>
    <w:rsid w:val="13308616"/>
    <w:rsid w:val="13463F96"/>
    <w:rsid w:val="136DF629"/>
    <w:rsid w:val="136F520D"/>
    <w:rsid w:val="136FB41D"/>
    <w:rsid w:val="138EB02A"/>
    <w:rsid w:val="139B6E43"/>
    <w:rsid w:val="13D099C6"/>
    <w:rsid w:val="14013C8B"/>
    <w:rsid w:val="140380C6"/>
    <w:rsid w:val="1419D058"/>
    <w:rsid w:val="1420E4C5"/>
    <w:rsid w:val="142DEA38"/>
    <w:rsid w:val="142EDBE5"/>
    <w:rsid w:val="143A59B4"/>
    <w:rsid w:val="143E8243"/>
    <w:rsid w:val="144A75D6"/>
    <w:rsid w:val="14F7A37F"/>
    <w:rsid w:val="1506C19B"/>
    <w:rsid w:val="151DF70F"/>
    <w:rsid w:val="15589AA4"/>
    <w:rsid w:val="15776BF1"/>
    <w:rsid w:val="1585843C"/>
    <w:rsid w:val="158D3E56"/>
    <w:rsid w:val="158DEEE7"/>
    <w:rsid w:val="159283FF"/>
    <w:rsid w:val="159BD651"/>
    <w:rsid w:val="159D9932"/>
    <w:rsid w:val="15A75D7C"/>
    <w:rsid w:val="15B3438E"/>
    <w:rsid w:val="15CFAC23"/>
    <w:rsid w:val="15E0CAE0"/>
    <w:rsid w:val="15E50A23"/>
    <w:rsid w:val="15E80C08"/>
    <w:rsid w:val="15FB4F11"/>
    <w:rsid w:val="15FFD180"/>
    <w:rsid w:val="16558A9C"/>
    <w:rsid w:val="1659C768"/>
    <w:rsid w:val="16634439"/>
    <w:rsid w:val="16701360"/>
    <w:rsid w:val="16AEC259"/>
    <w:rsid w:val="16D355DB"/>
    <w:rsid w:val="16E17DC1"/>
    <w:rsid w:val="16FAFD3A"/>
    <w:rsid w:val="16FDB65D"/>
    <w:rsid w:val="170B6FE1"/>
    <w:rsid w:val="1713D12D"/>
    <w:rsid w:val="17739725"/>
    <w:rsid w:val="17810872"/>
    <w:rsid w:val="17C0F2EA"/>
    <w:rsid w:val="17D067E0"/>
    <w:rsid w:val="17DB1220"/>
    <w:rsid w:val="17DC3094"/>
    <w:rsid w:val="180DB085"/>
    <w:rsid w:val="180F2189"/>
    <w:rsid w:val="1848B6AF"/>
    <w:rsid w:val="187509AA"/>
    <w:rsid w:val="1878E58F"/>
    <w:rsid w:val="189474E2"/>
    <w:rsid w:val="18C31B2E"/>
    <w:rsid w:val="18CE672E"/>
    <w:rsid w:val="190A828A"/>
    <w:rsid w:val="1916EAF1"/>
    <w:rsid w:val="1922285B"/>
    <w:rsid w:val="198E93B2"/>
    <w:rsid w:val="199314AA"/>
    <w:rsid w:val="199430D9"/>
    <w:rsid w:val="199C38A1"/>
    <w:rsid w:val="19CA379A"/>
    <w:rsid w:val="19DC5825"/>
    <w:rsid w:val="19DFCC7E"/>
    <w:rsid w:val="19FC8015"/>
    <w:rsid w:val="1A2CFF01"/>
    <w:rsid w:val="1A5E432C"/>
    <w:rsid w:val="1A90B016"/>
    <w:rsid w:val="1A932036"/>
    <w:rsid w:val="1AC97DA3"/>
    <w:rsid w:val="1ACF2D25"/>
    <w:rsid w:val="1AD273AD"/>
    <w:rsid w:val="1AE81B98"/>
    <w:rsid w:val="1B1921F9"/>
    <w:rsid w:val="1B1C3C30"/>
    <w:rsid w:val="1B1CCC74"/>
    <w:rsid w:val="1B2E2F17"/>
    <w:rsid w:val="1B75EAF4"/>
    <w:rsid w:val="1B9E6B3E"/>
    <w:rsid w:val="1B9F1F7B"/>
    <w:rsid w:val="1BC8CF62"/>
    <w:rsid w:val="1BEFCE5B"/>
    <w:rsid w:val="1C03B193"/>
    <w:rsid w:val="1C1021E7"/>
    <w:rsid w:val="1C48E955"/>
    <w:rsid w:val="1CC8CE55"/>
    <w:rsid w:val="1CF743C7"/>
    <w:rsid w:val="1D6B2358"/>
    <w:rsid w:val="1D703F7E"/>
    <w:rsid w:val="1D72B9EC"/>
    <w:rsid w:val="1D9C3F39"/>
    <w:rsid w:val="1DA1722A"/>
    <w:rsid w:val="1DBF733A"/>
    <w:rsid w:val="1DF909E2"/>
    <w:rsid w:val="1E0F1186"/>
    <w:rsid w:val="1E10B02A"/>
    <w:rsid w:val="1E278EE1"/>
    <w:rsid w:val="1E29C842"/>
    <w:rsid w:val="1E50D28A"/>
    <w:rsid w:val="1E7A8881"/>
    <w:rsid w:val="1EAB39ED"/>
    <w:rsid w:val="1EF3C17A"/>
    <w:rsid w:val="1F0CDA4A"/>
    <w:rsid w:val="1F348E8A"/>
    <w:rsid w:val="1F36F014"/>
    <w:rsid w:val="1F619F32"/>
    <w:rsid w:val="1F7C4C76"/>
    <w:rsid w:val="1F7E307E"/>
    <w:rsid w:val="1F9CDDB0"/>
    <w:rsid w:val="1FA936DA"/>
    <w:rsid w:val="1FDCADC9"/>
    <w:rsid w:val="2043E7FE"/>
    <w:rsid w:val="20552DEB"/>
    <w:rsid w:val="20908DD6"/>
    <w:rsid w:val="20910A36"/>
    <w:rsid w:val="20A39270"/>
    <w:rsid w:val="20E4F27A"/>
    <w:rsid w:val="2102685D"/>
    <w:rsid w:val="2117EFDD"/>
    <w:rsid w:val="2149E683"/>
    <w:rsid w:val="214C1A32"/>
    <w:rsid w:val="2151F5A4"/>
    <w:rsid w:val="21AA0C7F"/>
    <w:rsid w:val="21AB53BB"/>
    <w:rsid w:val="21AD3337"/>
    <w:rsid w:val="21B30A1D"/>
    <w:rsid w:val="21BFA180"/>
    <w:rsid w:val="21C309DA"/>
    <w:rsid w:val="21DA68DB"/>
    <w:rsid w:val="21DF5DC2"/>
    <w:rsid w:val="22090F29"/>
    <w:rsid w:val="2217BD0B"/>
    <w:rsid w:val="223859DA"/>
    <w:rsid w:val="224CBA23"/>
    <w:rsid w:val="22547CD7"/>
    <w:rsid w:val="2256D11C"/>
    <w:rsid w:val="2282732B"/>
    <w:rsid w:val="22873ACE"/>
    <w:rsid w:val="228D6313"/>
    <w:rsid w:val="229D187E"/>
    <w:rsid w:val="22BEBCBB"/>
    <w:rsid w:val="22D2DC0C"/>
    <w:rsid w:val="2306BFB8"/>
    <w:rsid w:val="2314A3BA"/>
    <w:rsid w:val="233CFAB5"/>
    <w:rsid w:val="233FAA64"/>
    <w:rsid w:val="235093C3"/>
    <w:rsid w:val="235C9793"/>
    <w:rsid w:val="236D4CE7"/>
    <w:rsid w:val="2372E535"/>
    <w:rsid w:val="237A6AC3"/>
    <w:rsid w:val="239B5C3A"/>
    <w:rsid w:val="23A5A584"/>
    <w:rsid w:val="23B610AC"/>
    <w:rsid w:val="23B74542"/>
    <w:rsid w:val="23D95B13"/>
    <w:rsid w:val="240C7BAF"/>
    <w:rsid w:val="242C6FA9"/>
    <w:rsid w:val="2444A99D"/>
    <w:rsid w:val="24A06A60"/>
    <w:rsid w:val="24A8E4E1"/>
    <w:rsid w:val="24B38BB6"/>
    <w:rsid w:val="24BCE855"/>
    <w:rsid w:val="24D63011"/>
    <w:rsid w:val="24F8825B"/>
    <w:rsid w:val="2507A45C"/>
    <w:rsid w:val="253581F3"/>
    <w:rsid w:val="256416CF"/>
    <w:rsid w:val="25B8B993"/>
    <w:rsid w:val="25D2D344"/>
    <w:rsid w:val="25DD6A11"/>
    <w:rsid w:val="260431F2"/>
    <w:rsid w:val="261F8499"/>
    <w:rsid w:val="2656F63E"/>
    <w:rsid w:val="2662A0FA"/>
    <w:rsid w:val="2672801D"/>
    <w:rsid w:val="2686A7C4"/>
    <w:rsid w:val="26888558"/>
    <w:rsid w:val="269C2D1C"/>
    <w:rsid w:val="26BE69AF"/>
    <w:rsid w:val="26ED1A9D"/>
    <w:rsid w:val="270F3044"/>
    <w:rsid w:val="272A505D"/>
    <w:rsid w:val="273C6C5E"/>
    <w:rsid w:val="27413B94"/>
    <w:rsid w:val="2750DB21"/>
    <w:rsid w:val="277218F3"/>
    <w:rsid w:val="27D134ED"/>
    <w:rsid w:val="27F11228"/>
    <w:rsid w:val="27F76D24"/>
    <w:rsid w:val="280DD427"/>
    <w:rsid w:val="2810302F"/>
    <w:rsid w:val="28157CC0"/>
    <w:rsid w:val="28174E29"/>
    <w:rsid w:val="28245F03"/>
    <w:rsid w:val="2843156D"/>
    <w:rsid w:val="286010E8"/>
    <w:rsid w:val="2885B897"/>
    <w:rsid w:val="28AD7E20"/>
    <w:rsid w:val="28BDCF1B"/>
    <w:rsid w:val="28D4A28F"/>
    <w:rsid w:val="28D9EFD8"/>
    <w:rsid w:val="28E162E4"/>
    <w:rsid w:val="28F686D0"/>
    <w:rsid w:val="29319C6F"/>
    <w:rsid w:val="29652E36"/>
    <w:rsid w:val="297DEF19"/>
    <w:rsid w:val="29957181"/>
    <w:rsid w:val="29CA6377"/>
    <w:rsid w:val="29DC4F6C"/>
    <w:rsid w:val="2A027EB2"/>
    <w:rsid w:val="2A050529"/>
    <w:rsid w:val="2A1DE58A"/>
    <w:rsid w:val="2A3D4381"/>
    <w:rsid w:val="2A42026C"/>
    <w:rsid w:val="2A5B1A9F"/>
    <w:rsid w:val="2AA34D6C"/>
    <w:rsid w:val="2AAA3950"/>
    <w:rsid w:val="2AB0838E"/>
    <w:rsid w:val="2ABD9851"/>
    <w:rsid w:val="2AE74594"/>
    <w:rsid w:val="2B3B7761"/>
    <w:rsid w:val="2B56B2AA"/>
    <w:rsid w:val="2B675529"/>
    <w:rsid w:val="2B68F375"/>
    <w:rsid w:val="2B73E932"/>
    <w:rsid w:val="2BCFB093"/>
    <w:rsid w:val="2C1FE4A7"/>
    <w:rsid w:val="2C33C2C1"/>
    <w:rsid w:val="2C361952"/>
    <w:rsid w:val="2C3FEF20"/>
    <w:rsid w:val="2C6B2BDC"/>
    <w:rsid w:val="2C70DA79"/>
    <w:rsid w:val="2C72BF2B"/>
    <w:rsid w:val="2C97D54E"/>
    <w:rsid w:val="2CB3FAF5"/>
    <w:rsid w:val="2CB5BC91"/>
    <w:rsid w:val="2CC8F987"/>
    <w:rsid w:val="2CD163D3"/>
    <w:rsid w:val="2D038763"/>
    <w:rsid w:val="2D1A3521"/>
    <w:rsid w:val="2D300B67"/>
    <w:rsid w:val="2D5C6525"/>
    <w:rsid w:val="2D6F567A"/>
    <w:rsid w:val="2D739C68"/>
    <w:rsid w:val="2D744950"/>
    <w:rsid w:val="2D93AE68"/>
    <w:rsid w:val="2D9E52C7"/>
    <w:rsid w:val="2DC9ADA2"/>
    <w:rsid w:val="2DD25682"/>
    <w:rsid w:val="2DD6D149"/>
    <w:rsid w:val="2DF22C2A"/>
    <w:rsid w:val="2DF9BC04"/>
    <w:rsid w:val="2E0E8F8C"/>
    <w:rsid w:val="2E191E96"/>
    <w:rsid w:val="2E413B32"/>
    <w:rsid w:val="2E63A37E"/>
    <w:rsid w:val="2E706B61"/>
    <w:rsid w:val="2E7C69D4"/>
    <w:rsid w:val="2E7CFED0"/>
    <w:rsid w:val="2E8334B9"/>
    <w:rsid w:val="2E85B62E"/>
    <w:rsid w:val="2EA32C66"/>
    <w:rsid w:val="2EAB181A"/>
    <w:rsid w:val="2EB53909"/>
    <w:rsid w:val="2EB5A2FF"/>
    <w:rsid w:val="2EB87948"/>
    <w:rsid w:val="2EF90CF3"/>
    <w:rsid w:val="2F176113"/>
    <w:rsid w:val="2F25A973"/>
    <w:rsid w:val="2F38D6D4"/>
    <w:rsid w:val="2F57C3FD"/>
    <w:rsid w:val="2F6C6C40"/>
    <w:rsid w:val="2F73AEF0"/>
    <w:rsid w:val="2F7DFDFE"/>
    <w:rsid w:val="2F81965E"/>
    <w:rsid w:val="2F921170"/>
    <w:rsid w:val="2FB368BF"/>
    <w:rsid w:val="2FF01C79"/>
    <w:rsid w:val="30124077"/>
    <w:rsid w:val="3023C1BF"/>
    <w:rsid w:val="30275DC6"/>
    <w:rsid w:val="302F5C80"/>
    <w:rsid w:val="303C1EEE"/>
    <w:rsid w:val="305CB7EF"/>
    <w:rsid w:val="306399C7"/>
    <w:rsid w:val="30B69EA9"/>
    <w:rsid w:val="30B80389"/>
    <w:rsid w:val="30BB1FB6"/>
    <w:rsid w:val="30FDF0FF"/>
    <w:rsid w:val="3106F9A3"/>
    <w:rsid w:val="310DD77C"/>
    <w:rsid w:val="311F98CC"/>
    <w:rsid w:val="31413F78"/>
    <w:rsid w:val="3146304E"/>
    <w:rsid w:val="3147B474"/>
    <w:rsid w:val="31681C2B"/>
    <w:rsid w:val="316E7642"/>
    <w:rsid w:val="319A87C0"/>
    <w:rsid w:val="319E3525"/>
    <w:rsid w:val="31B31C78"/>
    <w:rsid w:val="31D73BA2"/>
    <w:rsid w:val="31F62A96"/>
    <w:rsid w:val="31FB57F8"/>
    <w:rsid w:val="321C3CE7"/>
    <w:rsid w:val="3221DC8D"/>
    <w:rsid w:val="32265BCB"/>
    <w:rsid w:val="323090A3"/>
    <w:rsid w:val="325B4DE1"/>
    <w:rsid w:val="325E6C21"/>
    <w:rsid w:val="3260C0CF"/>
    <w:rsid w:val="3262D457"/>
    <w:rsid w:val="32EF544F"/>
    <w:rsid w:val="330D7819"/>
    <w:rsid w:val="33209B0A"/>
    <w:rsid w:val="332E52FB"/>
    <w:rsid w:val="332FE238"/>
    <w:rsid w:val="33348706"/>
    <w:rsid w:val="33354E35"/>
    <w:rsid w:val="334CE08A"/>
    <w:rsid w:val="3379EE9C"/>
    <w:rsid w:val="339D8AD8"/>
    <w:rsid w:val="339F2BB7"/>
    <w:rsid w:val="33B8A90D"/>
    <w:rsid w:val="33BF8237"/>
    <w:rsid w:val="34199236"/>
    <w:rsid w:val="345012FC"/>
    <w:rsid w:val="3484D41F"/>
    <w:rsid w:val="348BB935"/>
    <w:rsid w:val="34C053F4"/>
    <w:rsid w:val="35292C75"/>
    <w:rsid w:val="3538C702"/>
    <w:rsid w:val="3544FD83"/>
    <w:rsid w:val="356B3820"/>
    <w:rsid w:val="35810E3D"/>
    <w:rsid w:val="35A723CE"/>
    <w:rsid w:val="35E16A0E"/>
    <w:rsid w:val="35E43245"/>
    <w:rsid w:val="363FB644"/>
    <w:rsid w:val="365FE38F"/>
    <w:rsid w:val="366A55CC"/>
    <w:rsid w:val="36705418"/>
    <w:rsid w:val="368F5F84"/>
    <w:rsid w:val="3691FEA0"/>
    <w:rsid w:val="369EF11A"/>
    <w:rsid w:val="36A198C6"/>
    <w:rsid w:val="36A29968"/>
    <w:rsid w:val="36A367D1"/>
    <w:rsid w:val="36A774F4"/>
    <w:rsid w:val="36B7FC80"/>
    <w:rsid w:val="36BD326D"/>
    <w:rsid w:val="36DAED75"/>
    <w:rsid w:val="3703DA00"/>
    <w:rsid w:val="37382284"/>
    <w:rsid w:val="37551247"/>
    <w:rsid w:val="37587256"/>
    <w:rsid w:val="37637B43"/>
    <w:rsid w:val="377B17AA"/>
    <w:rsid w:val="3780B948"/>
    <w:rsid w:val="37842DD2"/>
    <w:rsid w:val="37889AD6"/>
    <w:rsid w:val="37896067"/>
    <w:rsid w:val="378E7B7B"/>
    <w:rsid w:val="37A90BBE"/>
    <w:rsid w:val="37B95544"/>
    <w:rsid w:val="37DC153E"/>
    <w:rsid w:val="37E7C34D"/>
    <w:rsid w:val="38160C18"/>
    <w:rsid w:val="38191FD2"/>
    <w:rsid w:val="382C42DB"/>
    <w:rsid w:val="383E69C9"/>
    <w:rsid w:val="384A7010"/>
    <w:rsid w:val="3859F00E"/>
    <w:rsid w:val="385FB5F8"/>
    <w:rsid w:val="386D9B7E"/>
    <w:rsid w:val="38709144"/>
    <w:rsid w:val="388C5D23"/>
    <w:rsid w:val="3895CDFA"/>
    <w:rsid w:val="38A52557"/>
    <w:rsid w:val="38C185C0"/>
    <w:rsid w:val="38C29A62"/>
    <w:rsid w:val="38D45C28"/>
    <w:rsid w:val="38F470AF"/>
    <w:rsid w:val="3902DABC"/>
    <w:rsid w:val="3904A323"/>
    <w:rsid w:val="393B25EA"/>
    <w:rsid w:val="396758B4"/>
    <w:rsid w:val="3980F530"/>
    <w:rsid w:val="39A11EE6"/>
    <w:rsid w:val="39F0B1D7"/>
    <w:rsid w:val="39FF9E9C"/>
    <w:rsid w:val="3A0413D2"/>
    <w:rsid w:val="3A1D917F"/>
    <w:rsid w:val="3A213173"/>
    <w:rsid w:val="3A3C0E9E"/>
    <w:rsid w:val="3A528D82"/>
    <w:rsid w:val="3A63DB24"/>
    <w:rsid w:val="3A668521"/>
    <w:rsid w:val="3A6884A6"/>
    <w:rsid w:val="3A74FD66"/>
    <w:rsid w:val="3A8D3F9A"/>
    <w:rsid w:val="3A9B9101"/>
    <w:rsid w:val="3AA797DB"/>
    <w:rsid w:val="3AAE30AA"/>
    <w:rsid w:val="3AB7B459"/>
    <w:rsid w:val="3ABCF7AB"/>
    <w:rsid w:val="3AC11C55"/>
    <w:rsid w:val="3B2EF856"/>
    <w:rsid w:val="3B2FCD9C"/>
    <w:rsid w:val="3B35080D"/>
    <w:rsid w:val="3B3773B8"/>
    <w:rsid w:val="3B3E5A5B"/>
    <w:rsid w:val="3B4C8C84"/>
    <w:rsid w:val="3B6149E8"/>
    <w:rsid w:val="3B638639"/>
    <w:rsid w:val="3B9AF80A"/>
    <w:rsid w:val="3BB07B3F"/>
    <w:rsid w:val="3BC7A7CF"/>
    <w:rsid w:val="3BC7B307"/>
    <w:rsid w:val="3BE854E8"/>
    <w:rsid w:val="3C0E0EF9"/>
    <w:rsid w:val="3C1E67E5"/>
    <w:rsid w:val="3C33016B"/>
    <w:rsid w:val="3C34AD3B"/>
    <w:rsid w:val="3C370FE3"/>
    <w:rsid w:val="3C3F1E13"/>
    <w:rsid w:val="3C5C26BD"/>
    <w:rsid w:val="3C8FF73F"/>
    <w:rsid w:val="3CC06EF3"/>
    <w:rsid w:val="3D013B36"/>
    <w:rsid w:val="3D2AFC16"/>
    <w:rsid w:val="3D489884"/>
    <w:rsid w:val="3D6A5E93"/>
    <w:rsid w:val="3D6B6FF1"/>
    <w:rsid w:val="3D75EFE8"/>
    <w:rsid w:val="3DA33978"/>
    <w:rsid w:val="3DCCFFD0"/>
    <w:rsid w:val="3DD9020E"/>
    <w:rsid w:val="3DE2B752"/>
    <w:rsid w:val="3DE487FC"/>
    <w:rsid w:val="3DF00E31"/>
    <w:rsid w:val="3E02282B"/>
    <w:rsid w:val="3E268915"/>
    <w:rsid w:val="3E2DE746"/>
    <w:rsid w:val="3E4AC006"/>
    <w:rsid w:val="3E6491D7"/>
    <w:rsid w:val="3E66AB69"/>
    <w:rsid w:val="3E83EA3D"/>
    <w:rsid w:val="3E999E48"/>
    <w:rsid w:val="3E99A140"/>
    <w:rsid w:val="3EA38705"/>
    <w:rsid w:val="3EB73D4E"/>
    <w:rsid w:val="3EE468E5"/>
    <w:rsid w:val="3EFB719C"/>
    <w:rsid w:val="3F14CC27"/>
    <w:rsid w:val="3F2C9E3B"/>
    <w:rsid w:val="3F4CEC25"/>
    <w:rsid w:val="3F53EEDB"/>
    <w:rsid w:val="3F5760F4"/>
    <w:rsid w:val="3F675EA7"/>
    <w:rsid w:val="3F6D8189"/>
    <w:rsid w:val="3FBD7F54"/>
    <w:rsid w:val="3FC0C7CB"/>
    <w:rsid w:val="3FC224D5"/>
    <w:rsid w:val="3FECB2E6"/>
    <w:rsid w:val="40259A19"/>
    <w:rsid w:val="40341A01"/>
    <w:rsid w:val="40457D71"/>
    <w:rsid w:val="40505EC7"/>
    <w:rsid w:val="406FE733"/>
    <w:rsid w:val="40706681"/>
    <w:rsid w:val="407DBC63"/>
    <w:rsid w:val="408E2FD8"/>
    <w:rsid w:val="40E2CC30"/>
    <w:rsid w:val="41175EE2"/>
    <w:rsid w:val="41626BD6"/>
    <w:rsid w:val="417AD9BB"/>
    <w:rsid w:val="4187BC42"/>
    <w:rsid w:val="419E2A81"/>
    <w:rsid w:val="41A8958E"/>
    <w:rsid w:val="41E2D7F0"/>
    <w:rsid w:val="41F15ADC"/>
    <w:rsid w:val="41F3791D"/>
    <w:rsid w:val="421837BD"/>
    <w:rsid w:val="421EA031"/>
    <w:rsid w:val="4236148B"/>
    <w:rsid w:val="42401C21"/>
    <w:rsid w:val="42A792A0"/>
    <w:rsid w:val="42C6B00E"/>
    <w:rsid w:val="42D38882"/>
    <w:rsid w:val="431EE0DB"/>
    <w:rsid w:val="4349702C"/>
    <w:rsid w:val="4355C381"/>
    <w:rsid w:val="4358B185"/>
    <w:rsid w:val="438EBB08"/>
    <w:rsid w:val="439C4B62"/>
    <w:rsid w:val="43A6C2D9"/>
    <w:rsid w:val="43BD325A"/>
    <w:rsid w:val="43E0337C"/>
    <w:rsid w:val="43F02E9A"/>
    <w:rsid w:val="43F04AE8"/>
    <w:rsid w:val="43F15ABA"/>
    <w:rsid w:val="43F69854"/>
    <w:rsid w:val="444EF952"/>
    <w:rsid w:val="445F9F87"/>
    <w:rsid w:val="44715C06"/>
    <w:rsid w:val="44847EDC"/>
    <w:rsid w:val="4497192E"/>
    <w:rsid w:val="44B059CB"/>
    <w:rsid w:val="44BEA0CB"/>
    <w:rsid w:val="44CA06C2"/>
    <w:rsid w:val="44F14022"/>
    <w:rsid w:val="44F2EA15"/>
    <w:rsid w:val="44F7A78A"/>
    <w:rsid w:val="4514318D"/>
    <w:rsid w:val="45462DB7"/>
    <w:rsid w:val="45700562"/>
    <w:rsid w:val="4579C3A1"/>
    <w:rsid w:val="457A99E7"/>
    <w:rsid w:val="460034A5"/>
    <w:rsid w:val="4623901D"/>
    <w:rsid w:val="46571EEA"/>
    <w:rsid w:val="467271DA"/>
    <w:rsid w:val="46838797"/>
    <w:rsid w:val="468ACB37"/>
    <w:rsid w:val="46974716"/>
    <w:rsid w:val="46D60A18"/>
    <w:rsid w:val="46F21154"/>
    <w:rsid w:val="470985AF"/>
    <w:rsid w:val="470ADF28"/>
    <w:rsid w:val="4725F62E"/>
    <w:rsid w:val="4727B23B"/>
    <w:rsid w:val="4730770F"/>
    <w:rsid w:val="473D8054"/>
    <w:rsid w:val="4744D0D6"/>
    <w:rsid w:val="475FA374"/>
    <w:rsid w:val="478417B7"/>
    <w:rsid w:val="47ABDD47"/>
    <w:rsid w:val="47C3B949"/>
    <w:rsid w:val="47D635B4"/>
    <w:rsid w:val="47E94D8B"/>
    <w:rsid w:val="47EA00A6"/>
    <w:rsid w:val="47F8225B"/>
    <w:rsid w:val="47F94033"/>
    <w:rsid w:val="480DB9D1"/>
    <w:rsid w:val="48515C47"/>
    <w:rsid w:val="4873CD87"/>
    <w:rsid w:val="4893D54F"/>
    <w:rsid w:val="4896F3D3"/>
    <w:rsid w:val="48C7AB4D"/>
    <w:rsid w:val="48D782F0"/>
    <w:rsid w:val="48E0590C"/>
    <w:rsid w:val="48F8084B"/>
    <w:rsid w:val="490C4646"/>
    <w:rsid w:val="492ED74C"/>
    <w:rsid w:val="4930E6DF"/>
    <w:rsid w:val="4933B98F"/>
    <w:rsid w:val="493D2F4C"/>
    <w:rsid w:val="49701A81"/>
    <w:rsid w:val="49872AED"/>
    <w:rsid w:val="49ABBAC6"/>
    <w:rsid w:val="49B9949A"/>
    <w:rsid w:val="49EE17BD"/>
    <w:rsid w:val="49F2D80E"/>
    <w:rsid w:val="4A067CA5"/>
    <w:rsid w:val="4A1B5B59"/>
    <w:rsid w:val="4A23A348"/>
    <w:rsid w:val="4A2890B9"/>
    <w:rsid w:val="4A388DC4"/>
    <w:rsid w:val="4A59A93C"/>
    <w:rsid w:val="4A60B83A"/>
    <w:rsid w:val="4A633C1C"/>
    <w:rsid w:val="4A845B57"/>
    <w:rsid w:val="4A8F050A"/>
    <w:rsid w:val="4AAD2A96"/>
    <w:rsid w:val="4ACD7675"/>
    <w:rsid w:val="4AF23053"/>
    <w:rsid w:val="4B228E0D"/>
    <w:rsid w:val="4B3C646D"/>
    <w:rsid w:val="4B56E702"/>
    <w:rsid w:val="4B59D848"/>
    <w:rsid w:val="4BA241BA"/>
    <w:rsid w:val="4BC9EFD7"/>
    <w:rsid w:val="4C05E003"/>
    <w:rsid w:val="4C1D87C3"/>
    <w:rsid w:val="4C4BC0F5"/>
    <w:rsid w:val="4C7D279B"/>
    <w:rsid w:val="4C9A3196"/>
    <w:rsid w:val="4CC93102"/>
    <w:rsid w:val="4CD2085E"/>
    <w:rsid w:val="4CDC4FB1"/>
    <w:rsid w:val="4D2A8315"/>
    <w:rsid w:val="4D69EFC3"/>
    <w:rsid w:val="4D735177"/>
    <w:rsid w:val="4D76748A"/>
    <w:rsid w:val="4D77EF2B"/>
    <w:rsid w:val="4D7A61FE"/>
    <w:rsid w:val="4D86179D"/>
    <w:rsid w:val="4DFFAF27"/>
    <w:rsid w:val="4E197A6F"/>
    <w:rsid w:val="4E6131A3"/>
    <w:rsid w:val="4EA62435"/>
    <w:rsid w:val="4ECCEDE3"/>
    <w:rsid w:val="4ED21429"/>
    <w:rsid w:val="4ED4AA62"/>
    <w:rsid w:val="4EDD97EC"/>
    <w:rsid w:val="4EE66897"/>
    <w:rsid w:val="4F0B8541"/>
    <w:rsid w:val="4F2EE6D7"/>
    <w:rsid w:val="4F30B7D1"/>
    <w:rsid w:val="4F5A1337"/>
    <w:rsid w:val="4F73395F"/>
    <w:rsid w:val="4F9D77DB"/>
    <w:rsid w:val="4FA490F2"/>
    <w:rsid w:val="4FB8EA06"/>
    <w:rsid w:val="4FBF2B73"/>
    <w:rsid w:val="4FC630B5"/>
    <w:rsid w:val="4FC85E12"/>
    <w:rsid w:val="4FDC3106"/>
    <w:rsid w:val="4FEA1BF1"/>
    <w:rsid w:val="4FF70A70"/>
    <w:rsid w:val="4FFE156C"/>
    <w:rsid w:val="503D3E64"/>
    <w:rsid w:val="50626571"/>
    <w:rsid w:val="5082DB89"/>
    <w:rsid w:val="508CF97D"/>
    <w:rsid w:val="5091DEE0"/>
    <w:rsid w:val="50C3ED80"/>
    <w:rsid w:val="50DC9344"/>
    <w:rsid w:val="50DCD95B"/>
    <w:rsid w:val="510397F4"/>
    <w:rsid w:val="5111E12A"/>
    <w:rsid w:val="5123B305"/>
    <w:rsid w:val="5131CFB0"/>
    <w:rsid w:val="515162E5"/>
    <w:rsid w:val="516CAD51"/>
    <w:rsid w:val="5176E82F"/>
    <w:rsid w:val="51972DB5"/>
    <w:rsid w:val="519B8310"/>
    <w:rsid w:val="51ACF33D"/>
    <w:rsid w:val="51EB53FA"/>
    <w:rsid w:val="51EC36CC"/>
    <w:rsid w:val="52162CCB"/>
    <w:rsid w:val="521D89B9"/>
    <w:rsid w:val="523B4FC1"/>
    <w:rsid w:val="524658F0"/>
    <w:rsid w:val="5291A929"/>
    <w:rsid w:val="529260FF"/>
    <w:rsid w:val="52ABAC4E"/>
    <w:rsid w:val="52CA9A73"/>
    <w:rsid w:val="52EF98F2"/>
    <w:rsid w:val="52F38800"/>
    <w:rsid w:val="531FD97F"/>
    <w:rsid w:val="5342D9DE"/>
    <w:rsid w:val="5348F737"/>
    <w:rsid w:val="534DC1C7"/>
    <w:rsid w:val="5350CFA5"/>
    <w:rsid w:val="5350ED59"/>
    <w:rsid w:val="5354F8F0"/>
    <w:rsid w:val="53580C32"/>
    <w:rsid w:val="535C1B57"/>
    <w:rsid w:val="5365CD81"/>
    <w:rsid w:val="53843CB3"/>
    <w:rsid w:val="5387A69E"/>
    <w:rsid w:val="539D039A"/>
    <w:rsid w:val="53C60DB1"/>
    <w:rsid w:val="540304BC"/>
    <w:rsid w:val="540CAB80"/>
    <w:rsid w:val="54818736"/>
    <w:rsid w:val="5492B9E5"/>
    <w:rsid w:val="54A06E0F"/>
    <w:rsid w:val="54B220D7"/>
    <w:rsid w:val="54C629F1"/>
    <w:rsid w:val="54C84BFB"/>
    <w:rsid w:val="54CDB204"/>
    <w:rsid w:val="55088E3F"/>
    <w:rsid w:val="552151D5"/>
    <w:rsid w:val="5575220E"/>
    <w:rsid w:val="557B915B"/>
    <w:rsid w:val="557E5C3E"/>
    <w:rsid w:val="557FF784"/>
    <w:rsid w:val="55BC7CD4"/>
    <w:rsid w:val="55C0DFA4"/>
    <w:rsid w:val="55C520E9"/>
    <w:rsid w:val="55CA01C1"/>
    <w:rsid w:val="55D851FF"/>
    <w:rsid w:val="56367992"/>
    <w:rsid w:val="5646FF53"/>
    <w:rsid w:val="567AE0EE"/>
    <w:rsid w:val="567EFE14"/>
    <w:rsid w:val="56EE72C1"/>
    <w:rsid w:val="570CD469"/>
    <w:rsid w:val="5731829D"/>
    <w:rsid w:val="575CEB86"/>
    <w:rsid w:val="57888976"/>
    <w:rsid w:val="58257C5F"/>
    <w:rsid w:val="58509A41"/>
    <w:rsid w:val="58956444"/>
    <w:rsid w:val="5898256F"/>
    <w:rsid w:val="589EEDE0"/>
    <w:rsid w:val="58A40738"/>
    <w:rsid w:val="58AD1906"/>
    <w:rsid w:val="58CCAE8C"/>
    <w:rsid w:val="58CDBAE1"/>
    <w:rsid w:val="591FE37D"/>
    <w:rsid w:val="594F784A"/>
    <w:rsid w:val="596D8B5F"/>
    <w:rsid w:val="596E3FCE"/>
    <w:rsid w:val="5983C4A0"/>
    <w:rsid w:val="598852FC"/>
    <w:rsid w:val="599D6FA9"/>
    <w:rsid w:val="59B67AA5"/>
    <w:rsid w:val="59F072FF"/>
    <w:rsid w:val="5A06DAFF"/>
    <w:rsid w:val="5A4A0725"/>
    <w:rsid w:val="5A5AB876"/>
    <w:rsid w:val="5A6160F7"/>
    <w:rsid w:val="5A7B5B03"/>
    <w:rsid w:val="5A9D6722"/>
    <w:rsid w:val="5AA23E87"/>
    <w:rsid w:val="5AA4EBA2"/>
    <w:rsid w:val="5AA5FAD6"/>
    <w:rsid w:val="5AAB729E"/>
    <w:rsid w:val="5AB53A7B"/>
    <w:rsid w:val="5AE360E4"/>
    <w:rsid w:val="5B171526"/>
    <w:rsid w:val="5B781B75"/>
    <w:rsid w:val="5B80884C"/>
    <w:rsid w:val="5B91649D"/>
    <w:rsid w:val="5B91AF2D"/>
    <w:rsid w:val="5B9BED7F"/>
    <w:rsid w:val="5BB2935F"/>
    <w:rsid w:val="5BB5B798"/>
    <w:rsid w:val="5BE109FE"/>
    <w:rsid w:val="5C2AE65A"/>
    <w:rsid w:val="5C408505"/>
    <w:rsid w:val="5C56BB66"/>
    <w:rsid w:val="5C76218F"/>
    <w:rsid w:val="5CB1FF28"/>
    <w:rsid w:val="5CB78A6A"/>
    <w:rsid w:val="5CC225D5"/>
    <w:rsid w:val="5CCF6934"/>
    <w:rsid w:val="5D066D87"/>
    <w:rsid w:val="5D2691FE"/>
    <w:rsid w:val="5D439A27"/>
    <w:rsid w:val="5D8420DC"/>
    <w:rsid w:val="5E03C5C6"/>
    <w:rsid w:val="5E1D9C37"/>
    <w:rsid w:val="5E3CBF08"/>
    <w:rsid w:val="5E3DBDA8"/>
    <w:rsid w:val="5E5033E1"/>
    <w:rsid w:val="5E518FDD"/>
    <w:rsid w:val="5E68C48C"/>
    <w:rsid w:val="5E7A476F"/>
    <w:rsid w:val="5E936C2C"/>
    <w:rsid w:val="5E96870F"/>
    <w:rsid w:val="5EB1F941"/>
    <w:rsid w:val="5EB2BDA6"/>
    <w:rsid w:val="5EB7E796"/>
    <w:rsid w:val="5EF0BC3D"/>
    <w:rsid w:val="5F1AE873"/>
    <w:rsid w:val="5F1B3489"/>
    <w:rsid w:val="5F1F8AB7"/>
    <w:rsid w:val="5F57E9ED"/>
    <w:rsid w:val="5F5E776C"/>
    <w:rsid w:val="5F935266"/>
    <w:rsid w:val="5FA0F9E9"/>
    <w:rsid w:val="5FA3BB2C"/>
    <w:rsid w:val="5FC1442E"/>
    <w:rsid w:val="5FCFBC5A"/>
    <w:rsid w:val="5FDB0A7E"/>
    <w:rsid w:val="5FDE07D9"/>
    <w:rsid w:val="5FE28814"/>
    <w:rsid w:val="5FEA3363"/>
    <w:rsid w:val="5FF1BA2C"/>
    <w:rsid w:val="5FFD3467"/>
    <w:rsid w:val="5FFE922D"/>
    <w:rsid w:val="6007C7D8"/>
    <w:rsid w:val="6041939F"/>
    <w:rsid w:val="605F22AD"/>
    <w:rsid w:val="60AE7ABF"/>
    <w:rsid w:val="61042EBC"/>
    <w:rsid w:val="6117FD89"/>
    <w:rsid w:val="617397D1"/>
    <w:rsid w:val="618180AD"/>
    <w:rsid w:val="6187D467"/>
    <w:rsid w:val="61921D60"/>
    <w:rsid w:val="61A355DE"/>
    <w:rsid w:val="61C1E34C"/>
    <w:rsid w:val="61ECF932"/>
    <w:rsid w:val="623084C3"/>
    <w:rsid w:val="624376B7"/>
    <w:rsid w:val="6248277A"/>
    <w:rsid w:val="6250434A"/>
    <w:rsid w:val="627C0357"/>
    <w:rsid w:val="6290250B"/>
    <w:rsid w:val="62B3AA01"/>
    <w:rsid w:val="62BB4FC3"/>
    <w:rsid w:val="62BC9E5D"/>
    <w:rsid w:val="62C0818A"/>
    <w:rsid w:val="62F850EB"/>
    <w:rsid w:val="6315DFD7"/>
    <w:rsid w:val="631A3CE2"/>
    <w:rsid w:val="63219880"/>
    <w:rsid w:val="632C12B1"/>
    <w:rsid w:val="632C3472"/>
    <w:rsid w:val="632C9211"/>
    <w:rsid w:val="63740A53"/>
    <w:rsid w:val="63EA3E56"/>
    <w:rsid w:val="6410CF93"/>
    <w:rsid w:val="64235EB6"/>
    <w:rsid w:val="642CE20C"/>
    <w:rsid w:val="6431C170"/>
    <w:rsid w:val="6445D3B6"/>
    <w:rsid w:val="6445F8A6"/>
    <w:rsid w:val="647830B8"/>
    <w:rsid w:val="648C885F"/>
    <w:rsid w:val="64AA8F7E"/>
    <w:rsid w:val="64D5BDF9"/>
    <w:rsid w:val="64D713B6"/>
    <w:rsid w:val="65032203"/>
    <w:rsid w:val="6509F378"/>
    <w:rsid w:val="655E68B3"/>
    <w:rsid w:val="6584B1A4"/>
    <w:rsid w:val="65A39EDB"/>
    <w:rsid w:val="65DB5AFF"/>
    <w:rsid w:val="65DF2DCF"/>
    <w:rsid w:val="6629521B"/>
    <w:rsid w:val="6640F73C"/>
    <w:rsid w:val="665BDDAC"/>
    <w:rsid w:val="66A4A818"/>
    <w:rsid w:val="66BCCF29"/>
    <w:rsid w:val="66D00BB9"/>
    <w:rsid w:val="66F1C26E"/>
    <w:rsid w:val="672C294C"/>
    <w:rsid w:val="67443A1D"/>
    <w:rsid w:val="6752A319"/>
    <w:rsid w:val="6754029F"/>
    <w:rsid w:val="6765D500"/>
    <w:rsid w:val="6766EB8C"/>
    <w:rsid w:val="678A7A10"/>
    <w:rsid w:val="67A0F8F0"/>
    <w:rsid w:val="67AFFF99"/>
    <w:rsid w:val="67C1B276"/>
    <w:rsid w:val="67C407EA"/>
    <w:rsid w:val="67C8BCD8"/>
    <w:rsid w:val="67DFE0D9"/>
    <w:rsid w:val="681E5A6A"/>
    <w:rsid w:val="683E78A0"/>
    <w:rsid w:val="68418C70"/>
    <w:rsid w:val="687E65E2"/>
    <w:rsid w:val="68A0432F"/>
    <w:rsid w:val="68BA25F2"/>
    <w:rsid w:val="68C13CEF"/>
    <w:rsid w:val="68CEF5E8"/>
    <w:rsid w:val="68EA1404"/>
    <w:rsid w:val="6909E60A"/>
    <w:rsid w:val="69133796"/>
    <w:rsid w:val="691FB3D3"/>
    <w:rsid w:val="691FE9C3"/>
    <w:rsid w:val="695486A4"/>
    <w:rsid w:val="69CA18C6"/>
    <w:rsid w:val="69FD6210"/>
    <w:rsid w:val="6A4E6404"/>
    <w:rsid w:val="6A6B6702"/>
    <w:rsid w:val="6A75FF2F"/>
    <w:rsid w:val="6A9716B1"/>
    <w:rsid w:val="6A9FE216"/>
    <w:rsid w:val="6AA8CF63"/>
    <w:rsid w:val="6ACB936F"/>
    <w:rsid w:val="6ADA84D6"/>
    <w:rsid w:val="6AE5D396"/>
    <w:rsid w:val="6B0B807E"/>
    <w:rsid w:val="6B7071B8"/>
    <w:rsid w:val="6B80F2E6"/>
    <w:rsid w:val="6B895985"/>
    <w:rsid w:val="6B8A8AD1"/>
    <w:rsid w:val="6B9472F0"/>
    <w:rsid w:val="6B9C19DA"/>
    <w:rsid w:val="6C155EFC"/>
    <w:rsid w:val="6C273439"/>
    <w:rsid w:val="6C2AFAFB"/>
    <w:rsid w:val="6C3D7F90"/>
    <w:rsid w:val="6C40AC73"/>
    <w:rsid w:val="6C59067B"/>
    <w:rsid w:val="6C5DF5F0"/>
    <w:rsid w:val="6C6C0048"/>
    <w:rsid w:val="6C6CD2CC"/>
    <w:rsid w:val="6C8C4C06"/>
    <w:rsid w:val="6CB0EAF4"/>
    <w:rsid w:val="6CB136FD"/>
    <w:rsid w:val="6CC657E5"/>
    <w:rsid w:val="6D1A4A95"/>
    <w:rsid w:val="6D1C8446"/>
    <w:rsid w:val="6D206744"/>
    <w:rsid w:val="6D4C66E6"/>
    <w:rsid w:val="6D603376"/>
    <w:rsid w:val="6D62A95A"/>
    <w:rsid w:val="6D7D5D38"/>
    <w:rsid w:val="6DEAD55D"/>
    <w:rsid w:val="6E02F548"/>
    <w:rsid w:val="6E0393D7"/>
    <w:rsid w:val="6E185611"/>
    <w:rsid w:val="6E497F93"/>
    <w:rsid w:val="6E5A5AD0"/>
    <w:rsid w:val="6E702288"/>
    <w:rsid w:val="6EA367A4"/>
    <w:rsid w:val="6EBEAE7C"/>
    <w:rsid w:val="6EFE172D"/>
    <w:rsid w:val="6F17BF3A"/>
    <w:rsid w:val="6F3A62BB"/>
    <w:rsid w:val="6F3C6C39"/>
    <w:rsid w:val="6F5EF849"/>
    <w:rsid w:val="6F76AACD"/>
    <w:rsid w:val="6FCF1FE3"/>
    <w:rsid w:val="70036DD6"/>
    <w:rsid w:val="704A4004"/>
    <w:rsid w:val="708F3D4E"/>
    <w:rsid w:val="70C78BFC"/>
    <w:rsid w:val="70CC1A1E"/>
    <w:rsid w:val="71315C97"/>
    <w:rsid w:val="71342C3B"/>
    <w:rsid w:val="7142C279"/>
    <w:rsid w:val="715499F1"/>
    <w:rsid w:val="717CF5BD"/>
    <w:rsid w:val="71A7C34A"/>
    <w:rsid w:val="71BB157D"/>
    <w:rsid w:val="71C99060"/>
    <w:rsid w:val="71CB5C0E"/>
    <w:rsid w:val="71CD92D9"/>
    <w:rsid w:val="71D7A4FA"/>
    <w:rsid w:val="71F17042"/>
    <w:rsid w:val="722E97E6"/>
    <w:rsid w:val="72408929"/>
    <w:rsid w:val="726BD175"/>
    <w:rsid w:val="726F1768"/>
    <w:rsid w:val="7291BBDC"/>
    <w:rsid w:val="729DA0BC"/>
    <w:rsid w:val="72B721A9"/>
    <w:rsid w:val="72C60AA7"/>
    <w:rsid w:val="731F0F65"/>
    <w:rsid w:val="734393AB"/>
    <w:rsid w:val="734905B1"/>
    <w:rsid w:val="737B31DE"/>
    <w:rsid w:val="738A1DAB"/>
    <w:rsid w:val="73976C39"/>
    <w:rsid w:val="739C8C9D"/>
    <w:rsid w:val="73A609E1"/>
    <w:rsid w:val="7404066F"/>
    <w:rsid w:val="74169109"/>
    <w:rsid w:val="74531EAF"/>
    <w:rsid w:val="7454A596"/>
    <w:rsid w:val="74735F82"/>
    <w:rsid w:val="7491B4B9"/>
    <w:rsid w:val="74B4F20B"/>
    <w:rsid w:val="74C70E08"/>
    <w:rsid w:val="74CE470D"/>
    <w:rsid w:val="74DFE514"/>
    <w:rsid w:val="74EBD1B4"/>
    <w:rsid w:val="74EFE279"/>
    <w:rsid w:val="74FD924E"/>
    <w:rsid w:val="750D25D4"/>
    <w:rsid w:val="752188FD"/>
    <w:rsid w:val="7524CD4B"/>
    <w:rsid w:val="753F7338"/>
    <w:rsid w:val="75CC9F69"/>
    <w:rsid w:val="75ED168B"/>
    <w:rsid w:val="75FCDCF0"/>
    <w:rsid w:val="760E28BE"/>
    <w:rsid w:val="76115F58"/>
    <w:rsid w:val="7637902B"/>
    <w:rsid w:val="76457CE3"/>
    <w:rsid w:val="76502772"/>
    <w:rsid w:val="76676297"/>
    <w:rsid w:val="76986DFC"/>
    <w:rsid w:val="769BBFFD"/>
    <w:rsid w:val="76A4CDE3"/>
    <w:rsid w:val="76C7B999"/>
    <w:rsid w:val="770F071F"/>
    <w:rsid w:val="7728F82E"/>
    <w:rsid w:val="77337263"/>
    <w:rsid w:val="7752FC10"/>
    <w:rsid w:val="776A5A7D"/>
    <w:rsid w:val="776EF760"/>
    <w:rsid w:val="77853A3A"/>
    <w:rsid w:val="77A1A963"/>
    <w:rsid w:val="77AAAB42"/>
    <w:rsid w:val="77DA0DE3"/>
    <w:rsid w:val="77DDA979"/>
    <w:rsid w:val="77DE73AC"/>
    <w:rsid w:val="77E93B63"/>
    <w:rsid w:val="78075866"/>
    <w:rsid w:val="78965249"/>
    <w:rsid w:val="78991791"/>
    <w:rsid w:val="78A486DE"/>
    <w:rsid w:val="78A7829E"/>
    <w:rsid w:val="78DD2800"/>
    <w:rsid w:val="79193722"/>
    <w:rsid w:val="7927178A"/>
    <w:rsid w:val="794392BC"/>
    <w:rsid w:val="794AF816"/>
    <w:rsid w:val="795FD843"/>
    <w:rsid w:val="798270CC"/>
    <w:rsid w:val="798F1B19"/>
    <w:rsid w:val="7999B5AE"/>
    <w:rsid w:val="79B2E683"/>
    <w:rsid w:val="79DFB5B2"/>
    <w:rsid w:val="7A0D75C9"/>
    <w:rsid w:val="7A1E6E5E"/>
    <w:rsid w:val="7A300C50"/>
    <w:rsid w:val="7A4CB98E"/>
    <w:rsid w:val="7A9261AB"/>
    <w:rsid w:val="7AA2E1EE"/>
    <w:rsid w:val="7AA69822"/>
    <w:rsid w:val="7AC88B00"/>
    <w:rsid w:val="7AC8F2C4"/>
    <w:rsid w:val="7AE78C2B"/>
    <w:rsid w:val="7AE9A4BF"/>
    <w:rsid w:val="7B1AB96C"/>
    <w:rsid w:val="7B24953A"/>
    <w:rsid w:val="7B55DC99"/>
    <w:rsid w:val="7B6FDBA2"/>
    <w:rsid w:val="7BCF7ACD"/>
    <w:rsid w:val="7BD67821"/>
    <w:rsid w:val="7C04080A"/>
    <w:rsid w:val="7C08709F"/>
    <w:rsid w:val="7C0E6939"/>
    <w:rsid w:val="7C1E7182"/>
    <w:rsid w:val="7C5A5CBC"/>
    <w:rsid w:val="7C63CE16"/>
    <w:rsid w:val="7C941E97"/>
    <w:rsid w:val="7CAB533B"/>
    <w:rsid w:val="7CAC91DA"/>
    <w:rsid w:val="7CC327A7"/>
    <w:rsid w:val="7CFC692A"/>
    <w:rsid w:val="7D0DA451"/>
    <w:rsid w:val="7D1540EF"/>
    <w:rsid w:val="7D311E5C"/>
    <w:rsid w:val="7D31A1E8"/>
    <w:rsid w:val="7D39C951"/>
    <w:rsid w:val="7D4087B1"/>
    <w:rsid w:val="7D75B12E"/>
    <w:rsid w:val="7DAF4827"/>
    <w:rsid w:val="7DBF207D"/>
    <w:rsid w:val="7DC6FA09"/>
    <w:rsid w:val="7DFD3770"/>
    <w:rsid w:val="7E04238F"/>
    <w:rsid w:val="7E11C710"/>
    <w:rsid w:val="7E1B2D45"/>
    <w:rsid w:val="7E206854"/>
    <w:rsid w:val="7E43B121"/>
    <w:rsid w:val="7E784BD0"/>
    <w:rsid w:val="7EA43440"/>
    <w:rsid w:val="7EAF0893"/>
    <w:rsid w:val="7F5687B1"/>
    <w:rsid w:val="7F5C9DDA"/>
    <w:rsid w:val="7F604B0D"/>
    <w:rsid w:val="7F67311F"/>
    <w:rsid w:val="7F824A12"/>
    <w:rsid w:val="7F8CF323"/>
    <w:rsid w:val="7FBF1E87"/>
    <w:rsid w:val="7FC055E8"/>
    <w:rsid w:val="7FC52215"/>
    <w:rsid w:val="7FF67F1F"/>
    <w:rsid w:val="7FFEE7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46C9DF61-F10C-4F72-9847-BD933209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Heading1"/>
    <w:uiPriority w:val="9"/>
    <w:unhideWhenUsed/>
    <w:qFormat/>
    <w:rsid w:val="005559F1"/>
    <w:pPr>
      <w:ind w:left="0"/>
      <w:outlineLvl w:val="1"/>
    </w:pPr>
    <w:rPr>
      <w:rFonts w:asciiTheme="minorHAnsi" w:hAnsiTheme="minorHAnsi"/>
      <w:color w:val="1F497D" w:themeColor="text2"/>
    </w:rPr>
  </w:style>
  <w:style w:type="paragraph" w:styleId="Heading3">
    <w:name w:val="heading 3"/>
    <w:basedOn w:val="BodyText"/>
    <w:uiPriority w:val="9"/>
    <w:unhideWhenUsed/>
    <w:qFormat/>
    <w:rsid w:val="007E5A7F"/>
    <w:pPr>
      <w:outlineLvl w:val="2"/>
    </w:pPr>
    <w:rPr>
      <w:rFonts w:asciiTheme="minorHAnsi" w:hAnsiTheme="minorHAnsi"/>
      <w:b/>
      <w:bCs/>
    </w:rPr>
  </w:style>
  <w:style w:type="paragraph" w:styleId="Heading4">
    <w:name w:val="heading 4"/>
    <w:basedOn w:val="BodyText"/>
    <w:uiPriority w:val="9"/>
    <w:unhideWhenUsed/>
    <w:qFormat/>
    <w:rsid w:val="00BD2F0B"/>
    <w:pPr>
      <w:numPr>
        <w:numId w:val="6"/>
      </w:numPr>
      <w:spacing w:line="269" w:lineRule="exact"/>
      <w:outlineLvl w:val="3"/>
    </w:pPr>
    <w:rPr>
      <w:rFonts w:asciiTheme="minorHAnsi" w:hAnsiTheme="min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unhideWhenUsed/>
    <w:rsid w:val="00C249D9"/>
    <w:rPr>
      <w:sz w:val="20"/>
    </w:rPr>
  </w:style>
  <w:style w:type="character" w:customStyle="1" w:styleId="FootnoteTextChar">
    <w:name w:val="Footnote Text Char"/>
    <w:basedOn w:val="DefaultParagraphFont"/>
    <w:link w:val="FootnoteText"/>
    <w:uiPriority w:val="99"/>
    <w:rsid w:val="00C249D9"/>
    <w:rPr>
      <w:rFonts w:ascii="Garamond" w:eastAsia="Garamond" w:hAnsi="Garamond" w:cs="Garamond"/>
      <w:sz w:val="20"/>
      <w:szCs w:val="20"/>
      <w:lang w:bidi="en-US"/>
    </w:rPr>
  </w:style>
  <w:style w:type="character" w:styleId="FootnoteReference">
    <w:name w:val="footnote reference"/>
    <w:basedOn w:val="DefaultParagraphFont"/>
    <w:uiPriority w:val="99"/>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3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unhideWhenUsed/>
    <w:rsid w:val="00690C6E"/>
    <w:rPr>
      <w:sz w:val="20"/>
    </w:rPr>
  </w:style>
  <w:style w:type="character" w:customStyle="1" w:styleId="EndnoteTextChar">
    <w:name w:val="Endnote Text Char"/>
    <w:basedOn w:val="DefaultParagraphFont"/>
    <w:link w:val="EndnoteText"/>
    <w:uiPriority w:val="99"/>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footnotedescription">
    <w:name w:val="footnote description"/>
    <w:next w:val="Normal"/>
    <w:link w:val="footnotedescriptionChar"/>
    <w:hidden/>
    <w:rsid w:val="00210581"/>
    <w:pPr>
      <w:widowControl/>
      <w:autoSpaceDE/>
      <w:autoSpaceDN/>
      <w:spacing w:line="246" w:lineRule="auto"/>
    </w:pPr>
    <w:rPr>
      <w:rFonts w:eastAsia="Calibri" w:cs="Calibri"/>
      <w:color w:val="000000"/>
      <w:kern w:val="2"/>
      <w:sz w:val="18"/>
      <w:szCs w:val="24"/>
    </w:rPr>
  </w:style>
  <w:style w:type="character" w:customStyle="1" w:styleId="footnotedescriptionChar">
    <w:name w:val="footnote description Char"/>
    <w:link w:val="footnotedescription"/>
    <w:rsid w:val="00210581"/>
    <w:rPr>
      <w:rFonts w:eastAsia="Calibri" w:cs="Calibri"/>
      <w:color w:val="000000"/>
      <w:kern w:val="2"/>
      <w:sz w:val="18"/>
      <w:szCs w:val="24"/>
    </w:rPr>
  </w:style>
  <w:style w:type="paragraph" w:customStyle="1" w:styleId="Default">
    <w:name w:val="Default"/>
    <w:rsid w:val="00AB690C"/>
    <w:pPr>
      <w:widowControl/>
      <w:adjustRightInd w:val="0"/>
    </w:pPr>
    <w:rPr>
      <w:rFonts w:ascii="Times New Roman" w:hAnsi="Times New Roman" w:cs="Times New Roman"/>
      <w:color w:val="000000"/>
      <w:szCs w:val="24"/>
    </w:rPr>
  </w:style>
  <w:style w:type="table" w:customStyle="1" w:styleId="TableGrid1">
    <w:name w:val="Table Grid1"/>
    <w:basedOn w:val="TableNormal"/>
    <w:next w:val="TableGrid"/>
    <w:uiPriority w:val="59"/>
    <w:rsid w:val="00E37EDE"/>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12A2"/>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08CA"/>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0333"/>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D4738"/>
    <w:rPr>
      <w:color w:val="2B579A"/>
      <w:shd w:val="clear" w:color="auto" w:fill="E1DFDD"/>
    </w:rPr>
  </w:style>
  <w:style w:type="paragraph" w:styleId="NormalWeb">
    <w:name w:val="Normal (Web)"/>
    <w:basedOn w:val="Normal"/>
    <w:uiPriority w:val="99"/>
    <w:semiHidden/>
    <w:unhideWhenUsed/>
    <w:rsid w:val="005A0F74"/>
    <w:rPr>
      <w:rFonts w:ascii="Times New Roman" w:hAnsi="Times New Roman" w:cs="Times New Roman"/>
      <w:szCs w:val="24"/>
    </w:rPr>
  </w:style>
  <w:style w:type="character" w:styleId="FollowedHyperlink">
    <w:name w:val="FollowedHyperlink"/>
    <w:basedOn w:val="DefaultParagraphFont"/>
    <w:uiPriority w:val="99"/>
    <w:semiHidden/>
    <w:unhideWhenUsed/>
    <w:rsid w:val="00320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63">
      <w:bodyDiv w:val="1"/>
      <w:marLeft w:val="0"/>
      <w:marRight w:val="0"/>
      <w:marTop w:val="0"/>
      <w:marBottom w:val="0"/>
      <w:divBdr>
        <w:top w:val="none" w:sz="0" w:space="0" w:color="auto"/>
        <w:left w:val="none" w:sz="0" w:space="0" w:color="auto"/>
        <w:bottom w:val="none" w:sz="0" w:space="0" w:color="auto"/>
        <w:right w:val="none" w:sz="0" w:space="0" w:color="auto"/>
      </w:divBdr>
    </w:div>
    <w:div w:id="5712261">
      <w:bodyDiv w:val="1"/>
      <w:marLeft w:val="0"/>
      <w:marRight w:val="0"/>
      <w:marTop w:val="0"/>
      <w:marBottom w:val="0"/>
      <w:divBdr>
        <w:top w:val="none" w:sz="0" w:space="0" w:color="auto"/>
        <w:left w:val="none" w:sz="0" w:space="0" w:color="auto"/>
        <w:bottom w:val="none" w:sz="0" w:space="0" w:color="auto"/>
        <w:right w:val="none" w:sz="0" w:space="0" w:color="auto"/>
      </w:divBdr>
    </w:div>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68161237">
      <w:bodyDiv w:val="1"/>
      <w:marLeft w:val="0"/>
      <w:marRight w:val="0"/>
      <w:marTop w:val="0"/>
      <w:marBottom w:val="0"/>
      <w:divBdr>
        <w:top w:val="none" w:sz="0" w:space="0" w:color="auto"/>
        <w:left w:val="none" w:sz="0" w:space="0" w:color="auto"/>
        <w:bottom w:val="none" w:sz="0" w:space="0" w:color="auto"/>
        <w:right w:val="none" w:sz="0" w:space="0" w:color="auto"/>
      </w:divBdr>
    </w:div>
    <w:div w:id="78717580">
      <w:bodyDiv w:val="1"/>
      <w:marLeft w:val="0"/>
      <w:marRight w:val="0"/>
      <w:marTop w:val="0"/>
      <w:marBottom w:val="0"/>
      <w:divBdr>
        <w:top w:val="none" w:sz="0" w:space="0" w:color="auto"/>
        <w:left w:val="none" w:sz="0" w:space="0" w:color="auto"/>
        <w:bottom w:val="none" w:sz="0" w:space="0" w:color="auto"/>
        <w:right w:val="none" w:sz="0" w:space="0" w:color="auto"/>
      </w:divBdr>
    </w:div>
    <w:div w:id="121307873">
      <w:bodyDiv w:val="1"/>
      <w:marLeft w:val="0"/>
      <w:marRight w:val="0"/>
      <w:marTop w:val="0"/>
      <w:marBottom w:val="0"/>
      <w:divBdr>
        <w:top w:val="none" w:sz="0" w:space="0" w:color="auto"/>
        <w:left w:val="none" w:sz="0" w:space="0" w:color="auto"/>
        <w:bottom w:val="none" w:sz="0" w:space="0" w:color="auto"/>
        <w:right w:val="none" w:sz="0" w:space="0" w:color="auto"/>
      </w:divBdr>
    </w:div>
    <w:div w:id="161045577">
      <w:bodyDiv w:val="1"/>
      <w:marLeft w:val="0"/>
      <w:marRight w:val="0"/>
      <w:marTop w:val="0"/>
      <w:marBottom w:val="0"/>
      <w:divBdr>
        <w:top w:val="none" w:sz="0" w:space="0" w:color="auto"/>
        <w:left w:val="none" w:sz="0" w:space="0" w:color="auto"/>
        <w:bottom w:val="none" w:sz="0" w:space="0" w:color="auto"/>
        <w:right w:val="none" w:sz="0" w:space="0" w:color="auto"/>
      </w:divBdr>
    </w:div>
    <w:div w:id="174271434">
      <w:bodyDiv w:val="1"/>
      <w:marLeft w:val="0"/>
      <w:marRight w:val="0"/>
      <w:marTop w:val="0"/>
      <w:marBottom w:val="0"/>
      <w:divBdr>
        <w:top w:val="none" w:sz="0" w:space="0" w:color="auto"/>
        <w:left w:val="none" w:sz="0" w:space="0" w:color="auto"/>
        <w:bottom w:val="none" w:sz="0" w:space="0" w:color="auto"/>
        <w:right w:val="none" w:sz="0" w:space="0" w:color="auto"/>
      </w:divBdr>
    </w:div>
    <w:div w:id="198864495">
      <w:bodyDiv w:val="1"/>
      <w:marLeft w:val="0"/>
      <w:marRight w:val="0"/>
      <w:marTop w:val="0"/>
      <w:marBottom w:val="0"/>
      <w:divBdr>
        <w:top w:val="none" w:sz="0" w:space="0" w:color="auto"/>
        <w:left w:val="none" w:sz="0" w:space="0" w:color="auto"/>
        <w:bottom w:val="none" w:sz="0" w:space="0" w:color="auto"/>
        <w:right w:val="none" w:sz="0" w:space="0" w:color="auto"/>
      </w:divBdr>
      <w:divsChild>
        <w:div w:id="1376850412">
          <w:marLeft w:val="0"/>
          <w:marRight w:val="0"/>
          <w:marTop w:val="0"/>
          <w:marBottom w:val="0"/>
          <w:divBdr>
            <w:top w:val="none" w:sz="0" w:space="0" w:color="auto"/>
            <w:left w:val="none" w:sz="0" w:space="0" w:color="auto"/>
            <w:bottom w:val="none" w:sz="0" w:space="0" w:color="auto"/>
            <w:right w:val="none" w:sz="0" w:space="0" w:color="auto"/>
          </w:divBdr>
        </w:div>
        <w:div w:id="2006086450">
          <w:marLeft w:val="0"/>
          <w:marRight w:val="0"/>
          <w:marTop w:val="0"/>
          <w:marBottom w:val="0"/>
          <w:divBdr>
            <w:top w:val="none" w:sz="0" w:space="0" w:color="auto"/>
            <w:left w:val="none" w:sz="0" w:space="0" w:color="auto"/>
            <w:bottom w:val="none" w:sz="0" w:space="0" w:color="auto"/>
            <w:right w:val="none" w:sz="0" w:space="0" w:color="auto"/>
          </w:divBdr>
        </w:div>
        <w:div w:id="2138445277">
          <w:marLeft w:val="0"/>
          <w:marRight w:val="0"/>
          <w:marTop w:val="0"/>
          <w:marBottom w:val="0"/>
          <w:divBdr>
            <w:top w:val="none" w:sz="0" w:space="0" w:color="auto"/>
            <w:left w:val="none" w:sz="0" w:space="0" w:color="auto"/>
            <w:bottom w:val="none" w:sz="0" w:space="0" w:color="auto"/>
            <w:right w:val="none" w:sz="0" w:space="0" w:color="auto"/>
          </w:divBdr>
        </w:div>
      </w:divsChild>
    </w:div>
    <w:div w:id="255405176">
      <w:bodyDiv w:val="1"/>
      <w:marLeft w:val="0"/>
      <w:marRight w:val="0"/>
      <w:marTop w:val="0"/>
      <w:marBottom w:val="0"/>
      <w:divBdr>
        <w:top w:val="none" w:sz="0" w:space="0" w:color="auto"/>
        <w:left w:val="none" w:sz="0" w:space="0" w:color="auto"/>
        <w:bottom w:val="none" w:sz="0" w:space="0" w:color="auto"/>
        <w:right w:val="none" w:sz="0" w:space="0" w:color="auto"/>
      </w:divBdr>
    </w:div>
    <w:div w:id="282732558">
      <w:bodyDiv w:val="1"/>
      <w:marLeft w:val="0"/>
      <w:marRight w:val="0"/>
      <w:marTop w:val="0"/>
      <w:marBottom w:val="0"/>
      <w:divBdr>
        <w:top w:val="none" w:sz="0" w:space="0" w:color="auto"/>
        <w:left w:val="none" w:sz="0" w:space="0" w:color="auto"/>
        <w:bottom w:val="none" w:sz="0" w:space="0" w:color="auto"/>
        <w:right w:val="none" w:sz="0" w:space="0" w:color="auto"/>
      </w:divBdr>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327443692">
      <w:bodyDiv w:val="1"/>
      <w:marLeft w:val="0"/>
      <w:marRight w:val="0"/>
      <w:marTop w:val="0"/>
      <w:marBottom w:val="0"/>
      <w:divBdr>
        <w:top w:val="none" w:sz="0" w:space="0" w:color="auto"/>
        <w:left w:val="none" w:sz="0" w:space="0" w:color="auto"/>
        <w:bottom w:val="none" w:sz="0" w:space="0" w:color="auto"/>
        <w:right w:val="none" w:sz="0" w:space="0" w:color="auto"/>
      </w:divBdr>
    </w:div>
    <w:div w:id="398132983">
      <w:bodyDiv w:val="1"/>
      <w:marLeft w:val="0"/>
      <w:marRight w:val="0"/>
      <w:marTop w:val="0"/>
      <w:marBottom w:val="0"/>
      <w:divBdr>
        <w:top w:val="none" w:sz="0" w:space="0" w:color="auto"/>
        <w:left w:val="none" w:sz="0" w:space="0" w:color="auto"/>
        <w:bottom w:val="none" w:sz="0" w:space="0" w:color="auto"/>
        <w:right w:val="none" w:sz="0" w:space="0" w:color="auto"/>
      </w:divBdr>
    </w:div>
    <w:div w:id="414472400">
      <w:bodyDiv w:val="1"/>
      <w:marLeft w:val="0"/>
      <w:marRight w:val="0"/>
      <w:marTop w:val="0"/>
      <w:marBottom w:val="0"/>
      <w:divBdr>
        <w:top w:val="none" w:sz="0" w:space="0" w:color="auto"/>
        <w:left w:val="none" w:sz="0" w:space="0" w:color="auto"/>
        <w:bottom w:val="none" w:sz="0" w:space="0" w:color="auto"/>
        <w:right w:val="none" w:sz="0" w:space="0" w:color="auto"/>
      </w:divBdr>
    </w:div>
    <w:div w:id="432824882">
      <w:bodyDiv w:val="1"/>
      <w:marLeft w:val="0"/>
      <w:marRight w:val="0"/>
      <w:marTop w:val="0"/>
      <w:marBottom w:val="0"/>
      <w:divBdr>
        <w:top w:val="none" w:sz="0" w:space="0" w:color="auto"/>
        <w:left w:val="none" w:sz="0" w:space="0" w:color="auto"/>
        <w:bottom w:val="none" w:sz="0" w:space="0" w:color="auto"/>
        <w:right w:val="none" w:sz="0" w:space="0" w:color="auto"/>
      </w:divBdr>
    </w:div>
    <w:div w:id="497380690">
      <w:bodyDiv w:val="1"/>
      <w:marLeft w:val="0"/>
      <w:marRight w:val="0"/>
      <w:marTop w:val="0"/>
      <w:marBottom w:val="0"/>
      <w:divBdr>
        <w:top w:val="none" w:sz="0" w:space="0" w:color="auto"/>
        <w:left w:val="none" w:sz="0" w:space="0" w:color="auto"/>
        <w:bottom w:val="none" w:sz="0" w:space="0" w:color="auto"/>
        <w:right w:val="none" w:sz="0" w:space="0" w:color="auto"/>
      </w:divBdr>
    </w:div>
    <w:div w:id="510994376">
      <w:bodyDiv w:val="1"/>
      <w:marLeft w:val="0"/>
      <w:marRight w:val="0"/>
      <w:marTop w:val="0"/>
      <w:marBottom w:val="0"/>
      <w:divBdr>
        <w:top w:val="none" w:sz="0" w:space="0" w:color="auto"/>
        <w:left w:val="none" w:sz="0" w:space="0" w:color="auto"/>
        <w:bottom w:val="none" w:sz="0" w:space="0" w:color="auto"/>
        <w:right w:val="none" w:sz="0" w:space="0" w:color="auto"/>
      </w:divBdr>
      <w:divsChild>
        <w:div w:id="367724422">
          <w:marLeft w:val="0"/>
          <w:marRight w:val="0"/>
          <w:marTop w:val="0"/>
          <w:marBottom w:val="0"/>
          <w:divBdr>
            <w:top w:val="none" w:sz="0" w:space="0" w:color="auto"/>
            <w:left w:val="none" w:sz="0" w:space="0" w:color="auto"/>
            <w:bottom w:val="none" w:sz="0" w:space="0" w:color="auto"/>
            <w:right w:val="none" w:sz="0" w:space="0" w:color="auto"/>
          </w:divBdr>
        </w:div>
        <w:div w:id="1372412321">
          <w:marLeft w:val="0"/>
          <w:marRight w:val="0"/>
          <w:marTop w:val="0"/>
          <w:marBottom w:val="0"/>
          <w:divBdr>
            <w:top w:val="none" w:sz="0" w:space="0" w:color="auto"/>
            <w:left w:val="none" w:sz="0" w:space="0" w:color="auto"/>
            <w:bottom w:val="none" w:sz="0" w:space="0" w:color="auto"/>
            <w:right w:val="none" w:sz="0" w:space="0" w:color="auto"/>
          </w:divBdr>
        </w:div>
      </w:divsChild>
    </w:div>
    <w:div w:id="551309561">
      <w:bodyDiv w:val="1"/>
      <w:marLeft w:val="0"/>
      <w:marRight w:val="0"/>
      <w:marTop w:val="0"/>
      <w:marBottom w:val="0"/>
      <w:divBdr>
        <w:top w:val="none" w:sz="0" w:space="0" w:color="auto"/>
        <w:left w:val="none" w:sz="0" w:space="0" w:color="auto"/>
        <w:bottom w:val="none" w:sz="0" w:space="0" w:color="auto"/>
        <w:right w:val="none" w:sz="0" w:space="0" w:color="auto"/>
      </w:divBdr>
    </w:div>
    <w:div w:id="696662024">
      <w:bodyDiv w:val="1"/>
      <w:marLeft w:val="0"/>
      <w:marRight w:val="0"/>
      <w:marTop w:val="0"/>
      <w:marBottom w:val="0"/>
      <w:divBdr>
        <w:top w:val="none" w:sz="0" w:space="0" w:color="auto"/>
        <w:left w:val="none" w:sz="0" w:space="0" w:color="auto"/>
        <w:bottom w:val="none" w:sz="0" w:space="0" w:color="auto"/>
        <w:right w:val="none" w:sz="0" w:space="0" w:color="auto"/>
      </w:divBdr>
    </w:div>
    <w:div w:id="809173158">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871192039">
      <w:bodyDiv w:val="1"/>
      <w:marLeft w:val="0"/>
      <w:marRight w:val="0"/>
      <w:marTop w:val="0"/>
      <w:marBottom w:val="0"/>
      <w:divBdr>
        <w:top w:val="none" w:sz="0" w:space="0" w:color="auto"/>
        <w:left w:val="none" w:sz="0" w:space="0" w:color="auto"/>
        <w:bottom w:val="none" w:sz="0" w:space="0" w:color="auto"/>
        <w:right w:val="none" w:sz="0" w:space="0" w:color="auto"/>
      </w:divBdr>
    </w:div>
    <w:div w:id="1020203049">
      <w:bodyDiv w:val="1"/>
      <w:marLeft w:val="0"/>
      <w:marRight w:val="0"/>
      <w:marTop w:val="0"/>
      <w:marBottom w:val="0"/>
      <w:divBdr>
        <w:top w:val="none" w:sz="0" w:space="0" w:color="auto"/>
        <w:left w:val="none" w:sz="0" w:space="0" w:color="auto"/>
        <w:bottom w:val="none" w:sz="0" w:space="0" w:color="auto"/>
        <w:right w:val="none" w:sz="0" w:space="0" w:color="auto"/>
      </w:divBdr>
      <w:divsChild>
        <w:div w:id="195775998">
          <w:marLeft w:val="0"/>
          <w:marRight w:val="0"/>
          <w:marTop w:val="0"/>
          <w:marBottom w:val="0"/>
          <w:divBdr>
            <w:top w:val="none" w:sz="0" w:space="0" w:color="auto"/>
            <w:left w:val="none" w:sz="0" w:space="0" w:color="auto"/>
            <w:bottom w:val="none" w:sz="0" w:space="0" w:color="auto"/>
            <w:right w:val="none" w:sz="0" w:space="0" w:color="auto"/>
          </w:divBdr>
        </w:div>
        <w:div w:id="324018283">
          <w:marLeft w:val="0"/>
          <w:marRight w:val="0"/>
          <w:marTop w:val="0"/>
          <w:marBottom w:val="0"/>
          <w:divBdr>
            <w:top w:val="none" w:sz="0" w:space="0" w:color="auto"/>
            <w:left w:val="none" w:sz="0" w:space="0" w:color="auto"/>
            <w:bottom w:val="none" w:sz="0" w:space="0" w:color="auto"/>
            <w:right w:val="none" w:sz="0" w:space="0" w:color="auto"/>
          </w:divBdr>
        </w:div>
        <w:div w:id="534973843">
          <w:marLeft w:val="0"/>
          <w:marRight w:val="0"/>
          <w:marTop w:val="0"/>
          <w:marBottom w:val="0"/>
          <w:divBdr>
            <w:top w:val="none" w:sz="0" w:space="0" w:color="auto"/>
            <w:left w:val="none" w:sz="0" w:space="0" w:color="auto"/>
            <w:bottom w:val="none" w:sz="0" w:space="0" w:color="auto"/>
            <w:right w:val="none" w:sz="0" w:space="0" w:color="auto"/>
          </w:divBdr>
        </w:div>
        <w:div w:id="812017426">
          <w:marLeft w:val="0"/>
          <w:marRight w:val="0"/>
          <w:marTop w:val="0"/>
          <w:marBottom w:val="0"/>
          <w:divBdr>
            <w:top w:val="none" w:sz="0" w:space="0" w:color="auto"/>
            <w:left w:val="none" w:sz="0" w:space="0" w:color="auto"/>
            <w:bottom w:val="none" w:sz="0" w:space="0" w:color="auto"/>
            <w:right w:val="none" w:sz="0" w:space="0" w:color="auto"/>
          </w:divBdr>
        </w:div>
        <w:div w:id="922449652">
          <w:marLeft w:val="0"/>
          <w:marRight w:val="0"/>
          <w:marTop w:val="0"/>
          <w:marBottom w:val="0"/>
          <w:divBdr>
            <w:top w:val="none" w:sz="0" w:space="0" w:color="auto"/>
            <w:left w:val="none" w:sz="0" w:space="0" w:color="auto"/>
            <w:bottom w:val="none" w:sz="0" w:space="0" w:color="auto"/>
            <w:right w:val="none" w:sz="0" w:space="0" w:color="auto"/>
          </w:divBdr>
        </w:div>
        <w:div w:id="971128961">
          <w:marLeft w:val="0"/>
          <w:marRight w:val="0"/>
          <w:marTop w:val="0"/>
          <w:marBottom w:val="0"/>
          <w:divBdr>
            <w:top w:val="none" w:sz="0" w:space="0" w:color="auto"/>
            <w:left w:val="none" w:sz="0" w:space="0" w:color="auto"/>
            <w:bottom w:val="none" w:sz="0" w:space="0" w:color="auto"/>
            <w:right w:val="none" w:sz="0" w:space="0" w:color="auto"/>
          </w:divBdr>
        </w:div>
        <w:div w:id="1099329178">
          <w:marLeft w:val="0"/>
          <w:marRight w:val="0"/>
          <w:marTop w:val="0"/>
          <w:marBottom w:val="0"/>
          <w:divBdr>
            <w:top w:val="none" w:sz="0" w:space="0" w:color="auto"/>
            <w:left w:val="none" w:sz="0" w:space="0" w:color="auto"/>
            <w:bottom w:val="none" w:sz="0" w:space="0" w:color="auto"/>
            <w:right w:val="none" w:sz="0" w:space="0" w:color="auto"/>
          </w:divBdr>
        </w:div>
        <w:div w:id="1106388281">
          <w:marLeft w:val="0"/>
          <w:marRight w:val="0"/>
          <w:marTop w:val="0"/>
          <w:marBottom w:val="0"/>
          <w:divBdr>
            <w:top w:val="none" w:sz="0" w:space="0" w:color="auto"/>
            <w:left w:val="none" w:sz="0" w:space="0" w:color="auto"/>
            <w:bottom w:val="none" w:sz="0" w:space="0" w:color="auto"/>
            <w:right w:val="none" w:sz="0" w:space="0" w:color="auto"/>
          </w:divBdr>
        </w:div>
      </w:divsChild>
    </w:div>
    <w:div w:id="1026637579">
      <w:bodyDiv w:val="1"/>
      <w:marLeft w:val="0"/>
      <w:marRight w:val="0"/>
      <w:marTop w:val="0"/>
      <w:marBottom w:val="0"/>
      <w:divBdr>
        <w:top w:val="none" w:sz="0" w:space="0" w:color="auto"/>
        <w:left w:val="none" w:sz="0" w:space="0" w:color="auto"/>
        <w:bottom w:val="none" w:sz="0" w:space="0" w:color="auto"/>
        <w:right w:val="none" w:sz="0" w:space="0" w:color="auto"/>
      </w:divBdr>
    </w:div>
    <w:div w:id="1032270907">
      <w:bodyDiv w:val="1"/>
      <w:marLeft w:val="0"/>
      <w:marRight w:val="0"/>
      <w:marTop w:val="0"/>
      <w:marBottom w:val="0"/>
      <w:divBdr>
        <w:top w:val="none" w:sz="0" w:space="0" w:color="auto"/>
        <w:left w:val="none" w:sz="0" w:space="0" w:color="auto"/>
        <w:bottom w:val="none" w:sz="0" w:space="0" w:color="auto"/>
        <w:right w:val="none" w:sz="0" w:space="0" w:color="auto"/>
      </w:divBdr>
    </w:div>
    <w:div w:id="1038360665">
      <w:bodyDiv w:val="1"/>
      <w:marLeft w:val="0"/>
      <w:marRight w:val="0"/>
      <w:marTop w:val="0"/>
      <w:marBottom w:val="0"/>
      <w:divBdr>
        <w:top w:val="none" w:sz="0" w:space="0" w:color="auto"/>
        <w:left w:val="none" w:sz="0" w:space="0" w:color="auto"/>
        <w:bottom w:val="none" w:sz="0" w:space="0" w:color="auto"/>
        <w:right w:val="none" w:sz="0" w:space="0" w:color="auto"/>
      </w:divBdr>
    </w:div>
    <w:div w:id="1058550134">
      <w:bodyDiv w:val="1"/>
      <w:marLeft w:val="0"/>
      <w:marRight w:val="0"/>
      <w:marTop w:val="0"/>
      <w:marBottom w:val="0"/>
      <w:divBdr>
        <w:top w:val="none" w:sz="0" w:space="0" w:color="auto"/>
        <w:left w:val="none" w:sz="0" w:space="0" w:color="auto"/>
        <w:bottom w:val="none" w:sz="0" w:space="0" w:color="auto"/>
        <w:right w:val="none" w:sz="0" w:space="0" w:color="auto"/>
      </w:divBdr>
    </w:div>
    <w:div w:id="1069688739">
      <w:bodyDiv w:val="1"/>
      <w:marLeft w:val="0"/>
      <w:marRight w:val="0"/>
      <w:marTop w:val="0"/>
      <w:marBottom w:val="0"/>
      <w:divBdr>
        <w:top w:val="none" w:sz="0" w:space="0" w:color="auto"/>
        <w:left w:val="none" w:sz="0" w:space="0" w:color="auto"/>
        <w:bottom w:val="none" w:sz="0" w:space="0" w:color="auto"/>
        <w:right w:val="none" w:sz="0" w:space="0" w:color="auto"/>
      </w:divBdr>
    </w:div>
    <w:div w:id="1110786032">
      <w:bodyDiv w:val="1"/>
      <w:marLeft w:val="0"/>
      <w:marRight w:val="0"/>
      <w:marTop w:val="0"/>
      <w:marBottom w:val="0"/>
      <w:divBdr>
        <w:top w:val="none" w:sz="0" w:space="0" w:color="auto"/>
        <w:left w:val="none" w:sz="0" w:space="0" w:color="auto"/>
        <w:bottom w:val="none" w:sz="0" w:space="0" w:color="auto"/>
        <w:right w:val="none" w:sz="0" w:space="0" w:color="auto"/>
      </w:divBdr>
    </w:div>
    <w:div w:id="1149857025">
      <w:bodyDiv w:val="1"/>
      <w:marLeft w:val="0"/>
      <w:marRight w:val="0"/>
      <w:marTop w:val="0"/>
      <w:marBottom w:val="0"/>
      <w:divBdr>
        <w:top w:val="none" w:sz="0" w:space="0" w:color="auto"/>
        <w:left w:val="none" w:sz="0" w:space="0" w:color="auto"/>
        <w:bottom w:val="none" w:sz="0" w:space="0" w:color="auto"/>
        <w:right w:val="none" w:sz="0" w:space="0" w:color="auto"/>
      </w:divBdr>
    </w:div>
    <w:div w:id="1171678461">
      <w:bodyDiv w:val="1"/>
      <w:marLeft w:val="0"/>
      <w:marRight w:val="0"/>
      <w:marTop w:val="0"/>
      <w:marBottom w:val="0"/>
      <w:divBdr>
        <w:top w:val="none" w:sz="0" w:space="0" w:color="auto"/>
        <w:left w:val="none" w:sz="0" w:space="0" w:color="auto"/>
        <w:bottom w:val="none" w:sz="0" w:space="0" w:color="auto"/>
        <w:right w:val="none" w:sz="0" w:space="0" w:color="auto"/>
      </w:divBdr>
    </w:div>
    <w:div w:id="1179932650">
      <w:bodyDiv w:val="1"/>
      <w:marLeft w:val="0"/>
      <w:marRight w:val="0"/>
      <w:marTop w:val="0"/>
      <w:marBottom w:val="0"/>
      <w:divBdr>
        <w:top w:val="none" w:sz="0" w:space="0" w:color="auto"/>
        <w:left w:val="none" w:sz="0" w:space="0" w:color="auto"/>
        <w:bottom w:val="none" w:sz="0" w:space="0" w:color="auto"/>
        <w:right w:val="none" w:sz="0" w:space="0" w:color="auto"/>
      </w:divBdr>
    </w:div>
    <w:div w:id="1221945957">
      <w:bodyDiv w:val="1"/>
      <w:marLeft w:val="0"/>
      <w:marRight w:val="0"/>
      <w:marTop w:val="0"/>
      <w:marBottom w:val="0"/>
      <w:divBdr>
        <w:top w:val="none" w:sz="0" w:space="0" w:color="auto"/>
        <w:left w:val="none" w:sz="0" w:space="0" w:color="auto"/>
        <w:bottom w:val="none" w:sz="0" w:space="0" w:color="auto"/>
        <w:right w:val="none" w:sz="0" w:space="0" w:color="auto"/>
      </w:divBdr>
    </w:div>
    <w:div w:id="1286154112">
      <w:bodyDiv w:val="1"/>
      <w:marLeft w:val="0"/>
      <w:marRight w:val="0"/>
      <w:marTop w:val="0"/>
      <w:marBottom w:val="0"/>
      <w:divBdr>
        <w:top w:val="none" w:sz="0" w:space="0" w:color="auto"/>
        <w:left w:val="none" w:sz="0" w:space="0" w:color="auto"/>
        <w:bottom w:val="none" w:sz="0" w:space="0" w:color="auto"/>
        <w:right w:val="none" w:sz="0" w:space="0" w:color="auto"/>
      </w:divBdr>
    </w:div>
    <w:div w:id="1296450339">
      <w:bodyDiv w:val="1"/>
      <w:marLeft w:val="0"/>
      <w:marRight w:val="0"/>
      <w:marTop w:val="0"/>
      <w:marBottom w:val="0"/>
      <w:divBdr>
        <w:top w:val="none" w:sz="0" w:space="0" w:color="auto"/>
        <w:left w:val="none" w:sz="0" w:space="0" w:color="auto"/>
        <w:bottom w:val="none" w:sz="0" w:space="0" w:color="auto"/>
        <w:right w:val="none" w:sz="0" w:space="0" w:color="auto"/>
      </w:divBdr>
    </w:div>
    <w:div w:id="1417246391">
      <w:bodyDiv w:val="1"/>
      <w:marLeft w:val="0"/>
      <w:marRight w:val="0"/>
      <w:marTop w:val="0"/>
      <w:marBottom w:val="0"/>
      <w:divBdr>
        <w:top w:val="none" w:sz="0" w:space="0" w:color="auto"/>
        <w:left w:val="none" w:sz="0" w:space="0" w:color="auto"/>
        <w:bottom w:val="none" w:sz="0" w:space="0" w:color="auto"/>
        <w:right w:val="none" w:sz="0" w:space="0" w:color="auto"/>
      </w:divBdr>
    </w:div>
    <w:div w:id="1432240106">
      <w:bodyDiv w:val="1"/>
      <w:marLeft w:val="0"/>
      <w:marRight w:val="0"/>
      <w:marTop w:val="0"/>
      <w:marBottom w:val="0"/>
      <w:divBdr>
        <w:top w:val="none" w:sz="0" w:space="0" w:color="auto"/>
        <w:left w:val="none" w:sz="0" w:space="0" w:color="auto"/>
        <w:bottom w:val="none" w:sz="0" w:space="0" w:color="auto"/>
        <w:right w:val="none" w:sz="0" w:space="0" w:color="auto"/>
      </w:divBdr>
    </w:div>
    <w:div w:id="1446997336">
      <w:bodyDiv w:val="1"/>
      <w:marLeft w:val="0"/>
      <w:marRight w:val="0"/>
      <w:marTop w:val="0"/>
      <w:marBottom w:val="0"/>
      <w:divBdr>
        <w:top w:val="none" w:sz="0" w:space="0" w:color="auto"/>
        <w:left w:val="none" w:sz="0" w:space="0" w:color="auto"/>
        <w:bottom w:val="none" w:sz="0" w:space="0" w:color="auto"/>
        <w:right w:val="none" w:sz="0" w:space="0" w:color="auto"/>
      </w:divBdr>
    </w:div>
    <w:div w:id="1467358543">
      <w:bodyDiv w:val="1"/>
      <w:marLeft w:val="0"/>
      <w:marRight w:val="0"/>
      <w:marTop w:val="0"/>
      <w:marBottom w:val="0"/>
      <w:divBdr>
        <w:top w:val="none" w:sz="0" w:space="0" w:color="auto"/>
        <w:left w:val="none" w:sz="0" w:space="0" w:color="auto"/>
        <w:bottom w:val="none" w:sz="0" w:space="0" w:color="auto"/>
        <w:right w:val="none" w:sz="0" w:space="0" w:color="auto"/>
      </w:divBdr>
    </w:div>
    <w:div w:id="1508447980">
      <w:bodyDiv w:val="1"/>
      <w:marLeft w:val="0"/>
      <w:marRight w:val="0"/>
      <w:marTop w:val="0"/>
      <w:marBottom w:val="0"/>
      <w:divBdr>
        <w:top w:val="none" w:sz="0" w:space="0" w:color="auto"/>
        <w:left w:val="none" w:sz="0" w:space="0" w:color="auto"/>
        <w:bottom w:val="none" w:sz="0" w:space="0" w:color="auto"/>
        <w:right w:val="none" w:sz="0" w:space="0" w:color="auto"/>
      </w:divBdr>
    </w:div>
    <w:div w:id="1519124840">
      <w:bodyDiv w:val="1"/>
      <w:marLeft w:val="0"/>
      <w:marRight w:val="0"/>
      <w:marTop w:val="0"/>
      <w:marBottom w:val="0"/>
      <w:divBdr>
        <w:top w:val="none" w:sz="0" w:space="0" w:color="auto"/>
        <w:left w:val="none" w:sz="0" w:space="0" w:color="auto"/>
        <w:bottom w:val="none" w:sz="0" w:space="0" w:color="auto"/>
        <w:right w:val="none" w:sz="0" w:space="0" w:color="auto"/>
      </w:divBdr>
    </w:div>
    <w:div w:id="1574508776">
      <w:bodyDiv w:val="1"/>
      <w:marLeft w:val="0"/>
      <w:marRight w:val="0"/>
      <w:marTop w:val="0"/>
      <w:marBottom w:val="0"/>
      <w:divBdr>
        <w:top w:val="none" w:sz="0" w:space="0" w:color="auto"/>
        <w:left w:val="none" w:sz="0" w:space="0" w:color="auto"/>
        <w:bottom w:val="none" w:sz="0" w:space="0" w:color="auto"/>
        <w:right w:val="none" w:sz="0" w:space="0" w:color="auto"/>
      </w:divBdr>
    </w:div>
    <w:div w:id="1623269225">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642421933">
      <w:bodyDiv w:val="1"/>
      <w:marLeft w:val="0"/>
      <w:marRight w:val="0"/>
      <w:marTop w:val="0"/>
      <w:marBottom w:val="0"/>
      <w:divBdr>
        <w:top w:val="none" w:sz="0" w:space="0" w:color="auto"/>
        <w:left w:val="none" w:sz="0" w:space="0" w:color="auto"/>
        <w:bottom w:val="none" w:sz="0" w:space="0" w:color="auto"/>
        <w:right w:val="none" w:sz="0" w:space="0" w:color="auto"/>
      </w:divBdr>
    </w:div>
    <w:div w:id="1751192507">
      <w:bodyDiv w:val="1"/>
      <w:marLeft w:val="0"/>
      <w:marRight w:val="0"/>
      <w:marTop w:val="0"/>
      <w:marBottom w:val="0"/>
      <w:divBdr>
        <w:top w:val="none" w:sz="0" w:space="0" w:color="auto"/>
        <w:left w:val="none" w:sz="0" w:space="0" w:color="auto"/>
        <w:bottom w:val="none" w:sz="0" w:space="0" w:color="auto"/>
        <w:right w:val="none" w:sz="0" w:space="0" w:color="auto"/>
      </w:divBdr>
    </w:div>
    <w:div w:id="1768381437">
      <w:bodyDiv w:val="1"/>
      <w:marLeft w:val="0"/>
      <w:marRight w:val="0"/>
      <w:marTop w:val="0"/>
      <w:marBottom w:val="0"/>
      <w:divBdr>
        <w:top w:val="none" w:sz="0" w:space="0" w:color="auto"/>
        <w:left w:val="none" w:sz="0" w:space="0" w:color="auto"/>
        <w:bottom w:val="none" w:sz="0" w:space="0" w:color="auto"/>
        <w:right w:val="none" w:sz="0" w:space="0" w:color="auto"/>
      </w:divBdr>
    </w:div>
    <w:div w:id="1829247772">
      <w:bodyDiv w:val="1"/>
      <w:marLeft w:val="0"/>
      <w:marRight w:val="0"/>
      <w:marTop w:val="0"/>
      <w:marBottom w:val="0"/>
      <w:divBdr>
        <w:top w:val="none" w:sz="0" w:space="0" w:color="auto"/>
        <w:left w:val="none" w:sz="0" w:space="0" w:color="auto"/>
        <w:bottom w:val="none" w:sz="0" w:space="0" w:color="auto"/>
        <w:right w:val="none" w:sz="0" w:space="0" w:color="auto"/>
      </w:divBdr>
    </w:div>
    <w:div w:id="1858229454">
      <w:bodyDiv w:val="1"/>
      <w:marLeft w:val="0"/>
      <w:marRight w:val="0"/>
      <w:marTop w:val="0"/>
      <w:marBottom w:val="0"/>
      <w:divBdr>
        <w:top w:val="none" w:sz="0" w:space="0" w:color="auto"/>
        <w:left w:val="none" w:sz="0" w:space="0" w:color="auto"/>
        <w:bottom w:val="none" w:sz="0" w:space="0" w:color="auto"/>
        <w:right w:val="none" w:sz="0" w:space="0" w:color="auto"/>
      </w:divBdr>
    </w:div>
    <w:div w:id="1876624013">
      <w:bodyDiv w:val="1"/>
      <w:marLeft w:val="0"/>
      <w:marRight w:val="0"/>
      <w:marTop w:val="0"/>
      <w:marBottom w:val="0"/>
      <w:divBdr>
        <w:top w:val="none" w:sz="0" w:space="0" w:color="auto"/>
        <w:left w:val="none" w:sz="0" w:space="0" w:color="auto"/>
        <w:bottom w:val="none" w:sz="0" w:space="0" w:color="auto"/>
        <w:right w:val="none" w:sz="0" w:space="0" w:color="auto"/>
      </w:divBdr>
      <w:divsChild>
        <w:div w:id="61560601">
          <w:marLeft w:val="0"/>
          <w:marRight w:val="0"/>
          <w:marTop w:val="0"/>
          <w:marBottom w:val="0"/>
          <w:divBdr>
            <w:top w:val="none" w:sz="0" w:space="0" w:color="auto"/>
            <w:left w:val="none" w:sz="0" w:space="0" w:color="auto"/>
            <w:bottom w:val="none" w:sz="0" w:space="0" w:color="auto"/>
            <w:right w:val="none" w:sz="0" w:space="0" w:color="auto"/>
          </w:divBdr>
        </w:div>
        <w:div w:id="90861829">
          <w:marLeft w:val="0"/>
          <w:marRight w:val="0"/>
          <w:marTop w:val="0"/>
          <w:marBottom w:val="0"/>
          <w:divBdr>
            <w:top w:val="none" w:sz="0" w:space="0" w:color="auto"/>
            <w:left w:val="none" w:sz="0" w:space="0" w:color="auto"/>
            <w:bottom w:val="none" w:sz="0" w:space="0" w:color="auto"/>
            <w:right w:val="none" w:sz="0" w:space="0" w:color="auto"/>
          </w:divBdr>
        </w:div>
        <w:div w:id="145438607">
          <w:marLeft w:val="0"/>
          <w:marRight w:val="0"/>
          <w:marTop w:val="0"/>
          <w:marBottom w:val="0"/>
          <w:divBdr>
            <w:top w:val="none" w:sz="0" w:space="0" w:color="auto"/>
            <w:left w:val="none" w:sz="0" w:space="0" w:color="auto"/>
            <w:bottom w:val="none" w:sz="0" w:space="0" w:color="auto"/>
            <w:right w:val="none" w:sz="0" w:space="0" w:color="auto"/>
          </w:divBdr>
        </w:div>
        <w:div w:id="379520144">
          <w:marLeft w:val="0"/>
          <w:marRight w:val="0"/>
          <w:marTop w:val="0"/>
          <w:marBottom w:val="0"/>
          <w:divBdr>
            <w:top w:val="none" w:sz="0" w:space="0" w:color="auto"/>
            <w:left w:val="none" w:sz="0" w:space="0" w:color="auto"/>
            <w:bottom w:val="none" w:sz="0" w:space="0" w:color="auto"/>
            <w:right w:val="none" w:sz="0" w:space="0" w:color="auto"/>
          </w:divBdr>
        </w:div>
        <w:div w:id="678194016">
          <w:marLeft w:val="0"/>
          <w:marRight w:val="0"/>
          <w:marTop w:val="0"/>
          <w:marBottom w:val="0"/>
          <w:divBdr>
            <w:top w:val="none" w:sz="0" w:space="0" w:color="auto"/>
            <w:left w:val="none" w:sz="0" w:space="0" w:color="auto"/>
            <w:bottom w:val="none" w:sz="0" w:space="0" w:color="auto"/>
            <w:right w:val="none" w:sz="0" w:space="0" w:color="auto"/>
          </w:divBdr>
        </w:div>
        <w:div w:id="768158775">
          <w:marLeft w:val="0"/>
          <w:marRight w:val="0"/>
          <w:marTop w:val="0"/>
          <w:marBottom w:val="0"/>
          <w:divBdr>
            <w:top w:val="none" w:sz="0" w:space="0" w:color="auto"/>
            <w:left w:val="none" w:sz="0" w:space="0" w:color="auto"/>
            <w:bottom w:val="none" w:sz="0" w:space="0" w:color="auto"/>
            <w:right w:val="none" w:sz="0" w:space="0" w:color="auto"/>
          </w:divBdr>
        </w:div>
        <w:div w:id="1315573544">
          <w:marLeft w:val="0"/>
          <w:marRight w:val="0"/>
          <w:marTop w:val="0"/>
          <w:marBottom w:val="0"/>
          <w:divBdr>
            <w:top w:val="none" w:sz="0" w:space="0" w:color="auto"/>
            <w:left w:val="none" w:sz="0" w:space="0" w:color="auto"/>
            <w:bottom w:val="none" w:sz="0" w:space="0" w:color="auto"/>
            <w:right w:val="none" w:sz="0" w:space="0" w:color="auto"/>
          </w:divBdr>
        </w:div>
        <w:div w:id="1328941484">
          <w:marLeft w:val="0"/>
          <w:marRight w:val="0"/>
          <w:marTop w:val="0"/>
          <w:marBottom w:val="0"/>
          <w:divBdr>
            <w:top w:val="none" w:sz="0" w:space="0" w:color="auto"/>
            <w:left w:val="none" w:sz="0" w:space="0" w:color="auto"/>
            <w:bottom w:val="none" w:sz="0" w:space="0" w:color="auto"/>
            <w:right w:val="none" w:sz="0" w:space="0" w:color="auto"/>
          </w:divBdr>
        </w:div>
        <w:div w:id="1931153723">
          <w:marLeft w:val="0"/>
          <w:marRight w:val="0"/>
          <w:marTop w:val="0"/>
          <w:marBottom w:val="0"/>
          <w:divBdr>
            <w:top w:val="none" w:sz="0" w:space="0" w:color="auto"/>
            <w:left w:val="none" w:sz="0" w:space="0" w:color="auto"/>
            <w:bottom w:val="none" w:sz="0" w:space="0" w:color="auto"/>
            <w:right w:val="none" w:sz="0" w:space="0" w:color="auto"/>
          </w:divBdr>
        </w:div>
        <w:div w:id="2128155615">
          <w:marLeft w:val="0"/>
          <w:marRight w:val="0"/>
          <w:marTop w:val="0"/>
          <w:marBottom w:val="0"/>
          <w:divBdr>
            <w:top w:val="none" w:sz="0" w:space="0" w:color="auto"/>
            <w:left w:val="none" w:sz="0" w:space="0" w:color="auto"/>
            <w:bottom w:val="none" w:sz="0" w:space="0" w:color="auto"/>
            <w:right w:val="none" w:sz="0" w:space="0" w:color="auto"/>
          </w:divBdr>
        </w:div>
      </w:divsChild>
    </w:div>
    <w:div w:id="1892885440">
      <w:bodyDiv w:val="1"/>
      <w:marLeft w:val="0"/>
      <w:marRight w:val="0"/>
      <w:marTop w:val="0"/>
      <w:marBottom w:val="0"/>
      <w:divBdr>
        <w:top w:val="none" w:sz="0" w:space="0" w:color="auto"/>
        <w:left w:val="none" w:sz="0" w:space="0" w:color="auto"/>
        <w:bottom w:val="none" w:sz="0" w:space="0" w:color="auto"/>
        <w:right w:val="none" w:sz="0" w:space="0" w:color="auto"/>
      </w:divBdr>
    </w:div>
    <w:div w:id="1900240668">
      <w:bodyDiv w:val="1"/>
      <w:marLeft w:val="0"/>
      <w:marRight w:val="0"/>
      <w:marTop w:val="0"/>
      <w:marBottom w:val="0"/>
      <w:divBdr>
        <w:top w:val="none" w:sz="0" w:space="0" w:color="auto"/>
        <w:left w:val="none" w:sz="0" w:space="0" w:color="auto"/>
        <w:bottom w:val="none" w:sz="0" w:space="0" w:color="auto"/>
        <w:right w:val="none" w:sz="0" w:space="0" w:color="auto"/>
      </w:divBdr>
    </w:div>
    <w:div w:id="1902711792">
      <w:bodyDiv w:val="1"/>
      <w:marLeft w:val="0"/>
      <w:marRight w:val="0"/>
      <w:marTop w:val="0"/>
      <w:marBottom w:val="0"/>
      <w:divBdr>
        <w:top w:val="none" w:sz="0" w:space="0" w:color="auto"/>
        <w:left w:val="none" w:sz="0" w:space="0" w:color="auto"/>
        <w:bottom w:val="none" w:sz="0" w:space="0" w:color="auto"/>
        <w:right w:val="none" w:sz="0" w:space="0" w:color="auto"/>
      </w:divBdr>
      <w:divsChild>
        <w:div w:id="505748633">
          <w:marLeft w:val="0"/>
          <w:marRight w:val="0"/>
          <w:marTop w:val="0"/>
          <w:marBottom w:val="0"/>
          <w:divBdr>
            <w:top w:val="none" w:sz="0" w:space="0" w:color="auto"/>
            <w:left w:val="none" w:sz="0" w:space="0" w:color="auto"/>
            <w:bottom w:val="none" w:sz="0" w:space="0" w:color="auto"/>
            <w:right w:val="none" w:sz="0" w:space="0" w:color="auto"/>
          </w:divBdr>
        </w:div>
        <w:div w:id="550770455">
          <w:marLeft w:val="0"/>
          <w:marRight w:val="0"/>
          <w:marTop w:val="0"/>
          <w:marBottom w:val="0"/>
          <w:divBdr>
            <w:top w:val="none" w:sz="0" w:space="0" w:color="auto"/>
            <w:left w:val="none" w:sz="0" w:space="0" w:color="auto"/>
            <w:bottom w:val="none" w:sz="0" w:space="0" w:color="auto"/>
            <w:right w:val="none" w:sz="0" w:space="0" w:color="auto"/>
          </w:divBdr>
        </w:div>
        <w:div w:id="1145973592">
          <w:marLeft w:val="0"/>
          <w:marRight w:val="0"/>
          <w:marTop w:val="0"/>
          <w:marBottom w:val="0"/>
          <w:divBdr>
            <w:top w:val="none" w:sz="0" w:space="0" w:color="auto"/>
            <w:left w:val="none" w:sz="0" w:space="0" w:color="auto"/>
            <w:bottom w:val="none" w:sz="0" w:space="0" w:color="auto"/>
            <w:right w:val="none" w:sz="0" w:space="0" w:color="auto"/>
          </w:divBdr>
        </w:div>
        <w:div w:id="1209416911">
          <w:marLeft w:val="0"/>
          <w:marRight w:val="0"/>
          <w:marTop w:val="0"/>
          <w:marBottom w:val="0"/>
          <w:divBdr>
            <w:top w:val="none" w:sz="0" w:space="0" w:color="auto"/>
            <w:left w:val="none" w:sz="0" w:space="0" w:color="auto"/>
            <w:bottom w:val="none" w:sz="0" w:space="0" w:color="auto"/>
            <w:right w:val="none" w:sz="0" w:space="0" w:color="auto"/>
          </w:divBdr>
        </w:div>
        <w:div w:id="1435050471">
          <w:marLeft w:val="0"/>
          <w:marRight w:val="0"/>
          <w:marTop w:val="0"/>
          <w:marBottom w:val="0"/>
          <w:divBdr>
            <w:top w:val="none" w:sz="0" w:space="0" w:color="auto"/>
            <w:left w:val="none" w:sz="0" w:space="0" w:color="auto"/>
            <w:bottom w:val="none" w:sz="0" w:space="0" w:color="auto"/>
            <w:right w:val="none" w:sz="0" w:space="0" w:color="auto"/>
          </w:divBdr>
        </w:div>
        <w:div w:id="1670056606">
          <w:marLeft w:val="0"/>
          <w:marRight w:val="0"/>
          <w:marTop w:val="0"/>
          <w:marBottom w:val="0"/>
          <w:divBdr>
            <w:top w:val="none" w:sz="0" w:space="0" w:color="auto"/>
            <w:left w:val="none" w:sz="0" w:space="0" w:color="auto"/>
            <w:bottom w:val="none" w:sz="0" w:space="0" w:color="auto"/>
            <w:right w:val="none" w:sz="0" w:space="0" w:color="auto"/>
          </w:divBdr>
        </w:div>
      </w:divsChild>
    </w:div>
    <w:div w:id="1954088097">
      <w:bodyDiv w:val="1"/>
      <w:marLeft w:val="0"/>
      <w:marRight w:val="0"/>
      <w:marTop w:val="0"/>
      <w:marBottom w:val="0"/>
      <w:divBdr>
        <w:top w:val="none" w:sz="0" w:space="0" w:color="auto"/>
        <w:left w:val="none" w:sz="0" w:space="0" w:color="auto"/>
        <w:bottom w:val="none" w:sz="0" w:space="0" w:color="auto"/>
        <w:right w:val="none" w:sz="0" w:space="0" w:color="auto"/>
      </w:divBdr>
    </w:div>
    <w:div w:id="2017462456">
      <w:bodyDiv w:val="1"/>
      <w:marLeft w:val="0"/>
      <w:marRight w:val="0"/>
      <w:marTop w:val="0"/>
      <w:marBottom w:val="0"/>
      <w:divBdr>
        <w:top w:val="none" w:sz="0" w:space="0" w:color="auto"/>
        <w:left w:val="none" w:sz="0" w:space="0" w:color="auto"/>
        <w:bottom w:val="none" w:sz="0" w:space="0" w:color="auto"/>
        <w:right w:val="none" w:sz="0" w:space="0" w:color="auto"/>
      </w:divBdr>
    </w:div>
    <w:div w:id="2026134052">
      <w:bodyDiv w:val="1"/>
      <w:marLeft w:val="0"/>
      <w:marRight w:val="0"/>
      <w:marTop w:val="0"/>
      <w:marBottom w:val="0"/>
      <w:divBdr>
        <w:top w:val="none" w:sz="0" w:space="0" w:color="auto"/>
        <w:left w:val="none" w:sz="0" w:space="0" w:color="auto"/>
        <w:bottom w:val="none" w:sz="0" w:space="0" w:color="auto"/>
        <w:right w:val="none" w:sz="0" w:space="0" w:color="auto"/>
      </w:divBdr>
    </w:div>
    <w:div w:id="2037610597">
      <w:bodyDiv w:val="1"/>
      <w:marLeft w:val="0"/>
      <w:marRight w:val="0"/>
      <w:marTop w:val="0"/>
      <w:marBottom w:val="0"/>
      <w:divBdr>
        <w:top w:val="none" w:sz="0" w:space="0" w:color="auto"/>
        <w:left w:val="none" w:sz="0" w:space="0" w:color="auto"/>
        <w:bottom w:val="none" w:sz="0" w:space="0" w:color="auto"/>
        <w:right w:val="none" w:sz="0" w:space="0" w:color="auto"/>
      </w:divBdr>
    </w:div>
    <w:div w:id="2074545196">
      <w:bodyDiv w:val="1"/>
      <w:marLeft w:val="0"/>
      <w:marRight w:val="0"/>
      <w:marTop w:val="0"/>
      <w:marBottom w:val="0"/>
      <w:divBdr>
        <w:top w:val="none" w:sz="0" w:space="0" w:color="auto"/>
        <w:left w:val="none" w:sz="0" w:space="0" w:color="auto"/>
        <w:bottom w:val="none" w:sz="0" w:space="0" w:color="auto"/>
        <w:right w:val="none" w:sz="0" w:space="0" w:color="auto"/>
      </w:divBdr>
    </w:div>
    <w:div w:id="2095783771">
      <w:bodyDiv w:val="1"/>
      <w:marLeft w:val="0"/>
      <w:marRight w:val="0"/>
      <w:marTop w:val="0"/>
      <w:marBottom w:val="0"/>
      <w:divBdr>
        <w:top w:val="none" w:sz="0" w:space="0" w:color="auto"/>
        <w:left w:val="none" w:sz="0" w:space="0" w:color="auto"/>
        <w:bottom w:val="none" w:sz="0" w:space="0" w:color="auto"/>
        <w:right w:val="none" w:sz="0" w:space="0" w:color="auto"/>
      </w:divBdr>
      <w:divsChild>
        <w:div w:id="227037708">
          <w:marLeft w:val="0"/>
          <w:marRight w:val="0"/>
          <w:marTop w:val="0"/>
          <w:marBottom w:val="0"/>
          <w:divBdr>
            <w:top w:val="none" w:sz="0" w:space="0" w:color="auto"/>
            <w:left w:val="none" w:sz="0" w:space="0" w:color="auto"/>
            <w:bottom w:val="none" w:sz="0" w:space="0" w:color="auto"/>
            <w:right w:val="none" w:sz="0" w:space="0" w:color="auto"/>
          </w:divBdr>
        </w:div>
        <w:div w:id="265815869">
          <w:marLeft w:val="0"/>
          <w:marRight w:val="0"/>
          <w:marTop w:val="0"/>
          <w:marBottom w:val="0"/>
          <w:divBdr>
            <w:top w:val="none" w:sz="0" w:space="0" w:color="auto"/>
            <w:left w:val="none" w:sz="0" w:space="0" w:color="auto"/>
            <w:bottom w:val="none" w:sz="0" w:space="0" w:color="auto"/>
            <w:right w:val="none" w:sz="0" w:space="0" w:color="auto"/>
          </w:divBdr>
        </w:div>
        <w:div w:id="718742056">
          <w:marLeft w:val="0"/>
          <w:marRight w:val="0"/>
          <w:marTop w:val="0"/>
          <w:marBottom w:val="0"/>
          <w:divBdr>
            <w:top w:val="none" w:sz="0" w:space="0" w:color="auto"/>
            <w:left w:val="none" w:sz="0" w:space="0" w:color="auto"/>
            <w:bottom w:val="none" w:sz="0" w:space="0" w:color="auto"/>
            <w:right w:val="none" w:sz="0" w:space="0" w:color="auto"/>
          </w:divBdr>
        </w:div>
        <w:div w:id="775977314">
          <w:marLeft w:val="0"/>
          <w:marRight w:val="0"/>
          <w:marTop w:val="0"/>
          <w:marBottom w:val="0"/>
          <w:divBdr>
            <w:top w:val="none" w:sz="0" w:space="0" w:color="auto"/>
            <w:left w:val="none" w:sz="0" w:space="0" w:color="auto"/>
            <w:bottom w:val="none" w:sz="0" w:space="0" w:color="auto"/>
            <w:right w:val="none" w:sz="0" w:space="0" w:color="auto"/>
          </w:divBdr>
        </w:div>
        <w:div w:id="809711077">
          <w:marLeft w:val="0"/>
          <w:marRight w:val="0"/>
          <w:marTop w:val="0"/>
          <w:marBottom w:val="0"/>
          <w:divBdr>
            <w:top w:val="none" w:sz="0" w:space="0" w:color="auto"/>
            <w:left w:val="none" w:sz="0" w:space="0" w:color="auto"/>
            <w:bottom w:val="none" w:sz="0" w:space="0" w:color="auto"/>
            <w:right w:val="none" w:sz="0" w:space="0" w:color="auto"/>
          </w:divBdr>
        </w:div>
        <w:div w:id="1099789834">
          <w:marLeft w:val="0"/>
          <w:marRight w:val="0"/>
          <w:marTop w:val="0"/>
          <w:marBottom w:val="0"/>
          <w:divBdr>
            <w:top w:val="none" w:sz="0" w:space="0" w:color="auto"/>
            <w:left w:val="none" w:sz="0" w:space="0" w:color="auto"/>
            <w:bottom w:val="none" w:sz="0" w:space="0" w:color="auto"/>
            <w:right w:val="none" w:sz="0" w:space="0" w:color="auto"/>
          </w:divBdr>
        </w:div>
        <w:div w:id="1485702595">
          <w:marLeft w:val="0"/>
          <w:marRight w:val="0"/>
          <w:marTop w:val="0"/>
          <w:marBottom w:val="0"/>
          <w:divBdr>
            <w:top w:val="none" w:sz="0" w:space="0" w:color="auto"/>
            <w:left w:val="none" w:sz="0" w:space="0" w:color="auto"/>
            <w:bottom w:val="none" w:sz="0" w:space="0" w:color="auto"/>
            <w:right w:val="none" w:sz="0" w:space="0" w:color="auto"/>
          </w:divBdr>
        </w:div>
        <w:div w:id="1936591626">
          <w:marLeft w:val="0"/>
          <w:marRight w:val="0"/>
          <w:marTop w:val="0"/>
          <w:marBottom w:val="0"/>
          <w:divBdr>
            <w:top w:val="none" w:sz="0" w:space="0" w:color="auto"/>
            <w:left w:val="none" w:sz="0" w:space="0" w:color="auto"/>
            <w:bottom w:val="none" w:sz="0" w:space="0" w:color="auto"/>
            <w:right w:val="none" w:sz="0" w:space="0" w:color="auto"/>
          </w:divBdr>
        </w:div>
        <w:div w:id="1948123458">
          <w:marLeft w:val="0"/>
          <w:marRight w:val="0"/>
          <w:marTop w:val="0"/>
          <w:marBottom w:val="0"/>
          <w:divBdr>
            <w:top w:val="none" w:sz="0" w:space="0" w:color="auto"/>
            <w:left w:val="none" w:sz="0" w:space="0" w:color="auto"/>
            <w:bottom w:val="none" w:sz="0" w:space="0" w:color="auto"/>
            <w:right w:val="none" w:sz="0" w:space="0" w:color="auto"/>
          </w:divBdr>
        </w:div>
        <w:div w:id="21096923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ongrants@hria.org"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ONCHI@Mas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mailto:DONCHI@Mass.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4.xml"/></Relationships>
</file>

<file path=word/_rels/endnotes.xml.rels><?xml version="1.0" encoding="UTF-8" standalone="yes"?>
<Relationships xmlns="http://schemas.openxmlformats.org/package/2006/relationships"><Relationship Id="rId13" Type="http://schemas.openxmlformats.org/officeDocument/2006/relationships/hyperlink" Target="https://ddw.org/colorectal-cancer-cases-more-than-tripled-among-teens-over-two-decades/" TargetMode="External"/><Relationship Id="rId18" Type="http://schemas.openxmlformats.org/officeDocument/2006/relationships/hyperlink" Target="https://www.cancer.org/content/dam/cancer-org/research/cancer-facts-and-statistics/colorectal-cancer-facts-and-figures/colorectal-cancer-facts-and-figures-2023.pdf" TargetMode="External"/><Relationship Id="rId26" Type="http://schemas.openxmlformats.org/officeDocument/2006/relationships/hyperlink" Target="https://www.cdc.gov/cancer/dataviz" TargetMode="External"/><Relationship Id="rId39" Type="http://schemas.openxmlformats.org/officeDocument/2006/relationships/hyperlink" Target="https://www.cancer.org/cancer/types/colon-rectal-cancer/detection-diagnosis-staging/screening-tests-used.html" TargetMode="External"/><Relationship Id="rId21" Type="http://schemas.openxmlformats.org/officeDocument/2006/relationships/hyperlink" Target="https://www.cancer.org/content/dam/cancer-org/research/cancer-facts-and-statistics/annual-cancer-facts-and-figures/2025/2025-cancer-facts-and-figures-acs.pdf" TargetMode="External"/><Relationship Id="rId34" Type="http://schemas.openxmlformats.org/officeDocument/2006/relationships/hyperlink" Target="https://my.clevelandclinic.org/health/diagnostics/25126-endoscopy" TargetMode="External"/><Relationship Id="rId7" Type="http://schemas.openxmlformats.org/officeDocument/2006/relationships/hyperlink" Target="https://seer.cancer.gov/statfacts/html/colorect.html" TargetMode="External"/><Relationship Id="rId2" Type="http://schemas.openxmlformats.org/officeDocument/2006/relationships/hyperlink" Target="https://www.chiamass.gov/massachusetts-acute-hospital-profiles/" TargetMode="External"/><Relationship Id="rId16" Type="http://schemas.openxmlformats.org/officeDocument/2006/relationships/hyperlink" Target="https://www.cancer.org/cancer/types/colon-rectal-cancer/about/what-is-colorectal-cancer.html" TargetMode="External"/><Relationship Id="rId20" Type="http://schemas.openxmlformats.org/officeDocument/2006/relationships/hyperlink" Target="https://www.cancer.org/content/dam/cancer-org/research/cancer-facts-and-statistics/annual-cancer-facts-and-figures/2025/2025-cancer-facts-and-figures-acs.pdf" TargetMode="External"/><Relationship Id="rId29" Type="http://schemas.openxmlformats.org/officeDocument/2006/relationships/hyperlink" Target="https://seer.cancer.gov/statfacts/html/colorect.html" TargetMode="External"/><Relationship Id="rId41" Type="http://schemas.openxmlformats.org/officeDocument/2006/relationships/hyperlink" Target="https://www.beckersasc.com/asc-coding-billing-and-collections/commercial-prices-78-higher-in-hopds-than-ascs-study/" TargetMode="External"/><Relationship Id="rId1" Type="http://schemas.openxmlformats.org/officeDocument/2006/relationships/hyperlink" Target="https://www.chiamass.gov/assets/docs/r/hospital-profiles/2021/FY21-Massachusetts-Hospital-Profiles-Technical-Appendix.pdf" TargetMode="External"/><Relationship Id="rId6" Type="http://schemas.openxmlformats.org/officeDocument/2006/relationships/hyperlink" Target="https://seer.cancer.gov/statfacts/html/colorect.html" TargetMode="External"/><Relationship Id="rId11" Type="http://schemas.openxmlformats.org/officeDocument/2006/relationships/hyperlink" Target="https://www.prnewswire.com/news-releases/new-research-rectal-cancer-incidence-rising-after-decades-of-decline-as-colorectal-cancer-shifts-toward-younger-generations-302700398.html" TargetMode="External"/><Relationship Id="rId24" Type="http://schemas.openxmlformats.org/officeDocument/2006/relationships/hyperlink" Target="https://www.cancer.org/cancer/types/colon-rectal-cancer/detection-diagnosis-staging/screening-tests-used.html" TargetMode="External"/><Relationship Id="rId32" Type="http://schemas.openxmlformats.org/officeDocument/2006/relationships/hyperlink" Target="https://my.clevelandclinic.org/health/diagnostics/25126-endoscopy" TargetMode="External"/><Relationship Id="rId37" Type="http://schemas.openxmlformats.org/officeDocument/2006/relationships/hyperlink" Target="https://statecancerprofiles.cancer.gov/risk/index.php?stateFIPS=00&amp;topic=colorec&amp;risk=v521&amp;race=00&amp;sex=0&amp;type=risk" TargetMode="External"/><Relationship Id="rId40" Type="http://schemas.openxmlformats.org/officeDocument/2006/relationships/hyperlink" Target="https://www.beckersasc.com/asc-coding-billing-and-collections/commercial-prices-78-higher-in-hopds-than-ascs-study/" TargetMode="External"/><Relationship Id="rId5" Type="http://schemas.openxmlformats.org/officeDocument/2006/relationships/hyperlink" Target="https://www.chiamass.gov/enrollment-in-health-insurance/" TargetMode="External"/><Relationship Id="rId15" Type="http://schemas.openxmlformats.org/officeDocument/2006/relationships/hyperlink" Target="https://www.cancer.org/content/dam/cancer-org/research/cancer-facts-and-statistics/colorectal-cancer-facts-and-figures/colorectal-cancer-facts-and-figures-2023.pdf" TargetMode="External"/><Relationship Id="rId23" Type="http://schemas.openxmlformats.org/officeDocument/2006/relationships/hyperlink" Target="https://www.cancer.org/cancer/types/colon-rectal-cancer/detection-diagnosis-staging/screening-tests-used.html" TargetMode="External"/><Relationship Id="rId28" Type="http://schemas.openxmlformats.org/officeDocument/2006/relationships/hyperlink" Target="https://seer.cancer.gov/statfacts/html/colorect.html" TargetMode="External"/><Relationship Id="rId36" Type="http://schemas.openxmlformats.org/officeDocument/2006/relationships/hyperlink" Target="https://statecancerprofiles.cancer.gov/risk/index.php?stateFIPS=00&amp;topic=colorec&amp;risk=v521&amp;race=00&amp;sex=0&amp;type=risk" TargetMode="External"/><Relationship Id="rId10" Type="http://schemas.openxmlformats.org/officeDocument/2006/relationships/hyperlink" Target="https://www.prnewswire.com/news-releases/new-research-rectal-cancer-incidence-rising-after-decades-of-decline-as-colorectal-cancer-shifts-toward-younger-generations-302700398.html" TargetMode="External"/><Relationship Id="rId19" Type="http://schemas.openxmlformats.org/officeDocument/2006/relationships/hyperlink" Target="https://www.cancer.org/content/dam/cancer-org/research/cancer-facts-and-statistics/colorectal-cancer-facts-and-figures/colorectal-cancer-facts-and-figures-2023.pdf" TargetMode="External"/><Relationship Id="rId31" Type="http://schemas.openxmlformats.org/officeDocument/2006/relationships/hyperlink" Target="https://my.clevelandclinic.org/health/diagnostics/25126-endoscopy" TargetMode="External"/><Relationship Id="rId4" Type="http://schemas.openxmlformats.org/officeDocument/2006/relationships/hyperlink" Target="https://www.chiamass.gov/enrollment-in-health-insurance/" TargetMode="External"/><Relationship Id="rId9" Type="http://schemas.openxmlformats.org/officeDocument/2006/relationships/hyperlink" Target="https://www.cancer.org/content/dam/cancer-org/research/cancer-facts-and-statistics/colorectal-cancer-facts-and-figures/colorectal-cancer-facts-and-figures-2023.pdf" TargetMode="External"/><Relationship Id="rId14" Type="http://schemas.openxmlformats.org/officeDocument/2006/relationships/hyperlink" Target="https://www.cancer.org/content/dam/cancer-org/research/cancer-facts-and-statistics/colorectal-cancer-facts-and-figures/colorectal-cancer-facts-and-figures-2023.pdf" TargetMode="External"/><Relationship Id="rId22" Type="http://schemas.openxmlformats.org/officeDocument/2006/relationships/hyperlink" Target="https://www.cancer.org/cancer/types/colon-rectal-cancer/detection-diagnosis-staging/screening-tests-used.html" TargetMode="External"/><Relationship Id="rId27" Type="http://schemas.openxmlformats.org/officeDocument/2006/relationships/hyperlink" Target="https://www.cdc.gov/cancer/dataviz" TargetMode="External"/><Relationship Id="rId30" Type="http://schemas.openxmlformats.org/officeDocument/2006/relationships/hyperlink" Target="https://my.clevelandclinic.org/health/diagnostics/25126-endoscopy" TargetMode="External"/><Relationship Id="rId35" Type="http://schemas.openxmlformats.org/officeDocument/2006/relationships/hyperlink" Target="https://my.clevelandclinic.org/health/diagnostics/25126-endoscopy" TargetMode="External"/><Relationship Id="rId8" Type="http://schemas.openxmlformats.org/officeDocument/2006/relationships/hyperlink" Target="https://www.cancer.org/content/dam/cancer-org/research/cancer-facts-and-statistics/colorectal-cancer-facts-and-figures/colorectal-cancer-facts-and-figures-2023.pdf" TargetMode="External"/><Relationship Id="rId3" Type="http://schemas.openxmlformats.org/officeDocument/2006/relationships/hyperlink" Target="https://www.chiamass.gov/massachusetts-acute-hospital-profiles/" TargetMode="External"/><Relationship Id="rId12" Type="http://schemas.openxmlformats.org/officeDocument/2006/relationships/hyperlink" Target="https://ddw.org/colorectal-cancer-cases-more-than-tripled-among-teens-over-two-decades/" TargetMode="External"/><Relationship Id="rId17" Type="http://schemas.openxmlformats.org/officeDocument/2006/relationships/hyperlink" Target="https://www.cancer.org/cancer/types/colon-rectal-cancer/about/what-is-colorectal-cancer.html" TargetMode="External"/><Relationship Id="rId25" Type="http://schemas.openxmlformats.org/officeDocument/2006/relationships/hyperlink" Target="https://www.cancer.org/cancer/types/colon-rectal-cancer/detection-diagnosis-staging/screening-tests-used.html" TargetMode="External"/><Relationship Id="rId33" Type="http://schemas.openxmlformats.org/officeDocument/2006/relationships/hyperlink" Target="https://my.clevelandclinic.org/health/diagnostics/25126-endoscopy" TargetMode="External"/><Relationship Id="rId38" Type="http://schemas.openxmlformats.org/officeDocument/2006/relationships/hyperlink" Target="https://www.cancer.org/cancer/types/colon-rectal-cancer/detection-diagnosis-staging/screening-tests-used.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aos.org/aaosnow/2019/sep/managing/managing02/" TargetMode="External"/><Relationship Id="rId2" Type="http://schemas.openxmlformats.org/officeDocument/2006/relationships/hyperlink" Target="https://www.mass.gov/doc/dmh-licensed-hospital-list-1/download" TargetMode="External"/><Relationship Id="rId1" Type="http://schemas.openxmlformats.org/officeDocument/2006/relationships/hyperlink" Target="https://www.mass.gov/doc/dmh-licensed-hospital-list-1/download" TargetMode="External"/><Relationship Id="rId5" Type="http://schemas.openxmlformats.org/officeDocument/2006/relationships/hyperlink" Target="https://www.mass.gov/doc/primary-service-area-psa-of-independent-community-hospitals-with-respect-to-ambulatory-surgery-centers-pdf/download" TargetMode="External"/><Relationship Id="rId4" Type="http://schemas.openxmlformats.org/officeDocument/2006/relationships/hyperlink" Target="https://www.mass.gov/doc/primary-service-area-psa-of-independent-community-hospitals-with-respect-to-ambulatory-surgery-centers-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1168</TotalTime>
  <Pages>36</Pages>
  <Words>14011</Words>
  <Characters>79868</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Emerson Endoscopy Staff Report</vt:lpstr>
    </vt:vector>
  </TitlesOfParts>
  <Company/>
  <LinksUpToDate>false</LinksUpToDate>
  <CharactersWithSpaces>93692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BILH Winchester Staff Report</dc:title>
  <dc:subject/>
  <dc:creator>Lynn</dc:creator>
  <cp:keywords/>
  <cp:lastModifiedBy>Marks, Brett (DPH)</cp:lastModifiedBy>
  <cp:revision>62</cp:revision>
  <cp:lastPrinted>2026-01-24T08:45:00Z</cp:lastPrinted>
  <dcterms:created xsi:type="dcterms:W3CDTF">2026-04-06T14:43:00Z</dcterms:created>
  <dcterms:modified xsi:type="dcterms:W3CDTF">2026-04-09T15:03:00Z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