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744"/>
        <w:gridCol w:w="5326"/>
      </w:tblGrid>
      <w:tr w:rsidR="00BD3B34" w:rsidRPr="007B1C0B" w14:paraId="5EB01BCA" w14:textId="77777777" w:rsidTr="000C7878">
        <w:trPr>
          <w:cantSplit/>
          <w:trHeight w:val="350"/>
        </w:trPr>
        <w:tc>
          <w:tcPr>
            <w:tcW w:w="0" w:type="auto"/>
            <w:gridSpan w:val="2"/>
            <w:shd w:val="clear" w:color="auto" w:fill="D9E2F3" w:themeFill="accent1" w:themeFillTint="33"/>
            <w:vAlign w:val="center"/>
          </w:tcPr>
          <w:p w14:paraId="3AC94767" w14:textId="6DAE6A5F" w:rsidR="0004645C" w:rsidRPr="00515206" w:rsidRDefault="0004645C" w:rsidP="00525BEF">
            <w:pPr>
              <w:pStyle w:val="NoSpacing"/>
              <w:ind w:right="540"/>
              <w:contextualSpacing/>
              <w:jc w:val="center"/>
              <w:rPr>
                <w:rFonts w:cstheme="minorHAnsi"/>
                <w:b/>
                <w:sz w:val="24"/>
                <w:szCs w:val="24"/>
              </w:rPr>
            </w:pPr>
            <w:r w:rsidRPr="00515206">
              <w:rPr>
                <w:rFonts w:cstheme="minorHAnsi"/>
                <w:b/>
                <w:sz w:val="24"/>
                <w:szCs w:val="24"/>
              </w:rPr>
              <w:t xml:space="preserve">STAFF REPORT TO THE </w:t>
            </w:r>
            <w:r w:rsidR="004037AB">
              <w:rPr>
                <w:rFonts w:cstheme="minorHAnsi"/>
                <w:b/>
                <w:sz w:val="24"/>
                <w:szCs w:val="24"/>
              </w:rPr>
              <w:t>COMMISSIONER</w:t>
            </w:r>
          </w:p>
          <w:p w14:paraId="56C5007A" w14:textId="77777777" w:rsidR="0004645C" w:rsidRPr="00515206" w:rsidRDefault="0004645C" w:rsidP="00525BEF">
            <w:pPr>
              <w:pStyle w:val="Header"/>
              <w:ind w:right="540"/>
              <w:contextualSpacing/>
              <w:jc w:val="center"/>
              <w:rPr>
                <w:rFonts w:cstheme="minorHAnsi"/>
                <w:b/>
                <w:sz w:val="24"/>
                <w:szCs w:val="24"/>
              </w:rPr>
            </w:pPr>
            <w:r w:rsidRPr="00515206">
              <w:rPr>
                <w:rFonts w:cstheme="minorHAnsi"/>
                <w:b/>
                <w:sz w:val="24"/>
                <w:szCs w:val="24"/>
              </w:rPr>
              <w:t>FOR A DETERMINATION OF NEED</w:t>
            </w:r>
          </w:p>
        </w:tc>
      </w:tr>
      <w:tr w:rsidR="00DF2366" w:rsidRPr="007B1C0B" w14:paraId="45C24D2A" w14:textId="77777777" w:rsidTr="000C7878">
        <w:trPr>
          <w:cantSplit/>
          <w:trHeight w:val="413"/>
        </w:trPr>
        <w:tc>
          <w:tcPr>
            <w:tcW w:w="4045" w:type="dxa"/>
            <w:shd w:val="clear" w:color="auto" w:fill="auto"/>
            <w:vAlign w:val="center"/>
          </w:tcPr>
          <w:p w14:paraId="2526FB90" w14:textId="77777777" w:rsidR="0004645C" w:rsidRPr="00515206" w:rsidRDefault="0004645C" w:rsidP="00525BEF">
            <w:pPr>
              <w:ind w:right="540"/>
              <w:contextualSpacing/>
              <w:rPr>
                <w:rFonts w:cstheme="minorHAnsi"/>
                <w:sz w:val="24"/>
                <w:szCs w:val="24"/>
              </w:rPr>
            </w:pPr>
            <w:r w:rsidRPr="00515206">
              <w:rPr>
                <w:rFonts w:cstheme="minorHAnsi"/>
                <w:sz w:val="24"/>
                <w:szCs w:val="24"/>
              </w:rPr>
              <w:t xml:space="preserve">Applicant Name </w:t>
            </w:r>
          </w:p>
        </w:tc>
        <w:tc>
          <w:tcPr>
            <w:tcW w:w="5305" w:type="dxa"/>
            <w:shd w:val="clear" w:color="auto" w:fill="auto"/>
            <w:vAlign w:val="center"/>
          </w:tcPr>
          <w:p w14:paraId="638D7B5B" w14:textId="5CB8B81A" w:rsidR="0004645C" w:rsidRPr="00515206" w:rsidRDefault="00F744D1" w:rsidP="00525BEF">
            <w:pPr>
              <w:ind w:right="540"/>
              <w:contextualSpacing/>
              <w:rPr>
                <w:rFonts w:cstheme="minorHAnsi"/>
                <w:sz w:val="24"/>
                <w:szCs w:val="24"/>
              </w:rPr>
            </w:pPr>
            <w:r>
              <w:rPr>
                <w:rFonts w:cstheme="minorHAnsi"/>
                <w:sz w:val="24"/>
                <w:szCs w:val="24"/>
              </w:rPr>
              <w:t>Beth Israel Lahey Health, Inc.</w:t>
            </w:r>
          </w:p>
        </w:tc>
      </w:tr>
      <w:tr w:rsidR="00DF2366" w:rsidRPr="007B1C0B" w14:paraId="3239374E" w14:textId="77777777" w:rsidTr="000C7878">
        <w:trPr>
          <w:cantSplit/>
          <w:trHeight w:val="357"/>
        </w:trPr>
        <w:tc>
          <w:tcPr>
            <w:tcW w:w="4045" w:type="dxa"/>
            <w:shd w:val="clear" w:color="auto" w:fill="auto"/>
            <w:vAlign w:val="center"/>
          </w:tcPr>
          <w:p w14:paraId="4A172ECE" w14:textId="77777777" w:rsidR="0004645C" w:rsidRPr="00515206" w:rsidRDefault="0004645C" w:rsidP="00525BEF">
            <w:pPr>
              <w:ind w:right="540"/>
              <w:contextualSpacing/>
              <w:rPr>
                <w:rFonts w:cstheme="minorHAnsi"/>
                <w:sz w:val="24"/>
                <w:szCs w:val="24"/>
              </w:rPr>
            </w:pPr>
            <w:r w:rsidRPr="00515206">
              <w:rPr>
                <w:rFonts w:cstheme="minorHAnsi"/>
                <w:sz w:val="24"/>
                <w:szCs w:val="24"/>
              </w:rPr>
              <w:t xml:space="preserve">Applicant Address </w:t>
            </w:r>
          </w:p>
        </w:tc>
        <w:tc>
          <w:tcPr>
            <w:tcW w:w="5305" w:type="dxa"/>
            <w:shd w:val="clear" w:color="auto" w:fill="auto"/>
            <w:vAlign w:val="center"/>
          </w:tcPr>
          <w:p w14:paraId="6B9DF036" w14:textId="77777777" w:rsidR="0004645C" w:rsidRDefault="00F744D1" w:rsidP="00DF2366">
            <w:pPr>
              <w:ind w:right="540"/>
              <w:contextualSpacing/>
              <w:rPr>
                <w:rFonts w:cstheme="minorHAnsi"/>
                <w:sz w:val="24"/>
                <w:szCs w:val="24"/>
                <w:lang w:val="fr-FR"/>
              </w:rPr>
            </w:pPr>
            <w:r>
              <w:rPr>
                <w:rFonts w:cstheme="minorHAnsi"/>
                <w:sz w:val="24"/>
                <w:szCs w:val="24"/>
                <w:lang w:val="fr-FR"/>
              </w:rPr>
              <w:t xml:space="preserve">20 </w:t>
            </w:r>
            <w:r w:rsidRPr="00525BEF">
              <w:rPr>
                <w:rFonts w:cstheme="minorHAnsi"/>
                <w:sz w:val="24"/>
                <w:szCs w:val="24"/>
              </w:rPr>
              <w:t>University</w:t>
            </w:r>
            <w:r>
              <w:rPr>
                <w:rFonts w:cstheme="minorHAnsi"/>
                <w:sz w:val="24"/>
                <w:szCs w:val="24"/>
                <w:lang w:val="fr-FR"/>
              </w:rPr>
              <w:t xml:space="preserve"> Road, 7th Floor</w:t>
            </w:r>
          </w:p>
          <w:p w14:paraId="1430E120" w14:textId="6CF1A1B6" w:rsidR="0024150F" w:rsidRPr="00515206" w:rsidRDefault="0024150F" w:rsidP="00DF2366">
            <w:pPr>
              <w:ind w:right="540"/>
              <w:contextualSpacing/>
              <w:rPr>
                <w:rFonts w:cstheme="minorHAnsi"/>
                <w:sz w:val="24"/>
                <w:szCs w:val="24"/>
                <w:lang w:val="fr-FR"/>
              </w:rPr>
            </w:pPr>
            <w:r>
              <w:rPr>
                <w:rFonts w:cstheme="minorHAnsi"/>
                <w:sz w:val="24"/>
                <w:szCs w:val="24"/>
                <w:lang w:val="fr-FR"/>
              </w:rPr>
              <w:t xml:space="preserve">Cambridge, MA </w:t>
            </w:r>
            <w:r w:rsidR="00404876">
              <w:rPr>
                <w:rFonts w:cstheme="minorHAnsi"/>
                <w:sz w:val="24"/>
                <w:szCs w:val="24"/>
                <w:lang w:val="fr-FR"/>
              </w:rPr>
              <w:t>02138</w:t>
            </w:r>
          </w:p>
        </w:tc>
      </w:tr>
      <w:tr w:rsidR="00DF2366" w:rsidRPr="007B1C0B" w14:paraId="7699AB21" w14:textId="77777777" w:rsidTr="000C7878">
        <w:trPr>
          <w:cantSplit/>
          <w:trHeight w:val="377"/>
        </w:trPr>
        <w:tc>
          <w:tcPr>
            <w:tcW w:w="4045" w:type="dxa"/>
            <w:shd w:val="clear" w:color="auto" w:fill="auto"/>
            <w:vAlign w:val="center"/>
          </w:tcPr>
          <w:p w14:paraId="580B8B65" w14:textId="77777777" w:rsidR="0004645C" w:rsidRPr="00515206" w:rsidRDefault="0004645C" w:rsidP="00525BEF">
            <w:pPr>
              <w:ind w:right="540"/>
              <w:contextualSpacing/>
              <w:rPr>
                <w:rFonts w:cstheme="minorHAnsi"/>
                <w:sz w:val="24"/>
                <w:szCs w:val="24"/>
              </w:rPr>
            </w:pPr>
            <w:r w:rsidRPr="00515206">
              <w:rPr>
                <w:rFonts w:cstheme="minorHAnsi"/>
                <w:sz w:val="24"/>
                <w:szCs w:val="24"/>
              </w:rPr>
              <w:t>Filing Date</w:t>
            </w:r>
          </w:p>
        </w:tc>
        <w:tc>
          <w:tcPr>
            <w:tcW w:w="5305" w:type="dxa"/>
            <w:shd w:val="clear" w:color="auto" w:fill="auto"/>
            <w:vAlign w:val="center"/>
          </w:tcPr>
          <w:p w14:paraId="4DEF7649" w14:textId="0CD38819" w:rsidR="0004645C" w:rsidRPr="00515206" w:rsidRDefault="00971780" w:rsidP="00525BEF">
            <w:pPr>
              <w:ind w:right="540"/>
              <w:contextualSpacing/>
              <w:rPr>
                <w:rFonts w:cstheme="minorHAnsi"/>
                <w:sz w:val="24"/>
                <w:szCs w:val="24"/>
              </w:rPr>
            </w:pPr>
            <w:r>
              <w:rPr>
                <w:rFonts w:cstheme="minorHAnsi"/>
                <w:sz w:val="24"/>
                <w:szCs w:val="24"/>
              </w:rPr>
              <w:t>March 21, 2022</w:t>
            </w:r>
          </w:p>
        </w:tc>
      </w:tr>
      <w:tr w:rsidR="00DF2366" w:rsidRPr="007B1C0B" w14:paraId="03895EBE" w14:textId="77777777" w:rsidTr="000C7878">
        <w:trPr>
          <w:cantSplit/>
          <w:trHeight w:val="350"/>
        </w:trPr>
        <w:tc>
          <w:tcPr>
            <w:tcW w:w="4045" w:type="dxa"/>
            <w:shd w:val="clear" w:color="auto" w:fill="auto"/>
            <w:vAlign w:val="center"/>
          </w:tcPr>
          <w:p w14:paraId="0046FE50" w14:textId="77777777" w:rsidR="0004645C" w:rsidRPr="00515206" w:rsidRDefault="0004645C" w:rsidP="00525BEF">
            <w:pPr>
              <w:ind w:right="540"/>
              <w:contextualSpacing/>
              <w:rPr>
                <w:rFonts w:cstheme="minorHAnsi"/>
                <w:sz w:val="24"/>
                <w:szCs w:val="24"/>
              </w:rPr>
            </w:pPr>
            <w:r w:rsidRPr="00515206">
              <w:rPr>
                <w:rFonts w:cstheme="minorHAnsi"/>
                <w:sz w:val="24"/>
                <w:szCs w:val="24"/>
              </w:rPr>
              <w:t>Type of DoN Application</w:t>
            </w:r>
          </w:p>
        </w:tc>
        <w:tc>
          <w:tcPr>
            <w:tcW w:w="5305" w:type="dxa"/>
            <w:shd w:val="clear" w:color="auto" w:fill="auto"/>
            <w:vAlign w:val="center"/>
          </w:tcPr>
          <w:p w14:paraId="4093DCC6" w14:textId="61B89C7F" w:rsidR="0004645C" w:rsidRPr="00515206" w:rsidRDefault="00F744D1" w:rsidP="00525BEF">
            <w:pPr>
              <w:ind w:right="540"/>
              <w:contextualSpacing/>
              <w:rPr>
                <w:rFonts w:cstheme="minorHAnsi"/>
                <w:sz w:val="24"/>
                <w:szCs w:val="24"/>
              </w:rPr>
            </w:pPr>
            <w:r>
              <w:rPr>
                <w:rFonts w:cstheme="minorHAnsi"/>
                <w:sz w:val="24"/>
                <w:szCs w:val="24"/>
              </w:rPr>
              <w:t>Substantial Change in Service</w:t>
            </w:r>
            <w:r w:rsidR="00ED0805">
              <w:rPr>
                <w:rFonts w:cstheme="minorHAnsi"/>
                <w:sz w:val="24"/>
                <w:szCs w:val="24"/>
              </w:rPr>
              <w:t>,</w:t>
            </w:r>
            <w:r>
              <w:rPr>
                <w:rFonts w:cstheme="minorHAnsi"/>
                <w:sz w:val="24"/>
                <w:szCs w:val="24"/>
              </w:rPr>
              <w:t xml:space="preserve"> DoN-required Equipment</w:t>
            </w:r>
          </w:p>
        </w:tc>
      </w:tr>
      <w:tr w:rsidR="00DF2366" w:rsidRPr="007B1C0B" w14:paraId="0465C8F3" w14:textId="77777777" w:rsidTr="000C7878">
        <w:trPr>
          <w:cantSplit/>
          <w:trHeight w:val="350"/>
        </w:trPr>
        <w:tc>
          <w:tcPr>
            <w:tcW w:w="4045" w:type="dxa"/>
            <w:shd w:val="clear" w:color="auto" w:fill="auto"/>
            <w:vAlign w:val="center"/>
          </w:tcPr>
          <w:p w14:paraId="48044516" w14:textId="77777777" w:rsidR="0004645C" w:rsidRPr="00515206" w:rsidRDefault="0004645C" w:rsidP="00525BEF">
            <w:pPr>
              <w:ind w:right="540"/>
              <w:contextualSpacing/>
              <w:rPr>
                <w:rFonts w:cstheme="minorHAnsi"/>
                <w:sz w:val="24"/>
                <w:szCs w:val="24"/>
              </w:rPr>
            </w:pPr>
            <w:r w:rsidRPr="00515206">
              <w:rPr>
                <w:rFonts w:cstheme="minorHAnsi"/>
                <w:sz w:val="24"/>
                <w:szCs w:val="24"/>
              </w:rPr>
              <w:t>Total Value</w:t>
            </w:r>
          </w:p>
        </w:tc>
        <w:tc>
          <w:tcPr>
            <w:tcW w:w="5305" w:type="dxa"/>
            <w:shd w:val="clear" w:color="auto" w:fill="auto"/>
            <w:vAlign w:val="center"/>
          </w:tcPr>
          <w:p w14:paraId="66DB4152" w14:textId="06429CA6" w:rsidR="0004645C" w:rsidRPr="00515206" w:rsidRDefault="00F744D1" w:rsidP="00525BEF">
            <w:pPr>
              <w:ind w:right="540"/>
              <w:contextualSpacing/>
              <w:rPr>
                <w:rFonts w:cstheme="minorHAnsi"/>
                <w:sz w:val="24"/>
                <w:szCs w:val="24"/>
              </w:rPr>
            </w:pPr>
            <w:r>
              <w:rPr>
                <w:rFonts w:cstheme="minorHAnsi"/>
                <w:sz w:val="24"/>
                <w:szCs w:val="24"/>
              </w:rPr>
              <w:t>$2,358,540</w:t>
            </w:r>
          </w:p>
        </w:tc>
      </w:tr>
      <w:tr w:rsidR="00DF2366" w:rsidRPr="007B1C0B" w14:paraId="29718D41" w14:textId="77777777" w:rsidTr="000C7878">
        <w:trPr>
          <w:cantSplit/>
          <w:trHeight w:val="350"/>
        </w:trPr>
        <w:tc>
          <w:tcPr>
            <w:tcW w:w="4045" w:type="dxa"/>
            <w:shd w:val="clear" w:color="auto" w:fill="auto"/>
            <w:vAlign w:val="center"/>
          </w:tcPr>
          <w:p w14:paraId="4FDAC3CE" w14:textId="77777777" w:rsidR="0004645C" w:rsidRPr="00515206" w:rsidRDefault="0004645C" w:rsidP="00525BEF">
            <w:pPr>
              <w:ind w:right="540"/>
              <w:contextualSpacing/>
              <w:rPr>
                <w:rFonts w:cstheme="minorHAnsi"/>
                <w:sz w:val="24"/>
                <w:szCs w:val="24"/>
              </w:rPr>
            </w:pPr>
            <w:r w:rsidRPr="00515206">
              <w:rPr>
                <w:rFonts w:cstheme="minorHAnsi"/>
                <w:sz w:val="24"/>
                <w:szCs w:val="24"/>
              </w:rPr>
              <w:t>Project Number</w:t>
            </w:r>
          </w:p>
        </w:tc>
        <w:tc>
          <w:tcPr>
            <w:tcW w:w="5305" w:type="dxa"/>
            <w:shd w:val="clear" w:color="auto" w:fill="auto"/>
            <w:vAlign w:val="center"/>
          </w:tcPr>
          <w:p w14:paraId="16969227" w14:textId="4175659B" w:rsidR="0004645C" w:rsidRPr="00515206" w:rsidRDefault="00F744D1" w:rsidP="00525BEF">
            <w:pPr>
              <w:ind w:right="540"/>
              <w:contextualSpacing/>
              <w:rPr>
                <w:rFonts w:cstheme="minorHAnsi"/>
                <w:sz w:val="24"/>
                <w:szCs w:val="24"/>
              </w:rPr>
            </w:pPr>
            <w:r>
              <w:rPr>
                <w:rFonts w:cstheme="minorHAnsi"/>
                <w:sz w:val="24"/>
                <w:szCs w:val="24"/>
              </w:rPr>
              <w:t>BILH-21111612-RE</w:t>
            </w:r>
          </w:p>
        </w:tc>
      </w:tr>
      <w:tr w:rsidR="00DF2366" w:rsidRPr="007B1C0B" w14:paraId="03E9F91E" w14:textId="77777777" w:rsidTr="000C7878">
        <w:trPr>
          <w:cantSplit/>
          <w:trHeight w:val="350"/>
        </w:trPr>
        <w:tc>
          <w:tcPr>
            <w:tcW w:w="4045" w:type="dxa"/>
            <w:shd w:val="clear" w:color="auto" w:fill="auto"/>
            <w:vAlign w:val="center"/>
          </w:tcPr>
          <w:p w14:paraId="0444BB1A" w14:textId="77777777" w:rsidR="0004645C" w:rsidRPr="00515206" w:rsidRDefault="0004645C" w:rsidP="00525BEF">
            <w:pPr>
              <w:ind w:right="540"/>
              <w:contextualSpacing/>
              <w:rPr>
                <w:rFonts w:cstheme="minorHAnsi"/>
                <w:sz w:val="24"/>
                <w:szCs w:val="24"/>
              </w:rPr>
            </w:pPr>
            <w:r w:rsidRPr="00515206">
              <w:rPr>
                <w:rFonts w:cstheme="minorHAnsi"/>
                <w:sz w:val="24"/>
                <w:szCs w:val="24"/>
              </w:rPr>
              <w:t>Ten Taxpayer Group (TTG)</w:t>
            </w:r>
          </w:p>
        </w:tc>
        <w:tc>
          <w:tcPr>
            <w:tcW w:w="5305" w:type="dxa"/>
            <w:shd w:val="clear" w:color="auto" w:fill="auto"/>
            <w:vAlign w:val="center"/>
          </w:tcPr>
          <w:p w14:paraId="5BCA88AB" w14:textId="6C71EB47" w:rsidR="0004645C" w:rsidRPr="00515206" w:rsidRDefault="00A4690E" w:rsidP="00525BEF">
            <w:pPr>
              <w:ind w:right="540"/>
              <w:contextualSpacing/>
              <w:rPr>
                <w:rFonts w:cstheme="minorHAnsi"/>
                <w:sz w:val="24"/>
                <w:szCs w:val="24"/>
              </w:rPr>
            </w:pPr>
            <w:r>
              <w:rPr>
                <w:rFonts w:cstheme="minorHAnsi"/>
                <w:sz w:val="24"/>
                <w:szCs w:val="24"/>
              </w:rPr>
              <w:t>None</w:t>
            </w:r>
            <w:r w:rsidR="00963C31">
              <w:rPr>
                <w:rFonts w:cstheme="minorHAnsi"/>
                <w:sz w:val="24"/>
                <w:szCs w:val="24"/>
              </w:rPr>
              <w:t xml:space="preserve"> </w:t>
            </w:r>
          </w:p>
        </w:tc>
      </w:tr>
      <w:tr w:rsidR="00DF2366" w:rsidRPr="007B1C0B" w14:paraId="6325A40F" w14:textId="77777777" w:rsidTr="000C7878">
        <w:trPr>
          <w:cantSplit/>
          <w:trHeight w:val="350"/>
        </w:trPr>
        <w:tc>
          <w:tcPr>
            <w:tcW w:w="4045" w:type="dxa"/>
            <w:shd w:val="clear" w:color="auto" w:fill="auto"/>
            <w:vAlign w:val="center"/>
          </w:tcPr>
          <w:p w14:paraId="4206A414" w14:textId="77777777" w:rsidR="0004645C" w:rsidRPr="00515206" w:rsidRDefault="0004645C" w:rsidP="00525BEF">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5305" w:type="dxa"/>
            <w:shd w:val="clear" w:color="auto" w:fill="auto"/>
            <w:vAlign w:val="center"/>
          </w:tcPr>
          <w:p w14:paraId="13D1653D" w14:textId="5C00BD02" w:rsidR="0004645C" w:rsidRPr="00515206" w:rsidRDefault="00F744D1" w:rsidP="00525BEF">
            <w:pPr>
              <w:ind w:right="540"/>
              <w:contextualSpacing/>
              <w:rPr>
                <w:rFonts w:cstheme="minorHAnsi"/>
                <w:sz w:val="24"/>
                <w:szCs w:val="24"/>
              </w:rPr>
            </w:pPr>
            <w:r>
              <w:rPr>
                <w:rFonts w:cstheme="minorHAnsi"/>
                <w:sz w:val="24"/>
                <w:szCs w:val="24"/>
              </w:rPr>
              <w:t>$117,927</w:t>
            </w:r>
          </w:p>
        </w:tc>
      </w:tr>
      <w:tr w:rsidR="00DF2366" w:rsidRPr="007B1C0B" w14:paraId="121BE900" w14:textId="77777777" w:rsidTr="000C7878">
        <w:trPr>
          <w:cantSplit/>
          <w:trHeight w:val="350"/>
        </w:trPr>
        <w:tc>
          <w:tcPr>
            <w:tcW w:w="4045" w:type="dxa"/>
            <w:shd w:val="clear" w:color="auto" w:fill="auto"/>
            <w:vAlign w:val="center"/>
          </w:tcPr>
          <w:p w14:paraId="3613B78E" w14:textId="77777777" w:rsidR="0004645C" w:rsidRPr="00515206" w:rsidRDefault="0004645C" w:rsidP="00525BEF">
            <w:pPr>
              <w:ind w:right="540"/>
              <w:contextualSpacing/>
              <w:rPr>
                <w:rFonts w:cstheme="minorHAnsi"/>
                <w:sz w:val="24"/>
                <w:szCs w:val="24"/>
              </w:rPr>
            </w:pPr>
            <w:r w:rsidRPr="00515206">
              <w:rPr>
                <w:rFonts w:cstheme="minorHAnsi"/>
                <w:sz w:val="24"/>
                <w:szCs w:val="24"/>
              </w:rPr>
              <w:t>Staff Recommendation</w:t>
            </w:r>
          </w:p>
        </w:tc>
        <w:tc>
          <w:tcPr>
            <w:tcW w:w="5305" w:type="dxa"/>
            <w:shd w:val="clear" w:color="auto" w:fill="auto"/>
            <w:vAlign w:val="center"/>
          </w:tcPr>
          <w:p w14:paraId="2D758FD7" w14:textId="18C08A7A" w:rsidR="0004645C" w:rsidRPr="00515206" w:rsidRDefault="006C04F2" w:rsidP="00525BEF">
            <w:pPr>
              <w:ind w:right="540"/>
              <w:contextualSpacing/>
              <w:rPr>
                <w:rFonts w:cstheme="minorHAnsi"/>
                <w:sz w:val="24"/>
                <w:szCs w:val="24"/>
              </w:rPr>
            </w:pPr>
            <w:r>
              <w:rPr>
                <w:rFonts w:cstheme="minorHAnsi"/>
                <w:sz w:val="24"/>
                <w:szCs w:val="24"/>
              </w:rPr>
              <w:t>Approval</w:t>
            </w:r>
          </w:p>
        </w:tc>
      </w:tr>
      <w:tr w:rsidR="00DF2366" w:rsidRPr="007B1C0B" w14:paraId="31DB88B2" w14:textId="77777777" w:rsidTr="000C7878">
        <w:trPr>
          <w:cantSplit/>
          <w:trHeight w:val="350"/>
        </w:trPr>
        <w:tc>
          <w:tcPr>
            <w:tcW w:w="4045" w:type="dxa"/>
            <w:shd w:val="clear" w:color="auto" w:fill="auto"/>
            <w:vAlign w:val="center"/>
          </w:tcPr>
          <w:p w14:paraId="53C659D3" w14:textId="3E055B2E" w:rsidR="0004645C" w:rsidRPr="00515206" w:rsidRDefault="0086021D" w:rsidP="00525BEF">
            <w:pPr>
              <w:ind w:right="540"/>
              <w:contextualSpacing/>
              <w:rPr>
                <w:rFonts w:cstheme="minorHAnsi"/>
                <w:sz w:val="24"/>
                <w:szCs w:val="24"/>
              </w:rPr>
            </w:pPr>
            <w:r>
              <w:rPr>
                <w:rFonts w:cstheme="minorHAnsi"/>
                <w:sz w:val="24"/>
                <w:szCs w:val="24"/>
              </w:rPr>
              <w:t>Delegated Review</w:t>
            </w:r>
            <w:r w:rsidR="0004645C" w:rsidRPr="00515206">
              <w:rPr>
                <w:rFonts w:cstheme="minorHAnsi"/>
                <w:sz w:val="24"/>
                <w:szCs w:val="24"/>
              </w:rPr>
              <w:t xml:space="preserve"> </w:t>
            </w:r>
          </w:p>
        </w:tc>
        <w:tc>
          <w:tcPr>
            <w:tcW w:w="5305" w:type="dxa"/>
            <w:shd w:val="clear" w:color="auto" w:fill="auto"/>
            <w:vAlign w:val="center"/>
          </w:tcPr>
          <w:p w14:paraId="7B70CFA9" w14:textId="182F1E91" w:rsidR="0004645C" w:rsidRPr="00515206" w:rsidRDefault="00A4690E" w:rsidP="00525BEF">
            <w:pPr>
              <w:ind w:right="540"/>
              <w:contextualSpacing/>
              <w:rPr>
                <w:rFonts w:cstheme="minorHAnsi"/>
                <w:sz w:val="24"/>
                <w:szCs w:val="24"/>
              </w:rPr>
            </w:pPr>
            <w:r>
              <w:rPr>
                <w:rFonts w:cstheme="minorHAnsi"/>
                <w:sz w:val="24"/>
                <w:szCs w:val="24"/>
              </w:rPr>
              <w:t xml:space="preserve">Commissioner Approval </w:t>
            </w:r>
          </w:p>
        </w:tc>
      </w:tr>
      <w:tr w:rsidR="00BD3B34" w:rsidRPr="007B1C0B" w14:paraId="4A1568E9" w14:textId="77777777" w:rsidTr="000C7878">
        <w:trPr>
          <w:cantSplit/>
          <w:trHeight w:val="2436"/>
        </w:trPr>
        <w:tc>
          <w:tcPr>
            <w:tcW w:w="0" w:type="auto"/>
            <w:gridSpan w:val="2"/>
            <w:shd w:val="clear" w:color="auto" w:fill="auto"/>
            <w:vAlign w:val="center"/>
          </w:tcPr>
          <w:p w14:paraId="066DA4D1" w14:textId="77777777" w:rsidR="0004645C" w:rsidRPr="00515206" w:rsidRDefault="0004645C" w:rsidP="00525BEF">
            <w:pPr>
              <w:pStyle w:val="NoSpacing"/>
              <w:ind w:right="540"/>
              <w:contextualSpacing/>
              <w:jc w:val="center"/>
              <w:rPr>
                <w:rFonts w:cstheme="minorHAnsi"/>
                <w:sz w:val="24"/>
                <w:szCs w:val="24"/>
              </w:rPr>
            </w:pPr>
            <w:r w:rsidRPr="00515206">
              <w:rPr>
                <w:rFonts w:cstheme="minorHAnsi"/>
                <w:sz w:val="24"/>
                <w:szCs w:val="24"/>
                <w:u w:val="single"/>
              </w:rPr>
              <w:t>Project Summary and Regulatory Review</w:t>
            </w:r>
          </w:p>
          <w:p w14:paraId="20FC7F06" w14:textId="01CE1824" w:rsidR="00D63B4A" w:rsidRDefault="00EE122E" w:rsidP="00D851C5">
            <w:pPr>
              <w:pStyle w:val="NoSpacing"/>
              <w:contextualSpacing/>
              <w:rPr>
                <w:rFonts w:cstheme="minorHAnsi"/>
                <w:sz w:val="24"/>
                <w:szCs w:val="24"/>
              </w:rPr>
            </w:pPr>
            <w:r>
              <w:rPr>
                <w:rFonts w:cstheme="minorHAnsi"/>
                <w:sz w:val="24"/>
                <w:szCs w:val="24"/>
              </w:rPr>
              <w:t>Beth Israel Lahey Health, Inc.</w:t>
            </w:r>
            <w:r w:rsidR="00D63B4A">
              <w:rPr>
                <w:rFonts w:cstheme="minorHAnsi"/>
                <w:sz w:val="24"/>
                <w:szCs w:val="24"/>
              </w:rPr>
              <w:t xml:space="preserve"> (Applicant) </w:t>
            </w:r>
            <w:r w:rsidR="00D63B4A" w:rsidRPr="00D63B4A">
              <w:rPr>
                <w:rFonts w:cstheme="minorHAnsi"/>
                <w:sz w:val="24"/>
                <w:szCs w:val="24"/>
              </w:rPr>
              <w:t>submitted a DoN Application for</w:t>
            </w:r>
            <w:r w:rsidR="00D63B4A">
              <w:rPr>
                <w:rFonts w:cstheme="minorHAnsi"/>
                <w:sz w:val="24"/>
                <w:szCs w:val="24"/>
              </w:rPr>
              <w:t xml:space="preserve"> the </w:t>
            </w:r>
            <w:r w:rsidR="00A25AFC">
              <w:rPr>
                <w:rFonts w:cstheme="minorHAnsi"/>
                <w:sz w:val="24"/>
                <w:szCs w:val="24"/>
              </w:rPr>
              <w:t>addition</w:t>
            </w:r>
            <w:r w:rsidR="00D63B4A">
              <w:rPr>
                <w:rFonts w:cstheme="minorHAnsi"/>
                <w:sz w:val="24"/>
                <w:szCs w:val="24"/>
              </w:rPr>
              <w:t xml:space="preserve"> of one </w:t>
            </w:r>
            <w:r>
              <w:rPr>
                <w:rFonts w:cstheme="minorHAnsi"/>
                <w:sz w:val="24"/>
                <w:szCs w:val="24"/>
              </w:rPr>
              <w:t>computed tomography (CT)</w:t>
            </w:r>
            <w:r w:rsidR="00D63B4A">
              <w:rPr>
                <w:rFonts w:cstheme="minorHAnsi"/>
                <w:sz w:val="24"/>
                <w:szCs w:val="24"/>
              </w:rPr>
              <w:t xml:space="preserve"> imaging unit </w:t>
            </w:r>
            <w:r w:rsidR="00D851C5">
              <w:rPr>
                <w:rFonts w:cstheme="minorHAnsi"/>
                <w:sz w:val="24"/>
                <w:szCs w:val="24"/>
              </w:rPr>
              <w:t xml:space="preserve">to be located on the main campus of </w:t>
            </w:r>
            <w:r>
              <w:rPr>
                <w:rFonts w:cstheme="minorHAnsi"/>
                <w:sz w:val="24"/>
                <w:szCs w:val="24"/>
              </w:rPr>
              <w:t>Beth Israel Deaconess Hospital - Needham</w:t>
            </w:r>
            <w:r w:rsidR="00D851C5">
              <w:rPr>
                <w:rFonts w:cstheme="minorHAnsi"/>
                <w:sz w:val="24"/>
                <w:szCs w:val="24"/>
              </w:rPr>
              <w:t xml:space="preserve"> </w:t>
            </w:r>
            <w:r w:rsidR="00642695">
              <w:rPr>
                <w:rFonts w:cstheme="minorHAnsi"/>
                <w:sz w:val="24"/>
                <w:szCs w:val="24"/>
              </w:rPr>
              <w:t xml:space="preserve">at </w:t>
            </w:r>
            <w:r>
              <w:rPr>
                <w:rFonts w:cstheme="minorHAnsi"/>
                <w:sz w:val="24"/>
                <w:szCs w:val="24"/>
              </w:rPr>
              <w:t>148 Chestnut Street, Needham, MA</w:t>
            </w:r>
            <w:r w:rsidR="00D63B4A" w:rsidRPr="00D63B4A">
              <w:rPr>
                <w:rFonts w:cstheme="minorHAnsi"/>
                <w:sz w:val="24"/>
                <w:szCs w:val="24"/>
              </w:rPr>
              <w:t xml:space="preserve">. The capital expenditure for the Proposed Project is </w:t>
            </w:r>
            <w:r w:rsidRPr="00EE122E">
              <w:rPr>
                <w:rFonts w:cstheme="minorHAnsi"/>
                <w:sz w:val="24"/>
                <w:szCs w:val="24"/>
              </w:rPr>
              <w:t>$2,358,540</w:t>
            </w:r>
            <w:r w:rsidR="00D63B4A" w:rsidRPr="00D63B4A">
              <w:rPr>
                <w:rFonts w:cstheme="minorHAnsi"/>
                <w:sz w:val="24"/>
                <w:szCs w:val="24"/>
              </w:rPr>
              <w:t>; the Community Health Initiatives (CHI) contribution is</w:t>
            </w:r>
            <w:r w:rsidR="00401EDA">
              <w:rPr>
                <w:rFonts w:cstheme="minorHAnsi"/>
                <w:sz w:val="24"/>
                <w:szCs w:val="24"/>
              </w:rPr>
              <w:t xml:space="preserve"> $</w:t>
            </w:r>
            <w:r w:rsidRPr="00EE122E">
              <w:rPr>
                <w:rFonts w:cstheme="minorHAnsi"/>
                <w:sz w:val="24"/>
                <w:szCs w:val="24"/>
              </w:rPr>
              <w:t>117,927</w:t>
            </w:r>
            <w:r w:rsidR="00D63B4A" w:rsidRPr="00D63B4A">
              <w:rPr>
                <w:rFonts w:cstheme="minorHAnsi"/>
                <w:sz w:val="24"/>
                <w:szCs w:val="24"/>
              </w:rPr>
              <w:t xml:space="preserve">. </w:t>
            </w:r>
          </w:p>
          <w:p w14:paraId="09139990" w14:textId="77777777" w:rsidR="00D63B4A" w:rsidRDefault="00D63B4A" w:rsidP="00525BEF">
            <w:pPr>
              <w:pStyle w:val="NoSpacing"/>
              <w:contextualSpacing/>
              <w:rPr>
                <w:rFonts w:cstheme="minorHAnsi"/>
                <w:sz w:val="24"/>
                <w:szCs w:val="24"/>
              </w:rPr>
            </w:pPr>
          </w:p>
          <w:p w14:paraId="2DC718F6" w14:textId="3C4FC4A3" w:rsidR="0004645C" w:rsidRPr="00515206" w:rsidRDefault="00D63B4A" w:rsidP="00525BEF">
            <w:pPr>
              <w:pStyle w:val="NoSpacing"/>
              <w:contextualSpacing/>
              <w:rPr>
                <w:rFonts w:cstheme="minorHAnsi"/>
                <w:sz w:val="24"/>
                <w:szCs w:val="24"/>
              </w:rPr>
            </w:pPr>
            <w:r w:rsidRPr="00D63B4A">
              <w:rPr>
                <w:rFonts w:cstheme="minorHAnsi"/>
                <w:sz w:val="24"/>
                <w:szCs w:val="24"/>
              </w:rPr>
              <w:t xml:space="preserve">This DoN application falls within the definition of </w:t>
            </w:r>
            <w:r w:rsidR="006814E7">
              <w:rPr>
                <w:rFonts w:cstheme="minorHAnsi"/>
                <w:sz w:val="24"/>
                <w:szCs w:val="24"/>
              </w:rPr>
              <w:t>Substantial Change in Service</w:t>
            </w:r>
            <w:r w:rsidR="009D6D90">
              <w:rPr>
                <w:rFonts w:cstheme="minorHAnsi"/>
                <w:sz w:val="24"/>
                <w:szCs w:val="24"/>
              </w:rPr>
              <w:t>,</w:t>
            </w:r>
            <w:r w:rsidR="006814E7">
              <w:rPr>
                <w:rFonts w:cstheme="minorHAnsi"/>
                <w:sz w:val="24"/>
                <w:szCs w:val="24"/>
              </w:rPr>
              <w:t xml:space="preserve"> </w:t>
            </w:r>
            <w:r w:rsidRPr="00D63B4A">
              <w:rPr>
                <w:rFonts w:cstheme="minorHAnsi"/>
                <w:sz w:val="24"/>
                <w:szCs w:val="24"/>
              </w:rPr>
              <w:t>DoN-Required Equipment and Services,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6403D2">
              <w:rPr>
                <w:rFonts w:cstheme="minorHAnsi"/>
                <w:sz w:val="24"/>
                <w:szCs w:val="24"/>
              </w:rPr>
              <w:t>.</w:t>
            </w:r>
          </w:p>
        </w:tc>
      </w:tr>
    </w:tbl>
    <w:p w14:paraId="74C16840" w14:textId="77777777" w:rsidR="0004645C" w:rsidRDefault="0004645C"/>
    <w:p w14:paraId="1DE7768A" w14:textId="35E07335" w:rsidR="00231103" w:rsidRDefault="00231103"/>
    <w:p w14:paraId="7EB0771E" w14:textId="52D6A2F2" w:rsidR="00DF2366" w:rsidRDefault="00DF2366"/>
    <w:p w14:paraId="0F36113B" w14:textId="283FCCD1" w:rsidR="00DF2366" w:rsidRDefault="00DF2366"/>
    <w:p w14:paraId="32A1333C" w14:textId="6D375F4F" w:rsidR="00DF2366" w:rsidRDefault="00DF2366"/>
    <w:p w14:paraId="005043BA" w14:textId="2242EAF3" w:rsidR="00DF2366" w:rsidRDefault="00DF2366"/>
    <w:p w14:paraId="7C3C1E7A" w14:textId="6E7CC973" w:rsidR="00DF2366" w:rsidRDefault="00DF2366"/>
    <w:p w14:paraId="444933F1" w14:textId="475A856F" w:rsidR="007B5913" w:rsidRDefault="007B5913"/>
    <w:p w14:paraId="76BDC7D7" w14:textId="77777777" w:rsidR="007B5913" w:rsidRDefault="007B5913"/>
    <w:p w14:paraId="2758094D" w14:textId="23397561" w:rsidR="00032FF5" w:rsidRDefault="00032FF5"/>
    <w:p w14:paraId="475EAAAB" w14:textId="1A769B18" w:rsidR="00667B1F" w:rsidRDefault="00667B1F">
      <w:pPr>
        <w:rPr>
          <w:b/>
          <w:bCs/>
          <w:sz w:val="28"/>
          <w:szCs w:val="28"/>
        </w:rPr>
      </w:pPr>
      <w:r>
        <w:rPr>
          <w:b/>
          <w:bCs/>
          <w:sz w:val="28"/>
          <w:szCs w:val="28"/>
        </w:rPr>
        <w:lastRenderedPageBreak/>
        <w:t>Application Overview</w:t>
      </w:r>
    </w:p>
    <w:p w14:paraId="729D39C5" w14:textId="3AF6BE5E" w:rsidR="00667B1F" w:rsidRDefault="00E83720" w:rsidP="00667357">
      <w:pPr>
        <w:spacing w:after="0" w:line="240" w:lineRule="auto"/>
        <w:rPr>
          <w:sz w:val="24"/>
          <w:szCs w:val="24"/>
        </w:rPr>
      </w:pPr>
      <w:r>
        <w:rPr>
          <w:b/>
          <w:bCs/>
          <w:sz w:val="24"/>
          <w:szCs w:val="24"/>
        </w:rPr>
        <w:t>Beth Israel Lahey Health</w:t>
      </w:r>
      <w:r w:rsidR="00667B1F">
        <w:rPr>
          <w:b/>
          <w:bCs/>
          <w:sz w:val="24"/>
          <w:szCs w:val="24"/>
        </w:rPr>
        <w:t xml:space="preserve"> (</w:t>
      </w:r>
      <w:r>
        <w:rPr>
          <w:b/>
          <w:bCs/>
          <w:sz w:val="24"/>
          <w:szCs w:val="24"/>
        </w:rPr>
        <w:t>BILH</w:t>
      </w:r>
      <w:r w:rsidR="00667B1F">
        <w:rPr>
          <w:b/>
          <w:bCs/>
          <w:sz w:val="24"/>
          <w:szCs w:val="24"/>
        </w:rPr>
        <w:t xml:space="preserve"> or Applicant)</w:t>
      </w:r>
      <w:r w:rsidR="00667B1F">
        <w:rPr>
          <w:sz w:val="24"/>
          <w:szCs w:val="24"/>
        </w:rPr>
        <w:t xml:space="preserve"> </w:t>
      </w:r>
    </w:p>
    <w:p w14:paraId="26F1E85A" w14:textId="015AAB81" w:rsidR="00E83720" w:rsidRDefault="00E83720" w:rsidP="00667357">
      <w:pPr>
        <w:spacing w:after="0" w:line="240" w:lineRule="auto"/>
        <w:rPr>
          <w:sz w:val="24"/>
          <w:szCs w:val="24"/>
        </w:rPr>
      </w:pPr>
    </w:p>
    <w:p w14:paraId="1A22819E" w14:textId="73770689" w:rsidR="00840397" w:rsidRDefault="00840397" w:rsidP="00840397">
      <w:pPr>
        <w:spacing w:after="0" w:line="240" w:lineRule="auto"/>
        <w:rPr>
          <w:sz w:val="24"/>
          <w:szCs w:val="24"/>
        </w:rPr>
      </w:pPr>
      <w:r w:rsidRPr="00F31B64">
        <w:rPr>
          <w:sz w:val="24"/>
          <w:szCs w:val="24"/>
        </w:rPr>
        <w:t>The Applicant, BILH, is a Massachusetts, non-profit, tax-exempt corporation that oversees a</w:t>
      </w:r>
      <w:r>
        <w:rPr>
          <w:sz w:val="24"/>
          <w:szCs w:val="24"/>
        </w:rPr>
        <w:t xml:space="preserve">n integrated </w:t>
      </w:r>
      <w:r w:rsidRPr="00F31B64">
        <w:rPr>
          <w:sz w:val="24"/>
          <w:szCs w:val="24"/>
        </w:rPr>
        <w:t>health care delivery system comprised of teaching and community hospitals, physician groups, behavioral health providers, post-acute care providers and other caregivers</w:t>
      </w:r>
      <w:r>
        <w:rPr>
          <w:sz w:val="24"/>
          <w:szCs w:val="24"/>
        </w:rPr>
        <w:t xml:space="preserve"> serving patients in Greater Boston and the surrounding communities in Eastern Massachusetts</w:t>
      </w:r>
      <w:r w:rsidRPr="00F31B64">
        <w:rPr>
          <w:sz w:val="24"/>
          <w:szCs w:val="24"/>
        </w:rPr>
        <w:t>.</w:t>
      </w:r>
      <w:r w:rsidR="005E00AF">
        <w:rPr>
          <w:rStyle w:val="FootnoteReference"/>
          <w:sz w:val="24"/>
          <w:szCs w:val="24"/>
        </w:rPr>
        <w:footnoteReference w:id="1"/>
      </w:r>
      <w:r w:rsidRPr="00F31B64">
        <w:rPr>
          <w:sz w:val="24"/>
          <w:szCs w:val="24"/>
        </w:rPr>
        <w:t xml:space="preserve"> BILH states that its purpose “is to support the patient care, research, and educational missions of its member entities” and its vision “is to have a broader impact on the health care industry and patient populations in Massachusetts by sharing best practices, investing in foundational infrastructure to support population health management, and encouraging true market competition based on value.”</w:t>
      </w:r>
    </w:p>
    <w:p w14:paraId="38D34D3C" w14:textId="77777777" w:rsidR="00840397" w:rsidRDefault="00840397" w:rsidP="00840397">
      <w:pPr>
        <w:spacing w:after="0" w:line="240" w:lineRule="auto"/>
        <w:rPr>
          <w:sz w:val="24"/>
          <w:szCs w:val="24"/>
        </w:rPr>
      </w:pPr>
    </w:p>
    <w:p w14:paraId="1D46D18A" w14:textId="77777777" w:rsidR="00840397" w:rsidRDefault="00840397" w:rsidP="00840397">
      <w:pPr>
        <w:spacing w:after="0" w:line="240" w:lineRule="auto"/>
        <w:rPr>
          <w:sz w:val="24"/>
          <w:szCs w:val="24"/>
        </w:rPr>
      </w:pPr>
      <w:r w:rsidRPr="009B5D8F">
        <w:rPr>
          <w:sz w:val="24"/>
          <w:szCs w:val="24"/>
        </w:rPr>
        <w:t>Collectively known as “BILH Hospitals,” BILH’s member hospitals include:</w:t>
      </w:r>
    </w:p>
    <w:p w14:paraId="40E14D56" w14:textId="77777777" w:rsidR="00840397" w:rsidRDefault="00840397" w:rsidP="00840397">
      <w:pPr>
        <w:spacing w:after="0" w:line="240" w:lineRule="auto"/>
        <w:rPr>
          <w:sz w:val="24"/>
          <w:szCs w:val="24"/>
        </w:rPr>
      </w:pPr>
    </w:p>
    <w:tbl>
      <w:tblPr>
        <w:tblStyle w:val="TableGrid"/>
        <w:tblW w:w="0" w:type="auto"/>
        <w:tblLook w:val="04A0" w:firstRow="1" w:lastRow="0" w:firstColumn="1" w:lastColumn="0" w:noHBand="0" w:noVBand="1"/>
      </w:tblPr>
      <w:tblGrid>
        <w:gridCol w:w="4675"/>
        <w:gridCol w:w="4675"/>
      </w:tblGrid>
      <w:tr w:rsidR="00840397" w14:paraId="02805134" w14:textId="77777777" w:rsidTr="000C7878">
        <w:trPr>
          <w:cantSplit/>
          <w:tblHeader/>
        </w:trPr>
        <w:tc>
          <w:tcPr>
            <w:tcW w:w="4675" w:type="dxa"/>
            <w:shd w:val="clear" w:color="auto" w:fill="F2F2F2" w:themeFill="background1" w:themeFillShade="F2"/>
          </w:tcPr>
          <w:p w14:paraId="1E60AA8B" w14:textId="02B8A222" w:rsidR="00840397" w:rsidRPr="00737641" w:rsidRDefault="00761F57" w:rsidP="00525BEF">
            <w:pPr>
              <w:jc w:val="center"/>
              <w:rPr>
                <w:sz w:val="24"/>
                <w:szCs w:val="24"/>
              </w:rPr>
            </w:pPr>
            <w:r>
              <w:rPr>
                <w:b/>
                <w:bCs/>
                <w:sz w:val="24"/>
                <w:szCs w:val="24"/>
              </w:rPr>
              <w:t xml:space="preserve">Acute </w:t>
            </w:r>
            <w:r w:rsidR="00840397" w:rsidRPr="00737641">
              <w:rPr>
                <w:b/>
                <w:bCs/>
                <w:sz w:val="24"/>
                <w:szCs w:val="24"/>
              </w:rPr>
              <w:t>Hospital</w:t>
            </w:r>
            <w:r w:rsidR="00920532" w:rsidRPr="00920532">
              <w:rPr>
                <w:b/>
                <w:bCs/>
                <w:sz w:val="24"/>
                <w:szCs w:val="24"/>
                <w:vertAlign w:val="superscript"/>
              </w:rPr>
              <w:footnoteReference w:id="2"/>
            </w:r>
          </w:p>
        </w:tc>
        <w:tc>
          <w:tcPr>
            <w:tcW w:w="4675" w:type="dxa"/>
            <w:shd w:val="clear" w:color="auto" w:fill="F2F2F2" w:themeFill="background1" w:themeFillShade="F2"/>
          </w:tcPr>
          <w:p w14:paraId="7D7B6937" w14:textId="4FA34784" w:rsidR="00840397" w:rsidRPr="00B91FC5" w:rsidRDefault="00840397" w:rsidP="00525BEF">
            <w:pPr>
              <w:jc w:val="center"/>
              <w:rPr>
                <w:b/>
                <w:bCs/>
                <w:sz w:val="24"/>
                <w:szCs w:val="24"/>
              </w:rPr>
            </w:pPr>
            <w:r w:rsidRPr="00B91FC5">
              <w:rPr>
                <w:b/>
                <w:bCs/>
                <w:sz w:val="24"/>
                <w:szCs w:val="24"/>
              </w:rPr>
              <w:t>Type (Per CHIA Category</w:t>
            </w:r>
            <w:r w:rsidRPr="00761F57">
              <w:rPr>
                <w:b/>
                <w:bCs/>
                <w:sz w:val="18"/>
                <w:szCs w:val="18"/>
                <w:vertAlign w:val="superscript"/>
              </w:rPr>
              <w:endnoteReference w:id="1"/>
            </w:r>
            <w:r w:rsidR="00761F57" w:rsidRPr="00761F57">
              <w:rPr>
                <w:b/>
                <w:bCs/>
                <w:sz w:val="18"/>
                <w:szCs w:val="18"/>
                <w:vertAlign w:val="superscript"/>
              </w:rPr>
              <w:t>,</w:t>
            </w:r>
            <w:r w:rsidR="00761F57" w:rsidRPr="00761F57">
              <w:rPr>
                <w:rStyle w:val="EndnoteReference"/>
                <w:b/>
                <w:bCs/>
                <w:sz w:val="18"/>
                <w:szCs w:val="18"/>
              </w:rPr>
              <w:endnoteReference w:id="2"/>
            </w:r>
            <w:r w:rsidRPr="00B91FC5">
              <w:rPr>
                <w:b/>
                <w:bCs/>
                <w:sz w:val="24"/>
                <w:szCs w:val="24"/>
              </w:rPr>
              <w:t>)</w:t>
            </w:r>
          </w:p>
        </w:tc>
      </w:tr>
      <w:tr w:rsidR="00840397" w14:paraId="0FD713CC" w14:textId="77777777" w:rsidTr="000C7878">
        <w:trPr>
          <w:cantSplit/>
        </w:trPr>
        <w:tc>
          <w:tcPr>
            <w:tcW w:w="4675" w:type="dxa"/>
          </w:tcPr>
          <w:p w14:paraId="08621103" w14:textId="77777777" w:rsidR="00840397" w:rsidRDefault="00840397" w:rsidP="00525BEF">
            <w:pPr>
              <w:rPr>
                <w:sz w:val="24"/>
                <w:szCs w:val="24"/>
              </w:rPr>
            </w:pPr>
            <w:r>
              <w:rPr>
                <w:sz w:val="24"/>
                <w:szCs w:val="24"/>
              </w:rPr>
              <w:t>Anna Jaques Hospital</w:t>
            </w:r>
          </w:p>
        </w:tc>
        <w:tc>
          <w:tcPr>
            <w:tcW w:w="4675" w:type="dxa"/>
          </w:tcPr>
          <w:p w14:paraId="353365D9" w14:textId="77777777" w:rsidR="00840397" w:rsidRDefault="00840397" w:rsidP="00525BEF">
            <w:pPr>
              <w:rPr>
                <w:sz w:val="24"/>
                <w:szCs w:val="24"/>
              </w:rPr>
            </w:pPr>
            <w:r w:rsidRPr="005D32E8">
              <w:rPr>
                <w:sz w:val="24"/>
                <w:szCs w:val="24"/>
              </w:rPr>
              <w:t>Community Hospital</w:t>
            </w:r>
          </w:p>
        </w:tc>
      </w:tr>
      <w:tr w:rsidR="00840397" w14:paraId="1A60989D" w14:textId="77777777" w:rsidTr="000C7878">
        <w:trPr>
          <w:cantSplit/>
        </w:trPr>
        <w:tc>
          <w:tcPr>
            <w:tcW w:w="4675" w:type="dxa"/>
          </w:tcPr>
          <w:p w14:paraId="6E449369" w14:textId="77777777" w:rsidR="00840397" w:rsidRDefault="00840397" w:rsidP="00525BEF">
            <w:pPr>
              <w:rPr>
                <w:sz w:val="24"/>
                <w:szCs w:val="24"/>
              </w:rPr>
            </w:pPr>
            <w:r w:rsidRPr="009B5D8F">
              <w:rPr>
                <w:sz w:val="24"/>
                <w:szCs w:val="24"/>
              </w:rPr>
              <w:t>Beth Israel Deaconess Hospital–Milton</w:t>
            </w:r>
          </w:p>
        </w:tc>
        <w:tc>
          <w:tcPr>
            <w:tcW w:w="4675" w:type="dxa"/>
          </w:tcPr>
          <w:p w14:paraId="57D82718" w14:textId="77777777" w:rsidR="00840397" w:rsidRDefault="00840397" w:rsidP="00525BEF">
            <w:pPr>
              <w:rPr>
                <w:sz w:val="24"/>
                <w:szCs w:val="24"/>
              </w:rPr>
            </w:pPr>
            <w:r>
              <w:rPr>
                <w:sz w:val="24"/>
                <w:szCs w:val="24"/>
              </w:rPr>
              <w:t>Community Hospital</w:t>
            </w:r>
          </w:p>
        </w:tc>
      </w:tr>
      <w:tr w:rsidR="00840397" w14:paraId="0C585A04" w14:textId="77777777" w:rsidTr="000C7878">
        <w:trPr>
          <w:cantSplit/>
        </w:trPr>
        <w:tc>
          <w:tcPr>
            <w:tcW w:w="4675" w:type="dxa"/>
          </w:tcPr>
          <w:p w14:paraId="06CB9129" w14:textId="77777777" w:rsidR="00840397" w:rsidRDefault="00840397" w:rsidP="00525BEF">
            <w:pPr>
              <w:rPr>
                <w:sz w:val="24"/>
                <w:szCs w:val="24"/>
              </w:rPr>
            </w:pPr>
            <w:r w:rsidRPr="009B5D8F">
              <w:rPr>
                <w:sz w:val="24"/>
                <w:szCs w:val="24"/>
              </w:rPr>
              <w:t>Beth Israel Deaconess Hospital–Needham</w:t>
            </w:r>
          </w:p>
        </w:tc>
        <w:tc>
          <w:tcPr>
            <w:tcW w:w="4675" w:type="dxa"/>
          </w:tcPr>
          <w:p w14:paraId="4A8C885E" w14:textId="77777777" w:rsidR="00840397" w:rsidRDefault="00840397" w:rsidP="00525BEF">
            <w:pPr>
              <w:rPr>
                <w:sz w:val="24"/>
                <w:szCs w:val="24"/>
              </w:rPr>
            </w:pPr>
            <w:r>
              <w:rPr>
                <w:sz w:val="24"/>
                <w:szCs w:val="24"/>
              </w:rPr>
              <w:t>Community Hospital</w:t>
            </w:r>
          </w:p>
        </w:tc>
      </w:tr>
      <w:tr w:rsidR="00840397" w14:paraId="53381104" w14:textId="77777777" w:rsidTr="000C7878">
        <w:trPr>
          <w:cantSplit/>
        </w:trPr>
        <w:tc>
          <w:tcPr>
            <w:tcW w:w="4675" w:type="dxa"/>
          </w:tcPr>
          <w:p w14:paraId="3481F317" w14:textId="77777777" w:rsidR="00840397" w:rsidRDefault="00840397" w:rsidP="00525BEF">
            <w:pPr>
              <w:rPr>
                <w:sz w:val="24"/>
                <w:szCs w:val="24"/>
              </w:rPr>
            </w:pPr>
            <w:r w:rsidRPr="009B5D8F">
              <w:rPr>
                <w:sz w:val="24"/>
                <w:szCs w:val="24"/>
              </w:rPr>
              <w:t>Beth Israel Deaconess Hospital–Plymouth</w:t>
            </w:r>
          </w:p>
        </w:tc>
        <w:tc>
          <w:tcPr>
            <w:tcW w:w="4675" w:type="dxa"/>
          </w:tcPr>
          <w:p w14:paraId="78579690" w14:textId="77777777" w:rsidR="00840397" w:rsidRDefault="00840397" w:rsidP="00525BEF">
            <w:pPr>
              <w:rPr>
                <w:sz w:val="24"/>
                <w:szCs w:val="24"/>
              </w:rPr>
            </w:pPr>
            <w:r>
              <w:rPr>
                <w:sz w:val="24"/>
                <w:szCs w:val="24"/>
              </w:rPr>
              <w:t>Community-High Public Payer Hospital</w:t>
            </w:r>
          </w:p>
        </w:tc>
      </w:tr>
      <w:tr w:rsidR="00840397" w14:paraId="63D8DE03" w14:textId="77777777" w:rsidTr="000C7878">
        <w:trPr>
          <w:cantSplit/>
        </w:trPr>
        <w:tc>
          <w:tcPr>
            <w:tcW w:w="4675" w:type="dxa"/>
          </w:tcPr>
          <w:p w14:paraId="28F1A64A" w14:textId="77777777" w:rsidR="00840397" w:rsidRDefault="00840397" w:rsidP="00525BEF">
            <w:pPr>
              <w:rPr>
                <w:sz w:val="24"/>
                <w:szCs w:val="24"/>
              </w:rPr>
            </w:pPr>
            <w:r w:rsidRPr="009B5D8F">
              <w:rPr>
                <w:sz w:val="24"/>
                <w:szCs w:val="24"/>
              </w:rPr>
              <w:t>Beth Israel Deaconess Medical Center</w:t>
            </w:r>
          </w:p>
        </w:tc>
        <w:tc>
          <w:tcPr>
            <w:tcW w:w="4675" w:type="dxa"/>
          </w:tcPr>
          <w:p w14:paraId="59852492" w14:textId="77777777" w:rsidR="00840397" w:rsidRDefault="00840397" w:rsidP="00525BEF">
            <w:pPr>
              <w:rPr>
                <w:sz w:val="24"/>
                <w:szCs w:val="24"/>
              </w:rPr>
            </w:pPr>
            <w:r>
              <w:rPr>
                <w:sz w:val="24"/>
                <w:szCs w:val="24"/>
              </w:rPr>
              <w:t xml:space="preserve">Academic Medical Center </w:t>
            </w:r>
          </w:p>
        </w:tc>
      </w:tr>
      <w:tr w:rsidR="00840397" w14:paraId="795AAB6A" w14:textId="77777777" w:rsidTr="000C7878">
        <w:trPr>
          <w:cantSplit/>
        </w:trPr>
        <w:tc>
          <w:tcPr>
            <w:tcW w:w="4675" w:type="dxa"/>
          </w:tcPr>
          <w:p w14:paraId="7F1BABEC" w14:textId="77777777" w:rsidR="00840397" w:rsidRDefault="00840397" w:rsidP="00525BEF">
            <w:pPr>
              <w:rPr>
                <w:sz w:val="24"/>
                <w:szCs w:val="24"/>
              </w:rPr>
            </w:pPr>
            <w:r w:rsidRPr="009B5D8F">
              <w:rPr>
                <w:sz w:val="24"/>
                <w:szCs w:val="24"/>
              </w:rPr>
              <w:t>Lahey Hospital &amp; Medical Center</w:t>
            </w:r>
          </w:p>
        </w:tc>
        <w:tc>
          <w:tcPr>
            <w:tcW w:w="4675" w:type="dxa"/>
          </w:tcPr>
          <w:p w14:paraId="639F8268" w14:textId="77777777" w:rsidR="00840397" w:rsidRDefault="00840397" w:rsidP="00525BEF">
            <w:pPr>
              <w:rPr>
                <w:sz w:val="24"/>
                <w:szCs w:val="24"/>
              </w:rPr>
            </w:pPr>
            <w:r>
              <w:rPr>
                <w:sz w:val="24"/>
                <w:szCs w:val="24"/>
              </w:rPr>
              <w:t>Teaching Hospital</w:t>
            </w:r>
          </w:p>
        </w:tc>
      </w:tr>
      <w:tr w:rsidR="00840397" w14:paraId="1A4D7B38" w14:textId="77777777" w:rsidTr="000C7878">
        <w:trPr>
          <w:cantSplit/>
        </w:trPr>
        <w:tc>
          <w:tcPr>
            <w:tcW w:w="4675" w:type="dxa"/>
          </w:tcPr>
          <w:p w14:paraId="1498C726" w14:textId="77777777" w:rsidR="00840397" w:rsidRDefault="00840397" w:rsidP="00525BEF">
            <w:pPr>
              <w:rPr>
                <w:sz w:val="24"/>
                <w:szCs w:val="24"/>
              </w:rPr>
            </w:pPr>
            <w:r w:rsidRPr="009B5D8F">
              <w:rPr>
                <w:sz w:val="24"/>
                <w:szCs w:val="24"/>
              </w:rPr>
              <w:t>Mount Auburn Hospital</w:t>
            </w:r>
          </w:p>
        </w:tc>
        <w:tc>
          <w:tcPr>
            <w:tcW w:w="4675" w:type="dxa"/>
          </w:tcPr>
          <w:p w14:paraId="441CA75D" w14:textId="77777777" w:rsidR="00840397" w:rsidRDefault="00840397" w:rsidP="00525BEF">
            <w:pPr>
              <w:rPr>
                <w:sz w:val="24"/>
                <w:szCs w:val="24"/>
              </w:rPr>
            </w:pPr>
            <w:r>
              <w:rPr>
                <w:sz w:val="24"/>
                <w:szCs w:val="24"/>
              </w:rPr>
              <w:t>Teaching Hospital</w:t>
            </w:r>
          </w:p>
        </w:tc>
      </w:tr>
      <w:tr w:rsidR="00840397" w14:paraId="1EE91492" w14:textId="77777777" w:rsidTr="000C7878">
        <w:trPr>
          <w:cantSplit/>
        </w:trPr>
        <w:tc>
          <w:tcPr>
            <w:tcW w:w="4675" w:type="dxa"/>
          </w:tcPr>
          <w:p w14:paraId="297CE46B" w14:textId="77777777" w:rsidR="00840397" w:rsidRDefault="00840397" w:rsidP="00525BEF">
            <w:pPr>
              <w:rPr>
                <w:sz w:val="24"/>
                <w:szCs w:val="24"/>
              </w:rPr>
            </w:pPr>
            <w:r w:rsidRPr="009B5D8F">
              <w:rPr>
                <w:sz w:val="24"/>
                <w:szCs w:val="24"/>
              </w:rPr>
              <w:t>New England Baptist Hospital</w:t>
            </w:r>
          </w:p>
        </w:tc>
        <w:tc>
          <w:tcPr>
            <w:tcW w:w="4675" w:type="dxa"/>
          </w:tcPr>
          <w:p w14:paraId="3753A4E1" w14:textId="77777777" w:rsidR="00840397" w:rsidRDefault="00840397" w:rsidP="00525BEF">
            <w:pPr>
              <w:rPr>
                <w:sz w:val="24"/>
                <w:szCs w:val="24"/>
              </w:rPr>
            </w:pPr>
            <w:r>
              <w:rPr>
                <w:sz w:val="24"/>
                <w:szCs w:val="24"/>
              </w:rPr>
              <w:t>Specialty Hospital</w:t>
            </w:r>
          </w:p>
        </w:tc>
      </w:tr>
      <w:tr w:rsidR="00761F57" w14:paraId="312A79A7" w14:textId="77777777" w:rsidTr="000C7878">
        <w:trPr>
          <w:cantSplit/>
        </w:trPr>
        <w:tc>
          <w:tcPr>
            <w:tcW w:w="4675" w:type="dxa"/>
          </w:tcPr>
          <w:p w14:paraId="304573F0" w14:textId="61367F25" w:rsidR="00761F57" w:rsidRPr="009B5D8F" w:rsidRDefault="00761F57" w:rsidP="00525BEF">
            <w:pPr>
              <w:rPr>
                <w:sz w:val="24"/>
                <w:szCs w:val="24"/>
              </w:rPr>
            </w:pPr>
            <w:r>
              <w:rPr>
                <w:sz w:val="24"/>
                <w:szCs w:val="24"/>
              </w:rPr>
              <w:t>Northeast Hospital</w:t>
            </w:r>
          </w:p>
        </w:tc>
        <w:tc>
          <w:tcPr>
            <w:tcW w:w="4675" w:type="dxa"/>
          </w:tcPr>
          <w:p w14:paraId="737D837E" w14:textId="67889E33" w:rsidR="00761F57" w:rsidRDefault="00761F57" w:rsidP="00525BEF">
            <w:pPr>
              <w:rPr>
                <w:sz w:val="24"/>
                <w:szCs w:val="24"/>
              </w:rPr>
            </w:pPr>
            <w:r>
              <w:rPr>
                <w:sz w:val="24"/>
                <w:szCs w:val="24"/>
              </w:rPr>
              <w:t xml:space="preserve">Community-High Public Payer </w:t>
            </w:r>
          </w:p>
        </w:tc>
      </w:tr>
      <w:tr w:rsidR="00840397" w14:paraId="1267799E" w14:textId="77777777" w:rsidTr="000C7878">
        <w:trPr>
          <w:cantSplit/>
        </w:trPr>
        <w:tc>
          <w:tcPr>
            <w:tcW w:w="4675" w:type="dxa"/>
          </w:tcPr>
          <w:p w14:paraId="6EC6EDCB" w14:textId="77777777" w:rsidR="00840397" w:rsidRDefault="00840397" w:rsidP="00525BEF">
            <w:pPr>
              <w:rPr>
                <w:sz w:val="24"/>
                <w:szCs w:val="24"/>
              </w:rPr>
            </w:pPr>
            <w:r w:rsidRPr="009B5D8F">
              <w:rPr>
                <w:sz w:val="24"/>
                <w:szCs w:val="24"/>
              </w:rPr>
              <w:t>Winchester Hospital</w:t>
            </w:r>
          </w:p>
        </w:tc>
        <w:tc>
          <w:tcPr>
            <w:tcW w:w="4675" w:type="dxa"/>
          </w:tcPr>
          <w:p w14:paraId="609D6CE5" w14:textId="77777777" w:rsidR="00840397" w:rsidRDefault="00840397" w:rsidP="00525BEF">
            <w:pPr>
              <w:rPr>
                <w:sz w:val="24"/>
                <w:szCs w:val="24"/>
              </w:rPr>
            </w:pPr>
            <w:r>
              <w:rPr>
                <w:sz w:val="24"/>
                <w:szCs w:val="24"/>
              </w:rPr>
              <w:t>Community Hospital</w:t>
            </w:r>
          </w:p>
        </w:tc>
      </w:tr>
    </w:tbl>
    <w:p w14:paraId="26B14F82" w14:textId="77777777" w:rsidR="00840397" w:rsidRDefault="00840397" w:rsidP="00840397">
      <w:pPr>
        <w:spacing w:after="0" w:line="240" w:lineRule="auto"/>
        <w:rPr>
          <w:sz w:val="24"/>
          <w:szCs w:val="24"/>
        </w:rPr>
      </w:pPr>
    </w:p>
    <w:p w14:paraId="7B43EF09" w14:textId="5D1AC1CC" w:rsidR="00840397" w:rsidRDefault="00840397" w:rsidP="00840397">
      <w:pPr>
        <w:spacing w:after="0" w:line="240" w:lineRule="auto"/>
        <w:rPr>
          <w:sz w:val="24"/>
          <w:szCs w:val="24"/>
        </w:rPr>
      </w:pPr>
      <w:r w:rsidRPr="00D15927">
        <w:rPr>
          <w:sz w:val="24"/>
          <w:szCs w:val="24"/>
        </w:rPr>
        <w:t>BILH operates Beth Israel Lahey Health Performance Network, LLC (BILHPN), a Massachusetts Health Policy Commission (HPC) certified Accountable Care Organization (ACO), which the Applicant states is a value-based physician and hospital network whose goal is to partner with other community hospitals and providers throughout Eastern Massachusetts to improve quality of care while managing medical costs.</w:t>
      </w:r>
    </w:p>
    <w:p w14:paraId="0E722D90" w14:textId="2BAC0BCD" w:rsidR="00840397" w:rsidRDefault="00840397" w:rsidP="00667357">
      <w:pPr>
        <w:spacing w:after="0" w:line="240" w:lineRule="auto"/>
        <w:rPr>
          <w:sz w:val="24"/>
          <w:szCs w:val="24"/>
        </w:rPr>
      </w:pPr>
    </w:p>
    <w:p w14:paraId="024D84A7" w14:textId="72E6B196" w:rsidR="001448FD" w:rsidRDefault="001448FD" w:rsidP="00667357">
      <w:pPr>
        <w:spacing w:after="0" w:line="240" w:lineRule="auto"/>
        <w:rPr>
          <w:sz w:val="24"/>
          <w:szCs w:val="24"/>
        </w:rPr>
      </w:pPr>
    </w:p>
    <w:p w14:paraId="02F83283" w14:textId="77777777" w:rsidR="00DB7FA3" w:rsidRDefault="00DB7FA3" w:rsidP="00667357">
      <w:pPr>
        <w:spacing w:after="0" w:line="240" w:lineRule="auto"/>
        <w:rPr>
          <w:b/>
          <w:bCs/>
          <w:sz w:val="24"/>
          <w:szCs w:val="24"/>
        </w:rPr>
      </w:pPr>
    </w:p>
    <w:p w14:paraId="20723528" w14:textId="77777777" w:rsidR="00DB7FA3" w:rsidRDefault="00DB7FA3" w:rsidP="00667357">
      <w:pPr>
        <w:spacing w:after="0" w:line="240" w:lineRule="auto"/>
        <w:rPr>
          <w:b/>
          <w:bCs/>
          <w:sz w:val="24"/>
          <w:szCs w:val="24"/>
        </w:rPr>
      </w:pPr>
    </w:p>
    <w:p w14:paraId="0FAAEB6C" w14:textId="77777777" w:rsidR="00DB7FA3" w:rsidRDefault="00DB7FA3" w:rsidP="00667357">
      <w:pPr>
        <w:spacing w:after="0" w:line="240" w:lineRule="auto"/>
        <w:rPr>
          <w:b/>
          <w:bCs/>
          <w:sz w:val="24"/>
          <w:szCs w:val="24"/>
        </w:rPr>
      </w:pPr>
    </w:p>
    <w:p w14:paraId="135BECD5" w14:textId="77777777" w:rsidR="00DB7FA3" w:rsidRDefault="00DB7FA3" w:rsidP="00667357">
      <w:pPr>
        <w:spacing w:after="0" w:line="240" w:lineRule="auto"/>
        <w:rPr>
          <w:b/>
          <w:bCs/>
          <w:sz w:val="24"/>
          <w:szCs w:val="24"/>
        </w:rPr>
      </w:pPr>
    </w:p>
    <w:p w14:paraId="059DD018" w14:textId="2B1658DD" w:rsidR="00E83720" w:rsidRDefault="00AD436B" w:rsidP="00667357">
      <w:pPr>
        <w:spacing w:after="0" w:line="240" w:lineRule="auto"/>
        <w:rPr>
          <w:b/>
          <w:bCs/>
          <w:sz w:val="24"/>
          <w:szCs w:val="24"/>
        </w:rPr>
      </w:pPr>
      <w:r>
        <w:rPr>
          <w:b/>
          <w:bCs/>
          <w:sz w:val="24"/>
          <w:szCs w:val="24"/>
        </w:rPr>
        <w:lastRenderedPageBreak/>
        <w:t>Beth Israel Deaconess</w:t>
      </w:r>
      <w:r w:rsidR="00105AAB">
        <w:rPr>
          <w:b/>
          <w:bCs/>
          <w:sz w:val="24"/>
          <w:szCs w:val="24"/>
        </w:rPr>
        <w:t xml:space="preserve"> -</w:t>
      </w:r>
      <w:r>
        <w:rPr>
          <w:b/>
          <w:bCs/>
          <w:sz w:val="24"/>
          <w:szCs w:val="24"/>
        </w:rPr>
        <w:t xml:space="preserve"> Needham </w:t>
      </w:r>
    </w:p>
    <w:p w14:paraId="3CF5775D" w14:textId="19B0081A" w:rsidR="00933B3E" w:rsidRPr="00933B3E" w:rsidRDefault="00C21549" w:rsidP="00667357">
      <w:pPr>
        <w:spacing w:after="0" w:line="240" w:lineRule="auto"/>
        <w:rPr>
          <w:sz w:val="24"/>
          <w:szCs w:val="24"/>
        </w:rPr>
      </w:pPr>
      <w:r>
        <w:rPr>
          <w:sz w:val="24"/>
          <w:szCs w:val="24"/>
        </w:rPr>
        <w:t>B</w:t>
      </w:r>
      <w:r w:rsidR="000471B4">
        <w:rPr>
          <w:sz w:val="24"/>
          <w:szCs w:val="24"/>
        </w:rPr>
        <w:t>eth Israel Deaconess</w:t>
      </w:r>
      <w:r>
        <w:rPr>
          <w:sz w:val="24"/>
          <w:szCs w:val="24"/>
        </w:rPr>
        <w:t>-</w:t>
      </w:r>
      <w:r w:rsidR="00A00C40">
        <w:rPr>
          <w:sz w:val="24"/>
          <w:szCs w:val="24"/>
        </w:rPr>
        <w:t>Needham</w:t>
      </w:r>
      <w:r w:rsidR="00437DB0">
        <w:rPr>
          <w:sz w:val="24"/>
          <w:szCs w:val="24"/>
        </w:rPr>
        <w:t xml:space="preserve"> </w:t>
      </w:r>
      <w:r w:rsidR="00437DB0" w:rsidRPr="00437DB0">
        <w:rPr>
          <w:sz w:val="24"/>
          <w:szCs w:val="24"/>
        </w:rPr>
        <w:t>(BID – Needham)</w:t>
      </w:r>
      <w:r w:rsidR="00AD436B">
        <w:rPr>
          <w:sz w:val="24"/>
          <w:szCs w:val="24"/>
        </w:rPr>
        <w:t xml:space="preserve">, the </w:t>
      </w:r>
      <w:r w:rsidR="00AD436B" w:rsidRPr="00AD436B">
        <w:rPr>
          <w:sz w:val="24"/>
          <w:szCs w:val="24"/>
        </w:rPr>
        <w:t xml:space="preserve">site of the Proposed Project, is a community hospital (CH) that is licensed to operate </w:t>
      </w:r>
      <w:r w:rsidR="00885485">
        <w:rPr>
          <w:sz w:val="24"/>
          <w:szCs w:val="24"/>
        </w:rPr>
        <w:t>58</w:t>
      </w:r>
      <w:r w:rsidR="00AD436B" w:rsidRPr="00AD436B">
        <w:rPr>
          <w:sz w:val="24"/>
          <w:szCs w:val="24"/>
        </w:rPr>
        <w:t xml:space="preserve"> acute care beds.</w:t>
      </w:r>
      <w:r w:rsidR="00926487">
        <w:rPr>
          <w:rStyle w:val="FootnoteReference"/>
          <w:sz w:val="24"/>
          <w:szCs w:val="24"/>
        </w:rPr>
        <w:footnoteReference w:id="3"/>
      </w:r>
      <w:r w:rsidR="00655FDC">
        <w:rPr>
          <w:sz w:val="24"/>
          <w:szCs w:val="24"/>
        </w:rPr>
        <w:t xml:space="preserve"> </w:t>
      </w:r>
      <w:r>
        <w:rPr>
          <w:sz w:val="24"/>
          <w:szCs w:val="24"/>
        </w:rPr>
        <w:t>BID-N</w:t>
      </w:r>
      <w:r w:rsidR="00017354">
        <w:rPr>
          <w:sz w:val="24"/>
          <w:szCs w:val="24"/>
        </w:rPr>
        <w:t xml:space="preserve">eedham provides secondary/community-based care to meet complex patient needs and serves as a community hospital for residents living in Needham and nearby communities. </w:t>
      </w:r>
      <w:r>
        <w:rPr>
          <w:sz w:val="24"/>
          <w:szCs w:val="24"/>
        </w:rPr>
        <w:t>BID-N</w:t>
      </w:r>
      <w:r w:rsidR="00A85DF5">
        <w:rPr>
          <w:sz w:val="24"/>
          <w:szCs w:val="24"/>
        </w:rPr>
        <w:t xml:space="preserve">eedham is contracted to participate in BILHPN and currently participates in its subsidiary ACO, Beth Israel Deaconess Physician Organization, LLC d/b/a Beth Israel Deaconess Care Organization of “BIDCO”. </w:t>
      </w:r>
      <w:r>
        <w:rPr>
          <w:sz w:val="24"/>
          <w:szCs w:val="24"/>
        </w:rPr>
        <w:t>BID-N</w:t>
      </w:r>
      <w:r w:rsidR="00F96C5D">
        <w:rPr>
          <w:sz w:val="24"/>
          <w:szCs w:val="24"/>
        </w:rPr>
        <w:t>eedham</w:t>
      </w:r>
      <w:r w:rsidR="00F96C5D" w:rsidRPr="00F96C5D">
        <w:rPr>
          <w:sz w:val="24"/>
          <w:szCs w:val="24"/>
        </w:rPr>
        <w:t xml:space="preserve"> is a DPH</w:t>
      </w:r>
      <w:r w:rsidR="00CF2E20">
        <w:rPr>
          <w:sz w:val="24"/>
          <w:szCs w:val="24"/>
        </w:rPr>
        <w:t>-</w:t>
      </w:r>
      <w:r w:rsidR="00F96C5D" w:rsidRPr="00F96C5D">
        <w:rPr>
          <w:sz w:val="24"/>
          <w:szCs w:val="24"/>
        </w:rPr>
        <w:t>designated Primary Stroke Service (PSS) Hospital providing 24/7 care to patients experiencing stroke and stroke symptoms.</w:t>
      </w:r>
      <w:r w:rsidR="00F96C5D" w:rsidRPr="00F96C5D">
        <w:rPr>
          <w:sz w:val="24"/>
          <w:szCs w:val="24"/>
          <w:vertAlign w:val="superscript"/>
        </w:rPr>
        <w:footnoteReference w:id="4"/>
      </w:r>
      <w:r w:rsidR="00F96C5D" w:rsidRPr="00F96C5D">
        <w:rPr>
          <w:sz w:val="24"/>
          <w:szCs w:val="24"/>
          <w:vertAlign w:val="superscript"/>
        </w:rPr>
        <w:t>,</w:t>
      </w:r>
      <w:r w:rsidR="00F96C5D" w:rsidRPr="00F96C5D">
        <w:rPr>
          <w:sz w:val="24"/>
          <w:szCs w:val="24"/>
          <w:vertAlign w:val="superscript"/>
        </w:rPr>
        <w:footnoteReference w:id="5"/>
      </w:r>
    </w:p>
    <w:p w14:paraId="38B65924" w14:textId="46868887" w:rsidR="00933B3E" w:rsidRPr="00AD436B" w:rsidRDefault="00933B3E" w:rsidP="00667357">
      <w:pPr>
        <w:spacing w:after="0" w:line="240" w:lineRule="auto"/>
        <w:rPr>
          <w:sz w:val="24"/>
          <w:szCs w:val="24"/>
        </w:rPr>
      </w:pPr>
    </w:p>
    <w:p w14:paraId="3BAD31F4" w14:textId="48ADFB72" w:rsidR="00667B1F" w:rsidRPr="00E83720" w:rsidRDefault="00E83720" w:rsidP="00667357">
      <w:pPr>
        <w:spacing w:after="0" w:line="240" w:lineRule="auto"/>
        <w:rPr>
          <w:b/>
          <w:bCs/>
          <w:sz w:val="24"/>
          <w:szCs w:val="24"/>
        </w:rPr>
      </w:pPr>
      <w:r w:rsidRPr="00E83720">
        <w:rPr>
          <w:b/>
          <w:bCs/>
          <w:sz w:val="24"/>
          <w:szCs w:val="24"/>
        </w:rPr>
        <w:t xml:space="preserve">Application Summary </w:t>
      </w:r>
    </w:p>
    <w:p w14:paraId="4313A915" w14:textId="57C01A34" w:rsidR="00455C61" w:rsidRPr="00455C61" w:rsidRDefault="00A70440" w:rsidP="00AF172F">
      <w:pPr>
        <w:spacing w:line="240" w:lineRule="auto"/>
        <w:rPr>
          <w:sz w:val="24"/>
          <w:szCs w:val="24"/>
        </w:rPr>
      </w:pPr>
      <w:r>
        <w:rPr>
          <w:sz w:val="24"/>
          <w:szCs w:val="24"/>
        </w:rPr>
        <w:t xml:space="preserve">In February 2021, </w:t>
      </w:r>
      <w:r w:rsidR="00C21549">
        <w:rPr>
          <w:sz w:val="24"/>
          <w:szCs w:val="24"/>
        </w:rPr>
        <w:t>BID-N</w:t>
      </w:r>
      <w:r w:rsidR="00A00C40">
        <w:rPr>
          <w:sz w:val="24"/>
          <w:szCs w:val="24"/>
        </w:rPr>
        <w:t>eedham</w:t>
      </w:r>
      <w:r w:rsidR="00F0375A" w:rsidRPr="00F0375A">
        <w:rPr>
          <w:sz w:val="24"/>
          <w:szCs w:val="24"/>
        </w:rPr>
        <w:t xml:space="preserve"> </w:t>
      </w:r>
      <w:r>
        <w:rPr>
          <w:sz w:val="24"/>
          <w:szCs w:val="24"/>
        </w:rPr>
        <w:t xml:space="preserve">notified </w:t>
      </w:r>
      <w:r w:rsidR="00096803">
        <w:rPr>
          <w:sz w:val="24"/>
          <w:szCs w:val="24"/>
        </w:rPr>
        <w:t>the Department of Public Health (DPH)</w:t>
      </w:r>
      <w:r>
        <w:rPr>
          <w:sz w:val="24"/>
          <w:szCs w:val="24"/>
        </w:rPr>
        <w:t xml:space="preserve"> that it was replacing its</w:t>
      </w:r>
      <w:r w:rsidR="00F0375A" w:rsidRPr="00F0375A">
        <w:rPr>
          <w:sz w:val="24"/>
          <w:szCs w:val="24"/>
        </w:rPr>
        <w:t xml:space="preserve"> existing CT unit</w:t>
      </w:r>
      <w:r w:rsidR="00B34962">
        <w:rPr>
          <w:sz w:val="24"/>
          <w:szCs w:val="24"/>
        </w:rPr>
        <w:t xml:space="preserve"> (</w:t>
      </w:r>
      <w:r w:rsidR="00B34962" w:rsidRPr="00F0375A">
        <w:rPr>
          <w:sz w:val="24"/>
          <w:szCs w:val="24"/>
        </w:rPr>
        <w:t>GE VCT unit</w:t>
      </w:r>
      <w:r w:rsidR="00B34962">
        <w:rPr>
          <w:sz w:val="24"/>
          <w:szCs w:val="24"/>
        </w:rPr>
        <w:t xml:space="preserve"> – built and installed in 2009) </w:t>
      </w:r>
      <w:r w:rsidR="00F0375A" w:rsidRPr="00F0375A">
        <w:rPr>
          <w:sz w:val="24"/>
          <w:szCs w:val="24"/>
        </w:rPr>
        <w:t xml:space="preserve">with a new GE </w:t>
      </w:r>
      <w:r w:rsidR="00096803">
        <w:rPr>
          <w:sz w:val="24"/>
          <w:szCs w:val="24"/>
        </w:rPr>
        <w:t xml:space="preserve">CT </w:t>
      </w:r>
      <w:r w:rsidR="00F0375A" w:rsidRPr="00F0375A">
        <w:rPr>
          <w:sz w:val="24"/>
          <w:szCs w:val="24"/>
        </w:rPr>
        <w:t xml:space="preserve">unit and </w:t>
      </w:r>
      <w:r>
        <w:rPr>
          <w:sz w:val="24"/>
          <w:szCs w:val="24"/>
        </w:rPr>
        <w:t xml:space="preserve">would </w:t>
      </w:r>
      <w:r w:rsidR="00F0375A" w:rsidRPr="00F0375A">
        <w:rPr>
          <w:sz w:val="24"/>
          <w:szCs w:val="24"/>
        </w:rPr>
        <w:t xml:space="preserve">locate that unit within the Radiology Department at </w:t>
      </w:r>
      <w:r w:rsidR="00C21549">
        <w:rPr>
          <w:sz w:val="24"/>
          <w:szCs w:val="24"/>
        </w:rPr>
        <w:t>BID-N</w:t>
      </w:r>
      <w:r w:rsidR="00A20989">
        <w:rPr>
          <w:sz w:val="24"/>
          <w:szCs w:val="24"/>
        </w:rPr>
        <w:t>eedham</w:t>
      </w:r>
      <w:r w:rsidR="00F0375A" w:rsidRPr="00F0375A">
        <w:rPr>
          <w:sz w:val="24"/>
          <w:szCs w:val="24"/>
        </w:rPr>
        <w:t xml:space="preserve">. </w:t>
      </w:r>
      <w:r w:rsidR="00543C47">
        <w:rPr>
          <w:sz w:val="24"/>
          <w:szCs w:val="24"/>
        </w:rPr>
        <w:t xml:space="preserve">The Applicant is </w:t>
      </w:r>
      <w:r w:rsidR="004B75E0">
        <w:rPr>
          <w:sz w:val="24"/>
          <w:szCs w:val="24"/>
        </w:rPr>
        <w:t>propos</w:t>
      </w:r>
      <w:r w:rsidR="001F169E">
        <w:rPr>
          <w:sz w:val="24"/>
          <w:szCs w:val="24"/>
        </w:rPr>
        <w:t>ing</w:t>
      </w:r>
      <w:r w:rsidR="004B75E0">
        <w:rPr>
          <w:sz w:val="24"/>
          <w:szCs w:val="24"/>
        </w:rPr>
        <w:t xml:space="preserve"> </w:t>
      </w:r>
      <w:r w:rsidR="00B34962">
        <w:rPr>
          <w:sz w:val="24"/>
          <w:szCs w:val="24"/>
        </w:rPr>
        <w:t xml:space="preserve">to </w:t>
      </w:r>
      <w:r w:rsidR="00B34962" w:rsidRPr="00B34962">
        <w:rPr>
          <w:sz w:val="24"/>
          <w:szCs w:val="24"/>
        </w:rPr>
        <w:t xml:space="preserve">reactivate the 2009 CT unit within the </w:t>
      </w:r>
      <w:r w:rsidR="00751AF9">
        <w:rPr>
          <w:sz w:val="24"/>
          <w:szCs w:val="24"/>
        </w:rPr>
        <w:t xml:space="preserve">same </w:t>
      </w:r>
      <w:r w:rsidR="00B34962" w:rsidRPr="00B34962">
        <w:rPr>
          <w:sz w:val="24"/>
          <w:szCs w:val="24"/>
        </w:rPr>
        <w:t>Department</w:t>
      </w:r>
      <w:r w:rsidR="00B34962">
        <w:rPr>
          <w:sz w:val="24"/>
          <w:szCs w:val="24"/>
        </w:rPr>
        <w:t xml:space="preserve">, </w:t>
      </w:r>
      <w:r w:rsidR="00F0375A" w:rsidRPr="00F0375A">
        <w:rPr>
          <w:sz w:val="24"/>
          <w:szCs w:val="24"/>
        </w:rPr>
        <w:t xml:space="preserve">so that </w:t>
      </w:r>
      <w:r w:rsidR="00C21549">
        <w:rPr>
          <w:sz w:val="24"/>
          <w:szCs w:val="24"/>
        </w:rPr>
        <w:t>BID-N</w:t>
      </w:r>
      <w:r w:rsidR="00543C47">
        <w:rPr>
          <w:sz w:val="24"/>
          <w:szCs w:val="24"/>
        </w:rPr>
        <w:t>eedham</w:t>
      </w:r>
      <w:r w:rsidR="00F0375A" w:rsidRPr="00F0375A">
        <w:rPr>
          <w:sz w:val="24"/>
          <w:szCs w:val="24"/>
        </w:rPr>
        <w:t xml:space="preserve"> will be able to operate</w:t>
      </w:r>
      <w:r w:rsidR="004B75E0">
        <w:rPr>
          <w:sz w:val="24"/>
          <w:szCs w:val="24"/>
        </w:rPr>
        <w:t xml:space="preserve"> </w:t>
      </w:r>
      <w:r w:rsidR="00F0375A" w:rsidRPr="00F0375A">
        <w:rPr>
          <w:sz w:val="24"/>
          <w:szCs w:val="24"/>
        </w:rPr>
        <w:t>two CT units.</w:t>
      </w:r>
      <w:r w:rsidR="00455C61" w:rsidRPr="00455C61">
        <w:rPr>
          <w:sz w:val="24"/>
          <w:szCs w:val="24"/>
        </w:rPr>
        <w:t xml:space="preserve"> </w:t>
      </w:r>
      <w:r w:rsidR="00981E5C">
        <w:rPr>
          <w:sz w:val="24"/>
          <w:szCs w:val="24"/>
        </w:rPr>
        <w:t xml:space="preserve">In order to </w:t>
      </w:r>
      <w:r w:rsidR="008D6874">
        <w:rPr>
          <w:sz w:val="24"/>
          <w:szCs w:val="24"/>
        </w:rPr>
        <w:t xml:space="preserve">accurately reflect </w:t>
      </w:r>
      <w:r w:rsidR="00111DF6">
        <w:rPr>
          <w:sz w:val="24"/>
          <w:szCs w:val="24"/>
        </w:rPr>
        <w:t>the</w:t>
      </w:r>
      <w:r w:rsidR="00B268F1">
        <w:rPr>
          <w:sz w:val="24"/>
          <w:szCs w:val="24"/>
        </w:rPr>
        <w:t xml:space="preserve"> </w:t>
      </w:r>
      <w:r w:rsidR="003C64C4">
        <w:rPr>
          <w:sz w:val="24"/>
          <w:szCs w:val="24"/>
        </w:rPr>
        <w:t xml:space="preserve">capital expenditure </w:t>
      </w:r>
      <w:r w:rsidR="0010627A">
        <w:rPr>
          <w:sz w:val="24"/>
          <w:szCs w:val="24"/>
        </w:rPr>
        <w:t xml:space="preserve">for the </w:t>
      </w:r>
      <w:r w:rsidR="008D6874">
        <w:rPr>
          <w:sz w:val="24"/>
          <w:szCs w:val="24"/>
        </w:rPr>
        <w:t xml:space="preserve">entirety of the recent changes to the CT units, in agreement with DoN staff, </w:t>
      </w:r>
      <w:r w:rsidR="00981E5C">
        <w:rPr>
          <w:sz w:val="24"/>
          <w:szCs w:val="24"/>
        </w:rPr>
        <w:t xml:space="preserve">the </w:t>
      </w:r>
      <w:r w:rsidR="008D6874">
        <w:rPr>
          <w:sz w:val="24"/>
          <w:szCs w:val="24"/>
        </w:rPr>
        <w:t xml:space="preserve">costs that are being attributed to this Application are </w:t>
      </w:r>
      <w:r w:rsidR="00981E5C">
        <w:rPr>
          <w:sz w:val="24"/>
          <w:szCs w:val="24"/>
        </w:rPr>
        <w:t xml:space="preserve">the costs </w:t>
      </w:r>
      <w:r w:rsidR="0010627A">
        <w:rPr>
          <w:sz w:val="24"/>
          <w:szCs w:val="24"/>
        </w:rPr>
        <w:t xml:space="preserve">associated with </w:t>
      </w:r>
      <w:r w:rsidR="00E75956">
        <w:rPr>
          <w:sz w:val="24"/>
          <w:szCs w:val="24"/>
        </w:rPr>
        <w:t xml:space="preserve">acquiring </w:t>
      </w:r>
      <w:r w:rsidR="0010627A">
        <w:rPr>
          <w:sz w:val="24"/>
          <w:szCs w:val="24"/>
        </w:rPr>
        <w:t xml:space="preserve">the replacement unit. </w:t>
      </w:r>
      <w:r w:rsidR="003C64C4">
        <w:rPr>
          <w:sz w:val="24"/>
          <w:szCs w:val="24"/>
        </w:rPr>
        <w:t xml:space="preserve"> </w:t>
      </w:r>
    </w:p>
    <w:p w14:paraId="0177EDC2" w14:textId="77777777" w:rsidR="00EB3F53" w:rsidRDefault="00C21549" w:rsidP="00AF172F">
      <w:pPr>
        <w:spacing w:line="240" w:lineRule="auto"/>
        <w:rPr>
          <w:sz w:val="24"/>
          <w:szCs w:val="24"/>
        </w:rPr>
      </w:pPr>
      <w:r>
        <w:rPr>
          <w:sz w:val="24"/>
          <w:szCs w:val="24"/>
        </w:rPr>
        <w:t>BID-N</w:t>
      </w:r>
      <w:r w:rsidR="00550267">
        <w:rPr>
          <w:sz w:val="24"/>
          <w:szCs w:val="24"/>
        </w:rPr>
        <w:t>eedham current</w:t>
      </w:r>
      <w:r w:rsidR="009C3654">
        <w:rPr>
          <w:sz w:val="24"/>
          <w:szCs w:val="24"/>
        </w:rPr>
        <w:t>ly</w:t>
      </w:r>
      <w:r w:rsidR="00550267">
        <w:rPr>
          <w:sz w:val="24"/>
          <w:szCs w:val="24"/>
        </w:rPr>
        <w:t xml:space="preserve"> has one CT unit</w:t>
      </w:r>
      <w:r w:rsidR="001D32B8">
        <w:rPr>
          <w:sz w:val="24"/>
          <w:szCs w:val="24"/>
        </w:rPr>
        <w:t xml:space="preserve"> </w:t>
      </w:r>
      <w:r w:rsidR="00C56733">
        <w:rPr>
          <w:sz w:val="24"/>
          <w:szCs w:val="24"/>
        </w:rPr>
        <w:t xml:space="preserve">in the Department of Radiology </w:t>
      </w:r>
      <w:r w:rsidR="001D32B8">
        <w:rPr>
          <w:sz w:val="24"/>
          <w:szCs w:val="24"/>
        </w:rPr>
        <w:t>that provides CT services</w:t>
      </w:r>
      <w:r w:rsidR="00C330DB">
        <w:rPr>
          <w:sz w:val="24"/>
          <w:szCs w:val="24"/>
        </w:rPr>
        <w:t>, including diagnostic exams and CT-guided procedures,</w:t>
      </w:r>
      <w:r w:rsidR="001D32B8">
        <w:rPr>
          <w:sz w:val="24"/>
          <w:szCs w:val="24"/>
        </w:rPr>
        <w:t xml:space="preserve"> for the entire hospital.</w:t>
      </w:r>
      <w:r w:rsidR="009E03C2">
        <w:rPr>
          <w:sz w:val="24"/>
          <w:szCs w:val="24"/>
        </w:rPr>
        <w:t xml:space="preserve"> The unit is located on the ground floor</w:t>
      </w:r>
      <w:r w:rsidR="00E14EFB">
        <w:rPr>
          <w:sz w:val="24"/>
          <w:szCs w:val="24"/>
        </w:rPr>
        <w:t xml:space="preserve"> in the main building</w:t>
      </w:r>
      <w:r w:rsidR="009E03C2">
        <w:rPr>
          <w:sz w:val="24"/>
          <w:szCs w:val="24"/>
        </w:rPr>
        <w:t>, directly below the ED</w:t>
      </w:r>
      <w:r w:rsidR="000471B4">
        <w:rPr>
          <w:sz w:val="24"/>
          <w:szCs w:val="24"/>
        </w:rPr>
        <w:t>,</w:t>
      </w:r>
      <w:r w:rsidR="009E03C2">
        <w:rPr>
          <w:sz w:val="24"/>
          <w:szCs w:val="24"/>
        </w:rPr>
        <w:t xml:space="preserve"> and is in service 24 hours a day, seven days a week. </w:t>
      </w:r>
      <w:r w:rsidR="00A7487E">
        <w:rPr>
          <w:sz w:val="24"/>
          <w:szCs w:val="24"/>
        </w:rPr>
        <w:t xml:space="preserve">Having one </w:t>
      </w:r>
      <w:r w:rsidR="00FA3B9B">
        <w:rPr>
          <w:sz w:val="24"/>
          <w:szCs w:val="24"/>
        </w:rPr>
        <w:t xml:space="preserve">CT </w:t>
      </w:r>
      <w:r w:rsidR="00A7487E">
        <w:rPr>
          <w:sz w:val="24"/>
          <w:szCs w:val="24"/>
        </w:rPr>
        <w:t xml:space="preserve">unit to serve the imaging needs of emergency patients, inpatients, and outpatients has resulted in inefficiencies. </w:t>
      </w:r>
      <w:r w:rsidR="00164494" w:rsidRPr="00164494">
        <w:rPr>
          <w:sz w:val="24"/>
          <w:szCs w:val="24"/>
        </w:rPr>
        <w:t xml:space="preserve">The need to accommodate inpatients or ED patients </w:t>
      </w:r>
      <w:r w:rsidR="00D372FD">
        <w:rPr>
          <w:sz w:val="24"/>
          <w:szCs w:val="24"/>
        </w:rPr>
        <w:t>postpones</w:t>
      </w:r>
      <w:r w:rsidR="00164494" w:rsidRPr="00164494">
        <w:rPr>
          <w:sz w:val="24"/>
          <w:szCs w:val="24"/>
        </w:rPr>
        <w:t xml:space="preserve"> non-urgent outpatient CT availability</w:t>
      </w:r>
      <w:r w:rsidR="000471B4">
        <w:rPr>
          <w:sz w:val="24"/>
          <w:szCs w:val="24"/>
        </w:rPr>
        <w:t>,</w:t>
      </w:r>
      <w:r w:rsidR="00164494" w:rsidRPr="00164494">
        <w:rPr>
          <w:sz w:val="24"/>
          <w:szCs w:val="24"/>
        </w:rPr>
        <w:t xml:space="preserve"> leading to longer wait times for outpatient imaging</w:t>
      </w:r>
      <w:r w:rsidR="00580D64">
        <w:rPr>
          <w:sz w:val="24"/>
          <w:szCs w:val="24"/>
        </w:rPr>
        <w:t xml:space="preserve">. </w:t>
      </w:r>
      <w:r w:rsidR="00164494" w:rsidRPr="00164494">
        <w:rPr>
          <w:sz w:val="24"/>
          <w:szCs w:val="24"/>
        </w:rPr>
        <w:t xml:space="preserve">On the inpatient side, exams that are needed but not urgent wait for outpatient exams to be performed, which can increase </w:t>
      </w:r>
      <w:r w:rsidR="001907CB">
        <w:rPr>
          <w:sz w:val="24"/>
          <w:szCs w:val="24"/>
        </w:rPr>
        <w:t>length of stay (LOS)</w:t>
      </w:r>
      <w:r w:rsidR="00164494" w:rsidRPr="00164494">
        <w:rPr>
          <w:sz w:val="24"/>
          <w:szCs w:val="24"/>
        </w:rPr>
        <w:t xml:space="preserve"> and delay diagnosis</w:t>
      </w:r>
      <w:r w:rsidR="001907CB">
        <w:rPr>
          <w:sz w:val="24"/>
          <w:szCs w:val="24"/>
        </w:rPr>
        <w:t xml:space="preserve"> and treatment</w:t>
      </w:r>
      <w:r w:rsidR="00164494" w:rsidRPr="00164494">
        <w:rPr>
          <w:sz w:val="24"/>
          <w:szCs w:val="24"/>
        </w:rPr>
        <w:t>.</w:t>
      </w:r>
      <w:r w:rsidR="003F1EF6" w:rsidRPr="003F1EF6">
        <w:rPr>
          <w:sz w:val="24"/>
          <w:szCs w:val="24"/>
        </w:rPr>
        <w:t xml:space="preserve"> </w:t>
      </w:r>
    </w:p>
    <w:p w14:paraId="473C71DE" w14:textId="074F1F7F" w:rsidR="00FA3B9B" w:rsidRDefault="004C172E" w:rsidP="00AF172F">
      <w:pPr>
        <w:spacing w:line="240" w:lineRule="auto"/>
        <w:rPr>
          <w:sz w:val="24"/>
          <w:szCs w:val="24"/>
        </w:rPr>
      </w:pPr>
      <w:r>
        <w:rPr>
          <w:sz w:val="24"/>
          <w:szCs w:val="24"/>
        </w:rPr>
        <w:t xml:space="preserve">Because of </w:t>
      </w:r>
      <w:r w:rsidR="00896051">
        <w:rPr>
          <w:sz w:val="24"/>
          <w:szCs w:val="24"/>
        </w:rPr>
        <w:t xml:space="preserve">existing </w:t>
      </w:r>
      <w:r>
        <w:rPr>
          <w:sz w:val="24"/>
          <w:szCs w:val="24"/>
        </w:rPr>
        <w:t xml:space="preserve">capacity constraints, </w:t>
      </w:r>
      <w:r w:rsidR="003F1EF6" w:rsidRPr="003F1EF6">
        <w:rPr>
          <w:sz w:val="24"/>
          <w:szCs w:val="24"/>
        </w:rPr>
        <w:t xml:space="preserve">BID-Needham is currently unable to perform CT-guided procedures on </w:t>
      </w:r>
      <w:r>
        <w:rPr>
          <w:sz w:val="24"/>
          <w:szCs w:val="24"/>
        </w:rPr>
        <w:t>its</w:t>
      </w:r>
      <w:r w:rsidRPr="003F1EF6">
        <w:rPr>
          <w:sz w:val="24"/>
          <w:szCs w:val="24"/>
        </w:rPr>
        <w:t xml:space="preserve"> </w:t>
      </w:r>
      <w:r w:rsidR="003F1EF6" w:rsidRPr="003F1EF6">
        <w:rPr>
          <w:sz w:val="24"/>
          <w:szCs w:val="24"/>
        </w:rPr>
        <w:t xml:space="preserve">single CT </w:t>
      </w:r>
      <w:r w:rsidR="004767F2" w:rsidRPr="003F1EF6">
        <w:rPr>
          <w:sz w:val="24"/>
          <w:szCs w:val="24"/>
        </w:rPr>
        <w:t>unit</w:t>
      </w:r>
      <w:r w:rsidR="004767F2">
        <w:rPr>
          <w:sz w:val="24"/>
          <w:szCs w:val="24"/>
        </w:rPr>
        <w:t>.</w:t>
      </w:r>
      <w:r w:rsidR="003F1EF6" w:rsidRPr="003F1EF6">
        <w:rPr>
          <w:sz w:val="24"/>
          <w:szCs w:val="24"/>
        </w:rPr>
        <w:t xml:space="preserve"> </w:t>
      </w:r>
      <w:r>
        <w:rPr>
          <w:sz w:val="24"/>
          <w:szCs w:val="24"/>
        </w:rPr>
        <w:t xml:space="preserve">Consequently, </w:t>
      </w:r>
      <w:r w:rsidR="003F1EF6" w:rsidRPr="003F1EF6">
        <w:rPr>
          <w:sz w:val="24"/>
          <w:szCs w:val="24"/>
        </w:rPr>
        <w:t>patients travel to another facility to receive such services</w:t>
      </w:r>
      <w:r w:rsidR="00D56B96">
        <w:rPr>
          <w:sz w:val="24"/>
          <w:szCs w:val="24"/>
        </w:rPr>
        <w:t xml:space="preserve">. </w:t>
      </w:r>
      <w:r w:rsidR="004D41E7">
        <w:rPr>
          <w:sz w:val="24"/>
          <w:szCs w:val="24"/>
        </w:rPr>
        <w:t>Additionally</w:t>
      </w:r>
      <w:r w:rsidR="00212862">
        <w:rPr>
          <w:sz w:val="24"/>
          <w:szCs w:val="24"/>
        </w:rPr>
        <w:t xml:space="preserve">, </w:t>
      </w:r>
      <w:r w:rsidR="00AF172F">
        <w:rPr>
          <w:sz w:val="24"/>
          <w:szCs w:val="24"/>
        </w:rPr>
        <w:t>there is downtime on the</w:t>
      </w:r>
      <w:r w:rsidR="00B34962" w:rsidRPr="00B34962">
        <w:rPr>
          <w:sz w:val="24"/>
          <w:szCs w:val="24"/>
        </w:rPr>
        <w:t xml:space="preserve"> single </w:t>
      </w:r>
      <w:r w:rsidR="00212862">
        <w:rPr>
          <w:sz w:val="24"/>
          <w:szCs w:val="24"/>
        </w:rPr>
        <w:t xml:space="preserve">existing </w:t>
      </w:r>
      <w:r w:rsidR="00B34962" w:rsidRPr="00B34962">
        <w:rPr>
          <w:sz w:val="24"/>
          <w:szCs w:val="24"/>
        </w:rPr>
        <w:t xml:space="preserve">scanner </w:t>
      </w:r>
      <w:r w:rsidR="00AF172F" w:rsidRPr="00AF172F">
        <w:rPr>
          <w:sz w:val="24"/>
          <w:szCs w:val="24"/>
        </w:rPr>
        <w:t>for repairs or scheduled maintenance</w:t>
      </w:r>
      <w:r w:rsidR="00FA3B9B">
        <w:rPr>
          <w:sz w:val="24"/>
          <w:szCs w:val="24"/>
        </w:rPr>
        <w:t xml:space="preserve">. </w:t>
      </w:r>
      <w:r w:rsidR="00212862">
        <w:rPr>
          <w:sz w:val="24"/>
          <w:szCs w:val="24"/>
        </w:rPr>
        <w:t xml:space="preserve">During this time, ED patients and inpatients must wait for a CT scan, which can increase </w:t>
      </w:r>
      <w:r w:rsidR="00E1736F">
        <w:rPr>
          <w:sz w:val="24"/>
          <w:szCs w:val="24"/>
        </w:rPr>
        <w:t xml:space="preserve">their </w:t>
      </w:r>
      <w:r w:rsidR="001907CB">
        <w:rPr>
          <w:sz w:val="24"/>
          <w:szCs w:val="24"/>
        </w:rPr>
        <w:t>LOS</w:t>
      </w:r>
      <w:r w:rsidR="00164494" w:rsidRPr="00164494">
        <w:rPr>
          <w:sz w:val="24"/>
          <w:szCs w:val="24"/>
        </w:rPr>
        <w:t xml:space="preserve">. </w:t>
      </w:r>
    </w:p>
    <w:p w14:paraId="5FBA8098" w14:textId="69959C8D" w:rsidR="00B8794B" w:rsidRDefault="00A7487E" w:rsidP="00AF172F">
      <w:pPr>
        <w:spacing w:line="240" w:lineRule="auto"/>
        <w:rPr>
          <w:sz w:val="24"/>
          <w:szCs w:val="24"/>
        </w:rPr>
      </w:pPr>
      <w:r w:rsidRPr="00A7487E">
        <w:rPr>
          <w:sz w:val="24"/>
          <w:szCs w:val="24"/>
        </w:rPr>
        <w:t>The Applicant is p</w:t>
      </w:r>
      <w:r w:rsidRPr="00B34962">
        <w:rPr>
          <w:sz w:val="24"/>
          <w:szCs w:val="24"/>
        </w:rPr>
        <w:t>roposing to add</w:t>
      </w:r>
      <w:r w:rsidR="00096803">
        <w:rPr>
          <w:sz w:val="24"/>
          <w:szCs w:val="24"/>
        </w:rPr>
        <w:t xml:space="preserve"> </w:t>
      </w:r>
      <w:r w:rsidR="004D41E7">
        <w:rPr>
          <w:sz w:val="24"/>
          <w:szCs w:val="24"/>
        </w:rPr>
        <w:t xml:space="preserve">a </w:t>
      </w:r>
      <w:r w:rsidR="00096803">
        <w:rPr>
          <w:sz w:val="24"/>
          <w:szCs w:val="24"/>
        </w:rPr>
        <w:t>reactivate</w:t>
      </w:r>
      <w:r w:rsidR="004D41E7">
        <w:rPr>
          <w:sz w:val="24"/>
          <w:szCs w:val="24"/>
        </w:rPr>
        <w:t>d,</w:t>
      </w:r>
      <w:r w:rsidRPr="00B34962">
        <w:rPr>
          <w:sz w:val="24"/>
          <w:szCs w:val="24"/>
        </w:rPr>
        <w:t xml:space="preserve"> second CT unit to address delays in access to care</w:t>
      </w:r>
      <w:r w:rsidRPr="00A7487E">
        <w:rPr>
          <w:sz w:val="24"/>
          <w:szCs w:val="24"/>
        </w:rPr>
        <w:t xml:space="preserve"> and</w:t>
      </w:r>
      <w:r w:rsidR="008F1E70">
        <w:rPr>
          <w:sz w:val="24"/>
          <w:szCs w:val="24"/>
        </w:rPr>
        <w:t xml:space="preserve"> to</w:t>
      </w:r>
      <w:r w:rsidRPr="00B34962">
        <w:rPr>
          <w:sz w:val="24"/>
          <w:szCs w:val="24"/>
        </w:rPr>
        <w:t xml:space="preserve"> improve patient experience, timeliness of clinical decision making</w:t>
      </w:r>
      <w:r w:rsidR="000471B4">
        <w:rPr>
          <w:sz w:val="24"/>
          <w:szCs w:val="24"/>
        </w:rPr>
        <w:t>,</w:t>
      </w:r>
      <w:r w:rsidRPr="00B34962">
        <w:rPr>
          <w:sz w:val="24"/>
          <w:szCs w:val="24"/>
        </w:rPr>
        <w:t xml:space="preserve"> and health outcomes. </w:t>
      </w:r>
      <w:r w:rsidR="00FA3B9B" w:rsidRPr="00FA3B9B">
        <w:rPr>
          <w:sz w:val="24"/>
          <w:szCs w:val="24"/>
        </w:rPr>
        <w:t>Operating two CT units would address the inefficienc</w:t>
      </w:r>
      <w:r w:rsidR="00C11A68">
        <w:rPr>
          <w:sz w:val="24"/>
          <w:szCs w:val="24"/>
        </w:rPr>
        <w:t>ies</w:t>
      </w:r>
      <w:r w:rsidR="00FA3B9B" w:rsidRPr="00FA3B9B">
        <w:rPr>
          <w:sz w:val="24"/>
          <w:szCs w:val="24"/>
        </w:rPr>
        <w:t xml:space="preserve"> in the current set up and support timelier and more cost-effective care. </w:t>
      </w:r>
      <w:r w:rsidR="006B0247">
        <w:rPr>
          <w:sz w:val="24"/>
          <w:szCs w:val="24"/>
        </w:rPr>
        <w:t>The addition of a second</w:t>
      </w:r>
      <w:r w:rsidR="00212862">
        <w:rPr>
          <w:sz w:val="24"/>
          <w:szCs w:val="24"/>
        </w:rPr>
        <w:t xml:space="preserve"> CT unit would</w:t>
      </w:r>
      <w:r w:rsidR="00212862" w:rsidRPr="00B34962">
        <w:rPr>
          <w:sz w:val="24"/>
          <w:szCs w:val="24"/>
        </w:rPr>
        <w:t xml:space="preserve"> enable </w:t>
      </w:r>
      <w:r w:rsidR="00C21549">
        <w:rPr>
          <w:sz w:val="24"/>
          <w:szCs w:val="24"/>
        </w:rPr>
        <w:t>BID-N</w:t>
      </w:r>
      <w:r w:rsidR="00A00C40">
        <w:rPr>
          <w:sz w:val="24"/>
          <w:szCs w:val="24"/>
        </w:rPr>
        <w:t>eedham</w:t>
      </w:r>
      <w:r w:rsidR="00212862" w:rsidRPr="00B34962">
        <w:rPr>
          <w:sz w:val="24"/>
          <w:szCs w:val="24"/>
        </w:rPr>
        <w:t xml:space="preserve"> to avoid the interruptions </w:t>
      </w:r>
      <w:r w:rsidR="00212862" w:rsidRPr="00B34962">
        <w:rPr>
          <w:sz w:val="24"/>
          <w:szCs w:val="24"/>
        </w:rPr>
        <w:lastRenderedPageBreak/>
        <w:t xml:space="preserve">and delays that </w:t>
      </w:r>
      <w:r w:rsidR="00212862">
        <w:rPr>
          <w:sz w:val="24"/>
          <w:szCs w:val="24"/>
        </w:rPr>
        <w:t xml:space="preserve">currently </w:t>
      </w:r>
      <w:r w:rsidR="00212862" w:rsidRPr="00B34962">
        <w:rPr>
          <w:sz w:val="24"/>
          <w:szCs w:val="24"/>
        </w:rPr>
        <w:t>occur</w:t>
      </w:r>
      <w:r w:rsidR="00212862">
        <w:rPr>
          <w:sz w:val="24"/>
          <w:szCs w:val="24"/>
        </w:rPr>
        <w:t xml:space="preserve"> as a result of having </w:t>
      </w:r>
      <w:r w:rsidR="004D41E7">
        <w:rPr>
          <w:sz w:val="24"/>
          <w:szCs w:val="24"/>
        </w:rPr>
        <w:t xml:space="preserve">only </w:t>
      </w:r>
      <w:r w:rsidR="00212862">
        <w:rPr>
          <w:sz w:val="24"/>
          <w:szCs w:val="24"/>
        </w:rPr>
        <w:t>one CT unit.</w:t>
      </w:r>
      <w:r w:rsidR="00212862" w:rsidRPr="00B34962">
        <w:rPr>
          <w:sz w:val="24"/>
          <w:szCs w:val="24"/>
        </w:rPr>
        <w:t xml:space="preserve"> </w:t>
      </w:r>
      <w:r w:rsidR="00B8794B" w:rsidRPr="00B8794B">
        <w:rPr>
          <w:sz w:val="24"/>
          <w:szCs w:val="24"/>
        </w:rPr>
        <w:t xml:space="preserve">The proposed CT scanner will improve access for scheduled outpatient CT procedures, and timelier turnaround for inpatient studies. </w:t>
      </w:r>
    </w:p>
    <w:p w14:paraId="461A1B47" w14:textId="22AA82BA" w:rsidR="00667B1F" w:rsidRPr="00BA4081" w:rsidRDefault="00D201B1" w:rsidP="00AF172F">
      <w:pPr>
        <w:spacing w:line="240" w:lineRule="auto"/>
        <w:rPr>
          <w:sz w:val="24"/>
          <w:szCs w:val="24"/>
        </w:rPr>
      </w:pPr>
      <w:r>
        <w:rPr>
          <w:sz w:val="24"/>
          <w:szCs w:val="24"/>
        </w:rPr>
        <w:t xml:space="preserve">The </w:t>
      </w:r>
      <w:r w:rsidR="00212862">
        <w:rPr>
          <w:sz w:val="24"/>
          <w:szCs w:val="24"/>
        </w:rPr>
        <w:t>second</w:t>
      </w:r>
      <w:r>
        <w:rPr>
          <w:sz w:val="24"/>
          <w:szCs w:val="24"/>
        </w:rPr>
        <w:t xml:space="preserve"> CT </w:t>
      </w:r>
      <w:r w:rsidR="00212862">
        <w:rPr>
          <w:sz w:val="24"/>
          <w:szCs w:val="24"/>
        </w:rPr>
        <w:t xml:space="preserve">unit </w:t>
      </w:r>
      <w:r>
        <w:rPr>
          <w:sz w:val="24"/>
          <w:szCs w:val="24"/>
        </w:rPr>
        <w:t>will be located directly across from the ED elevator</w:t>
      </w:r>
      <w:r w:rsidR="0032588C">
        <w:rPr>
          <w:sz w:val="24"/>
          <w:szCs w:val="24"/>
        </w:rPr>
        <w:t>, serving as a</w:t>
      </w:r>
      <w:r w:rsidR="00C529DA">
        <w:rPr>
          <w:sz w:val="24"/>
          <w:szCs w:val="24"/>
        </w:rPr>
        <w:t>n</w:t>
      </w:r>
      <w:r w:rsidR="0032588C">
        <w:rPr>
          <w:sz w:val="24"/>
          <w:szCs w:val="24"/>
        </w:rPr>
        <w:t xml:space="preserve"> ED-</w:t>
      </w:r>
      <w:r w:rsidR="00FF1E36">
        <w:rPr>
          <w:sz w:val="24"/>
          <w:szCs w:val="24"/>
        </w:rPr>
        <w:t>s</w:t>
      </w:r>
      <w:r w:rsidR="0032588C">
        <w:rPr>
          <w:sz w:val="24"/>
          <w:szCs w:val="24"/>
        </w:rPr>
        <w:t>ited CT unit</w:t>
      </w:r>
      <w:r>
        <w:rPr>
          <w:sz w:val="24"/>
          <w:szCs w:val="24"/>
        </w:rPr>
        <w:t xml:space="preserve">. </w:t>
      </w:r>
      <w:r w:rsidR="00951DC8" w:rsidRPr="00951DC8">
        <w:rPr>
          <w:sz w:val="24"/>
          <w:szCs w:val="24"/>
        </w:rPr>
        <w:t>The new primary CT and the 2009 CT control rooms share the same hallway</w:t>
      </w:r>
      <w:r w:rsidR="00B8794B">
        <w:rPr>
          <w:sz w:val="24"/>
          <w:szCs w:val="24"/>
        </w:rPr>
        <w:t xml:space="preserve"> and </w:t>
      </w:r>
      <w:r w:rsidR="00951DC8" w:rsidRPr="00951DC8">
        <w:rPr>
          <w:sz w:val="24"/>
          <w:szCs w:val="24"/>
        </w:rPr>
        <w:t xml:space="preserve">are both accessed via the main hallway in the Radiology </w:t>
      </w:r>
      <w:r w:rsidR="003315A0">
        <w:rPr>
          <w:sz w:val="24"/>
          <w:szCs w:val="24"/>
        </w:rPr>
        <w:t>D</w:t>
      </w:r>
      <w:r w:rsidR="00951DC8" w:rsidRPr="00951DC8">
        <w:rPr>
          <w:sz w:val="24"/>
          <w:szCs w:val="24"/>
        </w:rPr>
        <w:t>epartment.</w:t>
      </w:r>
      <w:r w:rsidR="00951DC8">
        <w:rPr>
          <w:sz w:val="24"/>
          <w:szCs w:val="24"/>
        </w:rPr>
        <w:t xml:space="preserve"> </w:t>
      </w:r>
      <w:r w:rsidR="00B34962" w:rsidRPr="00B34962">
        <w:rPr>
          <w:sz w:val="24"/>
          <w:szCs w:val="24"/>
        </w:rPr>
        <w:t xml:space="preserve">The second unit would be used in a similar manner </w:t>
      </w:r>
      <w:r w:rsidR="00212862">
        <w:rPr>
          <w:sz w:val="24"/>
          <w:szCs w:val="24"/>
        </w:rPr>
        <w:t xml:space="preserve">as the existing CT unit </w:t>
      </w:r>
      <w:r w:rsidR="00B34962" w:rsidRPr="00B34962">
        <w:rPr>
          <w:sz w:val="24"/>
          <w:szCs w:val="24"/>
        </w:rPr>
        <w:t xml:space="preserve">and would enable </w:t>
      </w:r>
      <w:r w:rsidR="00C21549">
        <w:rPr>
          <w:sz w:val="24"/>
          <w:szCs w:val="24"/>
        </w:rPr>
        <w:t>BID-N</w:t>
      </w:r>
      <w:r w:rsidR="00B34962" w:rsidRPr="00B34962">
        <w:rPr>
          <w:sz w:val="24"/>
          <w:szCs w:val="24"/>
        </w:rPr>
        <w:t>eedham to</w:t>
      </w:r>
      <w:r w:rsidR="0075791A">
        <w:rPr>
          <w:sz w:val="24"/>
          <w:szCs w:val="24"/>
        </w:rPr>
        <w:t xml:space="preserve"> provide uninterrupted access to CT services</w:t>
      </w:r>
      <w:r w:rsidR="00144C8D">
        <w:rPr>
          <w:sz w:val="24"/>
          <w:szCs w:val="24"/>
        </w:rPr>
        <w:t>, reduce delays in access to care,</w:t>
      </w:r>
      <w:r w:rsidR="0075791A">
        <w:rPr>
          <w:sz w:val="24"/>
          <w:szCs w:val="24"/>
        </w:rPr>
        <w:t xml:space="preserve"> and </w:t>
      </w:r>
      <w:r w:rsidR="00B34962" w:rsidRPr="00B34962">
        <w:rPr>
          <w:sz w:val="24"/>
          <w:szCs w:val="24"/>
        </w:rPr>
        <w:t xml:space="preserve">accommodate increasing demand for CT services. The proposed CT unit is expected to operate at full capacity within a short period of time after becoming operational. </w:t>
      </w:r>
    </w:p>
    <w:p w14:paraId="7F7BFF7F" w14:textId="2DA9F5D1" w:rsidR="00CF2B67" w:rsidRPr="00CF2B67" w:rsidRDefault="00CF2B67" w:rsidP="00CF2B67">
      <w:pPr>
        <w:spacing w:after="0" w:line="240" w:lineRule="auto"/>
        <w:contextualSpacing/>
        <w:jc w:val="center"/>
        <w:rPr>
          <w:rFonts w:ascii="Garamond" w:eastAsia="Calibri" w:hAnsi="Garamond" w:cs="Times New Roman"/>
        </w:rPr>
      </w:pPr>
    </w:p>
    <w:p w14:paraId="7265405C" w14:textId="77777777" w:rsidR="00CF2B67" w:rsidRDefault="00CF2B67" w:rsidP="00CF2B67">
      <w:pPr>
        <w:spacing w:after="0" w:line="240" w:lineRule="auto"/>
        <w:contextualSpacing/>
        <w:rPr>
          <w:rFonts w:ascii="Garamond" w:eastAsia="Calibri" w:hAnsi="Garamond" w:cs="Times New Roman"/>
        </w:rPr>
        <w:sectPr w:rsidR="00CF2B67" w:rsidSect="007B5913">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2240" w:h="15840"/>
          <w:pgMar w:top="1440" w:right="1080" w:bottom="1440" w:left="1080" w:header="720" w:footer="720" w:gutter="0"/>
          <w:cols w:space="720"/>
          <w:docGrid w:linePitch="360"/>
        </w:sectPr>
      </w:pPr>
    </w:p>
    <w:p w14:paraId="6804012D" w14:textId="691C13A9" w:rsidR="00032FF5" w:rsidRPr="00BD5D70" w:rsidRDefault="00032FF5">
      <w:pPr>
        <w:rPr>
          <w:b/>
          <w:bCs/>
          <w:sz w:val="28"/>
          <w:szCs w:val="28"/>
        </w:rPr>
      </w:pPr>
      <w:r w:rsidRPr="00BD5D70">
        <w:rPr>
          <w:b/>
          <w:bCs/>
          <w:sz w:val="28"/>
          <w:szCs w:val="28"/>
        </w:rPr>
        <w:lastRenderedPageBreak/>
        <w:t>Patient Panel</w:t>
      </w:r>
      <w:r w:rsidRPr="00BD5D70">
        <w:rPr>
          <w:rStyle w:val="FootnoteReference"/>
          <w:b/>
          <w:bCs/>
          <w:sz w:val="28"/>
          <w:szCs w:val="28"/>
        </w:rPr>
        <w:footnoteReference w:id="6"/>
      </w:r>
    </w:p>
    <w:p w14:paraId="5E660496" w14:textId="3EADCC4E" w:rsidR="001841D7" w:rsidRPr="00FD66CB" w:rsidRDefault="001841D7" w:rsidP="001841D7">
      <w:pPr>
        <w:spacing w:line="240" w:lineRule="auto"/>
        <w:rPr>
          <w:sz w:val="24"/>
          <w:szCs w:val="24"/>
        </w:rPr>
      </w:pPr>
      <w:r w:rsidRPr="00FD66CB">
        <w:rPr>
          <w:sz w:val="24"/>
          <w:szCs w:val="24"/>
        </w:rPr>
        <w:t xml:space="preserve">The </w:t>
      </w:r>
      <w:r>
        <w:rPr>
          <w:sz w:val="24"/>
          <w:szCs w:val="24"/>
        </w:rPr>
        <w:t>BILH</w:t>
      </w:r>
      <w:r w:rsidRPr="00FD66CB">
        <w:rPr>
          <w:sz w:val="24"/>
          <w:szCs w:val="24"/>
        </w:rPr>
        <w:t xml:space="preserve"> Patient Panel consisted of 1,</w:t>
      </w:r>
      <w:r>
        <w:rPr>
          <w:sz w:val="24"/>
          <w:szCs w:val="24"/>
        </w:rPr>
        <w:t>427</w:t>
      </w:r>
      <w:r w:rsidRPr="00FD66CB">
        <w:rPr>
          <w:sz w:val="24"/>
          <w:szCs w:val="24"/>
        </w:rPr>
        <w:t>,</w:t>
      </w:r>
      <w:r>
        <w:rPr>
          <w:sz w:val="24"/>
          <w:szCs w:val="24"/>
        </w:rPr>
        <w:t>711</w:t>
      </w:r>
      <w:r w:rsidRPr="00FD66CB">
        <w:rPr>
          <w:sz w:val="24"/>
          <w:szCs w:val="24"/>
        </w:rPr>
        <w:t xml:space="preserve"> patients, in fiscal year 202</w:t>
      </w:r>
      <w:r>
        <w:rPr>
          <w:sz w:val="24"/>
          <w:szCs w:val="24"/>
        </w:rPr>
        <w:t>1</w:t>
      </w:r>
      <w:r w:rsidRPr="00FD66CB">
        <w:rPr>
          <w:sz w:val="24"/>
          <w:szCs w:val="24"/>
        </w:rPr>
        <w:t xml:space="preserve"> (FY2</w:t>
      </w:r>
      <w:r>
        <w:rPr>
          <w:sz w:val="24"/>
          <w:szCs w:val="24"/>
        </w:rPr>
        <w:t>1</w:t>
      </w:r>
      <w:r w:rsidRPr="00FD66CB">
        <w:rPr>
          <w:sz w:val="24"/>
          <w:szCs w:val="24"/>
        </w:rPr>
        <w:t>).</w:t>
      </w:r>
      <w:r w:rsidRPr="00FD66CB">
        <w:rPr>
          <w:sz w:val="24"/>
          <w:szCs w:val="24"/>
          <w:vertAlign w:val="superscript"/>
        </w:rPr>
        <w:footnoteReference w:id="7"/>
      </w:r>
      <w:r w:rsidR="00497B7C" w:rsidRPr="00497B7C">
        <w:rPr>
          <w:sz w:val="24"/>
          <w:szCs w:val="24"/>
          <w:vertAlign w:val="superscript"/>
        </w:rPr>
        <w:t>,</w:t>
      </w:r>
      <w:r w:rsidR="00497B7C">
        <w:rPr>
          <w:rStyle w:val="FootnoteReference"/>
          <w:sz w:val="24"/>
          <w:szCs w:val="24"/>
        </w:rPr>
        <w:footnoteReference w:id="8"/>
      </w:r>
      <w:r w:rsidRPr="00FD66CB">
        <w:rPr>
          <w:sz w:val="24"/>
          <w:szCs w:val="24"/>
        </w:rPr>
        <w:t xml:space="preserve"> As shown in Table </w:t>
      </w:r>
      <w:r w:rsidR="000D70FF">
        <w:rPr>
          <w:sz w:val="24"/>
          <w:szCs w:val="24"/>
        </w:rPr>
        <w:t>1</w:t>
      </w:r>
      <w:r w:rsidRPr="00FD66CB">
        <w:rPr>
          <w:sz w:val="24"/>
          <w:szCs w:val="24"/>
        </w:rPr>
        <w:t xml:space="preserve">, the number of patients utilizing </w:t>
      </w:r>
      <w:r>
        <w:rPr>
          <w:sz w:val="24"/>
          <w:szCs w:val="24"/>
        </w:rPr>
        <w:t>BILH</w:t>
      </w:r>
      <w:r w:rsidRPr="00FD66CB">
        <w:rPr>
          <w:sz w:val="24"/>
          <w:szCs w:val="24"/>
        </w:rPr>
        <w:t>’s services increased by</w:t>
      </w:r>
      <w:r w:rsidR="00504B19">
        <w:rPr>
          <w:sz w:val="24"/>
          <w:szCs w:val="24"/>
        </w:rPr>
        <w:t xml:space="preserve"> </w:t>
      </w:r>
      <w:r>
        <w:rPr>
          <w:sz w:val="24"/>
          <w:szCs w:val="24"/>
        </w:rPr>
        <w:t>11.5</w:t>
      </w:r>
      <w:r w:rsidRPr="00FD66CB">
        <w:rPr>
          <w:sz w:val="24"/>
          <w:szCs w:val="24"/>
        </w:rPr>
        <w:t>% between FY1</w:t>
      </w:r>
      <w:r>
        <w:rPr>
          <w:sz w:val="24"/>
          <w:szCs w:val="24"/>
        </w:rPr>
        <w:t>9</w:t>
      </w:r>
      <w:r w:rsidRPr="00FD66CB">
        <w:rPr>
          <w:sz w:val="24"/>
          <w:szCs w:val="24"/>
        </w:rPr>
        <w:t xml:space="preserve"> </w:t>
      </w:r>
      <w:r w:rsidR="004D7014">
        <w:rPr>
          <w:sz w:val="24"/>
          <w:szCs w:val="24"/>
        </w:rPr>
        <w:t>and</w:t>
      </w:r>
      <w:r w:rsidRPr="00FD66CB">
        <w:rPr>
          <w:sz w:val="24"/>
          <w:szCs w:val="24"/>
        </w:rPr>
        <w:t xml:space="preserve"> FY2</w:t>
      </w:r>
      <w:r>
        <w:rPr>
          <w:sz w:val="24"/>
          <w:szCs w:val="24"/>
        </w:rPr>
        <w:t>1</w:t>
      </w:r>
      <w:r w:rsidRPr="00FD66CB">
        <w:rPr>
          <w:sz w:val="24"/>
          <w:szCs w:val="24"/>
        </w:rPr>
        <w:t>.</w:t>
      </w:r>
    </w:p>
    <w:p w14:paraId="0ACACCE8" w14:textId="519EFD1D" w:rsidR="001841D7" w:rsidRPr="007D6DFE" w:rsidRDefault="001841D7" w:rsidP="001841D7">
      <w:pPr>
        <w:spacing w:line="240" w:lineRule="auto"/>
        <w:jc w:val="center"/>
        <w:rPr>
          <w:b/>
          <w:bCs/>
          <w:sz w:val="24"/>
          <w:szCs w:val="24"/>
        </w:rPr>
      </w:pPr>
      <w:r w:rsidRPr="00B8794B">
        <w:rPr>
          <w:b/>
          <w:bCs/>
          <w:sz w:val="24"/>
          <w:szCs w:val="24"/>
        </w:rPr>
        <w:t xml:space="preserve">Table </w:t>
      </w:r>
      <w:r w:rsidR="000D70FF">
        <w:rPr>
          <w:b/>
          <w:bCs/>
          <w:sz w:val="24"/>
          <w:szCs w:val="24"/>
        </w:rPr>
        <w:t>1</w:t>
      </w:r>
      <w:r w:rsidRPr="007D6DFE">
        <w:rPr>
          <w:b/>
          <w:bCs/>
          <w:sz w:val="24"/>
          <w:szCs w:val="24"/>
        </w:rPr>
        <w:t>: BILH Patient Panel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88"/>
        <w:gridCol w:w="1188"/>
        <w:gridCol w:w="1188"/>
        <w:gridCol w:w="1246"/>
      </w:tblGrid>
      <w:tr w:rsidR="001841D7" w:rsidRPr="00FD66CB" w14:paraId="0EC6DBDD" w14:textId="77777777" w:rsidTr="000C7878">
        <w:trPr>
          <w:cantSplit/>
          <w:tblHeader/>
          <w:jc w:val="center"/>
        </w:trPr>
        <w:tc>
          <w:tcPr>
            <w:tcW w:w="0" w:type="auto"/>
            <w:shd w:val="clear" w:color="auto" w:fill="D9D9D9" w:themeFill="background1" w:themeFillShade="D9"/>
          </w:tcPr>
          <w:p w14:paraId="21238EAA" w14:textId="77777777" w:rsidR="001841D7" w:rsidRPr="00FD66CB" w:rsidRDefault="001841D7" w:rsidP="00525BEF">
            <w:pPr>
              <w:spacing w:line="240" w:lineRule="auto"/>
              <w:jc w:val="center"/>
              <w:rPr>
                <w:b/>
                <w:bCs/>
                <w:sz w:val="24"/>
                <w:szCs w:val="24"/>
              </w:rPr>
            </w:pPr>
            <w:r w:rsidRPr="00FD66CB">
              <w:rPr>
                <w:b/>
                <w:bCs/>
                <w:sz w:val="24"/>
                <w:szCs w:val="24"/>
              </w:rPr>
              <w:t>FY19</w:t>
            </w:r>
          </w:p>
        </w:tc>
        <w:tc>
          <w:tcPr>
            <w:tcW w:w="0" w:type="auto"/>
            <w:shd w:val="clear" w:color="auto" w:fill="D9D9D9" w:themeFill="background1" w:themeFillShade="D9"/>
          </w:tcPr>
          <w:p w14:paraId="6C24D3F1" w14:textId="77777777" w:rsidR="001841D7" w:rsidRPr="00FD66CB" w:rsidRDefault="001841D7" w:rsidP="00525BEF">
            <w:pPr>
              <w:spacing w:line="240" w:lineRule="auto"/>
              <w:jc w:val="center"/>
              <w:rPr>
                <w:b/>
                <w:bCs/>
                <w:sz w:val="24"/>
                <w:szCs w:val="24"/>
              </w:rPr>
            </w:pPr>
            <w:r w:rsidRPr="00FD66CB">
              <w:rPr>
                <w:b/>
                <w:bCs/>
                <w:sz w:val="24"/>
                <w:szCs w:val="24"/>
              </w:rPr>
              <w:t>FY20</w:t>
            </w:r>
          </w:p>
        </w:tc>
        <w:tc>
          <w:tcPr>
            <w:tcW w:w="0" w:type="auto"/>
            <w:shd w:val="clear" w:color="auto" w:fill="D9D9D9" w:themeFill="background1" w:themeFillShade="D9"/>
          </w:tcPr>
          <w:p w14:paraId="5BE3A9A1" w14:textId="77777777" w:rsidR="001841D7" w:rsidRPr="00FD66CB" w:rsidRDefault="001841D7" w:rsidP="00525BEF">
            <w:pPr>
              <w:spacing w:line="240" w:lineRule="auto"/>
              <w:jc w:val="center"/>
              <w:rPr>
                <w:b/>
                <w:bCs/>
                <w:sz w:val="24"/>
                <w:szCs w:val="24"/>
              </w:rPr>
            </w:pPr>
            <w:r w:rsidRPr="00FD66CB">
              <w:rPr>
                <w:b/>
                <w:bCs/>
                <w:sz w:val="24"/>
                <w:szCs w:val="24"/>
              </w:rPr>
              <w:t>FY21</w:t>
            </w:r>
          </w:p>
        </w:tc>
        <w:tc>
          <w:tcPr>
            <w:tcW w:w="0" w:type="auto"/>
            <w:shd w:val="clear" w:color="auto" w:fill="D9D9D9" w:themeFill="background1" w:themeFillShade="D9"/>
          </w:tcPr>
          <w:p w14:paraId="47EF60AD" w14:textId="77777777" w:rsidR="001841D7" w:rsidRDefault="001841D7" w:rsidP="00525BEF">
            <w:pPr>
              <w:spacing w:after="0" w:line="240" w:lineRule="auto"/>
              <w:jc w:val="center"/>
              <w:rPr>
                <w:b/>
                <w:bCs/>
                <w:sz w:val="24"/>
                <w:szCs w:val="24"/>
              </w:rPr>
            </w:pPr>
            <w:r w:rsidRPr="00FD66CB">
              <w:rPr>
                <w:b/>
                <w:bCs/>
                <w:sz w:val="24"/>
                <w:szCs w:val="24"/>
              </w:rPr>
              <w:t xml:space="preserve">% Change </w:t>
            </w:r>
          </w:p>
          <w:p w14:paraId="455CA8DC" w14:textId="77777777" w:rsidR="001841D7" w:rsidRPr="00FD66CB" w:rsidRDefault="001841D7" w:rsidP="00525BEF">
            <w:pPr>
              <w:spacing w:after="0" w:line="240" w:lineRule="auto"/>
              <w:jc w:val="center"/>
              <w:rPr>
                <w:b/>
                <w:bCs/>
                <w:sz w:val="24"/>
                <w:szCs w:val="24"/>
              </w:rPr>
            </w:pPr>
            <w:r w:rsidRPr="00FD66CB">
              <w:rPr>
                <w:b/>
                <w:bCs/>
                <w:sz w:val="24"/>
                <w:szCs w:val="24"/>
              </w:rPr>
              <w:t>FY19-FY21</w:t>
            </w:r>
          </w:p>
        </w:tc>
      </w:tr>
      <w:tr w:rsidR="001841D7" w:rsidRPr="00FD66CB" w14:paraId="725E7DCD" w14:textId="77777777" w:rsidTr="000C7878">
        <w:trPr>
          <w:cantSplit/>
          <w:jc w:val="center"/>
        </w:trPr>
        <w:tc>
          <w:tcPr>
            <w:tcW w:w="0" w:type="auto"/>
          </w:tcPr>
          <w:p w14:paraId="7DED5BE3" w14:textId="77777777" w:rsidR="001841D7" w:rsidRPr="00FD66CB" w:rsidRDefault="001841D7" w:rsidP="00525BEF">
            <w:pPr>
              <w:spacing w:line="240" w:lineRule="auto"/>
              <w:jc w:val="center"/>
              <w:rPr>
                <w:sz w:val="24"/>
                <w:szCs w:val="24"/>
              </w:rPr>
            </w:pPr>
            <w:r w:rsidRPr="00FD66CB">
              <w:rPr>
                <w:sz w:val="24"/>
                <w:szCs w:val="24"/>
              </w:rPr>
              <w:t>1,280,699</w:t>
            </w:r>
          </w:p>
        </w:tc>
        <w:tc>
          <w:tcPr>
            <w:tcW w:w="0" w:type="auto"/>
          </w:tcPr>
          <w:p w14:paraId="15EB12EC" w14:textId="77777777" w:rsidR="001841D7" w:rsidRPr="00FD66CB" w:rsidRDefault="001841D7" w:rsidP="00525BEF">
            <w:pPr>
              <w:spacing w:line="240" w:lineRule="auto"/>
              <w:jc w:val="center"/>
              <w:rPr>
                <w:sz w:val="24"/>
                <w:szCs w:val="24"/>
              </w:rPr>
            </w:pPr>
            <w:r w:rsidRPr="00FD66CB">
              <w:rPr>
                <w:sz w:val="24"/>
                <w:szCs w:val="24"/>
              </w:rPr>
              <w:t>1,219,718</w:t>
            </w:r>
          </w:p>
        </w:tc>
        <w:tc>
          <w:tcPr>
            <w:tcW w:w="0" w:type="auto"/>
          </w:tcPr>
          <w:p w14:paraId="76419A28" w14:textId="77777777" w:rsidR="001841D7" w:rsidRPr="00FD66CB" w:rsidRDefault="001841D7" w:rsidP="00525BEF">
            <w:pPr>
              <w:spacing w:line="240" w:lineRule="auto"/>
              <w:jc w:val="center"/>
              <w:rPr>
                <w:sz w:val="24"/>
                <w:szCs w:val="24"/>
              </w:rPr>
            </w:pPr>
            <w:r w:rsidRPr="00FD66CB">
              <w:rPr>
                <w:sz w:val="24"/>
                <w:szCs w:val="24"/>
              </w:rPr>
              <w:t>1,427,711</w:t>
            </w:r>
          </w:p>
        </w:tc>
        <w:tc>
          <w:tcPr>
            <w:tcW w:w="0" w:type="auto"/>
          </w:tcPr>
          <w:p w14:paraId="4DC3FA19" w14:textId="77777777" w:rsidR="001841D7" w:rsidRPr="00FD66CB" w:rsidRDefault="001841D7" w:rsidP="00525BEF">
            <w:pPr>
              <w:spacing w:line="240" w:lineRule="auto"/>
              <w:jc w:val="center"/>
              <w:rPr>
                <w:sz w:val="24"/>
                <w:szCs w:val="24"/>
              </w:rPr>
            </w:pPr>
            <w:r>
              <w:rPr>
                <w:sz w:val="24"/>
                <w:szCs w:val="24"/>
              </w:rPr>
              <w:t>11.5%</w:t>
            </w:r>
          </w:p>
        </w:tc>
      </w:tr>
    </w:tbl>
    <w:p w14:paraId="2E0D10D1" w14:textId="77777777" w:rsidR="001841D7" w:rsidRDefault="001841D7" w:rsidP="001841D7">
      <w:pPr>
        <w:spacing w:line="240" w:lineRule="auto"/>
        <w:rPr>
          <w:sz w:val="24"/>
          <w:szCs w:val="24"/>
        </w:rPr>
      </w:pPr>
    </w:p>
    <w:p w14:paraId="464AF8C5" w14:textId="38BFD3E6" w:rsidR="001841D7" w:rsidRDefault="00B8794B" w:rsidP="001841D7">
      <w:pPr>
        <w:spacing w:line="240" w:lineRule="auto"/>
        <w:rPr>
          <w:sz w:val="24"/>
          <w:szCs w:val="24"/>
        </w:rPr>
      </w:pPr>
      <w:r>
        <w:rPr>
          <w:sz w:val="24"/>
          <w:szCs w:val="24"/>
        </w:rPr>
        <w:t xml:space="preserve">Table </w:t>
      </w:r>
      <w:r w:rsidR="000D70FF">
        <w:rPr>
          <w:sz w:val="24"/>
          <w:szCs w:val="24"/>
        </w:rPr>
        <w:t>2</w:t>
      </w:r>
      <w:r>
        <w:rPr>
          <w:sz w:val="24"/>
          <w:szCs w:val="24"/>
        </w:rPr>
        <w:t xml:space="preserve"> provide</w:t>
      </w:r>
      <w:r w:rsidR="004319C1">
        <w:rPr>
          <w:sz w:val="24"/>
          <w:szCs w:val="24"/>
        </w:rPr>
        <w:t>s</w:t>
      </w:r>
      <w:r>
        <w:rPr>
          <w:sz w:val="24"/>
          <w:szCs w:val="24"/>
        </w:rPr>
        <w:t xml:space="preserve"> information on BILH and BID-Needham patient populations. </w:t>
      </w:r>
      <w:r w:rsidR="00497B7C">
        <w:rPr>
          <w:sz w:val="24"/>
          <w:szCs w:val="24"/>
        </w:rPr>
        <w:t xml:space="preserve">Staff </w:t>
      </w:r>
      <w:r w:rsidR="001841D7">
        <w:rPr>
          <w:sz w:val="24"/>
          <w:szCs w:val="24"/>
        </w:rPr>
        <w:t>note the following observations about the data below:</w:t>
      </w:r>
    </w:p>
    <w:p w14:paraId="4536650C" w14:textId="791A00B7" w:rsidR="001841D7" w:rsidRPr="00633DE3" w:rsidRDefault="001841D7" w:rsidP="002C493A">
      <w:pPr>
        <w:pStyle w:val="ListParagraph"/>
        <w:numPr>
          <w:ilvl w:val="0"/>
          <w:numId w:val="1"/>
        </w:numPr>
        <w:spacing w:line="240" w:lineRule="auto"/>
        <w:rPr>
          <w:b/>
          <w:bCs/>
          <w:sz w:val="24"/>
          <w:szCs w:val="24"/>
        </w:rPr>
      </w:pPr>
      <w:r w:rsidRPr="00633DE3">
        <w:rPr>
          <w:b/>
          <w:bCs/>
          <w:sz w:val="24"/>
          <w:szCs w:val="24"/>
        </w:rPr>
        <w:t>Age</w:t>
      </w:r>
      <w:r w:rsidR="00FF1E36">
        <w:rPr>
          <w:b/>
          <w:bCs/>
          <w:sz w:val="24"/>
          <w:szCs w:val="24"/>
        </w:rPr>
        <w:t>:</w:t>
      </w:r>
      <w:r>
        <w:rPr>
          <w:b/>
          <w:bCs/>
          <w:sz w:val="24"/>
          <w:szCs w:val="24"/>
        </w:rPr>
        <w:t xml:space="preserve"> </w:t>
      </w:r>
      <w:r w:rsidR="00E862ED" w:rsidRPr="00E862ED">
        <w:rPr>
          <w:sz w:val="24"/>
          <w:szCs w:val="24"/>
        </w:rPr>
        <w:t>The</w:t>
      </w:r>
      <w:r w:rsidR="00E862ED">
        <w:rPr>
          <w:b/>
          <w:bCs/>
          <w:sz w:val="24"/>
          <w:szCs w:val="24"/>
        </w:rPr>
        <w:t xml:space="preserve"> </w:t>
      </w:r>
      <w:r w:rsidR="00C21549">
        <w:rPr>
          <w:sz w:val="24"/>
          <w:szCs w:val="24"/>
        </w:rPr>
        <w:t>BID-N</w:t>
      </w:r>
      <w:r w:rsidR="00341513">
        <w:rPr>
          <w:sz w:val="24"/>
          <w:szCs w:val="24"/>
        </w:rPr>
        <w:t>eedham</w:t>
      </w:r>
      <w:r>
        <w:rPr>
          <w:sz w:val="24"/>
          <w:szCs w:val="24"/>
        </w:rPr>
        <w:t xml:space="preserve"> patient population has a higher proportion of patients aged 65 and older than the BILH patient population (28.</w:t>
      </w:r>
      <w:r w:rsidR="00B75D34">
        <w:rPr>
          <w:sz w:val="24"/>
          <w:szCs w:val="24"/>
        </w:rPr>
        <w:t>7</w:t>
      </w:r>
      <w:r>
        <w:rPr>
          <w:sz w:val="24"/>
          <w:szCs w:val="24"/>
        </w:rPr>
        <w:t>% vs. 3</w:t>
      </w:r>
      <w:r w:rsidR="00341513">
        <w:rPr>
          <w:sz w:val="24"/>
          <w:szCs w:val="24"/>
        </w:rPr>
        <w:t>0.</w:t>
      </w:r>
      <w:r w:rsidR="00A434C9">
        <w:rPr>
          <w:sz w:val="24"/>
          <w:szCs w:val="24"/>
        </w:rPr>
        <w:t>9</w:t>
      </w:r>
      <w:r>
        <w:rPr>
          <w:sz w:val="24"/>
          <w:szCs w:val="24"/>
        </w:rPr>
        <w:t xml:space="preserve">%). Additionally, the BILH patient population has a slightly higher percentage of patients aged 0 to 17 </w:t>
      </w:r>
      <w:r w:rsidR="004240F6">
        <w:rPr>
          <w:sz w:val="24"/>
          <w:szCs w:val="24"/>
        </w:rPr>
        <w:t xml:space="preserve">than the BID-Needham patient population </w:t>
      </w:r>
      <w:r>
        <w:rPr>
          <w:sz w:val="24"/>
          <w:szCs w:val="24"/>
        </w:rPr>
        <w:t>(6.</w:t>
      </w:r>
      <w:r w:rsidR="00B75D34">
        <w:rPr>
          <w:sz w:val="24"/>
          <w:szCs w:val="24"/>
        </w:rPr>
        <w:t>6</w:t>
      </w:r>
      <w:r>
        <w:rPr>
          <w:sz w:val="24"/>
          <w:szCs w:val="24"/>
        </w:rPr>
        <w:t>% compared to 2.</w:t>
      </w:r>
      <w:r w:rsidR="00341513">
        <w:rPr>
          <w:sz w:val="24"/>
          <w:szCs w:val="24"/>
        </w:rPr>
        <w:t>6</w:t>
      </w:r>
      <w:r>
        <w:rPr>
          <w:sz w:val="24"/>
          <w:szCs w:val="24"/>
        </w:rPr>
        <w:t xml:space="preserve">%). </w:t>
      </w:r>
    </w:p>
    <w:p w14:paraId="52CF6223" w14:textId="0030BAF2" w:rsidR="001841D7" w:rsidRPr="00A4690E" w:rsidRDefault="001841D7" w:rsidP="002C493A">
      <w:pPr>
        <w:pStyle w:val="ListParagraph"/>
        <w:numPr>
          <w:ilvl w:val="0"/>
          <w:numId w:val="1"/>
        </w:numPr>
        <w:spacing w:line="240" w:lineRule="auto"/>
        <w:rPr>
          <w:b/>
          <w:bCs/>
          <w:sz w:val="24"/>
          <w:szCs w:val="24"/>
        </w:rPr>
      </w:pPr>
      <w:r w:rsidRPr="00902DED">
        <w:rPr>
          <w:b/>
          <w:bCs/>
          <w:sz w:val="24"/>
          <w:szCs w:val="24"/>
        </w:rPr>
        <w:t>Race</w:t>
      </w:r>
      <w:r w:rsidR="00FF1E36">
        <w:rPr>
          <w:b/>
          <w:bCs/>
          <w:sz w:val="24"/>
          <w:szCs w:val="24"/>
        </w:rPr>
        <w:t>:</w:t>
      </w:r>
      <w:r>
        <w:rPr>
          <w:b/>
          <w:bCs/>
          <w:sz w:val="24"/>
          <w:szCs w:val="24"/>
        </w:rPr>
        <w:t xml:space="preserve"> </w:t>
      </w:r>
      <w:r>
        <w:rPr>
          <w:sz w:val="24"/>
          <w:szCs w:val="24"/>
        </w:rPr>
        <w:t>The BILH patient population has slightly over 70% of the BILH patient population identify</w:t>
      </w:r>
      <w:r w:rsidR="00225132">
        <w:rPr>
          <w:sz w:val="24"/>
          <w:szCs w:val="24"/>
        </w:rPr>
        <w:t>ing</w:t>
      </w:r>
      <w:r>
        <w:rPr>
          <w:sz w:val="24"/>
          <w:szCs w:val="24"/>
        </w:rPr>
        <w:t xml:space="preserve"> as White compared to slightly less than 70% of the </w:t>
      </w:r>
      <w:r w:rsidR="00C21549">
        <w:rPr>
          <w:sz w:val="24"/>
          <w:szCs w:val="24"/>
        </w:rPr>
        <w:t>BID-N</w:t>
      </w:r>
      <w:r w:rsidR="003A3FA2">
        <w:rPr>
          <w:sz w:val="24"/>
          <w:szCs w:val="24"/>
        </w:rPr>
        <w:t>eedham</w:t>
      </w:r>
      <w:r>
        <w:rPr>
          <w:sz w:val="24"/>
          <w:szCs w:val="24"/>
        </w:rPr>
        <w:t xml:space="preserve"> patient population. Approximately </w:t>
      </w:r>
      <w:r w:rsidR="003A3FA2">
        <w:rPr>
          <w:sz w:val="24"/>
          <w:szCs w:val="24"/>
        </w:rPr>
        <w:t>5</w:t>
      </w:r>
      <w:r>
        <w:rPr>
          <w:sz w:val="24"/>
          <w:szCs w:val="24"/>
        </w:rPr>
        <w:t>% of the BI</w:t>
      </w:r>
      <w:r w:rsidR="003A3FA2">
        <w:rPr>
          <w:sz w:val="24"/>
          <w:szCs w:val="24"/>
        </w:rPr>
        <w:t>LH</w:t>
      </w:r>
      <w:r>
        <w:rPr>
          <w:sz w:val="24"/>
          <w:szCs w:val="24"/>
        </w:rPr>
        <w:t xml:space="preserve"> patient population identifies as Black compared to </w:t>
      </w:r>
      <w:r w:rsidR="00712C8F">
        <w:rPr>
          <w:sz w:val="24"/>
          <w:szCs w:val="24"/>
        </w:rPr>
        <w:t>~4</w:t>
      </w:r>
      <w:r>
        <w:rPr>
          <w:sz w:val="24"/>
          <w:szCs w:val="24"/>
        </w:rPr>
        <w:t xml:space="preserve">% of the </w:t>
      </w:r>
      <w:r w:rsidR="00C21549">
        <w:rPr>
          <w:sz w:val="24"/>
          <w:szCs w:val="24"/>
        </w:rPr>
        <w:t>BID-N</w:t>
      </w:r>
      <w:r w:rsidR="003A3FA2">
        <w:rPr>
          <w:sz w:val="24"/>
          <w:szCs w:val="24"/>
        </w:rPr>
        <w:t>eedham</w:t>
      </w:r>
      <w:r>
        <w:rPr>
          <w:sz w:val="24"/>
          <w:szCs w:val="24"/>
        </w:rPr>
        <w:t xml:space="preserve"> patient population. </w:t>
      </w:r>
    </w:p>
    <w:p w14:paraId="3D02DE99" w14:textId="49D7C639" w:rsidR="00A4690E" w:rsidRDefault="00A4690E" w:rsidP="002C493A">
      <w:pPr>
        <w:pStyle w:val="ListParagraph"/>
        <w:numPr>
          <w:ilvl w:val="0"/>
          <w:numId w:val="1"/>
        </w:numPr>
        <w:spacing w:line="240" w:lineRule="auto"/>
        <w:rPr>
          <w:b/>
          <w:bCs/>
          <w:sz w:val="24"/>
          <w:szCs w:val="24"/>
        </w:rPr>
      </w:pPr>
      <w:r>
        <w:rPr>
          <w:b/>
          <w:bCs/>
          <w:sz w:val="24"/>
          <w:szCs w:val="24"/>
        </w:rPr>
        <w:t>Payer Mix</w:t>
      </w:r>
      <w:r w:rsidR="00FF1E36">
        <w:rPr>
          <w:b/>
          <w:bCs/>
          <w:sz w:val="24"/>
          <w:szCs w:val="24"/>
        </w:rPr>
        <w:t>:</w:t>
      </w:r>
      <w:r>
        <w:rPr>
          <w:b/>
          <w:bCs/>
          <w:sz w:val="24"/>
          <w:szCs w:val="24"/>
        </w:rPr>
        <w:t xml:space="preserve"> </w:t>
      </w:r>
      <w:r w:rsidRPr="00A4690E">
        <w:rPr>
          <w:sz w:val="24"/>
          <w:szCs w:val="24"/>
        </w:rPr>
        <w:t>Commercial payers are the primary payer source for BILH patients and</w:t>
      </w:r>
      <w:r w:rsidR="0000121C">
        <w:rPr>
          <w:sz w:val="24"/>
          <w:szCs w:val="24"/>
        </w:rPr>
        <w:t xml:space="preserve"> Medicare is the primary payer source for</w:t>
      </w:r>
      <w:r w:rsidRPr="00A4690E">
        <w:rPr>
          <w:sz w:val="24"/>
          <w:szCs w:val="24"/>
        </w:rPr>
        <w:t xml:space="preserve"> BID-Needham patients, followed by</w:t>
      </w:r>
      <w:r w:rsidR="0000121C">
        <w:rPr>
          <w:sz w:val="24"/>
          <w:szCs w:val="24"/>
        </w:rPr>
        <w:t xml:space="preserve"> Commercial payers.</w:t>
      </w:r>
      <w:r w:rsidRPr="00A4690E">
        <w:rPr>
          <w:b/>
          <w:bCs/>
          <w:sz w:val="24"/>
          <w:szCs w:val="24"/>
        </w:rPr>
        <w:t xml:space="preserve">  </w:t>
      </w:r>
    </w:p>
    <w:p w14:paraId="17E10BCD" w14:textId="60ADE388" w:rsidR="00A4690E" w:rsidRDefault="00A4690E" w:rsidP="007D0487">
      <w:pPr>
        <w:spacing w:line="240" w:lineRule="auto"/>
        <w:rPr>
          <w:sz w:val="24"/>
          <w:szCs w:val="24"/>
        </w:rPr>
      </w:pPr>
    </w:p>
    <w:p w14:paraId="09FECBA6" w14:textId="0ED760B8" w:rsidR="00EA42C3" w:rsidRDefault="00EA42C3" w:rsidP="007D0487">
      <w:pPr>
        <w:spacing w:line="240" w:lineRule="auto"/>
        <w:rPr>
          <w:sz w:val="24"/>
          <w:szCs w:val="24"/>
        </w:rPr>
      </w:pPr>
    </w:p>
    <w:p w14:paraId="77A63C45" w14:textId="3F632392" w:rsidR="00EA42C3" w:rsidRDefault="00EA42C3" w:rsidP="007D0487">
      <w:pPr>
        <w:spacing w:line="240" w:lineRule="auto"/>
        <w:rPr>
          <w:sz w:val="24"/>
          <w:szCs w:val="24"/>
        </w:rPr>
      </w:pPr>
    </w:p>
    <w:p w14:paraId="59585F4B" w14:textId="2E4CB67C" w:rsidR="00EA42C3" w:rsidRDefault="00EA42C3" w:rsidP="007D0487">
      <w:pPr>
        <w:spacing w:line="240" w:lineRule="auto"/>
        <w:rPr>
          <w:sz w:val="24"/>
          <w:szCs w:val="24"/>
        </w:rPr>
      </w:pPr>
    </w:p>
    <w:p w14:paraId="50017EA6" w14:textId="64648AB5" w:rsidR="00EA42C3" w:rsidRDefault="00EA42C3" w:rsidP="007D0487">
      <w:pPr>
        <w:spacing w:line="240" w:lineRule="auto"/>
        <w:rPr>
          <w:sz w:val="24"/>
          <w:szCs w:val="24"/>
        </w:rPr>
      </w:pPr>
    </w:p>
    <w:p w14:paraId="229E668E" w14:textId="1B3AF01A" w:rsidR="00A37B80" w:rsidRPr="00A37B80" w:rsidRDefault="00A37B80" w:rsidP="00A37B80">
      <w:pPr>
        <w:spacing w:after="200" w:line="240" w:lineRule="auto"/>
        <w:jc w:val="center"/>
        <w:rPr>
          <w:b/>
          <w:bCs/>
          <w:sz w:val="24"/>
          <w:szCs w:val="24"/>
        </w:rPr>
      </w:pPr>
      <w:r w:rsidRPr="00A37B80">
        <w:rPr>
          <w:b/>
          <w:bCs/>
          <w:sz w:val="24"/>
          <w:szCs w:val="24"/>
        </w:rPr>
        <w:lastRenderedPageBreak/>
        <w:t xml:space="preserve">Table </w:t>
      </w:r>
      <w:r w:rsidR="000D70FF">
        <w:rPr>
          <w:b/>
          <w:bCs/>
          <w:sz w:val="24"/>
          <w:szCs w:val="24"/>
        </w:rPr>
        <w:t>2</w:t>
      </w:r>
      <w:r w:rsidRPr="00A37B80">
        <w:rPr>
          <w:b/>
          <w:bCs/>
          <w:sz w:val="24"/>
          <w:szCs w:val="24"/>
        </w:rPr>
        <w:t>: Overview of BILH and BID-</w:t>
      </w:r>
      <w:r w:rsidR="00930ABA">
        <w:rPr>
          <w:b/>
          <w:bCs/>
          <w:sz w:val="24"/>
          <w:szCs w:val="24"/>
        </w:rPr>
        <w:t>Needham</w:t>
      </w:r>
      <w:r w:rsidRPr="00A37B80">
        <w:rPr>
          <w:b/>
          <w:bCs/>
          <w:sz w:val="24"/>
          <w:szCs w:val="24"/>
        </w:rPr>
        <w:t xml:space="preserve"> Patient Populations</w:t>
      </w:r>
    </w:p>
    <w:tbl>
      <w:tblPr>
        <w:tblStyle w:val="TableGrid1"/>
        <w:tblW w:w="0" w:type="auto"/>
        <w:jc w:val="center"/>
        <w:tblLook w:val="04A0" w:firstRow="1" w:lastRow="0" w:firstColumn="1" w:lastColumn="0" w:noHBand="0" w:noVBand="1"/>
      </w:tblPr>
      <w:tblGrid>
        <w:gridCol w:w="4368"/>
        <w:gridCol w:w="2287"/>
        <w:gridCol w:w="2695"/>
      </w:tblGrid>
      <w:tr w:rsidR="00A37B80" w:rsidRPr="00A37B80" w14:paraId="2E9CB527" w14:textId="77777777" w:rsidTr="00033EEA">
        <w:trPr>
          <w:cantSplit/>
          <w:tblHeader/>
          <w:jc w:val="center"/>
        </w:trPr>
        <w:tc>
          <w:tcPr>
            <w:tcW w:w="4368" w:type="dxa"/>
          </w:tcPr>
          <w:p w14:paraId="31D1253C" w14:textId="77777777" w:rsidR="00A37B80" w:rsidRPr="00A37B80" w:rsidRDefault="00A37B80" w:rsidP="00A37B80">
            <w:pPr>
              <w:contextualSpacing/>
              <w:rPr>
                <w:rFonts w:cstheme="minorHAnsi"/>
              </w:rPr>
            </w:pPr>
          </w:p>
        </w:tc>
        <w:tc>
          <w:tcPr>
            <w:tcW w:w="2287" w:type="dxa"/>
            <w:shd w:val="clear" w:color="auto" w:fill="F2F2F2" w:themeFill="background1" w:themeFillShade="F2"/>
          </w:tcPr>
          <w:p w14:paraId="3F8E4BDC" w14:textId="77777777" w:rsidR="00A37B80" w:rsidRPr="00A37B80" w:rsidRDefault="00A37B80" w:rsidP="00A37B80">
            <w:pPr>
              <w:contextualSpacing/>
              <w:rPr>
                <w:rFonts w:cstheme="minorHAnsi"/>
                <w:b/>
              </w:rPr>
            </w:pPr>
            <w:r w:rsidRPr="00A37B80">
              <w:rPr>
                <w:rFonts w:cstheme="minorHAnsi"/>
                <w:b/>
              </w:rPr>
              <w:t xml:space="preserve">BILH patients </w:t>
            </w:r>
          </w:p>
        </w:tc>
        <w:tc>
          <w:tcPr>
            <w:tcW w:w="2695" w:type="dxa"/>
            <w:shd w:val="clear" w:color="auto" w:fill="F2F2F2" w:themeFill="background1" w:themeFillShade="F2"/>
          </w:tcPr>
          <w:p w14:paraId="51010153" w14:textId="77777777" w:rsidR="00A37B80" w:rsidRPr="00A37B80" w:rsidRDefault="00A37B80" w:rsidP="00A37B80">
            <w:pPr>
              <w:contextualSpacing/>
              <w:rPr>
                <w:rFonts w:cstheme="minorHAnsi"/>
                <w:b/>
              </w:rPr>
            </w:pPr>
            <w:r w:rsidRPr="00A37B80">
              <w:rPr>
                <w:rFonts w:cstheme="minorHAnsi"/>
                <w:b/>
              </w:rPr>
              <w:t>BID-Needham patients</w:t>
            </w:r>
          </w:p>
        </w:tc>
      </w:tr>
      <w:tr w:rsidR="00A37B80" w:rsidRPr="00A37B80" w14:paraId="48E7D6CE" w14:textId="77777777" w:rsidTr="00AD4D27">
        <w:trPr>
          <w:cantSplit/>
          <w:jc w:val="center"/>
        </w:trPr>
        <w:tc>
          <w:tcPr>
            <w:tcW w:w="4368" w:type="dxa"/>
            <w:tcBorders>
              <w:bottom w:val="single" w:sz="4" w:space="0" w:color="auto"/>
            </w:tcBorders>
          </w:tcPr>
          <w:p w14:paraId="4CDE7781" w14:textId="77777777" w:rsidR="00A37B80" w:rsidRPr="00A37B80" w:rsidRDefault="00A37B80" w:rsidP="00A37B80">
            <w:pPr>
              <w:contextualSpacing/>
              <w:rPr>
                <w:rFonts w:cstheme="minorHAnsi"/>
                <w:b/>
              </w:rPr>
            </w:pPr>
            <w:r w:rsidRPr="00A37B80">
              <w:rPr>
                <w:rFonts w:cstheme="minorHAnsi"/>
                <w:b/>
              </w:rPr>
              <w:t>Total Unique Patients (FY21)</w:t>
            </w:r>
          </w:p>
        </w:tc>
        <w:tc>
          <w:tcPr>
            <w:tcW w:w="2287" w:type="dxa"/>
            <w:tcBorders>
              <w:bottom w:val="single" w:sz="4" w:space="0" w:color="auto"/>
            </w:tcBorders>
          </w:tcPr>
          <w:p w14:paraId="0D9B5DA4" w14:textId="77777777" w:rsidR="00A37B80" w:rsidRPr="00A37B80" w:rsidRDefault="00A37B80" w:rsidP="00A37B80">
            <w:pPr>
              <w:contextualSpacing/>
              <w:rPr>
                <w:rFonts w:cstheme="minorHAnsi"/>
              </w:rPr>
            </w:pPr>
          </w:p>
        </w:tc>
        <w:tc>
          <w:tcPr>
            <w:tcW w:w="2695" w:type="dxa"/>
            <w:tcBorders>
              <w:bottom w:val="single" w:sz="4" w:space="0" w:color="auto"/>
            </w:tcBorders>
          </w:tcPr>
          <w:p w14:paraId="1C6424E3" w14:textId="77777777" w:rsidR="00A37B80" w:rsidRPr="00A37B80" w:rsidRDefault="00A37B80" w:rsidP="00A37B80">
            <w:pPr>
              <w:contextualSpacing/>
              <w:rPr>
                <w:rFonts w:cstheme="minorHAnsi"/>
              </w:rPr>
            </w:pPr>
          </w:p>
        </w:tc>
      </w:tr>
      <w:tr w:rsidR="002000B1" w:rsidRPr="00A37B80" w14:paraId="7695B803" w14:textId="77777777" w:rsidTr="00AD4D27">
        <w:trPr>
          <w:cantSplit/>
          <w:trHeight w:val="353"/>
          <w:jc w:val="center"/>
        </w:trPr>
        <w:tc>
          <w:tcPr>
            <w:tcW w:w="4368" w:type="dxa"/>
            <w:tcBorders>
              <w:bottom w:val="single" w:sz="4" w:space="0" w:color="FFFFFF" w:themeColor="background1"/>
            </w:tcBorders>
          </w:tcPr>
          <w:p w14:paraId="01287B79" w14:textId="77777777" w:rsidR="002000B1" w:rsidRPr="00A37B80" w:rsidRDefault="002000B1" w:rsidP="002000B1">
            <w:pPr>
              <w:contextualSpacing/>
              <w:rPr>
                <w:rFonts w:cstheme="minorHAnsi"/>
                <w:b/>
              </w:rPr>
            </w:pPr>
            <w:r w:rsidRPr="00A37B80">
              <w:rPr>
                <w:rFonts w:cstheme="minorHAnsi"/>
                <w:b/>
              </w:rPr>
              <w:t xml:space="preserve">Gender </w:t>
            </w:r>
          </w:p>
          <w:p w14:paraId="682BE0B3" w14:textId="316EA1A2" w:rsidR="002000B1" w:rsidRPr="00A37B80" w:rsidRDefault="002000B1" w:rsidP="002000B1">
            <w:pPr>
              <w:ind w:left="288"/>
              <w:contextualSpacing/>
              <w:rPr>
                <w:rFonts w:cstheme="minorHAnsi"/>
              </w:rPr>
            </w:pPr>
            <w:r w:rsidRPr="00A37B80">
              <w:rPr>
                <w:rFonts w:cstheme="minorHAnsi"/>
              </w:rPr>
              <w:t>Male</w:t>
            </w:r>
            <w:r w:rsidRPr="00A37B80">
              <w:rPr>
                <w:rFonts w:cstheme="minorHAnsi"/>
                <w:vertAlign w:val="superscript"/>
              </w:rPr>
              <w:footnoteReference w:id="9"/>
            </w:r>
          </w:p>
        </w:tc>
        <w:tc>
          <w:tcPr>
            <w:tcW w:w="2287" w:type="dxa"/>
            <w:tcBorders>
              <w:bottom w:val="single" w:sz="4" w:space="0" w:color="FFFFFF" w:themeColor="background1"/>
            </w:tcBorders>
          </w:tcPr>
          <w:p w14:paraId="7658176E" w14:textId="77777777" w:rsidR="002000B1" w:rsidRPr="00A37B80" w:rsidRDefault="002000B1" w:rsidP="002000B1">
            <w:pPr>
              <w:contextualSpacing/>
              <w:rPr>
                <w:rFonts w:cstheme="minorHAnsi"/>
              </w:rPr>
            </w:pPr>
          </w:p>
          <w:p w14:paraId="1B012B03" w14:textId="6052FBF1" w:rsidR="002000B1" w:rsidRPr="00A37B80" w:rsidRDefault="002000B1" w:rsidP="002000B1">
            <w:pPr>
              <w:contextualSpacing/>
              <w:rPr>
                <w:rFonts w:cstheme="minorHAnsi"/>
              </w:rPr>
            </w:pPr>
            <w:r w:rsidRPr="00A916CA">
              <w:rPr>
                <w:rFonts w:cstheme="minorHAnsi"/>
              </w:rPr>
              <w:t>44.2%</w:t>
            </w:r>
          </w:p>
        </w:tc>
        <w:tc>
          <w:tcPr>
            <w:tcW w:w="2695" w:type="dxa"/>
            <w:tcBorders>
              <w:bottom w:val="single" w:sz="4" w:space="0" w:color="FFFFFF" w:themeColor="background1"/>
            </w:tcBorders>
            <w:vAlign w:val="bottom"/>
          </w:tcPr>
          <w:p w14:paraId="7CB63ED7" w14:textId="0A0F245B" w:rsidR="002000B1" w:rsidRPr="00A37B80" w:rsidRDefault="002000B1" w:rsidP="00657267">
            <w:pPr>
              <w:contextualSpacing/>
              <w:rPr>
                <w:rFonts w:cstheme="minorHAnsi"/>
              </w:rPr>
            </w:pPr>
            <w:r w:rsidRPr="00351893">
              <w:rPr>
                <w:rFonts w:cstheme="minorHAnsi"/>
              </w:rPr>
              <w:t>42.1%</w:t>
            </w:r>
          </w:p>
        </w:tc>
      </w:tr>
      <w:tr w:rsidR="002000B1" w:rsidRPr="00A37B80" w14:paraId="684CF553" w14:textId="77777777" w:rsidTr="00AD4D27">
        <w:trPr>
          <w:cantSplit/>
          <w:trHeight w:val="352"/>
          <w:jc w:val="center"/>
        </w:trPr>
        <w:tc>
          <w:tcPr>
            <w:tcW w:w="4368" w:type="dxa"/>
            <w:tcBorders>
              <w:top w:val="single" w:sz="4" w:space="0" w:color="FFFFFF" w:themeColor="background1"/>
              <w:bottom w:val="single" w:sz="4" w:space="0" w:color="FFFFFF" w:themeColor="background1"/>
            </w:tcBorders>
          </w:tcPr>
          <w:p w14:paraId="64B796F9" w14:textId="7C809634" w:rsidR="002000B1" w:rsidRPr="002000B1" w:rsidRDefault="002000B1" w:rsidP="002000B1">
            <w:pPr>
              <w:ind w:left="288"/>
              <w:contextualSpacing/>
              <w:rPr>
                <w:rFonts w:cstheme="minorHAnsi"/>
              </w:rPr>
            </w:pPr>
            <w:r w:rsidRPr="00A37B80">
              <w:rPr>
                <w:rFonts w:cstheme="minorHAnsi"/>
              </w:rPr>
              <w:t>Female</w:t>
            </w:r>
          </w:p>
        </w:tc>
        <w:tc>
          <w:tcPr>
            <w:tcW w:w="2287" w:type="dxa"/>
            <w:tcBorders>
              <w:top w:val="single" w:sz="4" w:space="0" w:color="FFFFFF" w:themeColor="background1"/>
              <w:bottom w:val="single" w:sz="4" w:space="0" w:color="FFFFFF" w:themeColor="background1"/>
            </w:tcBorders>
          </w:tcPr>
          <w:p w14:paraId="7227AEAA" w14:textId="52F0DFB9" w:rsidR="002000B1" w:rsidRPr="00A37B80" w:rsidRDefault="002000B1" w:rsidP="002000B1">
            <w:pPr>
              <w:contextualSpacing/>
              <w:rPr>
                <w:rFonts w:cstheme="minorHAnsi"/>
              </w:rPr>
            </w:pPr>
            <w:r w:rsidRPr="00A916CA">
              <w:rPr>
                <w:rFonts w:cstheme="minorHAnsi"/>
              </w:rPr>
              <w:t>55.8%</w:t>
            </w:r>
          </w:p>
        </w:tc>
        <w:tc>
          <w:tcPr>
            <w:tcW w:w="2695" w:type="dxa"/>
            <w:tcBorders>
              <w:top w:val="single" w:sz="4" w:space="0" w:color="FFFFFF" w:themeColor="background1"/>
              <w:bottom w:val="single" w:sz="4" w:space="0" w:color="FFFFFF" w:themeColor="background1"/>
            </w:tcBorders>
          </w:tcPr>
          <w:p w14:paraId="77649249" w14:textId="01F2721B" w:rsidR="002000B1" w:rsidRPr="00A37B80" w:rsidRDefault="002000B1" w:rsidP="002000B1">
            <w:pPr>
              <w:contextualSpacing/>
              <w:rPr>
                <w:rFonts w:cstheme="minorHAnsi"/>
              </w:rPr>
            </w:pPr>
            <w:r w:rsidRPr="00351893">
              <w:rPr>
                <w:rFonts w:cstheme="minorHAnsi"/>
              </w:rPr>
              <w:t>57.9%</w:t>
            </w:r>
          </w:p>
        </w:tc>
      </w:tr>
      <w:tr w:rsidR="002000B1" w:rsidRPr="00A37B80" w14:paraId="71C2EC1B" w14:textId="77777777" w:rsidTr="00AD4D27">
        <w:trPr>
          <w:cantSplit/>
          <w:trHeight w:val="352"/>
          <w:jc w:val="center"/>
        </w:trPr>
        <w:tc>
          <w:tcPr>
            <w:tcW w:w="4368" w:type="dxa"/>
            <w:tcBorders>
              <w:top w:val="single" w:sz="4" w:space="0" w:color="FFFFFF" w:themeColor="background1"/>
              <w:bottom w:val="single" w:sz="4" w:space="0" w:color="FFFFFF" w:themeColor="background1"/>
            </w:tcBorders>
          </w:tcPr>
          <w:p w14:paraId="6B6C6643" w14:textId="4AC2247F" w:rsidR="002000B1" w:rsidRPr="002000B1" w:rsidRDefault="002000B1" w:rsidP="002000B1">
            <w:pPr>
              <w:ind w:left="288"/>
              <w:contextualSpacing/>
              <w:rPr>
                <w:rFonts w:cstheme="minorHAnsi"/>
              </w:rPr>
            </w:pPr>
            <w:r w:rsidRPr="00A37B80">
              <w:rPr>
                <w:rFonts w:cstheme="minorHAnsi"/>
              </w:rPr>
              <w:t>Other</w:t>
            </w:r>
            <w:r w:rsidRPr="00A37B80">
              <w:rPr>
                <w:rFonts w:cstheme="minorHAnsi"/>
                <w:vertAlign w:val="superscript"/>
              </w:rPr>
              <w:footnoteReference w:id="10"/>
            </w:r>
          </w:p>
        </w:tc>
        <w:tc>
          <w:tcPr>
            <w:tcW w:w="2287" w:type="dxa"/>
            <w:tcBorders>
              <w:top w:val="single" w:sz="4" w:space="0" w:color="FFFFFF" w:themeColor="background1"/>
              <w:bottom w:val="single" w:sz="4" w:space="0" w:color="FFFFFF" w:themeColor="background1"/>
            </w:tcBorders>
          </w:tcPr>
          <w:p w14:paraId="389C14DF" w14:textId="6DECDB5A" w:rsidR="002000B1" w:rsidRPr="00A37B80" w:rsidRDefault="002000B1" w:rsidP="002000B1">
            <w:pPr>
              <w:contextualSpacing/>
              <w:rPr>
                <w:rFonts w:cstheme="minorHAnsi"/>
              </w:rPr>
            </w:pPr>
            <w:r w:rsidRPr="00A916CA">
              <w:rPr>
                <w:rFonts w:cstheme="minorHAnsi"/>
              </w:rPr>
              <w:t>0.0%</w:t>
            </w:r>
          </w:p>
        </w:tc>
        <w:tc>
          <w:tcPr>
            <w:tcW w:w="2695" w:type="dxa"/>
            <w:tcBorders>
              <w:top w:val="single" w:sz="4" w:space="0" w:color="FFFFFF" w:themeColor="background1"/>
              <w:bottom w:val="single" w:sz="4" w:space="0" w:color="FFFFFF" w:themeColor="background1"/>
            </w:tcBorders>
          </w:tcPr>
          <w:p w14:paraId="56D984A7" w14:textId="1D3F1CC5" w:rsidR="002000B1" w:rsidRPr="00A37B80" w:rsidRDefault="002000B1" w:rsidP="002000B1">
            <w:pPr>
              <w:contextualSpacing/>
              <w:rPr>
                <w:rFonts w:cstheme="minorHAnsi"/>
              </w:rPr>
            </w:pPr>
          </w:p>
        </w:tc>
      </w:tr>
      <w:tr w:rsidR="002000B1" w:rsidRPr="00A37B80" w14:paraId="7B5385F4" w14:textId="77777777" w:rsidTr="00AD4D27">
        <w:trPr>
          <w:cantSplit/>
          <w:trHeight w:val="352"/>
          <w:jc w:val="center"/>
        </w:trPr>
        <w:tc>
          <w:tcPr>
            <w:tcW w:w="4368" w:type="dxa"/>
            <w:tcBorders>
              <w:top w:val="single" w:sz="4" w:space="0" w:color="FFFFFF" w:themeColor="background1"/>
              <w:bottom w:val="single" w:sz="4" w:space="0" w:color="auto"/>
            </w:tcBorders>
          </w:tcPr>
          <w:p w14:paraId="5DE8C829" w14:textId="500C549D" w:rsidR="002000B1" w:rsidRPr="00657267" w:rsidRDefault="002000B1" w:rsidP="00657267">
            <w:pPr>
              <w:ind w:left="288"/>
              <w:contextualSpacing/>
              <w:rPr>
                <w:rFonts w:cstheme="minorHAnsi"/>
              </w:rPr>
            </w:pPr>
            <w:r w:rsidRPr="00A37B80">
              <w:rPr>
                <w:rFonts w:cstheme="minorHAnsi"/>
              </w:rPr>
              <w:t>Total</w:t>
            </w:r>
          </w:p>
        </w:tc>
        <w:tc>
          <w:tcPr>
            <w:tcW w:w="2287" w:type="dxa"/>
            <w:tcBorders>
              <w:top w:val="single" w:sz="4" w:space="0" w:color="FFFFFF" w:themeColor="background1"/>
              <w:bottom w:val="single" w:sz="4" w:space="0" w:color="auto"/>
            </w:tcBorders>
            <w:vAlign w:val="center"/>
          </w:tcPr>
          <w:p w14:paraId="4653AC94" w14:textId="4E67ACA2" w:rsidR="002000B1" w:rsidRPr="00A37B80" w:rsidRDefault="002000B1" w:rsidP="000E78AF">
            <w:pPr>
              <w:contextualSpacing/>
              <w:rPr>
                <w:rFonts w:cstheme="minorHAnsi"/>
              </w:rPr>
            </w:pPr>
            <w:r w:rsidRPr="00A37B80">
              <w:rPr>
                <w:rFonts w:cstheme="minorHAnsi"/>
              </w:rPr>
              <w:t>100%</w:t>
            </w:r>
          </w:p>
        </w:tc>
        <w:tc>
          <w:tcPr>
            <w:tcW w:w="2695" w:type="dxa"/>
            <w:tcBorders>
              <w:top w:val="single" w:sz="4" w:space="0" w:color="FFFFFF" w:themeColor="background1"/>
              <w:bottom w:val="single" w:sz="4" w:space="0" w:color="auto"/>
            </w:tcBorders>
            <w:vAlign w:val="center"/>
          </w:tcPr>
          <w:p w14:paraId="131081E2" w14:textId="73FFA13D" w:rsidR="002000B1" w:rsidRPr="00A37B80" w:rsidRDefault="002000B1" w:rsidP="000E78AF">
            <w:pPr>
              <w:contextualSpacing/>
              <w:rPr>
                <w:rFonts w:cstheme="minorHAnsi"/>
              </w:rPr>
            </w:pPr>
            <w:r w:rsidRPr="00A37B80">
              <w:rPr>
                <w:rFonts w:cstheme="minorHAnsi"/>
              </w:rPr>
              <w:t>100.00%</w:t>
            </w:r>
          </w:p>
        </w:tc>
      </w:tr>
      <w:tr w:rsidR="002000B1" w:rsidRPr="00A37B80" w14:paraId="70D60348" w14:textId="77777777" w:rsidTr="00AD4D27">
        <w:trPr>
          <w:cantSplit/>
          <w:trHeight w:val="353"/>
          <w:jc w:val="center"/>
        </w:trPr>
        <w:tc>
          <w:tcPr>
            <w:tcW w:w="4368" w:type="dxa"/>
            <w:tcBorders>
              <w:bottom w:val="single" w:sz="4" w:space="0" w:color="FFFFFF" w:themeColor="background1"/>
            </w:tcBorders>
          </w:tcPr>
          <w:p w14:paraId="68C1394F" w14:textId="77777777" w:rsidR="002000B1" w:rsidRPr="00A37B80" w:rsidRDefault="002000B1" w:rsidP="002000B1">
            <w:pPr>
              <w:contextualSpacing/>
              <w:rPr>
                <w:rFonts w:cstheme="minorHAnsi"/>
                <w:b/>
              </w:rPr>
            </w:pPr>
            <w:r w:rsidRPr="00A37B80">
              <w:rPr>
                <w:rFonts w:cstheme="minorHAnsi"/>
                <w:b/>
              </w:rPr>
              <w:t xml:space="preserve">Age </w:t>
            </w:r>
          </w:p>
          <w:p w14:paraId="4ED05B92" w14:textId="17977FB3" w:rsidR="002000B1" w:rsidRPr="00A37B80" w:rsidRDefault="002000B1" w:rsidP="00657267">
            <w:pPr>
              <w:ind w:left="288"/>
              <w:contextualSpacing/>
              <w:rPr>
                <w:rFonts w:cstheme="minorHAnsi"/>
              </w:rPr>
            </w:pPr>
            <w:r w:rsidRPr="00A37B80">
              <w:rPr>
                <w:rFonts w:cstheme="minorHAnsi"/>
              </w:rPr>
              <w:t>0 to 17</w:t>
            </w:r>
          </w:p>
        </w:tc>
        <w:tc>
          <w:tcPr>
            <w:tcW w:w="2287" w:type="dxa"/>
            <w:tcBorders>
              <w:bottom w:val="single" w:sz="4" w:space="0" w:color="FFFFFF" w:themeColor="background1"/>
            </w:tcBorders>
          </w:tcPr>
          <w:p w14:paraId="2A55DB43" w14:textId="77777777" w:rsidR="002000B1" w:rsidRPr="00A37B80" w:rsidRDefault="002000B1" w:rsidP="002000B1">
            <w:pPr>
              <w:contextualSpacing/>
              <w:rPr>
                <w:rFonts w:cstheme="minorHAnsi"/>
              </w:rPr>
            </w:pPr>
          </w:p>
          <w:p w14:paraId="7AFAD3FE" w14:textId="6BF89771" w:rsidR="002000B1" w:rsidRPr="00A37B80" w:rsidRDefault="002000B1" w:rsidP="002000B1">
            <w:pPr>
              <w:contextualSpacing/>
              <w:rPr>
                <w:rFonts w:cstheme="minorHAnsi"/>
              </w:rPr>
            </w:pPr>
            <w:r w:rsidRPr="00A916CA">
              <w:rPr>
                <w:rFonts w:cstheme="minorHAnsi"/>
              </w:rPr>
              <w:t>6.6%</w:t>
            </w:r>
          </w:p>
        </w:tc>
        <w:tc>
          <w:tcPr>
            <w:tcW w:w="2695" w:type="dxa"/>
            <w:tcBorders>
              <w:bottom w:val="single" w:sz="4" w:space="0" w:color="FFFFFF" w:themeColor="background1"/>
            </w:tcBorders>
          </w:tcPr>
          <w:p w14:paraId="03A3B89B" w14:textId="77777777" w:rsidR="002000B1" w:rsidRPr="00A37B80" w:rsidRDefault="002000B1" w:rsidP="002000B1">
            <w:pPr>
              <w:contextualSpacing/>
              <w:rPr>
                <w:rFonts w:cstheme="minorHAnsi"/>
              </w:rPr>
            </w:pPr>
          </w:p>
          <w:p w14:paraId="7E146E3D" w14:textId="172C7B62" w:rsidR="002000B1" w:rsidRPr="00A37B80" w:rsidRDefault="002000B1" w:rsidP="002000B1">
            <w:pPr>
              <w:contextualSpacing/>
              <w:rPr>
                <w:rFonts w:cstheme="minorHAnsi"/>
              </w:rPr>
            </w:pPr>
            <w:r w:rsidRPr="00B2070A">
              <w:rPr>
                <w:rFonts w:cstheme="minorHAnsi"/>
              </w:rPr>
              <w:t>2.6%</w:t>
            </w:r>
          </w:p>
        </w:tc>
      </w:tr>
      <w:tr w:rsidR="002000B1" w:rsidRPr="00A37B80" w14:paraId="3AFEA05C" w14:textId="77777777" w:rsidTr="00AD4D27">
        <w:trPr>
          <w:cantSplit/>
          <w:trHeight w:val="352"/>
          <w:jc w:val="center"/>
        </w:trPr>
        <w:tc>
          <w:tcPr>
            <w:tcW w:w="4368" w:type="dxa"/>
            <w:tcBorders>
              <w:top w:val="single" w:sz="4" w:space="0" w:color="FFFFFF" w:themeColor="background1"/>
              <w:bottom w:val="single" w:sz="4" w:space="0" w:color="FFFFFF" w:themeColor="background1"/>
            </w:tcBorders>
          </w:tcPr>
          <w:p w14:paraId="6B8F8989" w14:textId="43FCF62A" w:rsidR="002000B1" w:rsidRPr="00657267" w:rsidRDefault="00657267" w:rsidP="00657267">
            <w:pPr>
              <w:ind w:left="288"/>
              <w:contextualSpacing/>
              <w:rPr>
                <w:rFonts w:cstheme="minorHAnsi"/>
              </w:rPr>
            </w:pPr>
            <w:r w:rsidRPr="00A37B80">
              <w:rPr>
                <w:rFonts w:cstheme="minorHAnsi"/>
              </w:rPr>
              <w:t>18 to 64</w:t>
            </w:r>
          </w:p>
        </w:tc>
        <w:tc>
          <w:tcPr>
            <w:tcW w:w="2287" w:type="dxa"/>
            <w:tcBorders>
              <w:top w:val="single" w:sz="4" w:space="0" w:color="FFFFFF" w:themeColor="background1"/>
              <w:bottom w:val="single" w:sz="4" w:space="0" w:color="FFFFFF" w:themeColor="background1"/>
            </w:tcBorders>
          </w:tcPr>
          <w:p w14:paraId="7C9C4134" w14:textId="5941B429" w:rsidR="002000B1" w:rsidRPr="00A37B80" w:rsidRDefault="00657267" w:rsidP="002000B1">
            <w:pPr>
              <w:contextualSpacing/>
              <w:rPr>
                <w:rFonts w:cstheme="minorHAnsi"/>
              </w:rPr>
            </w:pPr>
            <w:r w:rsidRPr="00A916CA">
              <w:rPr>
                <w:rFonts w:cstheme="minorHAnsi"/>
              </w:rPr>
              <w:t>64.8%</w:t>
            </w:r>
          </w:p>
        </w:tc>
        <w:tc>
          <w:tcPr>
            <w:tcW w:w="2695" w:type="dxa"/>
            <w:tcBorders>
              <w:top w:val="single" w:sz="4" w:space="0" w:color="FFFFFF" w:themeColor="background1"/>
              <w:bottom w:val="single" w:sz="4" w:space="0" w:color="FFFFFF" w:themeColor="background1"/>
            </w:tcBorders>
          </w:tcPr>
          <w:p w14:paraId="117E7296" w14:textId="796456A6" w:rsidR="002000B1" w:rsidRPr="00A37B80" w:rsidRDefault="00657267" w:rsidP="002000B1">
            <w:pPr>
              <w:contextualSpacing/>
              <w:rPr>
                <w:rFonts w:cstheme="minorHAnsi"/>
              </w:rPr>
            </w:pPr>
            <w:r w:rsidRPr="00B2070A">
              <w:rPr>
                <w:rFonts w:cstheme="minorHAnsi"/>
              </w:rPr>
              <w:t>66.5%</w:t>
            </w:r>
          </w:p>
        </w:tc>
      </w:tr>
      <w:tr w:rsidR="002000B1" w:rsidRPr="00A37B80" w14:paraId="5AB1617E" w14:textId="77777777" w:rsidTr="00AD4D27">
        <w:trPr>
          <w:cantSplit/>
          <w:trHeight w:val="352"/>
          <w:jc w:val="center"/>
        </w:trPr>
        <w:tc>
          <w:tcPr>
            <w:tcW w:w="4368" w:type="dxa"/>
            <w:tcBorders>
              <w:top w:val="single" w:sz="4" w:space="0" w:color="FFFFFF" w:themeColor="background1"/>
              <w:bottom w:val="single" w:sz="4" w:space="0" w:color="FFFFFF" w:themeColor="background1"/>
            </w:tcBorders>
          </w:tcPr>
          <w:p w14:paraId="555AC848" w14:textId="5532E75C" w:rsidR="002000B1" w:rsidRPr="00657267" w:rsidRDefault="00657267" w:rsidP="00657267">
            <w:pPr>
              <w:ind w:left="288"/>
              <w:contextualSpacing/>
              <w:rPr>
                <w:rFonts w:cstheme="minorHAnsi"/>
              </w:rPr>
            </w:pPr>
            <w:r w:rsidRPr="00A37B80">
              <w:rPr>
                <w:rFonts w:cstheme="minorHAnsi"/>
              </w:rPr>
              <w:t>65+</w:t>
            </w:r>
          </w:p>
        </w:tc>
        <w:tc>
          <w:tcPr>
            <w:tcW w:w="2287" w:type="dxa"/>
            <w:tcBorders>
              <w:top w:val="single" w:sz="4" w:space="0" w:color="FFFFFF" w:themeColor="background1"/>
              <w:bottom w:val="single" w:sz="4" w:space="0" w:color="FFFFFF" w:themeColor="background1"/>
            </w:tcBorders>
          </w:tcPr>
          <w:p w14:paraId="16C24A5A" w14:textId="16AF9304" w:rsidR="002000B1" w:rsidRPr="00A37B80" w:rsidRDefault="00657267" w:rsidP="002000B1">
            <w:pPr>
              <w:contextualSpacing/>
              <w:rPr>
                <w:rFonts w:cstheme="minorHAnsi"/>
              </w:rPr>
            </w:pPr>
            <w:r w:rsidRPr="00A916CA">
              <w:rPr>
                <w:rFonts w:cstheme="minorHAnsi"/>
              </w:rPr>
              <w:t>28.7%</w:t>
            </w:r>
          </w:p>
        </w:tc>
        <w:tc>
          <w:tcPr>
            <w:tcW w:w="2695" w:type="dxa"/>
            <w:tcBorders>
              <w:top w:val="single" w:sz="4" w:space="0" w:color="FFFFFF" w:themeColor="background1"/>
              <w:bottom w:val="single" w:sz="4" w:space="0" w:color="FFFFFF" w:themeColor="background1"/>
            </w:tcBorders>
          </w:tcPr>
          <w:p w14:paraId="36AB0A28" w14:textId="22ADD5D3" w:rsidR="002000B1" w:rsidRPr="00A37B80" w:rsidRDefault="00657267" w:rsidP="002000B1">
            <w:pPr>
              <w:contextualSpacing/>
              <w:rPr>
                <w:rFonts w:cstheme="minorHAnsi"/>
              </w:rPr>
            </w:pPr>
            <w:r w:rsidRPr="00B2070A">
              <w:rPr>
                <w:rFonts w:cstheme="minorHAnsi"/>
              </w:rPr>
              <w:t>30.9%</w:t>
            </w:r>
          </w:p>
        </w:tc>
      </w:tr>
      <w:tr w:rsidR="002000B1" w:rsidRPr="00A37B80" w14:paraId="5E3E20C0" w14:textId="77777777" w:rsidTr="00AD4D27">
        <w:trPr>
          <w:cantSplit/>
          <w:trHeight w:val="352"/>
          <w:jc w:val="center"/>
        </w:trPr>
        <w:tc>
          <w:tcPr>
            <w:tcW w:w="4368" w:type="dxa"/>
            <w:tcBorders>
              <w:top w:val="single" w:sz="4" w:space="0" w:color="FFFFFF" w:themeColor="background1"/>
              <w:bottom w:val="single" w:sz="4" w:space="0" w:color="auto"/>
            </w:tcBorders>
          </w:tcPr>
          <w:p w14:paraId="61F60B1E" w14:textId="5D36A7C4" w:rsidR="002000B1" w:rsidRPr="00657267" w:rsidRDefault="00657267" w:rsidP="00657267">
            <w:pPr>
              <w:ind w:left="288"/>
              <w:contextualSpacing/>
              <w:rPr>
                <w:rFonts w:cstheme="minorHAnsi"/>
              </w:rPr>
            </w:pPr>
            <w:r w:rsidRPr="00A37B80">
              <w:rPr>
                <w:rFonts w:cstheme="minorHAnsi"/>
              </w:rPr>
              <w:t>Total</w:t>
            </w:r>
          </w:p>
        </w:tc>
        <w:tc>
          <w:tcPr>
            <w:tcW w:w="2287" w:type="dxa"/>
            <w:tcBorders>
              <w:top w:val="single" w:sz="4" w:space="0" w:color="FFFFFF" w:themeColor="background1"/>
              <w:bottom w:val="single" w:sz="4" w:space="0" w:color="auto"/>
            </w:tcBorders>
          </w:tcPr>
          <w:p w14:paraId="371570C4" w14:textId="769BFB05" w:rsidR="002000B1" w:rsidRPr="00A37B80" w:rsidRDefault="00657267" w:rsidP="000E78AF">
            <w:pPr>
              <w:contextualSpacing/>
              <w:rPr>
                <w:rFonts w:cstheme="minorHAnsi"/>
              </w:rPr>
            </w:pPr>
            <w:r w:rsidRPr="00A37B80">
              <w:rPr>
                <w:rFonts w:cstheme="minorHAnsi"/>
              </w:rPr>
              <w:t>100%</w:t>
            </w:r>
          </w:p>
        </w:tc>
        <w:tc>
          <w:tcPr>
            <w:tcW w:w="2695" w:type="dxa"/>
            <w:tcBorders>
              <w:top w:val="single" w:sz="4" w:space="0" w:color="FFFFFF" w:themeColor="background1"/>
              <w:bottom w:val="single" w:sz="4" w:space="0" w:color="auto"/>
            </w:tcBorders>
          </w:tcPr>
          <w:p w14:paraId="4C93D423" w14:textId="614F5642" w:rsidR="002000B1" w:rsidRPr="00A37B80" w:rsidRDefault="00657267" w:rsidP="000E78AF">
            <w:pPr>
              <w:contextualSpacing/>
              <w:rPr>
                <w:rFonts w:cstheme="minorHAnsi"/>
              </w:rPr>
            </w:pPr>
            <w:r w:rsidRPr="00A37B80">
              <w:rPr>
                <w:rFonts w:cstheme="minorHAnsi"/>
              </w:rPr>
              <w:t>100.00%</w:t>
            </w:r>
          </w:p>
        </w:tc>
      </w:tr>
      <w:tr w:rsidR="002000B1" w:rsidRPr="00A37B80" w14:paraId="5F424A17" w14:textId="77777777" w:rsidTr="00AD4D27">
        <w:trPr>
          <w:cantSplit/>
          <w:trHeight w:val="314"/>
          <w:jc w:val="center"/>
        </w:trPr>
        <w:tc>
          <w:tcPr>
            <w:tcW w:w="4368" w:type="dxa"/>
            <w:tcBorders>
              <w:bottom w:val="single" w:sz="4" w:space="0" w:color="FFFFFF" w:themeColor="background1"/>
            </w:tcBorders>
          </w:tcPr>
          <w:p w14:paraId="5D48DB5D" w14:textId="77777777" w:rsidR="002000B1" w:rsidRPr="00A37B80" w:rsidRDefault="002000B1" w:rsidP="002000B1">
            <w:pPr>
              <w:contextualSpacing/>
              <w:rPr>
                <w:rFonts w:cstheme="minorHAnsi"/>
                <w:b/>
              </w:rPr>
            </w:pPr>
            <w:r w:rsidRPr="00A37B80">
              <w:rPr>
                <w:rFonts w:cstheme="minorHAnsi"/>
                <w:b/>
              </w:rPr>
              <w:t>Race</w:t>
            </w:r>
            <w:r w:rsidRPr="00A37B80">
              <w:rPr>
                <w:rFonts w:cstheme="minorHAnsi"/>
                <w:b/>
                <w:vertAlign w:val="superscript"/>
              </w:rPr>
              <w:footnoteReference w:id="11"/>
            </w:r>
          </w:p>
          <w:p w14:paraId="1423FE5E" w14:textId="717DE255" w:rsidR="002000B1" w:rsidRPr="00A37B80" w:rsidRDefault="002000B1" w:rsidP="00BF2B30">
            <w:pPr>
              <w:ind w:left="288"/>
              <w:contextualSpacing/>
              <w:rPr>
                <w:rFonts w:cstheme="minorHAnsi"/>
              </w:rPr>
            </w:pPr>
            <w:r w:rsidRPr="00A37B80">
              <w:rPr>
                <w:rFonts w:cstheme="minorHAnsi"/>
              </w:rPr>
              <w:t>White</w:t>
            </w:r>
          </w:p>
        </w:tc>
        <w:tc>
          <w:tcPr>
            <w:tcW w:w="2287" w:type="dxa"/>
            <w:tcBorders>
              <w:bottom w:val="single" w:sz="4" w:space="0" w:color="FFFFFF" w:themeColor="background1"/>
            </w:tcBorders>
          </w:tcPr>
          <w:p w14:paraId="43E2098E" w14:textId="77777777" w:rsidR="002000B1" w:rsidRPr="00A37B80" w:rsidRDefault="002000B1" w:rsidP="002000B1">
            <w:pPr>
              <w:contextualSpacing/>
              <w:rPr>
                <w:rFonts w:cstheme="minorHAnsi"/>
              </w:rPr>
            </w:pPr>
          </w:p>
          <w:p w14:paraId="00818634" w14:textId="2D491F40" w:rsidR="002000B1" w:rsidRPr="00A37B80" w:rsidRDefault="002000B1" w:rsidP="00050811">
            <w:pPr>
              <w:contextualSpacing/>
              <w:rPr>
                <w:rFonts w:cstheme="minorHAnsi"/>
              </w:rPr>
            </w:pPr>
            <w:r w:rsidRPr="002B6695">
              <w:rPr>
                <w:rFonts w:cstheme="minorHAnsi"/>
              </w:rPr>
              <w:t>71.6%</w:t>
            </w:r>
          </w:p>
        </w:tc>
        <w:tc>
          <w:tcPr>
            <w:tcW w:w="2695" w:type="dxa"/>
            <w:tcBorders>
              <w:bottom w:val="single" w:sz="4" w:space="0" w:color="FFFFFF" w:themeColor="background1"/>
            </w:tcBorders>
          </w:tcPr>
          <w:p w14:paraId="04062A46" w14:textId="77777777" w:rsidR="002000B1" w:rsidRPr="00A37B80" w:rsidRDefault="002000B1" w:rsidP="002000B1">
            <w:pPr>
              <w:contextualSpacing/>
              <w:rPr>
                <w:rFonts w:cstheme="minorHAnsi"/>
              </w:rPr>
            </w:pPr>
          </w:p>
          <w:p w14:paraId="0F202544" w14:textId="421F4589" w:rsidR="002000B1" w:rsidRPr="00A37B80" w:rsidRDefault="002000B1" w:rsidP="00870F75">
            <w:pPr>
              <w:contextualSpacing/>
              <w:rPr>
                <w:rFonts w:cstheme="minorHAnsi"/>
              </w:rPr>
            </w:pPr>
            <w:r w:rsidRPr="00B2070A">
              <w:rPr>
                <w:rFonts w:cstheme="minorHAnsi"/>
              </w:rPr>
              <w:t>69.1%</w:t>
            </w:r>
          </w:p>
        </w:tc>
      </w:tr>
      <w:tr w:rsidR="002000B1" w:rsidRPr="00A37B80" w14:paraId="6C950E9E" w14:textId="77777777" w:rsidTr="00AD4D27">
        <w:trPr>
          <w:cantSplit/>
          <w:trHeight w:val="311"/>
          <w:jc w:val="center"/>
        </w:trPr>
        <w:tc>
          <w:tcPr>
            <w:tcW w:w="4368" w:type="dxa"/>
            <w:tcBorders>
              <w:top w:val="single" w:sz="4" w:space="0" w:color="FFFFFF" w:themeColor="background1"/>
              <w:bottom w:val="single" w:sz="4" w:space="0" w:color="FFFFFF" w:themeColor="background1"/>
            </w:tcBorders>
          </w:tcPr>
          <w:p w14:paraId="1B3A051D" w14:textId="2EA9E430" w:rsidR="002000B1" w:rsidRPr="00BF2B30" w:rsidRDefault="00050811" w:rsidP="00BF2B30">
            <w:pPr>
              <w:ind w:left="288"/>
              <w:contextualSpacing/>
              <w:rPr>
                <w:rFonts w:cstheme="minorHAnsi"/>
              </w:rPr>
            </w:pPr>
            <w:r w:rsidRPr="00A37B80">
              <w:rPr>
                <w:rFonts w:cstheme="minorHAnsi"/>
              </w:rPr>
              <w:t>Black or African American</w:t>
            </w:r>
          </w:p>
        </w:tc>
        <w:tc>
          <w:tcPr>
            <w:tcW w:w="2287" w:type="dxa"/>
            <w:tcBorders>
              <w:top w:val="single" w:sz="4" w:space="0" w:color="FFFFFF" w:themeColor="background1"/>
              <w:bottom w:val="single" w:sz="4" w:space="0" w:color="FFFFFF" w:themeColor="background1"/>
            </w:tcBorders>
          </w:tcPr>
          <w:p w14:paraId="1BE2FB96" w14:textId="3A302ACB" w:rsidR="002000B1" w:rsidRPr="00A37B80" w:rsidRDefault="00050811" w:rsidP="002000B1">
            <w:pPr>
              <w:contextualSpacing/>
              <w:rPr>
                <w:rFonts w:cstheme="minorHAnsi"/>
              </w:rPr>
            </w:pPr>
            <w:r w:rsidRPr="002B6695">
              <w:rPr>
                <w:rFonts w:cstheme="minorHAnsi"/>
              </w:rPr>
              <w:t>4.9%</w:t>
            </w:r>
          </w:p>
        </w:tc>
        <w:tc>
          <w:tcPr>
            <w:tcW w:w="2695" w:type="dxa"/>
            <w:tcBorders>
              <w:top w:val="single" w:sz="4" w:space="0" w:color="FFFFFF" w:themeColor="background1"/>
              <w:bottom w:val="single" w:sz="4" w:space="0" w:color="FFFFFF" w:themeColor="background1"/>
            </w:tcBorders>
          </w:tcPr>
          <w:p w14:paraId="6DDA58FF" w14:textId="22EA3789" w:rsidR="002000B1" w:rsidRPr="00A37B80" w:rsidRDefault="00870F75" w:rsidP="002000B1">
            <w:pPr>
              <w:contextualSpacing/>
              <w:rPr>
                <w:rFonts w:cstheme="minorHAnsi"/>
              </w:rPr>
            </w:pPr>
            <w:r w:rsidRPr="00B2070A">
              <w:rPr>
                <w:rFonts w:cstheme="minorHAnsi"/>
              </w:rPr>
              <w:t>4.1%</w:t>
            </w:r>
          </w:p>
        </w:tc>
      </w:tr>
      <w:tr w:rsidR="002000B1" w:rsidRPr="00A37B80" w14:paraId="09C106A7" w14:textId="77777777" w:rsidTr="00AD4D27">
        <w:trPr>
          <w:cantSplit/>
          <w:trHeight w:val="311"/>
          <w:jc w:val="center"/>
        </w:trPr>
        <w:tc>
          <w:tcPr>
            <w:tcW w:w="4368" w:type="dxa"/>
            <w:tcBorders>
              <w:top w:val="single" w:sz="4" w:space="0" w:color="FFFFFF" w:themeColor="background1"/>
              <w:bottom w:val="single" w:sz="4" w:space="0" w:color="FFFFFF" w:themeColor="background1"/>
            </w:tcBorders>
          </w:tcPr>
          <w:p w14:paraId="2D5EB777" w14:textId="02AD744E" w:rsidR="002000B1" w:rsidRPr="00BF2B30" w:rsidRDefault="00050811" w:rsidP="00BF2B30">
            <w:pPr>
              <w:ind w:left="288"/>
              <w:contextualSpacing/>
              <w:rPr>
                <w:rFonts w:cstheme="minorHAnsi"/>
              </w:rPr>
            </w:pPr>
            <w:r w:rsidRPr="00A37B80">
              <w:rPr>
                <w:rFonts w:cstheme="minorHAnsi"/>
              </w:rPr>
              <w:t>American Indian or Alaska Native</w:t>
            </w:r>
          </w:p>
        </w:tc>
        <w:tc>
          <w:tcPr>
            <w:tcW w:w="2287" w:type="dxa"/>
            <w:tcBorders>
              <w:top w:val="single" w:sz="4" w:space="0" w:color="FFFFFF" w:themeColor="background1"/>
              <w:bottom w:val="single" w:sz="4" w:space="0" w:color="FFFFFF" w:themeColor="background1"/>
            </w:tcBorders>
          </w:tcPr>
          <w:p w14:paraId="25B111A5" w14:textId="6C52F5B2" w:rsidR="002000B1" w:rsidRPr="00A37B80" w:rsidRDefault="00050811" w:rsidP="002000B1">
            <w:pPr>
              <w:contextualSpacing/>
              <w:rPr>
                <w:rFonts w:cstheme="minorHAnsi"/>
              </w:rPr>
            </w:pPr>
            <w:r w:rsidRPr="002B6695">
              <w:rPr>
                <w:rFonts w:cstheme="minorHAnsi"/>
              </w:rPr>
              <w:t>0.1%</w:t>
            </w:r>
          </w:p>
        </w:tc>
        <w:tc>
          <w:tcPr>
            <w:tcW w:w="2695" w:type="dxa"/>
            <w:tcBorders>
              <w:top w:val="single" w:sz="4" w:space="0" w:color="FFFFFF" w:themeColor="background1"/>
              <w:bottom w:val="single" w:sz="4" w:space="0" w:color="FFFFFF" w:themeColor="background1"/>
            </w:tcBorders>
          </w:tcPr>
          <w:p w14:paraId="14FEB060" w14:textId="34CC5E6F" w:rsidR="002000B1" w:rsidRPr="00A37B80" w:rsidRDefault="00865A21" w:rsidP="002000B1">
            <w:pPr>
              <w:contextualSpacing/>
              <w:rPr>
                <w:rFonts w:cstheme="minorHAnsi"/>
              </w:rPr>
            </w:pPr>
            <w:r w:rsidRPr="00B2070A">
              <w:rPr>
                <w:rFonts w:cstheme="minorHAnsi"/>
              </w:rPr>
              <w:t>0.1%</w:t>
            </w:r>
          </w:p>
        </w:tc>
      </w:tr>
      <w:tr w:rsidR="002000B1" w:rsidRPr="00A37B80" w14:paraId="433C11A7" w14:textId="77777777" w:rsidTr="00AD4D27">
        <w:trPr>
          <w:cantSplit/>
          <w:trHeight w:val="311"/>
          <w:jc w:val="center"/>
        </w:trPr>
        <w:tc>
          <w:tcPr>
            <w:tcW w:w="4368" w:type="dxa"/>
            <w:tcBorders>
              <w:top w:val="single" w:sz="4" w:space="0" w:color="FFFFFF" w:themeColor="background1"/>
              <w:bottom w:val="single" w:sz="4" w:space="0" w:color="FFFFFF" w:themeColor="background1"/>
            </w:tcBorders>
          </w:tcPr>
          <w:p w14:paraId="4D28FBD9" w14:textId="6DA699AA" w:rsidR="002000B1" w:rsidRPr="00BF2B30" w:rsidRDefault="00050811" w:rsidP="00BF2B30">
            <w:pPr>
              <w:ind w:left="288"/>
              <w:contextualSpacing/>
              <w:rPr>
                <w:rFonts w:cstheme="minorHAnsi"/>
              </w:rPr>
            </w:pPr>
            <w:r w:rsidRPr="00A37B80">
              <w:rPr>
                <w:rFonts w:cstheme="minorHAnsi"/>
              </w:rPr>
              <w:t>Asian</w:t>
            </w:r>
          </w:p>
        </w:tc>
        <w:tc>
          <w:tcPr>
            <w:tcW w:w="2287" w:type="dxa"/>
            <w:tcBorders>
              <w:top w:val="single" w:sz="4" w:space="0" w:color="FFFFFF" w:themeColor="background1"/>
              <w:bottom w:val="single" w:sz="4" w:space="0" w:color="FFFFFF" w:themeColor="background1"/>
            </w:tcBorders>
          </w:tcPr>
          <w:p w14:paraId="3852A31A" w14:textId="7B847174" w:rsidR="002000B1" w:rsidRPr="00A37B80" w:rsidRDefault="00050811" w:rsidP="002000B1">
            <w:pPr>
              <w:contextualSpacing/>
              <w:rPr>
                <w:rFonts w:cstheme="minorHAnsi"/>
              </w:rPr>
            </w:pPr>
            <w:r w:rsidRPr="002B6695">
              <w:rPr>
                <w:rFonts w:cstheme="minorHAnsi"/>
              </w:rPr>
              <w:t>5.6%</w:t>
            </w:r>
          </w:p>
        </w:tc>
        <w:tc>
          <w:tcPr>
            <w:tcW w:w="2695" w:type="dxa"/>
            <w:tcBorders>
              <w:top w:val="single" w:sz="4" w:space="0" w:color="FFFFFF" w:themeColor="background1"/>
              <w:bottom w:val="single" w:sz="4" w:space="0" w:color="FFFFFF" w:themeColor="background1"/>
            </w:tcBorders>
          </w:tcPr>
          <w:p w14:paraId="5547EC2B" w14:textId="301E0D65" w:rsidR="002000B1" w:rsidRPr="00A37B80" w:rsidRDefault="00865A21" w:rsidP="002000B1">
            <w:pPr>
              <w:contextualSpacing/>
              <w:rPr>
                <w:rFonts w:cstheme="minorHAnsi"/>
              </w:rPr>
            </w:pPr>
            <w:r w:rsidRPr="00B2070A">
              <w:rPr>
                <w:rFonts w:cstheme="minorHAnsi"/>
              </w:rPr>
              <w:t>3.6%</w:t>
            </w:r>
          </w:p>
        </w:tc>
      </w:tr>
      <w:tr w:rsidR="002000B1" w:rsidRPr="00A37B80" w14:paraId="6A8C2A16" w14:textId="77777777" w:rsidTr="00AD4D27">
        <w:trPr>
          <w:cantSplit/>
          <w:trHeight w:val="311"/>
          <w:jc w:val="center"/>
        </w:trPr>
        <w:tc>
          <w:tcPr>
            <w:tcW w:w="4368" w:type="dxa"/>
            <w:tcBorders>
              <w:top w:val="single" w:sz="4" w:space="0" w:color="FFFFFF" w:themeColor="background1"/>
              <w:bottom w:val="single" w:sz="4" w:space="0" w:color="FFFFFF" w:themeColor="background1"/>
            </w:tcBorders>
          </w:tcPr>
          <w:p w14:paraId="727DF9F3" w14:textId="7AE65DFC" w:rsidR="002000B1" w:rsidRPr="00050811" w:rsidRDefault="00050811" w:rsidP="00050811">
            <w:pPr>
              <w:ind w:left="288"/>
              <w:contextualSpacing/>
              <w:rPr>
                <w:rFonts w:cstheme="minorHAnsi"/>
              </w:rPr>
            </w:pPr>
            <w:r w:rsidRPr="00A37B80">
              <w:rPr>
                <w:rFonts w:cstheme="minorHAnsi"/>
              </w:rPr>
              <w:t>Native Hawaiian or Other Pacific Islander</w:t>
            </w:r>
          </w:p>
        </w:tc>
        <w:tc>
          <w:tcPr>
            <w:tcW w:w="2287" w:type="dxa"/>
            <w:tcBorders>
              <w:top w:val="single" w:sz="4" w:space="0" w:color="FFFFFF" w:themeColor="background1"/>
              <w:bottom w:val="single" w:sz="4" w:space="0" w:color="FFFFFF" w:themeColor="background1"/>
            </w:tcBorders>
          </w:tcPr>
          <w:p w14:paraId="65EAC7A7" w14:textId="23FA87DB" w:rsidR="002000B1" w:rsidRPr="00A37B80" w:rsidRDefault="00050811" w:rsidP="002000B1">
            <w:pPr>
              <w:contextualSpacing/>
              <w:rPr>
                <w:rFonts w:cstheme="minorHAnsi"/>
              </w:rPr>
            </w:pPr>
            <w:r w:rsidRPr="002B6695">
              <w:rPr>
                <w:rFonts w:cstheme="minorHAnsi"/>
              </w:rPr>
              <w:t>0.1%</w:t>
            </w:r>
          </w:p>
        </w:tc>
        <w:tc>
          <w:tcPr>
            <w:tcW w:w="2695" w:type="dxa"/>
            <w:tcBorders>
              <w:top w:val="single" w:sz="4" w:space="0" w:color="FFFFFF" w:themeColor="background1"/>
              <w:bottom w:val="single" w:sz="4" w:space="0" w:color="FFFFFF" w:themeColor="background1"/>
            </w:tcBorders>
          </w:tcPr>
          <w:p w14:paraId="7AFA2C8D" w14:textId="3CD5A39D" w:rsidR="002000B1" w:rsidRPr="00A37B80" w:rsidRDefault="00050811" w:rsidP="002000B1">
            <w:pPr>
              <w:contextualSpacing/>
              <w:rPr>
                <w:rFonts w:cstheme="minorHAnsi"/>
              </w:rPr>
            </w:pPr>
            <w:r w:rsidRPr="00B2070A">
              <w:rPr>
                <w:rFonts w:cstheme="minorHAnsi"/>
              </w:rPr>
              <w:t>0.0%</w:t>
            </w:r>
          </w:p>
        </w:tc>
      </w:tr>
      <w:tr w:rsidR="002000B1" w:rsidRPr="00A37B80" w14:paraId="78DD5D0B" w14:textId="77777777" w:rsidTr="00AD4D27">
        <w:trPr>
          <w:cantSplit/>
          <w:trHeight w:val="311"/>
          <w:jc w:val="center"/>
        </w:trPr>
        <w:tc>
          <w:tcPr>
            <w:tcW w:w="4368" w:type="dxa"/>
            <w:tcBorders>
              <w:top w:val="single" w:sz="4" w:space="0" w:color="FFFFFF" w:themeColor="background1"/>
              <w:bottom w:val="single" w:sz="4" w:space="0" w:color="FFFFFF" w:themeColor="background1"/>
            </w:tcBorders>
          </w:tcPr>
          <w:p w14:paraId="1E377A6A" w14:textId="7ECBCD6E" w:rsidR="002000B1" w:rsidRPr="00050811" w:rsidRDefault="00050811" w:rsidP="00050811">
            <w:pPr>
              <w:ind w:left="288"/>
              <w:contextualSpacing/>
              <w:rPr>
                <w:rFonts w:cstheme="minorHAnsi"/>
              </w:rPr>
            </w:pPr>
            <w:r w:rsidRPr="00A37B80">
              <w:rPr>
                <w:rFonts w:cstheme="minorHAnsi"/>
              </w:rPr>
              <w:t>Other</w:t>
            </w:r>
          </w:p>
        </w:tc>
        <w:tc>
          <w:tcPr>
            <w:tcW w:w="2287" w:type="dxa"/>
            <w:tcBorders>
              <w:top w:val="single" w:sz="4" w:space="0" w:color="FFFFFF" w:themeColor="background1"/>
              <w:bottom w:val="single" w:sz="4" w:space="0" w:color="FFFFFF" w:themeColor="background1"/>
            </w:tcBorders>
          </w:tcPr>
          <w:p w14:paraId="516007FA" w14:textId="7E2FE1F0" w:rsidR="002000B1" w:rsidRPr="00A37B80" w:rsidRDefault="00050811" w:rsidP="002000B1">
            <w:pPr>
              <w:contextualSpacing/>
              <w:rPr>
                <w:rFonts w:cstheme="minorHAnsi"/>
              </w:rPr>
            </w:pPr>
            <w:r w:rsidRPr="002B6695">
              <w:rPr>
                <w:rFonts w:cstheme="minorHAnsi"/>
              </w:rPr>
              <w:t>8.9%</w:t>
            </w:r>
          </w:p>
        </w:tc>
        <w:tc>
          <w:tcPr>
            <w:tcW w:w="2695" w:type="dxa"/>
            <w:tcBorders>
              <w:top w:val="single" w:sz="4" w:space="0" w:color="FFFFFF" w:themeColor="background1"/>
              <w:bottom w:val="single" w:sz="4" w:space="0" w:color="FFFFFF" w:themeColor="background1"/>
            </w:tcBorders>
          </w:tcPr>
          <w:p w14:paraId="6C1EE8FF" w14:textId="3B89528F" w:rsidR="002000B1" w:rsidRPr="00A37B80" w:rsidRDefault="00050811" w:rsidP="002000B1">
            <w:pPr>
              <w:contextualSpacing/>
              <w:rPr>
                <w:rFonts w:cstheme="minorHAnsi"/>
              </w:rPr>
            </w:pPr>
            <w:r w:rsidRPr="00B2070A">
              <w:rPr>
                <w:rFonts w:cstheme="minorHAnsi"/>
              </w:rPr>
              <w:t>5.0%</w:t>
            </w:r>
          </w:p>
        </w:tc>
      </w:tr>
      <w:tr w:rsidR="002000B1" w:rsidRPr="00A37B80" w14:paraId="1A7C5BB4" w14:textId="77777777" w:rsidTr="00AD4D27">
        <w:trPr>
          <w:cantSplit/>
          <w:trHeight w:val="311"/>
          <w:jc w:val="center"/>
        </w:trPr>
        <w:tc>
          <w:tcPr>
            <w:tcW w:w="4368" w:type="dxa"/>
            <w:tcBorders>
              <w:top w:val="single" w:sz="4" w:space="0" w:color="FFFFFF" w:themeColor="background1"/>
              <w:bottom w:val="single" w:sz="4" w:space="0" w:color="FFFFFF" w:themeColor="background1"/>
            </w:tcBorders>
          </w:tcPr>
          <w:p w14:paraId="5F476A1A" w14:textId="3CBACAF2" w:rsidR="002000B1" w:rsidRPr="00050811" w:rsidRDefault="00050811" w:rsidP="00050811">
            <w:pPr>
              <w:ind w:left="288"/>
              <w:contextualSpacing/>
              <w:rPr>
                <w:rFonts w:cstheme="minorHAnsi"/>
              </w:rPr>
            </w:pPr>
            <w:r w:rsidRPr="00A37B80">
              <w:rPr>
                <w:rFonts w:cstheme="minorHAnsi"/>
              </w:rPr>
              <w:t>Unknown</w:t>
            </w:r>
          </w:p>
        </w:tc>
        <w:tc>
          <w:tcPr>
            <w:tcW w:w="2287" w:type="dxa"/>
            <w:tcBorders>
              <w:top w:val="single" w:sz="4" w:space="0" w:color="FFFFFF" w:themeColor="background1"/>
              <w:bottom w:val="single" w:sz="4" w:space="0" w:color="FFFFFF" w:themeColor="background1"/>
            </w:tcBorders>
          </w:tcPr>
          <w:p w14:paraId="51BE5211" w14:textId="73576E17" w:rsidR="002000B1" w:rsidRPr="00A37B80" w:rsidRDefault="00050811" w:rsidP="002000B1">
            <w:pPr>
              <w:contextualSpacing/>
              <w:rPr>
                <w:rFonts w:cstheme="minorHAnsi"/>
              </w:rPr>
            </w:pPr>
            <w:r w:rsidRPr="002B6695">
              <w:rPr>
                <w:rFonts w:cstheme="minorHAnsi"/>
              </w:rPr>
              <w:t>7.4%</w:t>
            </w:r>
          </w:p>
        </w:tc>
        <w:tc>
          <w:tcPr>
            <w:tcW w:w="2695" w:type="dxa"/>
            <w:tcBorders>
              <w:top w:val="single" w:sz="4" w:space="0" w:color="FFFFFF" w:themeColor="background1"/>
              <w:bottom w:val="single" w:sz="4" w:space="0" w:color="FFFFFF" w:themeColor="background1"/>
            </w:tcBorders>
          </w:tcPr>
          <w:p w14:paraId="0D5F423A" w14:textId="4C646EDC" w:rsidR="002000B1" w:rsidRPr="00A37B80" w:rsidRDefault="00050811" w:rsidP="002000B1">
            <w:pPr>
              <w:contextualSpacing/>
              <w:rPr>
                <w:rFonts w:cstheme="minorHAnsi"/>
              </w:rPr>
            </w:pPr>
            <w:r w:rsidRPr="00B2070A">
              <w:rPr>
                <w:rFonts w:cstheme="minorHAnsi"/>
              </w:rPr>
              <w:t>17.8%</w:t>
            </w:r>
          </w:p>
        </w:tc>
      </w:tr>
      <w:tr w:rsidR="002000B1" w:rsidRPr="00A37B80" w14:paraId="0587DAFA" w14:textId="77777777" w:rsidTr="00AD4D27">
        <w:trPr>
          <w:cantSplit/>
          <w:trHeight w:val="311"/>
          <w:jc w:val="center"/>
        </w:trPr>
        <w:tc>
          <w:tcPr>
            <w:tcW w:w="4368" w:type="dxa"/>
            <w:tcBorders>
              <w:top w:val="single" w:sz="4" w:space="0" w:color="FFFFFF" w:themeColor="background1"/>
              <w:bottom w:val="single" w:sz="4" w:space="0" w:color="FFFFFF" w:themeColor="background1"/>
            </w:tcBorders>
          </w:tcPr>
          <w:p w14:paraId="2FD6B772" w14:textId="465834E0" w:rsidR="002000B1" w:rsidRPr="00050811" w:rsidRDefault="00050811" w:rsidP="00050811">
            <w:pPr>
              <w:ind w:left="288"/>
              <w:contextualSpacing/>
              <w:rPr>
                <w:rFonts w:cstheme="minorHAnsi"/>
              </w:rPr>
            </w:pPr>
            <w:r w:rsidRPr="00A37B80">
              <w:rPr>
                <w:rFonts w:cstheme="minorHAnsi"/>
              </w:rPr>
              <w:t>Patient Declined</w:t>
            </w:r>
          </w:p>
        </w:tc>
        <w:tc>
          <w:tcPr>
            <w:tcW w:w="2287" w:type="dxa"/>
            <w:tcBorders>
              <w:top w:val="single" w:sz="4" w:space="0" w:color="FFFFFF" w:themeColor="background1"/>
              <w:bottom w:val="single" w:sz="4" w:space="0" w:color="FFFFFF" w:themeColor="background1"/>
            </w:tcBorders>
          </w:tcPr>
          <w:p w14:paraId="5B486CF3" w14:textId="3DCAB98C" w:rsidR="002000B1" w:rsidRPr="00A37B80" w:rsidRDefault="00050811" w:rsidP="002000B1">
            <w:pPr>
              <w:contextualSpacing/>
              <w:rPr>
                <w:rFonts w:cstheme="minorHAnsi"/>
              </w:rPr>
            </w:pPr>
            <w:r w:rsidRPr="002B6695">
              <w:rPr>
                <w:rFonts w:cstheme="minorHAnsi"/>
              </w:rPr>
              <w:t>1.4%</w:t>
            </w:r>
          </w:p>
        </w:tc>
        <w:tc>
          <w:tcPr>
            <w:tcW w:w="2695" w:type="dxa"/>
            <w:tcBorders>
              <w:top w:val="single" w:sz="4" w:space="0" w:color="FFFFFF" w:themeColor="background1"/>
              <w:bottom w:val="single" w:sz="4" w:space="0" w:color="FFFFFF" w:themeColor="background1"/>
            </w:tcBorders>
          </w:tcPr>
          <w:p w14:paraId="04888CA2" w14:textId="3A9E5EEB" w:rsidR="002000B1" w:rsidRPr="00A37B80" w:rsidRDefault="00050811" w:rsidP="002000B1">
            <w:pPr>
              <w:contextualSpacing/>
              <w:rPr>
                <w:rFonts w:cstheme="minorHAnsi"/>
              </w:rPr>
            </w:pPr>
            <w:r w:rsidRPr="00B2070A">
              <w:rPr>
                <w:rFonts w:cstheme="minorHAnsi"/>
              </w:rPr>
              <w:t>0.3%</w:t>
            </w:r>
          </w:p>
        </w:tc>
      </w:tr>
      <w:tr w:rsidR="002000B1" w:rsidRPr="00A37B80" w14:paraId="3AEA3E28" w14:textId="77777777" w:rsidTr="00AD4D27">
        <w:trPr>
          <w:cantSplit/>
          <w:trHeight w:val="311"/>
          <w:jc w:val="center"/>
        </w:trPr>
        <w:tc>
          <w:tcPr>
            <w:tcW w:w="4368" w:type="dxa"/>
            <w:tcBorders>
              <w:top w:val="single" w:sz="4" w:space="0" w:color="FFFFFF" w:themeColor="background1"/>
              <w:bottom w:val="single" w:sz="4" w:space="0" w:color="auto"/>
            </w:tcBorders>
          </w:tcPr>
          <w:p w14:paraId="47E85E2B" w14:textId="2EF3D7A8" w:rsidR="002000B1" w:rsidRPr="00050811" w:rsidRDefault="00050811" w:rsidP="00050811">
            <w:pPr>
              <w:ind w:left="288"/>
              <w:contextualSpacing/>
              <w:rPr>
                <w:rFonts w:cstheme="minorHAnsi"/>
              </w:rPr>
            </w:pPr>
            <w:r w:rsidRPr="00A37B80">
              <w:rPr>
                <w:rFonts w:cstheme="minorHAnsi"/>
              </w:rPr>
              <w:t>Total</w:t>
            </w:r>
          </w:p>
        </w:tc>
        <w:tc>
          <w:tcPr>
            <w:tcW w:w="2287" w:type="dxa"/>
            <w:tcBorders>
              <w:top w:val="single" w:sz="4" w:space="0" w:color="FFFFFF" w:themeColor="background1"/>
              <w:bottom w:val="single" w:sz="4" w:space="0" w:color="auto"/>
            </w:tcBorders>
          </w:tcPr>
          <w:p w14:paraId="38717E0D" w14:textId="7FE71DED" w:rsidR="002000B1" w:rsidRPr="00A37B80" w:rsidRDefault="00050811" w:rsidP="002000B1">
            <w:pPr>
              <w:contextualSpacing/>
              <w:rPr>
                <w:rFonts w:cstheme="minorHAnsi"/>
              </w:rPr>
            </w:pPr>
            <w:r w:rsidRPr="00A37B80">
              <w:rPr>
                <w:rFonts w:cstheme="minorHAnsi"/>
              </w:rPr>
              <w:t>100%</w:t>
            </w:r>
          </w:p>
        </w:tc>
        <w:tc>
          <w:tcPr>
            <w:tcW w:w="2695" w:type="dxa"/>
            <w:tcBorders>
              <w:top w:val="single" w:sz="4" w:space="0" w:color="FFFFFF" w:themeColor="background1"/>
              <w:bottom w:val="single" w:sz="4" w:space="0" w:color="auto"/>
            </w:tcBorders>
          </w:tcPr>
          <w:p w14:paraId="74FD77CF" w14:textId="3B40E8EF" w:rsidR="002000B1" w:rsidRPr="00A37B80" w:rsidRDefault="00050811" w:rsidP="002000B1">
            <w:pPr>
              <w:contextualSpacing/>
              <w:rPr>
                <w:rFonts w:cstheme="minorHAnsi"/>
              </w:rPr>
            </w:pPr>
            <w:r w:rsidRPr="00A37B80">
              <w:rPr>
                <w:rFonts w:cstheme="minorHAnsi"/>
              </w:rPr>
              <w:t>100.00%</w:t>
            </w:r>
          </w:p>
        </w:tc>
      </w:tr>
      <w:tr w:rsidR="002000B1" w:rsidRPr="00A37B80" w14:paraId="344948EE" w14:textId="77777777" w:rsidTr="00AD4D27">
        <w:trPr>
          <w:cantSplit/>
          <w:trHeight w:val="327"/>
          <w:jc w:val="center"/>
        </w:trPr>
        <w:tc>
          <w:tcPr>
            <w:tcW w:w="4368" w:type="dxa"/>
            <w:tcBorders>
              <w:bottom w:val="single" w:sz="4" w:space="0" w:color="FFFFFF" w:themeColor="background1"/>
            </w:tcBorders>
          </w:tcPr>
          <w:p w14:paraId="0D212A87" w14:textId="0A75264B" w:rsidR="002000B1" w:rsidRPr="00A37B80" w:rsidRDefault="002000B1" w:rsidP="002000B1">
            <w:pPr>
              <w:contextualSpacing/>
              <w:rPr>
                <w:rFonts w:cstheme="minorHAnsi"/>
                <w:b/>
              </w:rPr>
            </w:pPr>
            <w:r w:rsidRPr="00A37B80">
              <w:rPr>
                <w:rFonts w:cstheme="minorHAnsi"/>
                <w:b/>
              </w:rPr>
              <w:t>Ethnicity</w:t>
            </w:r>
          </w:p>
          <w:p w14:paraId="20E0CD9A" w14:textId="747585AA" w:rsidR="002000B1" w:rsidRPr="00F97DDE" w:rsidRDefault="002000B1" w:rsidP="00F97DDE">
            <w:pPr>
              <w:ind w:left="288"/>
              <w:contextualSpacing/>
              <w:rPr>
                <w:rFonts w:cstheme="minorHAnsi"/>
                <w:bCs/>
              </w:rPr>
            </w:pPr>
            <w:r w:rsidRPr="00A37B80">
              <w:rPr>
                <w:rFonts w:cstheme="minorHAnsi"/>
                <w:bCs/>
              </w:rPr>
              <w:t>Hispanic/Latino</w:t>
            </w:r>
          </w:p>
        </w:tc>
        <w:tc>
          <w:tcPr>
            <w:tcW w:w="2287" w:type="dxa"/>
            <w:tcBorders>
              <w:bottom w:val="single" w:sz="4" w:space="0" w:color="FFFFFF" w:themeColor="background1"/>
            </w:tcBorders>
          </w:tcPr>
          <w:p w14:paraId="6B3C5C38" w14:textId="77777777" w:rsidR="002000B1" w:rsidRPr="00A37B80" w:rsidRDefault="002000B1" w:rsidP="002000B1">
            <w:pPr>
              <w:contextualSpacing/>
              <w:rPr>
                <w:rFonts w:cstheme="minorHAnsi"/>
              </w:rPr>
            </w:pPr>
          </w:p>
          <w:p w14:paraId="09072A82" w14:textId="6626E09C" w:rsidR="002000B1" w:rsidRPr="00A37B80" w:rsidRDefault="002000B1" w:rsidP="002000B1">
            <w:pPr>
              <w:contextualSpacing/>
              <w:rPr>
                <w:rFonts w:cstheme="minorHAnsi"/>
              </w:rPr>
            </w:pPr>
            <w:r w:rsidRPr="002B6695">
              <w:rPr>
                <w:rFonts w:cstheme="minorHAnsi"/>
              </w:rPr>
              <w:t>6.0%</w:t>
            </w:r>
          </w:p>
        </w:tc>
        <w:tc>
          <w:tcPr>
            <w:tcW w:w="2695" w:type="dxa"/>
            <w:tcBorders>
              <w:bottom w:val="single" w:sz="4" w:space="0" w:color="FFFFFF" w:themeColor="background1"/>
            </w:tcBorders>
          </w:tcPr>
          <w:p w14:paraId="72F67C8A" w14:textId="77777777" w:rsidR="002000B1" w:rsidRPr="00A37B80" w:rsidRDefault="002000B1" w:rsidP="002000B1">
            <w:pPr>
              <w:contextualSpacing/>
              <w:rPr>
                <w:rFonts w:cstheme="minorHAnsi"/>
              </w:rPr>
            </w:pPr>
          </w:p>
          <w:p w14:paraId="7514A6A0" w14:textId="4B4AC910" w:rsidR="002000B1" w:rsidRPr="00A37B80" w:rsidRDefault="002000B1" w:rsidP="002000B1">
            <w:pPr>
              <w:contextualSpacing/>
              <w:rPr>
                <w:rFonts w:cstheme="minorHAnsi"/>
              </w:rPr>
            </w:pPr>
            <w:r w:rsidRPr="00A37B80">
              <w:rPr>
                <w:rFonts w:cstheme="minorHAnsi"/>
              </w:rPr>
              <w:t>Not available</w:t>
            </w:r>
            <w:r w:rsidRPr="00185945">
              <w:rPr>
                <w:rFonts w:cstheme="minorHAnsi"/>
                <w:b/>
                <w:vertAlign w:val="superscript"/>
              </w:rPr>
              <w:footnoteReference w:id="12"/>
            </w:r>
          </w:p>
        </w:tc>
      </w:tr>
      <w:tr w:rsidR="002000B1" w:rsidRPr="00A37B80" w14:paraId="1DA2B3D7" w14:textId="77777777" w:rsidTr="006C7D07">
        <w:trPr>
          <w:cantSplit/>
          <w:trHeight w:val="326"/>
          <w:jc w:val="center"/>
        </w:trPr>
        <w:tc>
          <w:tcPr>
            <w:tcW w:w="4368" w:type="dxa"/>
            <w:tcBorders>
              <w:top w:val="single" w:sz="4" w:space="0" w:color="FFFFFF" w:themeColor="background1"/>
              <w:bottom w:val="single" w:sz="4" w:space="0" w:color="FFFFFF" w:themeColor="background1"/>
            </w:tcBorders>
          </w:tcPr>
          <w:p w14:paraId="4CFEF99A" w14:textId="6CD6FB8C" w:rsidR="002000B1" w:rsidRPr="00F97DDE" w:rsidRDefault="00213FB6" w:rsidP="00F97DDE">
            <w:pPr>
              <w:ind w:left="288"/>
              <w:contextualSpacing/>
              <w:rPr>
                <w:rFonts w:cstheme="minorHAnsi"/>
                <w:bCs/>
              </w:rPr>
            </w:pPr>
            <w:r w:rsidRPr="00A37B80">
              <w:rPr>
                <w:rFonts w:cstheme="minorHAnsi"/>
                <w:bCs/>
              </w:rPr>
              <w:t>Not Hispanic/Latino</w:t>
            </w:r>
          </w:p>
        </w:tc>
        <w:tc>
          <w:tcPr>
            <w:tcW w:w="2287" w:type="dxa"/>
            <w:tcBorders>
              <w:top w:val="single" w:sz="4" w:space="0" w:color="FFFFFF" w:themeColor="background1"/>
              <w:bottom w:val="single" w:sz="4" w:space="0" w:color="FFFFFF" w:themeColor="background1"/>
            </w:tcBorders>
          </w:tcPr>
          <w:p w14:paraId="6CBA57C4" w14:textId="7BC2B171" w:rsidR="002000B1" w:rsidRPr="00A37B80" w:rsidRDefault="00CA6D0F" w:rsidP="002000B1">
            <w:pPr>
              <w:contextualSpacing/>
              <w:rPr>
                <w:rFonts w:cstheme="minorHAnsi"/>
              </w:rPr>
            </w:pPr>
            <w:r w:rsidRPr="002B6695">
              <w:rPr>
                <w:rFonts w:cstheme="minorHAnsi"/>
              </w:rPr>
              <w:t>81.7%</w:t>
            </w:r>
          </w:p>
        </w:tc>
        <w:tc>
          <w:tcPr>
            <w:tcW w:w="2695" w:type="dxa"/>
            <w:tcBorders>
              <w:top w:val="single" w:sz="4" w:space="0" w:color="FFFFFF" w:themeColor="background1"/>
              <w:bottom w:val="single" w:sz="4" w:space="0" w:color="FFFFFF" w:themeColor="background1"/>
            </w:tcBorders>
          </w:tcPr>
          <w:p w14:paraId="43C5FDB4" w14:textId="77777777" w:rsidR="002000B1" w:rsidRPr="00A37B80" w:rsidRDefault="002000B1" w:rsidP="002000B1">
            <w:pPr>
              <w:contextualSpacing/>
              <w:rPr>
                <w:rFonts w:cstheme="minorHAnsi"/>
              </w:rPr>
            </w:pPr>
          </w:p>
        </w:tc>
      </w:tr>
      <w:tr w:rsidR="002000B1" w:rsidRPr="00A37B80" w14:paraId="126D7E8B" w14:textId="77777777" w:rsidTr="006C7D07">
        <w:trPr>
          <w:cantSplit/>
          <w:trHeight w:val="326"/>
          <w:jc w:val="center"/>
        </w:trPr>
        <w:tc>
          <w:tcPr>
            <w:tcW w:w="4368" w:type="dxa"/>
            <w:tcBorders>
              <w:top w:val="single" w:sz="4" w:space="0" w:color="FFFFFF" w:themeColor="background1"/>
              <w:bottom w:val="single" w:sz="4" w:space="0" w:color="FFFFFF" w:themeColor="background1"/>
            </w:tcBorders>
          </w:tcPr>
          <w:p w14:paraId="05DA0398" w14:textId="741A7D31" w:rsidR="002000B1" w:rsidRPr="00F97DDE" w:rsidRDefault="00213FB6" w:rsidP="00F97DDE">
            <w:pPr>
              <w:ind w:left="288"/>
              <w:contextualSpacing/>
              <w:rPr>
                <w:rFonts w:cstheme="minorHAnsi"/>
                <w:bCs/>
              </w:rPr>
            </w:pPr>
            <w:r w:rsidRPr="00A37B80">
              <w:rPr>
                <w:rFonts w:cstheme="minorHAnsi"/>
                <w:bCs/>
              </w:rPr>
              <w:t>Patient Declined</w:t>
            </w:r>
          </w:p>
        </w:tc>
        <w:tc>
          <w:tcPr>
            <w:tcW w:w="2287" w:type="dxa"/>
            <w:tcBorders>
              <w:top w:val="single" w:sz="4" w:space="0" w:color="FFFFFF" w:themeColor="background1"/>
              <w:bottom w:val="single" w:sz="4" w:space="0" w:color="FFFFFF" w:themeColor="background1"/>
            </w:tcBorders>
          </w:tcPr>
          <w:p w14:paraId="17C89272" w14:textId="233E6603" w:rsidR="002000B1" w:rsidRPr="00A37B80" w:rsidRDefault="00CA6D0F" w:rsidP="002000B1">
            <w:pPr>
              <w:contextualSpacing/>
              <w:rPr>
                <w:rFonts w:cstheme="minorHAnsi"/>
              </w:rPr>
            </w:pPr>
            <w:r w:rsidRPr="002B6695">
              <w:rPr>
                <w:rFonts w:cstheme="minorHAnsi"/>
              </w:rPr>
              <w:t>3.6%</w:t>
            </w:r>
          </w:p>
        </w:tc>
        <w:tc>
          <w:tcPr>
            <w:tcW w:w="2695" w:type="dxa"/>
            <w:tcBorders>
              <w:top w:val="single" w:sz="4" w:space="0" w:color="FFFFFF" w:themeColor="background1"/>
              <w:bottom w:val="single" w:sz="4" w:space="0" w:color="FFFFFF" w:themeColor="background1"/>
            </w:tcBorders>
          </w:tcPr>
          <w:p w14:paraId="04A6EA0C" w14:textId="77777777" w:rsidR="002000B1" w:rsidRPr="00A37B80" w:rsidRDefault="002000B1" w:rsidP="002000B1">
            <w:pPr>
              <w:contextualSpacing/>
              <w:rPr>
                <w:rFonts w:cstheme="minorHAnsi"/>
              </w:rPr>
            </w:pPr>
          </w:p>
        </w:tc>
      </w:tr>
      <w:tr w:rsidR="002000B1" w:rsidRPr="00A37B80" w14:paraId="4D13642C" w14:textId="77777777" w:rsidTr="006C7D07">
        <w:trPr>
          <w:cantSplit/>
          <w:trHeight w:val="326"/>
          <w:jc w:val="center"/>
        </w:trPr>
        <w:tc>
          <w:tcPr>
            <w:tcW w:w="4368" w:type="dxa"/>
            <w:tcBorders>
              <w:top w:val="single" w:sz="4" w:space="0" w:color="FFFFFF" w:themeColor="background1"/>
              <w:bottom w:val="single" w:sz="4" w:space="0" w:color="FFFFFF" w:themeColor="background1"/>
            </w:tcBorders>
          </w:tcPr>
          <w:p w14:paraId="0D9C461C" w14:textId="28D3A6D7" w:rsidR="002000B1" w:rsidRPr="00F97DDE" w:rsidRDefault="00213FB6" w:rsidP="00F97DDE">
            <w:pPr>
              <w:ind w:left="288"/>
              <w:contextualSpacing/>
              <w:rPr>
                <w:rFonts w:cstheme="minorHAnsi"/>
                <w:bCs/>
              </w:rPr>
            </w:pPr>
            <w:r w:rsidRPr="00A37B80">
              <w:rPr>
                <w:rFonts w:cstheme="minorHAnsi"/>
                <w:bCs/>
              </w:rPr>
              <w:t>Unknown</w:t>
            </w:r>
          </w:p>
        </w:tc>
        <w:tc>
          <w:tcPr>
            <w:tcW w:w="2287" w:type="dxa"/>
            <w:tcBorders>
              <w:top w:val="single" w:sz="4" w:space="0" w:color="FFFFFF" w:themeColor="background1"/>
              <w:bottom w:val="single" w:sz="4" w:space="0" w:color="FFFFFF" w:themeColor="background1"/>
            </w:tcBorders>
          </w:tcPr>
          <w:p w14:paraId="3F3A48B5" w14:textId="1F840866" w:rsidR="002000B1" w:rsidRPr="00A37B80" w:rsidRDefault="00CA6D0F" w:rsidP="002000B1">
            <w:pPr>
              <w:contextualSpacing/>
              <w:rPr>
                <w:rFonts w:cstheme="minorHAnsi"/>
              </w:rPr>
            </w:pPr>
            <w:r w:rsidRPr="002B6695">
              <w:rPr>
                <w:rFonts w:cstheme="minorHAnsi"/>
              </w:rPr>
              <w:t>6.0%</w:t>
            </w:r>
          </w:p>
        </w:tc>
        <w:tc>
          <w:tcPr>
            <w:tcW w:w="2695" w:type="dxa"/>
            <w:tcBorders>
              <w:top w:val="single" w:sz="4" w:space="0" w:color="FFFFFF" w:themeColor="background1"/>
              <w:bottom w:val="single" w:sz="4" w:space="0" w:color="FFFFFF" w:themeColor="background1"/>
            </w:tcBorders>
          </w:tcPr>
          <w:p w14:paraId="3A042BDC" w14:textId="77777777" w:rsidR="002000B1" w:rsidRPr="00A37B80" w:rsidRDefault="002000B1" w:rsidP="002000B1">
            <w:pPr>
              <w:contextualSpacing/>
              <w:rPr>
                <w:rFonts w:cstheme="minorHAnsi"/>
              </w:rPr>
            </w:pPr>
          </w:p>
        </w:tc>
      </w:tr>
      <w:tr w:rsidR="002000B1" w:rsidRPr="00A37B80" w14:paraId="47E75CC7" w14:textId="77777777" w:rsidTr="006C7D07">
        <w:trPr>
          <w:cantSplit/>
          <w:trHeight w:val="326"/>
          <w:jc w:val="center"/>
        </w:trPr>
        <w:tc>
          <w:tcPr>
            <w:tcW w:w="4368" w:type="dxa"/>
            <w:tcBorders>
              <w:top w:val="single" w:sz="4" w:space="0" w:color="FFFFFF" w:themeColor="background1"/>
              <w:bottom w:val="single" w:sz="4" w:space="0" w:color="FFFFFF" w:themeColor="background1"/>
            </w:tcBorders>
          </w:tcPr>
          <w:p w14:paraId="7BF6D03C" w14:textId="751FC0C7" w:rsidR="002000B1" w:rsidRPr="00F97DDE" w:rsidRDefault="00213FB6" w:rsidP="00F97DDE">
            <w:pPr>
              <w:ind w:left="288"/>
              <w:contextualSpacing/>
              <w:rPr>
                <w:rFonts w:cstheme="minorHAnsi"/>
                <w:bCs/>
              </w:rPr>
            </w:pPr>
            <w:r w:rsidRPr="00A37B80">
              <w:rPr>
                <w:rFonts w:cstheme="minorHAnsi"/>
                <w:bCs/>
              </w:rPr>
              <w:t>Other</w:t>
            </w:r>
          </w:p>
        </w:tc>
        <w:tc>
          <w:tcPr>
            <w:tcW w:w="2287" w:type="dxa"/>
            <w:tcBorders>
              <w:top w:val="single" w:sz="4" w:space="0" w:color="FFFFFF" w:themeColor="background1"/>
              <w:bottom w:val="single" w:sz="4" w:space="0" w:color="FFFFFF" w:themeColor="background1"/>
            </w:tcBorders>
          </w:tcPr>
          <w:p w14:paraId="469F8F59" w14:textId="6A56C5C4" w:rsidR="002000B1" w:rsidRPr="00A37B80" w:rsidRDefault="00CA6D0F" w:rsidP="002000B1">
            <w:pPr>
              <w:contextualSpacing/>
              <w:rPr>
                <w:rFonts w:cstheme="minorHAnsi"/>
              </w:rPr>
            </w:pPr>
            <w:r w:rsidRPr="002B6695">
              <w:rPr>
                <w:rFonts w:cstheme="minorHAnsi"/>
              </w:rPr>
              <w:t>2.7%</w:t>
            </w:r>
          </w:p>
        </w:tc>
        <w:tc>
          <w:tcPr>
            <w:tcW w:w="2695" w:type="dxa"/>
            <w:tcBorders>
              <w:top w:val="single" w:sz="4" w:space="0" w:color="FFFFFF" w:themeColor="background1"/>
              <w:bottom w:val="single" w:sz="4" w:space="0" w:color="FFFFFF" w:themeColor="background1"/>
            </w:tcBorders>
          </w:tcPr>
          <w:p w14:paraId="724B256B" w14:textId="77777777" w:rsidR="002000B1" w:rsidRPr="00A37B80" w:rsidRDefault="002000B1" w:rsidP="002000B1">
            <w:pPr>
              <w:contextualSpacing/>
              <w:rPr>
                <w:rFonts w:cstheme="minorHAnsi"/>
              </w:rPr>
            </w:pPr>
          </w:p>
        </w:tc>
      </w:tr>
      <w:tr w:rsidR="002000B1" w:rsidRPr="00A37B80" w14:paraId="6AA3ABEE" w14:textId="77777777" w:rsidTr="006C7D07">
        <w:trPr>
          <w:cantSplit/>
          <w:trHeight w:val="326"/>
          <w:jc w:val="center"/>
        </w:trPr>
        <w:tc>
          <w:tcPr>
            <w:tcW w:w="4368" w:type="dxa"/>
            <w:tcBorders>
              <w:top w:val="single" w:sz="4" w:space="0" w:color="FFFFFF" w:themeColor="background1"/>
            </w:tcBorders>
          </w:tcPr>
          <w:p w14:paraId="11DF0F25" w14:textId="3DC9598C" w:rsidR="002000B1" w:rsidRPr="00A37B80" w:rsidRDefault="00213FB6" w:rsidP="00F97DDE">
            <w:pPr>
              <w:ind w:left="288"/>
              <w:contextualSpacing/>
              <w:rPr>
                <w:rFonts w:cstheme="minorHAnsi"/>
                <w:b/>
              </w:rPr>
            </w:pPr>
            <w:r w:rsidRPr="00F97DDE">
              <w:rPr>
                <w:rFonts w:cstheme="minorHAnsi"/>
                <w:bCs/>
              </w:rPr>
              <w:t>Total</w:t>
            </w:r>
          </w:p>
        </w:tc>
        <w:tc>
          <w:tcPr>
            <w:tcW w:w="2287" w:type="dxa"/>
            <w:tcBorders>
              <w:top w:val="single" w:sz="4" w:space="0" w:color="FFFFFF" w:themeColor="background1"/>
            </w:tcBorders>
          </w:tcPr>
          <w:p w14:paraId="3554B18B" w14:textId="64EA67D7" w:rsidR="002000B1" w:rsidRPr="00A37B80" w:rsidRDefault="00CA6D0F" w:rsidP="002000B1">
            <w:pPr>
              <w:contextualSpacing/>
              <w:rPr>
                <w:rFonts w:cstheme="minorHAnsi"/>
              </w:rPr>
            </w:pPr>
            <w:r w:rsidRPr="00A37B80">
              <w:rPr>
                <w:rFonts w:cstheme="minorHAnsi"/>
              </w:rPr>
              <w:t>100%</w:t>
            </w:r>
          </w:p>
        </w:tc>
        <w:tc>
          <w:tcPr>
            <w:tcW w:w="2695" w:type="dxa"/>
            <w:tcBorders>
              <w:top w:val="single" w:sz="4" w:space="0" w:color="FFFFFF" w:themeColor="background1"/>
            </w:tcBorders>
          </w:tcPr>
          <w:p w14:paraId="0D2BF6B1" w14:textId="77777777" w:rsidR="002000B1" w:rsidRPr="00A37B80" w:rsidRDefault="002000B1" w:rsidP="002000B1">
            <w:pPr>
              <w:contextualSpacing/>
              <w:rPr>
                <w:rFonts w:cstheme="minorHAnsi"/>
              </w:rPr>
            </w:pPr>
          </w:p>
        </w:tc>
      </w:tr>
      <w:tr w:rsidR="002000B1" w:rsidRPr="005A7598" w14:paraId="3ED01103" w14:textId="77777777" w:rsidTr="006C7D07">
        <w:tblPrEx>
          <w:jc w:val="left"/>
        </w:tblPrEx>
        <w:trPr>
          <w:cantSplit/>
          <w:trHeight w:val="314"/>
        </w:trPr>
        <w:tc>
          <w:tcPr>
            <w:tcW w:w="0" w:type="auto"/>
            <w:tcBorders>
              <w:bottom w:val="single" w:sz="4" w:space="0" w:color="auto"/>
            </w:tcBorders>
          </w:tcPr>
          <w:p w14:paraId="1B41B536" w14:textId="13CD5A92" w:rsidR="002000B1" w:rsidRPr="005A7598" w:rsidRDefault="002000B1" w:rsidP="002000B1">
            <w:pPr>
              <w:contextualSpacing/>
              <w:rPr>
                <w:rFonts w:cstheme="minorHAnsi"/>
                <w:b/>
              </w:rPr>
            </w:pPr>
            <w:r w:rsidRPr="005A7598">
              <w:rPr>
                <w:rFonts w:cstheme="minorHAnsi"/>
                <w:b/>
              </w:rPr>
              <w:t>Payer Mix</w:t>
            </w:r>
            <w:r>
              <w:rPr>
                <w:rStyle w:val="FootnoteReference"/>
                <w:rFonts w:cstheme="minorHAnsi"/>
                <w:b/>
              </w:rPr>
              <w:footnoteReference w:id="13"/>
            </w:r>
            <w:r w:rsidRPr="005A7598">
              <w:rPr>
                <w:rFonts w:cstheme="minorHAnsi"/>
                <w:b/>
              </w:rPr>
              <w:t xml:space="preserve">  </w:t>
            </w:r>
          </w:p>
          <w:p w14:paraId="519539F7" w14:textId="39BA40F4" w:rsidR="002000B1" w:rsidRPr="0040468B" w:rsidRDefault="002000B1" w:rsidP="0040468B">
            <w:pPr>
              <w:ind w:left="288"/>
              <w:contextualSpacing/>
              <w:rPr>
                <w:rFonts w:cstheme="minorHAnsi"/>
                <w:bCs/>
              </w:rPr>
            </w:pPr>
            <w:r w:rsidRPr="00AC4253">
              <w:rPr>
                <w:rFonts w:cstheme="minorHAnsi"/>
                <w:bCs/>
              </w:rPr>
              <w:t>Medicare Total</w:t>
            </w:r>
          </w:p>
        </w:tc>
        <w:tc>
          <w:tcPr>
            <w:tcW w:w="0" w:type="auto"/>
            <w:tcBorders>
              <w:bottom w:val="single" w:sz="4" w:space="0" w:color="auto"/>
            </w:tcBorders>
          </w:tcPr>
          <w:p w14:paraId="64DD945E" w14:textId="77777777" w:rsidR="002000B1" w:rsidRDefault="002000B1" w:rsidP="002000B1">
            <w:pPr>
              <w:contextualSpacing/>
              <w:rPr>
                <w:rFonts w:cstheme="minorHAnsi"/>
              </w:rPr>
            </w:pPr>
          </w:p>
          <w:p w14:paraId="3CBB64F5" w14:textId="0DDEAFD9" w:rsidR="002000B1" w:rsidRDefault="002000B1" w:rsidP="002000B1">
            <w:pPr>
              <w:contextualSpacing/>
              <w:rPr>
                <w:rFonts w:cstheme="minorHAnsi"/>
              </w:rPr>
            </w:pPr>
            <w:r w:rsidRPr="00C6488B">
              <w:rPr>
                <w:rFonts w:cstheme="minorHAnsi"/>
              </w:rPr>
              <w:t>25.4%</w:t>
            </w:r>
          </w:p>
          <w:p w14:paraId="1AF3FA0A" w14:textId="7166A8AF" w:rsidR="002000B1" w:rsidRPr="005A7598" w:rsidRDefault="002000B1" w:rsidP="002000B1">
            <w:pPr>
              <w:contextualSpacing/>
              <w:rPr>
                <w:rFonts w:cstheme="minorHAnsi"/>
              </w:rPr>
            </w:pPr>
          </w:p>
        </w:tc>
        <w:tc>
          <w:tcPr>
            <w:tcW w:w="0" w:type="auto"/>
            <w:tcBorders>
              <w:bottom w:val="single" w:sz="4" w:space="0" w:color="auto"/>
            </w:tcBorders>
          </w:tcPr>
          <w:p w14:paraId="1CCC0616" w14:textId="77777777" w:rsidR="002000B1" w:rsidRDefault="002000B1" w:rsidP="002000B1">
            <w:pPr>
              <w:contextualSpacing/>
              <w:rPr>
                <w:rFonts w:cstheme="minorHAnsi"/>
              </w:rPr>
            </w:pPr>
          </w:p>
          <w:p w14:paraId="1D98A46A" w14:textId="3FDF91D1" w:rsidR="002000B1" w:rsidRDefault="002000B1" w:rsidP="002000B1">
            <w:pPr>
              <w:contextualSpacing/>
              <w:rPr>
                <w:rFonts w:cstheme="minorHAnsi"/>
              </w:rPr>
            </w:pPr>
            <w:r w:rsidRPr="007A25A9">
              <w:rPr>
                <w:rFonts w:cstheme="minorHAnsi"/>
              </w:rPr>
              <w:t>48.2%</w:t>
            </w:r>
          </w:p>
          <w:p w14:paraId="61F2E88B" w14:textId="279296D5" w:rsidR="002000B1" w:rsidRPr="005A7598" w:rsidRDefault="002000B1" w:rsidP="008128B9">
            <w:pPr>
              <w:contextualSpacing/>
              <w:rPr>
                <w:rFonts w:cstheme="minorHAnsi"/>
              </w:rPr>
            </w:pPr>
          </w:p>
        </w:tc>
      </w:tr>
      <w:tr w:rsidR="0040468B" w:rsidRPr="005A7598" w14:paraId="0DF04BB8" w14:textId="77777777" w:rsidTr="006C7D07">
        <w:tblPrEx>
          <w:jc w:val="left"/>
        </w:tblPrEx>
        <w:trPr>
          <w:cantSplit/>
          <w:trHeight w:val="311"/>
        </w:trPr>
        <w:tc>
          <w:tcPr>
            <w:tcW w:w="0" w:type="auto"/>
            <w:tcBorders>
              <w:bottom w:val="single" w:sz="4" w:space="0" w:color="FFFFFF" w:themeColor="background1"/>
            </w:tcBorders>
          </w:tcPr>
          <w:p w14:paraId="4E803EFE" w14:textId="32DB58A2" w:rsidR="0040468B" w:rsidRPr="0040468B" w:rsidRDefault="0040468B" w:rsidP="0040468B">
            <w:pPr>
              <w:ind w:left="288"/>
              <w:contextualSpacing/>
              <w:rPr>
                <w:rFonts w:cstheme="minorHAnsi"/>
                <w:bCs/>
              </w:rPr>
            </w:pPr>
            <w:r w:rsidRPr="00AC4253">
              <w:rPr>
                <w:rFonts w:cstheme="minorHAnsi"/>
                <w:bCs/>
              </w:rPr>
              <w:lastRenderedPageBreak/>
              <w:t>Medicaid Total</w:t>
            </w:r>
          </w:p>
        </w:tc>
        <w:tc>
          <w:tcPr>
            <w:tcW w:w="0" w:type="auto"/>
            <w:tcBorders>
              <w:bottom w:val="single" w:sz="4" w:space="0" w:color="FFFFFF" w:themeColor="background1"/>
            </w:tcBorders>
          </w:tcPr>
          <w:p w14:paraId="28FD8133" w14:textId="19C9D8AA" w:rsidR="0040468B" w:rsidRDefault="0040468B" w:rsidP="0040468B">
            <w:pPr>
              <w:contextualSpacing/>
              <w:rPr>
                <w:rFonts w:cstheme="minorHAnsi"/>
              </w:rPr>
            </w:pPr>
            <w:r w:rsidRPr="00C6488B">
              <w:rPr>
                <w:rFonts w:cstheme="minorHAnsi"/>
              </w:rPr>
              <w:t>12.2%</w:t>
            </w:r>
          </w:p>
        </w:tc>
        <w:tc>
          <w:tcPr>
            <w:tcW w:w="0" w:type="auto"/>
            <w:tcBorders>
              <w:bottom w:val="single" w:sz="4" w:space="0" w:color="FFFFFF" w:themeColor="background1"/>
            </w:tcBorders>
          </w:tcPr>
          <w:p w14:paraId="20523CB9" w14:textId="6B6A5A0A" w:rsidR="0040468B" w:rsidRDefault="0040468B" w:rsidP="0040468B">
            <w:pPr>
              <w:contextualSpacing/>
              <w:rPr>
                <w:rFonts w:cstheme="minorHAnsi"/>
              </w:rPr>
            </w:pPr>
            <w:r>
              <w:rPr>
                <w:rFonts w:cstheme="minorHAnsi"/>
              </w:rPr>
              <w:t>6.2%</w:t>
            </w:r>
          </w:p>
        </w:tc>
      </w:tr>
      <w:tr w:rsidR="0040468B" w:rsidRPr="005A7598" w14:paraId="1136AE4C" w14:textId="77777777" w:rsidTr="006C7D07">
        <w:tblPrEx>
          <w:jc w:val="left"/>
        </w:tblPrEx>
        <w:trPr>
          <w:cantSplit/>
          <w:trHeight w:val="311"/>
        </w:trPr>
        <w:tc>
          <w:tcPr>
            <w:tcW w:w="0" w:type="auto"/>
            <w:tcBorders>
              <w:top w:val="single" w:sz="4" w:space="0" w:color="FFFFFF" w:themeColor="background1"/>
              <w:bottom w:val="single" w:sz="4" w:space="0" w:color="FFFFFF" w:themeColor="background1"/>
            </w:tcBorders>
          </w:tcPr>
          <w:p w14:paraId="56958265" w14:textId="059E6F56" w:rsidR="0040468B" w:rsidRPr="0040468B" w:rsidRDefault="0040468B" w:rsidP="0040468B">
            <w:pPr>
              <w:ind w:left="288"/>
              <w:contextualSpacing/>
              <w:rPr>
                <w:rFonts w:cstheme="minorHAnsi"/>
                <w:bCs/>
              </w:rPr>
            </w:pPr>
            <w:r w:rsidRPr="00AC4253">
              <w:rPr>
                <w:rFonts w:cstheme="minorHAnsi"/>
                <w:bCs/>
              </w:rPr>
              <w:t>Commercial - Total</w:t>
            </w:r>
          </w:p>
        </w:tc>
        <w:tc>
          <w:tcPr>
            <w:tcW w:w="0" w:type="auto"/>
            <w:tcBorders>
              <w:top w:val="single" w:sz="4" w:space="0" w:color="FFFFFF" w:themeColor="background1"/>
              <w:bottom w:val="single" w:sz="4" w:space="0" w:color="FFFFFF" w:themeColor="background1"/>
            </w:tcBorders>
          </w:tcPr>
          <w:p w14:paraId="40B85181" w14:textId="5CF3A8B9" w:rsidR="0040468B" w:rsidRDefault="0040468B" w:rsidP="0040468B">
            <w:pPr>
              <w:contextualSpacing/>
              <w:rPr>
                <w:rFonts w:cstheme="minorHAnsi"/>
              </w:rPr>
            </w:pPr>
            <w:r w:rsidRPr="00310B54">
              <w:rPr>
                <w:rFonts w:cstheme="minorHAnsi"/>
              </w:rPr>
              <w:t>48.1%</w:t>
            </w:r>
          </w:p>
        </w:tc>
        <w:tc>
          <w:tcPr>
            <w:tcW w:w="0" w:type="auto"/>
            <w:tcBorders>
              <w:top w:val="single" w:sz="4" w:space="0" w:color="FFFFFF" w:themeColor="background1"/>
              <w:bottom w:val="single" w:sz="4" w:space="0" w:color="FFFFFF" w:themeColor="background1"/>
            </w:tcBorders>
          </w:tcPr>
          <w:p w14:paraId="7A1BA284" w14:textId="24ECFFFF" w:rsidR="0040468B" w:rsidRDefault="0040468B" w:rsidP="0040468B">
            <w:pPr>
              <w:contextualSpacing/>
              <w:rPr>
                <w:rFonts w:cstheme="minorHAnsi"/>
              </w:rPr>
            </w:pPr>
            <w:r>
              <w:rPr>
                <w:rFonts w:cstheme="minorHAnsi"/>
              </w:rPr>
              <w:t>43.3%</w:t>
            </w:r>
          </w:p>
        </w:tc>
      </w:tr>
      <w:tr w:rsidR="0040468B" w:rsidRPr="005A7598" w14:paraId="77416355" w14:textId="77777777" w:rsidTr="006C7D07">
        <w:tblPrEx>
          <w:jc w:val="left"/>
        </w:tblPrEx>
        <w:trPr>
          <w:cantSplit/>
          <w:trHeight w:val="311"/>
        </w:trPr>
        <w:tc>
          <w:tcPr>
            <w:tcW w:w="0" w:type="auto"/>
            <w:tcBorders>
              <w:top w:val="single" w:sz="4" w:space="0" w:color="FFFFFF" w:themeColor="background1"/>
              <w:bottom w:val="single" w:sz="4" w:space="0" w:color="FFFFFF" w:themeColor="background1"/>
            </w:tcBorders>
          </w:tcPr>
          <w:p w14:paraId="79C95553" w14:textId="6A5D6F24" w:rsidR="0040468B" w:rsidRPr="0040468B" w:rsidRDefault="0040468B" w:rsidP="0040468B">
            <w:pPr>
              <w:ind w:left="288"/>
              <w:contextualSpacing/>
              <w:rPr>
                <w:rFonts w:cstheme="minorHAnsi"/>
                <w:bCs/>
              </w:rPr>
            </w:pPr>
            <w:r w:rsidRPr="00AC4253">
              <w:rPr>
                <w:rFonts w:cstheme="minorHAnsi"/>
                <w:bCs/>
              </w:rPr>
              <w:t>HSN</w:t>
            </w:r>
          </w:p>
        </w:tc>
        <w:tc>
          <w:tcPr>
            <w:tcW w:w="0" w:type="auto"/>
            <w:tcBorders>
              <w:top w:val="single" w:sz="4" w:space="0" w:color="FFFFFF" w:themeColor="background1"/>
              <w:bottom w:val="single" w:sz="4" w:space="0" w:color="FFFFFF" w:themeColor="background1"/>
            </w:tcBorders>
          </w:tcPr>
          <w:p w14:paraId="3BDB4870" w14:textId="77777777" w:rsidR="0040468B" w:rsidRDefault="0040468B" w:rsidP="0040468B">
            <w:pPr>
              <w:contextualSpacing/>
              <w:rPr>
                <w:rFonts w:cstheme="minorHAnsi"/>
              </w:rPr>
            </w:pPr>
          </w:p>
        </w:tc>
        <w:tc>
          <w:tcPr>
            <w:tcW w:w="0" w:type="auto"/>
            <w:tcBorders>
              <w:top w:val="single" w:sz="4" w:space="0" w:color="FFFFFF" w:themeColor="background1"/>
              <w:bottom w:val="single" w:sz="4" w:space="0" w:color="FFFFFF" w:themeColor="background1"/>
            </w:tcBorders>
          </w:tcPr>
          <w:p w14:paraId="6676D11E" w14:textId="482E19CB" w:rsidR="0040468B" w:rsidRDefault="0040468B" w:rsidP="0040468B">
            <w:pPr>
              <w:contextualSpacing/>
              <w:rPr>
                <w:rFonts w:cstheme="minorHAnsi"/>
              </w:rPr>
            </w:pPr>
            <w:r>
              <w:rPr>
                <w:rFonts w:cstheme="minorHAnsi"/>
              </w:rPr>
              <w:t>0.1%</w:t>
            </w:r>
          </w:p>
        </w:tc>
      </w:tr>
      <w:tr w:rsidR="0040468B" w:rsidRPr="005A7598" w14:paraId="364001A5" w14:textId="77777777" w:rsidTr="006C7D07">
        <w:tblPrEx>
          <w:jc w:val="left"/>
        </w:tblPrEx>
        <w:trPr>
          <w:cantSplit/>
          <w:trHeight w:val="311"/>
        </w:trPr>
        <w:tc>
          <w:tcPr>
            <w:tcW w:w="0" w:type="auto"/>
            <w:tcBorders>
              <w:top w:val="single" w:sz="4" w:space="0" w:color="FFFFFF" w:themeColor="background1"/>
              <w:bottom w:val="single" w:sz="4" w:space="0" w:color="FFFFFF" w:themeColor="background1"/>
            </w:tcBorders>
          </w:tcPr>
          <w:p w14:paraId="228CA240" w14:textId="5BDCA48E" w:rsidR="0040468B" w:rsidRPr="0040468B" w:rsidRDefault="0040468B" w:rsidP="0040468B">
            <w:pPr>
              <w:ind w:left="288"/>
              <w:contextualSpacing/>
              <w:rPr>
                <w:rFonts w:cstheme="minorHAnsi"/>
                <w:bCs/>
              </w:rPr>
            </w:pPr>
            <w:r w:rsidRPr="00AC4253">
              <w:rPr>
                <w:rFonts w:cstheme="minorHAnsi"/>
                <w:bCs/>
              </w:rPr>
              <w:t>Multiple Payers</w:t>
            </w:r>
          </w:p>
        </w:tc>
        <w:tc>
          <w:tcPr>
            <w:tcW w:w="0" w:type="auto"/>
            <w:tcBorders>
              <w:top w:val="single" w:sz="4" w:space="0" w:color="FFFFFF" w:themeColor="background1"/>
              <w:bottom w:val="single" w:sz="4" w:space="0" w:color="FFFFFF" w:themeColor="background1"/>
            </w:tcBorders>
          </w:tcPr>
          <w:p w14:paraId="08393A29" w14:textId="11CF8C45" w:rsidR="0040468B" w:rsidRDefault="0040468B" w:rsidP="0040468B">
            <w:pPr>
              <w:contextualSpacing/>
              <w:rPr>
                <w:rFonts w:cstheme="minorHAnsi"/>
              </w:rPr>
            </w:pPr>
            <w:r>
              <w:rPr>
                <w:rFonts w:cstheme="minorHAnsi"/>
              </w:rPr>
              <w:t>6.0%</w:t>
            </w:r>
          </w:p>
        </w:tc>
        <w:tc>
          <w:tcPr>
            <w:tcW w:w="0" w:type="auto"/>
            <w:tcBorders>
              <w:top w:val="single" w:sz="4" w:space="0" w:color="FFFFFF" w:themeColor="background1"/>
              <w:bottom w:val="single" w:sz="4" w:space="0" w:color="FFFFFF" w:themeColor="background1"/>
            </w:tcBorders>
          </w:tcPr>
          <w:p w14:paraId="1678E042" w14:textId="77777777" w:rsidR="0040468B" w:rsidRDefault="0040468B" w:rsidP="0040468B">
            <w:pPr>
              <w:contextualSpacing/>
              <w:rPr>
                <w:rFonts w:cstheme="minorHAnsi"/>
              </w:rPr>
            </w:pPr>
          </w:p>
        </w:tc>
      </w:tr>
      <w:tr w:rsidR="0040468B" w:rsidRPr="005A7598" w14:paraId="350F6A96" w14:textId="77777777" w:rsidTr="006C7D07">
        <w:tblPrEx>
          <w:jc w:val="left"/>
        </w:tblPrEx>
        <w:trPr>
          <w:cantSplit/>
          <w:trHeight w:val="311"/>
        </w:trPr>
        <w:tc>
          <w:tcPr>
            <w:tcW w:w="0" w:type="auto"/>
            <w:tcBorders>
              <w:top w:val="single" w:sz="4" w:space="0" w:color="FFFFFF" w:themeColor="background1"/>
              <w:bottom w:val="single" w:sz="4" w:space="0" w:color="FFFFFF" w:themeColor="background1"/>
            </w:tcBorders>
          </w:tcPr>
          <w:p w14:paraId="508BDD39" w14:textId="4301B855" w:rsidR="0040468B" w:rsidRPr="0040468B" w:rsidRDefault="0040468B" w:rsidP="0040468B">
            <w:pPr>
              <w:ind w:left="288"/>
              <w:contextualSpacing/>
              <w:rPr>
                <w:rFonts w:cstheme="minorHAnsi"/>
                <w:bCs/>
              </w:rPr>
            </w:pPr>
            <w:r w:rsidRPr="00AC4253">
              <w:rPr>
                <w:rFonts w:cstheme="minorHAnsi"/>
                <w:bCs/>
              </w:rPr>
              <w:t>Other</w:t>
            </w:r>
          </w:p>
        </w:tc>
        <w:tc>
          <w:tcPr>
            <w:tcW w:w="0" w:type="auto"/>
            <w:tcBorders>
              <w:top w:val="single" w:sz="4" w:space="0" w:color="FFFFFF" w:themeColor="background1"/>
              <w:bottom w:val="single" w:sz="4" w:space="0" w:color="FFFFFF" w:themeColor="background1"/>
            </w:tcBorders>
          </w:tcPr>
          <w:p w14:paraId="20B2BC16" w14:textId="7E774558" w:rsidR="0040468B" w:rsidRDefault="0040468B" w:rsidP="0040468B">
            <w:pPr>
              <w:contextualSpacing/>
              <w:rPr>
                <w:rFonts w:cstheme="minorHAnsi"/>
              </w:rPr>
            </w:pPr>
            <w:r>
              <w:rPr>
                <w:rFonts w:cstheme="minorHAnsi"/>
              </w:rPr>
              <w:t>7.7%</w:t>
            </w:r>
          </w:p>
        </w:tc>
        <w:tc>
          <w:tcPr>
            <w:tcW w:w="0" w:type="auto"/>
            <w:tcBorders>
              <w:top w:val="single" w:sz="4" w:space="0" w:color="FFFFFF" w:themeColor="background1"/>
              <w:bottom w:val="single" w:sz="4" w:space="0" w:color="FFFFFF" w:themeColor="background1"/>
            </w:tcBorders>
          </w:tcPr>
          <w:p w14:paraId="03E64C72" w14:textId="23980960" w:rsidR="0040468B" w:rsidRDefault="0040468B" w:rsidP="0040468B">
            <w:pPr>
              <w:contextualSpacing/>
              <w:rPr>
                <w:rFonts w:cstheme="minorHAnsi"/>
              </w:rPr>
            </w:pPr>
            <w:r>
              <w:rPr>
                <w:rFonts w:cstheme="minorHAnsi"/>
              </w:rPr>
              <w:t>1.3%</w:t>
            </w:r>
          </w:p>
        </w:tc>
      </w:tr>
      <w:tr w:rsidR="0040468B" w:rsidRPr="005A7598" w14:paraId="09BD58E3" w14:textId="77777777" w:rsidTr="006C7D07">
        <w:tblPrEx>
          <w:jc w:val="left"/>
        </w:tblPrEx>
        <w:trPr>
          <w:cantSplit/>
          <w:trHeight w:val="311"/>
        </w:trPr>
        <w:tc>
          <w:tcPr>
            <w:tcW w:w="0" w:type="auto"/>
            <w:tcBorders>
              <w:top w:val="single" w:sz="4" w:space="0" w:color="FFFFFF" w:themeColor="background1"/>
              <w:bottom w:val="single" w:sz="4" w:space="0" w:color="FFFFFF" w:themeColor="background1"/>
            </w:tcBorders>
          </w:tcPr>
          <w:p w14:paraId="2B78C6AC" w14:textId="2712A536" w:rsidR="0040468B" w:rsidRPr="0040468B" w:rsidRDefault="0040468B" w:rsidP="0040468B">
            <w:pPr>
              <w:ind w:left="288"/>
              <w:contextualSpacing/>
              <w:rPr>
                <w:rFonts w:cstheme="minorHAnsi"/>
                <w:bCs/>
              </w:rPr>
            </w:pPr>
            <w:r w:rsidRPr="00AC4253">
              <w:rPr>
                <w:rFonts w:cstheme="minorHAnsi"/>
                <w:bCs/>
              </w:rPr>
              <w:t>Unknown</w:t>
            </w:r>
          </w:p>
        </w:tc>
        <w:tc>
          <w:tcPr>
            <w:tcW w:w="0" w:type="auto"/>
            <w:tcBorders>
              <w:top w:val="single" w:sz="4" w:space="0" w:color="FFFFFF" w:themeColor="background1"/>
              <w:bottom w:val="single" w:sz="4" w:space="0" w:color="FFFFFF" w:themeColor="background1"/>
            </w:tcBorders>
          </w:tcPr>
          <w:p w14:paraId="536A8794" w14:textId="22B1D000" w:rsidR="0040468B" w:rsidRDefault="0040468B" w:rsidP="0040468B">
            <w:pPr>
              <w:contextualSpacing/>
              <w:rPr>
                <w:rFonts w:cstheme="minorHAnsi"/>
              </w:rPr>
            </w:pPr>
            <w:r>
              <w:rPr>
                <w:rFonts w:cstheme="minorHAnsi"/>
              </w:rPr>
              <w:t>0.6%</w:t>
            </w:r>
          </w:p>
        </w:tc>
        <w:tc>
          <w:tcPr>
            <w:tcW w:w="0" w:type="auto"/>
            <w:tcBorders>
              <w:top w:val="single" w:sz="4" w:space="0" w:color="FFFFFF" w:themeColor="background1"/>
              <w:bottom w:val="single" w:sz="4" w:space="0" w:color="FFFFFF" w:themeColor="background1"/>
            </w:tcBorders>
          </w:tcPr>
          <w:p w14:paraId="38E02377" w14:textId="77777777" w:rsidR="0040468B" w:rsidRDefault="0040468B" w:rsidP="0040468B">
            <w:pPr>
              <w:contextualSpacing/>
              <w:rPr>
                <w:rFonts w:cstheme="minorHAnsi"/>
              </w:rPr>
            </w:pPr>
          </w:p>
        </w:tc>
      </w:tr>
      <w:tr w:rsidR="0040468B" w:rsidRPr="005A7598" w14:paraId="34B1D074" w14:textId="77777777" w:rsidTr="006C7D07">
        <w:tblPrEx>
          <w:jc w:val="left"/>
        </w:tblPrEx>
        <w:trPr>
          <w:cantSplit/>
          <w:trHeight w:val="311"/>
        </w:trPr>
        <w:tc>
          <w:tcPr>
            <w:tcW w:w="0" w:type="auto"/>
            <w:tcBorders>
              <w:top w:val="single" w:sz="4" w:space="0" w:color="FFFFFF" w:themeColor="background1"/>
              <w:bottom w:val="single" w:sz="4" w:space="0" w:color="FFFFFF" w:themeColor="background1"/>
            </w:tcBorders>
          </w:tcPr>
          <w:p w14:paraId="4007A8F9" w14:textId="0BD5187A" w:rsidR="0040468B" w:rsidRPr="0040468B" w:rsidRDefault="0040468B" w:rsidP="0040468B">
            <w:pPr>
              <w:ind w:left="288"/>
              <w:contextualSpacing/>
              <w:rPr>
                <w:rFonts w:cstheme="minorHAnsi"/>
                <w:bCs/>
              </w:rPr>
            </w:pPr>
            <w:r w:rsidRPr="00AC4253">
              <w:rPr>
                <w:rFonts w:cstheme="minorHAnsi"/>
                <w:bCs/>
              </w:rPr>
              <w:t>Self-Pay</w:t>
            </w:r>
          </w:p>
        </w:tc>
        <w:tc>
          <w:tcPr>
            <w:tcW w:w="0" w:type="auto"/>
            <w:tcBorders>
              <w:top w:val="single" w:sz="4" w:space="0" w:color="FFFFFF" w:themeColor="background1"/>
              <w:bottom w:val="single" w:sz="4" w:space="0" w:color="FFFFFF" w:themeColor="background1"/>
            </w:tcBorders>
          </w:tcPr>
          <w:p w14:paraId="00EA2E41" w14:textId="77777777" w:rsidR="0040468B" w:rsidRDefault="0040468B" w:rsidP="0040468B">
            <w:pPr>
              <w:contextualSpacing/>
              <w:rPr>
                <w:rFonts w:cstheme="minorHAnsi"/>
              </w:rPr>
            </w:pPr>
          </w:p>
        </w:tc>
        <w:tc>
          <w:tcPr>
            <w:tcW w:w="0" w:type="auto"/>
            <w:tcBorders>
              <w:top w:val="single" w:sz="4" w:space="0" w:color="FFFFFF" w:themeColor="background1"/>
              <w:bottom w:val="single" w:sz="4" w:space="0" w:color="FFFFFF" w:themeColor="background1"/>
            </w:tcBorders>
          </w:tcPr>
          <w:p w14:paraId="32FD2644" w14:textId="3E78D65C" w:rsidR="0040468B" w:rsidRDefault="0040468B" w:rsidP="0040468B">
            <w:pPr>
              <w:contextualSpacing/>
              <w:rPr>
                <w:rFonts w:cstheme="minorHAnsi"/>
              </w:rPr>
            </w:pPr>
            <w:r>
              <w:rPr>
                <w:rFonts w:cstheme="minorHAnsi"/>
              </w:rPr>
              <w:t>0.8%</w:t>
            </w:r>
          </w:p>
        </w:tc>
      </w:tr>
      <w:tr w:rsidR="0040468B" w:rsidRPr="005A7598" w14:paraId="00ED406B" w14:textId="77777777" w:rsidTr="006C7D07">
        <w:tblPrEx>
          <w:jc w:val="left"/>
        </w:tblPrEx>
        <w:trPr>
          <w:cantSplit/>
          <w:trHeight w:val="311"/>
        </w:trPr>
        <w:tc>
          <w:tcPr>
            <w:tcW w:w="0" w:type="auto"/>
            <w:tcBorders>
              <w:top w:val="single" w:sz="4" w:space="0" w:color="FFFFFF" w:themeColor="background1"/>
            </w:tcBorders>
          </w:tcPr>
          <w:p w14:paraId="2496B7A3" w14:textId="37375261" w:rsidR="0040468B" w:rsidRPr="005A7598" w:rsidRDefault="0040468B" w:rsidP="006C7D07">
            <w:pPr>
              <w:ind w:left="288"/>
              <w:contextualSpacing/>
              <w:rPr>
                <w:rFonts w:cstheme="minorHAnsi"/>
                <w:b/>
              </w:rPr>
            </w:pPr>
            <w:r w:rsidRPr="00AC4253">
              <w:rPr>
                <w:rFonts w:cstheme="minorHAnsi"/>
                <w:bCs/>
              </w:rPr>
              <w:t>Total</w:t>
            </w:r>
          </w:p>
        </w:tc>
        <w:tc>
          <w:tcPr>
            <w:tcW w:w="0" w:type="auto"/>
            <w:tcBorders>
              <w:top w:val="single" w:sz="4" w:space="0" w:color="FFFFFF" w:themeColor="background1"/>
            </w:tcBorders>
          </w:tcPr>
          <w:p w14:paraId="450FC0F8" w14:textId="0A623FAF" w:rsidR="0040468B" w:rsidRDefault="0040468B" w:rsidP="0040468B">
            <w:pPr>
              <w:contextualSpacing/>
              <w:rPr>
                <w:rFonts w:cstheme="minorHAnsi"/>
              </w:rPr>
            </w:pPr>
            <w:r>
              <w:rPr>
                <w:rFonts w:cstheme="minorHAnsi"/>
              </w:rPr>
              <w:t>100%</w:t>
            </w:r>
          </w:p>
        </w:tc>
        <w:tc>
          <w:tcPr>
            <w:tcW w:w="0" w:type="auto"/>
            <w:tcBorders>
              <w:top w:val="single" w:sz="4" w:space="0" w:color="FFFFFF" w:themeColor="background1"/>
            </w:tcBorders>
          </w:tcPr>
          <w:p w14:paraId="086AB6A3" w14:textId="3DB122A0" w:rsidR="0040468B" w:rsidRDefault="0040468B" w:rsidP="0040468B">
            <w:pPr>
              <w:contextualSpacing/>
              <w:rPr>
                <w:rFonts w:cstheme="minorHAnsi"/>
              </w:rPr>
            </w:pPr>
            <w:r>
              <w:rPr>
                <w:rFonts w:cstheme="minorHAnsi"/>
              </w:rPr>
              <w:t>99.9%</w:t>
            </w:r>
          </w:p>
        </w:tc>
      </w:tr>
    </w:tbl>
    <w:p w14:paraId="396FD80A" w14:textId="12BFD7FE" w:rsidR="006859ED" w:rsidRDefault="006859ED" w:rsidP="007D0487">
      <w:pPr>
        <w:spacing w:line="240" w:lineRule="auto"/>
        <w:rPr>
          <w:sz w:val="24"/>
          <w:szCs w:val="24"/>
        </w:rPr>
      </w:pPr>
    </w:p>
    <w:p w14:paraId="7FCD2EEA" w14:textId="77777777" w:rsidR="00F67AA2" w:rsidRDefault="00F67AA2">
      <w:pPr>
        <w:rPr>
          <w:b/>
          <w:bCs/>
          <w:sz w:val="28"/>
          <w:szCs w:val="28"/>
        </w:rPr>
      </w:pPr>
      <w:r w:rsidRPr="00F67AA2">
        <w:rPr>
          <w:b/>
          <w:bCs/>
          <w:sz w:val="28"/>
          <w:szCs w:val="28"/>
        </w:rPr>
        <w:t>Factor 1: a) Patient Panel Need</w:t>
      </w:r>
    </w:p>
    <w:p w14:paraId="6B85FB2D" w14:textId="23BD78B1" w:rsidR="007E5143" w:rsidRDefault="00BF0F02" w:rsidP="007E4C3E">
      <w:pPr>
        <w:spacing w:line="240" w:lineRule="auto"/>
        <w:rPr>
          <w:sz w:val="24"/>
          <w:szCs w:val="24"/>
        </w:rPr>
      </w:pPr>
      <w:r>
        <w:rPr>
          <w:sz w:val="24"/>
          <w:szCs w:val="24"/>
        </w:rPr>
        <w:t>The Applicant attributes Patient Panel need for expanded access to</w:t>
      </w:r>
      <w:r w:rsidR="00890791">
        <w:rPr>
          <w:sz w:val="24"/>
          <w:szCs w:val="24"/>
        </w:rPr>
        <w:t xml:space="preserve"> CT</w:t>
      </w:r>
      <w:r>
        <w:rPr>
          <w:sz w:val="24"/>
          <w:szCs w:val="24"/>
        </w:rPr>
        <w:t xml:space="preserve"> imaging to the following:</w:t>
      </w:r>
    </w:p>
    <w:p w14:paraId="36CBDFA4" w14:textId="13A00DFF" w:rsidR="00433E94" w:rsidRDefault="00433E94" w:rsidP="002C493A">
      <w:pPr>
        <w:pStyle w:val="ListParagraph"/>
        <w:numPr>
          <w:ilvl w:val="0"/>
          <w:numId w:val="7"/>
        </w:numPr>
        <w:spacing w:line="240" w:lineRule="auto"/>
        <w:rPr>
          <w:sz w:val="24"/>
          <w:szCs w:val="24"/>
        </w:rPr>
      </w:pPr>
      <w:r>
        <w:rPr>
          <w:sz w:val="24"/>
          <w:szCs w:val="24"/>
        </w:rPr>
        <w:t>Increase in Inpatient Census</w:t>
      </w:r>
    </w:p>
    <w:p w14:paraId="7E45AF53" w14:textId="083A7063" w:rsidR="00433E94" w:rsidRDefault="00433E94" w:rsidP="002C493A">
      <w:pPr>
        <w:pStyle w:val="ListParagraph"/>
        <w:numPr>
          <w:ilvl w:val="0"/>
          <w:numId w:val="7"/>
        </w:numPr>
        <w:spacing w:line="240" w:lineRule="auto"/>
        <w:rPr>
          <w:sz w:val="24"/>
          <w:szCs w:val="24"/>
        </w:rPr>
      </w:pPr>
      <w:r>
        <w:rPr>
          <w:sz w:val="24"/>
          <w:szCs w:val="24"/>
        </w:rPr>
        <w:t>Increase in Patient Acuity</w:t>
      </w:r>
    </w:p>
    <w:p w14:paraId="7683A52A" w14:textId="0C8ED333" w:rsidR="00433E94" w:rsidRDefault="00A629D7" w:rsidP="002C493A">
      <w:pPr>
        <w:pStyle w:val="ListParagraph"/>
        <w:numPr>
          <w:ilvl w:val="0"/>
          <w:numId w:val="7"/>
        </w:numPr>
        <w:spacing w:line="240" w:lineRule="auto"/>
        <w:rPr>
          <w:sz w:val="24"/>
          <w:szCs w:val="24"/>
        </w:rPr>
      </w:pPr>
      <w:r>
        <w:rPr>
          <w:sz w:val="24"/>
          <w:szCs w:val="24"/>
        </w:rPr>
        <w:t>Increase in ED patients</w:t>
      </w:r>
    </w:p>
    <w:p w14:paraId="4A78B810" w14:textId="065A5111" w:rsidR="005C6A6C" w:rsidRPr="005C6A6C" w:rsidRDefault="005C6A6C" w:rsidP="005C6A6C">
      <w:pPr>
        <w:pStyle w:val="ListParagraph"/>
        <w:numPr>
          <w:ilvl w:val="0"/>
          <w:numId w:val="7"/>
        </w:numPr>
        <w:rPr>
          <w:sz w:val="24"/>
          <w:szCs w:val="24"/>
        </w:rPr>
      </w:pPr>
      <w:r w:rsidRPr="005C6A6C">
        <w:rPr>
          <w:sz w:val="24"/>
          <w:szCs w:val="24"/>
        </w:rPr>
        <w:t xml:space="preserve">Downtime for repairs and scheduled maintenance </w:t>
      </w:r>
    </w:p>
    <w:p w14:paraId="26BE31A9" w14:textId="77777777" w:rsidR="005C6A6C" w:rsidRPr="005C6A6C" w:rsidRDefault="005C6A6C" w:rsidP="005C6A6C">
      <w:pPr>
        <w:pStyle w:val="ListParagraph"/>
        <w:numPr>
          <w:ilvl w:val="0"/>
          <w:numId w:val="7"/>
        </w:numPr>
        <w:rPr>
          <w:sz w:val="24"/>
          <w:szCs w:val="24"/>
        </w:rPr>
      </w:pPr>
      <w:r w:rsidRPr="005C6A6C">
        <w:rPr>
          <w:sz w:val="24"/>
          <w:szCs w:val="24"/>
        </w:rPr>
        <w:t>Outpatient Diagnostic Use</w:t>
      </w:r>
    </w:p>
    <w:p w14:paraId="2F7BBCAD" w14:textId="77777777" w:rsidR="005C6A6C" w:rsidRPr="005C6A6C" w:rsidRDefault="005C6A6C" w:rsidP="005C6A6C">
      <w:pPr>
        <w:pStyle w:val="ListParagraph"/>
        <w:numPr>
          <w:ilvl w:val="0"/>
          <w:numId w:val="7"/>
        </w:numPr>
        <w:rPr>
          <w:sz w:val="24"/>
          <w:szCs w:val="24"/>
        </w:rPr>
      </w:pPr>
      <w:r w:rsidRPr="005C6A6C">
        <w:rPr>
          <w:sz w:val="24"/>
          <w:szCs w:val="24"/>
        </w:rPr>
        <w:t xml:space="preserve">Increase in Need of CT-Guided Procedures for both inpatients and outpatients </w:t>
      </w:r>
    </w:p>
    <w:p w14:paraId="30F6E75C" w14:textId="415A473E" w:rsidR="005C6A6C" w:rsidRDefault="005C6A6C" w:rsidP="002C493A">
      <w:pPr>
        <w:pStyle w:val="ListParagraph"/>
        <w:numPr>
          <w:ilvl w:val="0"/>
          <w:numId w:val="7"/>
        </w:numPr>
        <w:spacing w:line="240" w:lineRule="auto"/>
        <w:rPr>
          <w:sz w:val="24"/>
          <w:szCs w:val="24"/>
        </w:rPr>
      </w:pPr>
      <w:r w:rsidRPr="005C6A6C">
        <w:rPr>
          <w:sz w:val="24"/>
          <w:szCs w:val="24"/>
        </w:rPr>
        <w:t>Projected Volume Growth</w:t>
      </w:r>
    </w:p>
    <w:p w14:paraId="3F6BF894" w14:textId="77777777" w:rsidR="005C6A6C" w:rsidRPr="005C6A6C" w:rsidRDefault="005C6A6C" w:rsidP="005C6A6C">
      <w:pPr>
        <w:pStyle w:val="ListParagraph"/>
        <w:spacing w:line="240" w:lineRule="auto"/>
        <w:rPr>
          <w:sz w:val="24"/>
          <w:szCs w:val="24"/>
        </w:rPr>
      </w:pPr>
    </w:p>
    <w:p w14:paraId="554B93BE" w14:textId="06EE80C8" w:rsidR="00CC1C41" w:rsidRPr="00CC1C41" w:rsidRDefault="00CC1C41" w:rsidP="00CC1C41">
      <w:pPr>
        <w:rPr>
          <w:b/>
          <w:bCs/>
          <w:sz w:val="24"/>
          <w:szCs w:val="24"/>
        </w:rPr>
      </w:pPr>
      <w:r w:rsidRPr="00CC1C41">
        <w:rPr>
          <w:b/>
          <w:bCs/>
          <w:sz w:val="24"/>
          <w:szCs w:val="24"/>
        </w:rPr>
        <w:t>Background</w:t>
      </w:r>
    </w:p>
    <w:p w14:paraId="6C0CB987" w14:textId="36CD5FA0" w:rsidR="00DE114C" w:rsidRDefault="00336600" w:rsidP="007E4C3E">
      <w:pPr>
        <w:spacing w:line="240" w:lineRule="auto"/>
        <w:rPr>
          <w:sz w:val="24"/>
          <w:szCs w:val="24"/>
        </w:rPr>
      </w:pPr>
      <w:r>
        <w:rPr>
          <w:sz w:val="24"/>
          <w:szCs w:val="24"/>
        </w:rPr>
        <w:t xml:space="preserve">Since FY17, the existing </w:t>
      </w:r>
      <w:r w:rsidR="00C21549">
        <w:rPr>
          <w:sz w:val="24"/>
          <w:szCs w:val="24"/>
        </w:rPr>
        <w:t>BID-N</w:t>
      </w:r>
      <w:r w:rsidR="00A00C40">
        <w:rPr>
          <w:sz w:val="24"/>
          <w:szCs w:val="24"/>
        </w:rPr>
        <w:t>eedham</w:t>
      </w:r>
      <w:r>
        <w:rPr>
          <w:sz w:val="24"/>
          <w:szCs w:val="24"/>
        </w:rPr>
        <w:t xml:space="preserve"> CT unit has been operating at or above </w:t>
      </w:r>
      <w:r w:rsidR="005251A6">
        <w:rPr>
          <w:sz w:val="24"/>
          <w:szCs w:val="24"/>
        </w:rPr>
        <w:t>a</w:t>
      </w:r>
      <w:r>
        <w:rPr>
          <w:sz w:val="24"/>
          <w:szCs w:val="24"/>
        </w:rPr>
        <w:t xml:space="preserve"> utilization rate of 93%.</w:t>
      </w:r>
      <w:r w:rsidR="00040CD4">
        <w:rPr>
          <w:sz w:val="24"/>
          <w:szCs w:val="24"/>
        </w:rPr>
        <w:t xml:space="preserve"> </w:t>
      </w:r>
      <w:r w:rsidR="00CC1C41">
        <w:rPr>
          <w:sz w:val="24"/>
          <w:szCs w:val="24"/>
        </w:rPr>
        <w:t xml:space="preserve">The </w:t>
      </w:r>
      <w:r w:rsidR="00C21549">
        <w:rPr>
          <w:sz w:val="24"/>
          <w:szCs w:val="24"/>
        </w:rPr>
        <w:t>BID-N</w:t>
      </w:r>
      <w:r w:rsidR="00A00C40">
        <w:rPr>
          <w:sz w:val="24"/>
          <w:szCs w:val="24"/>
        </w:rPr>
        <w:t>eedham</w:t>
      </w:r>
      <w:r w:rsidR="00040CD4">
        <w:rPr>
          <w:sz w:val="24"/>
          <w:szCs w:val="24"/>
        </w:rPr>
        <w:t xml:space="preserve"> Department of Radiology is currently open 24 hours a day, seven days per week</w:t>
      </w:r>
      <w:r w:rsidR="00194F6F">
        <w:rPr>
          <w:sz w:val="24"/>
          <w:szCs w:val="24"/>
        </w:rPr>
        <w:t>,</w:t>
      </w:r>
      <w:r w:rsidR="00040CD4">
        <w:rPr>
          <w:sz w:val="24"/>
          <w:szCs w:val="24"/>
        </w:rPr>
        <w:t xml:space="preserve"> to accommodate the additional CT scan slots for patient care</w:t>
      </w:r>
      <w:r w:rsidR="00194F6F">
        <w:rPr>
          <w:sz w:val="24"/>
          <w:szCs w:val="24"/>
        </w:rPr>
        <w:t>. This</w:t>
      </w:r>
      <w:r w:rsidR="00040CD4">
        <w:rPr>
          <w:sz w:val="24"/>
          <w:szCs w:val="24"/>
        </w:rPr>
        <w:t xml:space="preserve"> </w:t>
      </w:r>
      <w:r w:rsidR="00194F6F">
        <w:rPr>
          <w:sz w:val="24"/>
          <w:szCs w:val="24"/>
        </w:rPr>
        <w:t xml:space="preserve">includes </w:t>
      </w:r>
      <w:r w:rsidR="00040CD4">
        <w:rPr>
          <w:sz w:val="24"/>
          <w:szCs w:val="24"/>
        </w:rPr>
        <w:t xml:space="preserve">evening slots for inpatient and ED patient use only. </w:t>
      </w:r>
      <w:r w:rsidR="00194F6F">
        <w:rPr>
          <w:sz w:val="24"/>
          <w:szCs w:val="24"/>
        </w:rPr>
        <w:t>T</w:t>
      </w:r>
      <w:r w:rsidR="00040CD4" w:rsidRPr="00040CD4">
        <w:rPr>
          <w:sz w:val="24"/>
          <w:szCs w:val="24"/>
        </w:rPr>
        <w:t>he variety of types of CT services b</w:t>
      </w:r>
      <w:r w:rsidR="00667294">
        <w:rPr>
          <w:sz w:val="24"/>
          <w:szCs w:val="24"/>
        </w:rPr>
        <w:t>eing s</w:t>
      </w:r>
      <w:r w:rsidR="00040CD4" w:rsidRPr="00040CD4">
        <w:rPr>
          <w:sz w:val="24"/>
          <w:szCs w:val="24"/>
        </w:rPr>
        <w:t>cheduled</w:t>
      </w:r>
      <w:r w:rsidR="00A7138A">
        <w:rPr>
          <w:sz w:val="24"/>
          <w:szCs w:val="24"/>
        </w:rPr>
        <w:t>,</w:t>
      </w:r>
      <w:r w:rsidR="00040CD4" w:rsidRPr="00040CD4">
        <w:rPr>
          <w:sz w:val="24"/>
          <w:szCs w:val="24"/>
        </w:rPr>
        <w:t xml:space="preserve"> </w:t>
      </w:r>
      <w:r w:rsidR="00194F6F">
        <w:rPr>
          <w:sz w:val="24"/>
          <w:szCs w:val="24"/>
        </w:rPr>
        <w:t xml:space="preserve">the increase in volume, </w:t>
      </w:r>
      <w:r w:rsidR="00040CD4" w:rsidRPr="00040CD4">
        <w:rPr>
          <w:sz w:val="24"/>
          <w:szCs w:val="24"/>
        </w:rPr>
        <w:t>and the hours of availability for CT services (</w:t>
      </w:r>
      <w:r w:rsidR="00646058">
        <w:rPr>
          <w:sz w:val="24"/>
          <w:szCs w:val="24"/>
        </w:rPr>
        <w:t xml:space="preserve">during </w:t>
      </w:r>
      <w:r w:rsidR="00040CD4" w:rsidRPr="00040CD4">
        <w:rPr>
          <w:sz w:val="24"/>
          <w:szCs w:val="24"/>
        </w:rPr>
        <w:t>both general and off-hours)</w:t>
      </w:r>
      <w:r w:rsidR="00194F6F">
        <w:rPr>
          <w:sz w:val="24"/>
          <w:szCs w:val="24"/>
        </w:rPr>
        <w:t xml:space="preserve"> has increased complexity </w:t>
      </w:r>
      <w:r w:rsidR="008F1E70">
        <w:rPr>
          <w:sz w:val="24"/>
          <w:szCs w:val="24"/>
        </w:rPr>
        <w:t xml:space="preserve">of </w:t>
      </w:r>
      <w:r w:rsidR="00194F6F">
        <w:rPr>
          <w:sz w:val="24"/>
          <w:szCs w:val="24"/>
        </w:rPr>
        <w:t xml:space="preserve">and resources required for </w:t>
      </w:r>
      <w:r w:rsidR="00194F6F" w:rsidRPr="00040CD4">
        <w:rPr>
          <w:sz w:val="24"/>
          <w:szCs w:val="24"/>
        </w:rPr>
        <w:t>CT scheduling</w:t>
      </w:r>
      <w:r w:rsidR="00040CD4" w:rsidRPr="00040CD4">
        <w:rPr>
          <w:sz w:val="24"/>
          <w:szCs w:val="24"/>
        </w:rPr>
        <w:t xml:space="preserve">. </w:t>
      </w:r>
      <w:r w:rsidR="00194F6F" w:rsidRPr="008F1E70">
        <w:rPr>
          <w:sz w:val="24"/>
          <w:szCs w:val="24"/>
        </w:rPr>
        <w:t>D</w:t>
      </w:r>
      <w:r w:rsidR="00040CD4" w:rsidRPr="008F1E70">
        <w:rPr>
          <w:sz w:val="24"/>
          <w:szCs w:val="24"/>
        </w:rPr>
        <w:t>espite efforts to optimize scheduling, current utilization increases result in ongoing delays in scheduling.</w:t>
      </w:r>
      <w:r w:rsidR="003D3B32" w:rsidRPr="003D3B32">
        <w:rPr>
          <w:sz w:val="24"/>
          <w:szCs w:val="24"/>
        </w:rPr>
        <w:t xml:space="preserve"> </w:t>
      </w:r>
    </w:p>
    <w:p w14:paraId="17B9D92A" w14:textId="760C66CC" w:rsidR="008D15C0" w:rsidRPr="00954452" w:rsidRDefault="00D201B1" w:rsidP="00954452">
      <w:pPr>
        <w:pStyle w:val="ListParagraph"/>
        <w:numPr>
          <w:ilvl w:val="0"/>
          <w:numId w:val="3"/>
        </w:numPr>
        <w:spacing w:line="240" w:lineRule="auto"/>
        <w:ind w:left="360"/>
        <w:rPr>
          <w:sz w:val="24"/>
          <w:szCs w:val="24"/>
        </w:rPr>
      </w:pPr>
      <w:r w:rsidRPr="00873635">
        <w:rPr>
          <w:b/>
          <w:bCs/>
          <w:sz w:val="24"/>
          <w:szCs w:val="24"/>
        </w:rPr>
        <w:t>Increase</w:t>
      </w:r>
      <w:r w:rsidR="001564BB" w:rsidRPr="00873635">
        <w:rPr>
          <w:b/>
          <w:bCs/>
          <w:sz w:val="24"/>
          <w:szCs w:val="24"/>
        </w:rPr>
        <w:t xml:space="preserve"> in Inpatient Census</w:t>
      </w:r>
      <w:r w:rsidR="008D15C0">
        <w:rPr>
          <w:b/>
          <w:bCs/>
          <w:sz w:val="24"/>
          <w:szCs w:val="24"/>
        </w:rPr>
        <w:t xml:space="preserve">. </w:t>
      </w:r>
      <w:r w:rsidR="006F1D4C" w:rsidRPr="006F1D4C">
        <w:rPr>
          <w:sz w:val="24"/>
          <w:szCs w:val="24"/>
        </w:rPr>
        <w:t>Over the past several years,</w:t>
      </w:r>
      <w:r w:rsidR="006F1D4C">
        <w:rPr>
          <w:b/>
          <w:bCs/>
          <w:sz w:val="24"/>
          <w:szCs w:val="24"/>
        </w:rPr>
        <w:t xml:space="preserve"> </w:t>
      </w:r>
      <w:bookmarkStart w:id="0" w:name="_Hlk98148369"/>
      <w:r w:rsidR="00C21549">
        <w:rPr>
          <w:sz w:val="24"/>
          <w:szCs w:val="24"/>
        </w:rPr>
        <w:t>BID-N</w:t>
      </w:r>
      <w:r w:rsidR="008D15C0" w:rsidRPr="008D15C0">
        <w:rPr>
          <w:sz w:val="24"/>
          <w:szCs w:val="24"/>
        </w:rPr>
        <w:t xml:space="preserve">eedham has experienced </w:t>
      </w:r>
      <w:r w:rsidR="005251A6">
        <w:rPr>
          <w:sz w:val="24"/>
          <w:szCs w:val="24"/>
        </w:rPr>
        <w:t>a</w:t>
      </w:r>
      <w:r w:rsidR="002F3817">
        <w:rPr>
          <w:sz w:val="24"/>
          <w:szCs w:val="24"/>
        </w:rPr>
        <w:t xml:space="preserve"> 1-2% </w:t>
      </w:r>
      <w:r w:rsidR="008D15C0" w:rsidRPr="008D15C0">
        <w:rPr>
          <w:sz w:val="24"/>
          <w:szCs w:val="24"/>
        </w:rPr>
        <w:t>i</w:t>
      </w:r>
      <w:r w:rsidR="00446875" w:rsidRPr="008D15C0">
        <w:rPr>
          <w:sz w:val="24"/>
          <w:szCs w:val="24"/>
        </w:rPr>
        <w:t>ncrease in</w:t>
      </w:r>
      <w:r w:rsidR="008D15C0" w:rsidRPr="008D15C0">
        <w:rPr>
          <w:sz w:val="24"/>
          <w:szCs w:val="24"/>
        </w:rPr>
        <w:t xml:space="preserve"> </w:t>
      </w:r>
      <w:r w:rsidR="006F1D4C">
        <w:rPr>
          <w:sz w:val="24"/>
          <w:szCs w:val="24"/>
        </w:rPr>
        <w:t xml:space="preserve">the number of </w:t>
      </w:r>
      <w:r w:rsidR="008D15C0" w:rsidRPr="008D15C0">
        <w:rPr>
          <w:sz w:val="24"/>
          <w:szCs w:val="24"/>
        </w:rPr>
        <w:t xml:space="preserve">inpatients requiring CT scans during their inpatient stay. </w:t>
      </w:r>
      <w:bookmarkEnd w:id="0"/>
      <w:r w:rsidR="008D15C0" w:rsidRPr="00954452">
        <w:rPr>
          <w:sz w:val="24"/>
          <w:szCs w:val="24"/>
        </w:rPr>
        <w:t xml:space="preserve">The Applicant </w:t>
      </w:r>
      <w:r w:rsidR="00B8794B">
        <w:rPr>
          <w:sz w:val="24"/>
          <w:szCs w:val="24"/>
        </w:rPr>
        <w:t xml:space="preserve">states that there are several </w:t>
      </w:r>
      <w:r w:rsidR="008D15C0" w:rsidRPr="00954452">
        <w:rPr>
          <w:sz w:val="24"/>
          <w:szCs w:val="24"/>
        </w:rPr>
        <w:t>k</w:t>
      </w:r>
      <w:r w:rsidR="0061670F" w:rsidRPr="00954452">
        <w:rPr>
          <w:sz w:val="24"/>
          <w:szCs w:val="24"/>
        </w:rPr>
        <w:t>ey</w:t>
      </w:r>
      <w:r w:rsidR="00446875" w:rsidRPr="00954452">
        <w:rPr>
          <w:sz w:val="24"/>
          <w:szCs w:val="24"/>
        </w:rPr>
        <w:t xml:space="preserve"> drivers </w:t>
      </w:r>
      <w:r w:rsidR="00B8794B">
        <w:rPr>
          <w:sz w:val="24"/>
          <w:szCs w:val="24"/>
        </w:rPr>
        <w:t>contributing to an</w:t>
      </w:r>
      <w:r w:rsidR="006F1D4C" w:rsidRPr="00954452">
        <w:rPr>
          <w:sz w:val="24"/>
          <w:szCs w:val="24"/>
        </w:rPr>
        <w:t xml:space="preserve"> </w:t>
      </w:r>
      <w:r w:rsidR="00446875" w:rsidRPr="00954452">
        <w:rPr>
          <w:sz w:val="24"/>
          <w:szCs w:val="24"/>
        </w:rPr>
        <w:t>increase in inpatient use of CT services</w:t>
      </w:r>
      <w:r w:rsidR="00B8794B">
        <w:rPr>
          <w:sz w:val="24"/>
          <w:szCs w:val="24"/>
        </w:rPr>
        <w:t>.</w:t>
      </w:r>
      <w:r w:rsidR="00446875" w:rsidRPr="00954452">
        <w:rPr>
          <w:sz w:val="24"/>
          <w:szCs w:val="24"/>
        </w:rPr>
        <w:t xml:space="preserve"> </w:t>
      </w:r>
    </w:p>
    <w:p w14:paraId="306A4899" w14:textId="066BB968" w:rsidR="008D15C0" w:rsidRDefault="00446875" w:rsidP="002C493A">
      <w:pPr>
        <w:pStyle w:val="ListParagraph"/>
        <w:numPr>
          <w:ilvl w:val="0"/>
          <w:numId w:val="17"/>
        </w:numPr>
        <w:spacing w:line="240" w:lineRule="auto"/>
        <w:rPr>
          <w:sz w:val="24"/>
          <w:szCs w:val="24"/>
        </w:rPr>
      </w:pPr>
      <w:r w:rsidRPr="008D15C0">
        <w:rPr>
          <w:sz w:val="24"/>
          <w:szCs w:val="24"/>
        </w:rPr>
        <w:t xml:space="preserve">BILH system-wide case management effort to ensure patients </w:t>
      </w:r>
      <w:r w:rsidR="00DB37E7" w:rsidRPr="008D15C0">
        <w:rPr>
          <w:sz w:val="24"/>
          <w:szCs w:val="24"/>
        </w:rPr>
        <w:t>receive</w:t>
      </w:r>
      <w:r w:rsidRPr="008D15C0">
        <w:rPr>
          <w:sz w:val="24"/>
          <w:szCs w:val="24"/>
        </w:rPr>
        <w:t xml:space="preserve"> care in the community hospital setting where appropriat</w:t>
      </w:r>
      <w:r w:rsidR="00FE1718">
        <w:rPr>
          <w:sz w:val="24"/>
          <w:szCs w:val="24"/>
        </w:rPr>
        <w:t xml:space="preserve">e. As such, </w:t>
      </w:r>
      <w:r w:rsidR="00DC5E55">
        <w:rPr>
          <w:sz w:val="24"/>
          <w:szCs w:val="24"/>
        </w:rPr>
        <w:t xml:space="preserve">lower acuity </w:t>
      </w:r>
      <w:r w:rsidR="00FE1718">
        <w:rPr>
          <w:sz w:val="24"/>
          <w:szCs w:val="24"/>
        </w:rPr>
        <w:t xml:space="preserve">patients </w:t>
      </w:r>
      <w:r w:rsidR="00DC5E55">
        <w:rPr>
          <w:sz w:val="24"/>
          <w:szCs w:val="24"/>
        </w:rPr>
        <w:t xml:space="preserve">who can be appropriately </w:t>
      </w:r>
      <w:r w:rsidR="00FE1718">
        <w:rPr>
          <w:sz w:val="24"/>
          <w:szCs w:val="24"/>
        </w:rPr>
        <w:t xml:space="preserve">treated </w:t>
      </w:r>
      <w:r w:rsidR="001275F8">
        <w:rPr>
          <w:sz w:val="24"/>
          <w:szCs w:val="24"/>
        </w:rPr>
        <w:t>in a community hospital are shifted to local hospitals such as BID-Needham</w:t>
      </w:r>
      <w:r w:rsidR="00FE1718">
        <w:rPr>
          <w:sz w:val="24"/>
          <w:szCs w:val="24"/>
        </w:rPr>
        <w:t xml:space="preserve">. </w:t>
      </w:r>
      <w:r w:rsidRPr="008D15C0">
        <w:rPr>
          <w:sz w:val="24"/>
          <w:szCs w:val="24"/>
        </w:rPr>
        <w:t xml:space="preserve"> </w:t>
      </w:r>
    </w:p>
    <w:p w14:paraId="1319C7DD" w14:textId="289FF8CA" w:rsidR="008D15C0" w:rsidRDefault="00B8794B" w:rsidP="002C493A">
      <w:pPr>
        <w:pStyle w:val="ListParagraph"/>
        <w:numPr>
          <w:ilvl w:val="0"/>
          <w:numId w:val="17"/>
        </w:numPr>
        <w:spacing w:line="240" w:lineRule="auto"/>
        <w:rPr>
          <w:sz w:val="24"/>
          <w:szCs w:val="24"/>
        </w:rPr>
      </w:pPr>
      <w:r>
        <w:rPr>
          <w:sz w:val="24"/>
          <w:szCs w:val="24"/>
        </w:rPr>
        <w:t>An i</w:t>
      </w:r>
      <w:r w:rsidR="00DB37E7" w:rsidRPr="008D15C0">
        <w:rPr>
          <w:sz w:val="24"/>
          <w:szCs w:val="24"/>
        </w:rPr>
        <w:t>ncrease</w:t>
      </w:r>
      <w:r w:rsidR="00446875" w:rsidRPr="008D15C0">
        <w:rPr>
          <w:sz w:val="24"/>
          <w:szCs w:val="24"/>
        </w:rPr>
        <w:t xml:space="preserve"> in </w:t>
      </w:r>
      <w:r w:rsidR="00967574">
        <w:rPr>
          <w:sz w:val="24"/>
          <w:szCs w:val="24"/>
        </w:rPr>
        <w:t xml:space="preserve">the </w:t>
      </w:r>
      <w:r w:rsidR="00446875" w:rsidRPr="008D15C0">
        <w:rPr>
          <w:sz w:val="24"/>
          <w:szCs w:val="24"/>
        </w:rPr>
        <w:t xml:space="preserve">older adult </w:t>
      </w:r>
      <w:r w:rsidR="00DB37E7" w:rsidRPr="008D15C0">
        <w:rPr>
          <w:sz w:val="24"/>
          <w:szCs w:val="24"/>
        </w:rPr>
        <w:t>population</w:t>
      </w:r>
      <w:r w:rsidR="00446875" w:rsidRPr="008D15C0">
        <w:rPr>
          <w:sz w:val="24"/>
          <w:szCs w:val="24"/>
        </w:rPr>
        <w:t xml:space="preserve"> with the most acute medical needs</w:t>
      </w:r>
      <w:r w:rsidR="001275F8">
        <w:rPr>
          <w:sz w:val="24"/>
          <w:szCs w:val="24"/>
        </w:rPr>
        <w:t xml:space="preserve"> among those seen in the community hospital settings</w:t>
      </w:r>
      <w:r w:rsidR="00446875" w:rsidRPr="008D15C0">
        <w:rPr>
          <w:sz w:val="24"/>
          <w:szCs w:val="24"/>
        </w:rPr>
        <w:t>, including greater need for CT services</w:t>
      </w:r>
      <w:r w:rsidR="00757141">
        <w:rPr>
          <w:sz w:val="24"/>
          <w:szCs w:val="24"/>
        </w:rPr>
        <w:t>.</w:t>
      </w:r>
    </w:p>
    <w:p w14:paraId="49EAC991" w14:textId="58F3E62C" w:rsidR="00757141" w:rsidRDefault="00446875" w:rsidP="002C493A">
      <w:pPr>
        <w:pStyle w:val="ListParagraph"/>
        <w:numPr>
          <w:ilvl w:val="0"/>
          <w:numId w:val="17"/>
        </w:numPr>
        <w:spacing w:line="240" w:lineRule="auto"/>
        <w:rPr>
          <w:sz w:val="24"/>
          <w:szCs w:val="24"/>
        </w:rPr>
      </w:pPr>
      <w:r w:rsidRPr="008D15C0">
        <w:rPr>
          <w:sz w:val="24"/>
          <w:szCs w:val="24"/>
        </w:rPr>
        <w:lastRenderedPageBreak/>
        <w:t>Norwood Hospital Closure June 2020</w:t>
      </w:r>
      <w:r w:rsidR="0061670F">
        <w:rPr>
          <w:rStyle w:val="FootnoteReference"/>
          <w:sz w:val="24"/>
          <w:szCs w:val="24"/>
        </w:rPr>
        <w:footnoteReference w:id="14"/>
      </w:r>
      <w:r w:rsidR="00757141">
        <w:rPr>
          <w:sz w:val="24"/>
          <w:szCs w:val="24"/>
        </w:rPr>
        <w:t>.</w:t>
      </w:r>
      <w:r w:rsidRPr="008D15C0">
        <w:rPr>
          <w:sz w:val="24"/>
          <w:szCs w:val="24"/>
        </w:rPr>
        <w:t xml:space="preserve"> </w:t>
      </w:r>
      <w:r w:rsidR="009D2B28" w:rsidRPr="009D2B28">
        <w:rPr>
          <w:sz w:val="24"/>
          <w:szCs w:val="24"/>
        </w:rPr>
        <w:t xml:space="preserve">Capacity constraints </w:t>
      </w:r>
      <w:r w:rsidR="002D7B18">
        <w:rPr>
          <w:sz w:val="24"/>
          <w:szCs w:val="24"/>
        </w:rPr>
        <w:t xml:space="preserve">for CT services </w:t>
      </w:r>
      <w:r w:rsidR="009D2B28" w:rsidRPr="009D2B28">
        <w:rPr>
          <w:sz w:val="24"/>
          <w:szCs w:val="24"/>
        </w:rPr>
        <w:t xml:space="preserve">existed prior to the closure of Norwood Hospital and were further exacerbated by it. </w:t>
      </w:r>
      <w:r w:rsidR="00CF2E20">
        <w:rPr>
          <w:sz w:val="24"/>
          <w:szCs w:val="24"/>
        </w:rPr>
        <w:t>A</w:t>
      </w:r>
      <w:r w:rsidRPr="008D15C0">
        <w:rPr>
          <w:sz w:val="24"/>
          <w:szCs w:val="24"/>
        </w:rPr>
        <w:t>fter the closure of Norwood Hospital</w:t>
      </w:r>
      <w:r w:rsidR="001275F8">
        <w:rPr>
          <w:sz w:val="24"/>
          <w:szCs w:val="24"/>
        </w:rPr>
        <w:t>,</w:t>
      </w:r>
      <w:r w:rsidRPr="008D15C0">
        <w:rPr>
          <w:sz w:val="24"/>
          <w:szCs w:val="24"/>
        </w:rPr>
        <w:t xml:space="preserve"> </w:t>
      </w:r>
      <w:r w:rsidR="00C21549">
        <w:rPr>
          <w:sz w:val="24"/>
          <w:szCs w:val="24"/>
        </w:rPr>
        <w:t>BID-N</w:t>
      </w:r>
      <w:r w:rsidRPr="008D15C0">
        <w:rPr>
          <w:sz w:val="24"/>
          <w:szCs w:val="24"/>
        </w:rPr>
        <w:t>eedham accommodated ED and inpatient volume</w:t>
      </w:r>
      <w:r w:rsidR="00F37630">
        <w:rPr>
          <w:sz w:val="24"/>
          <w:szCs w:val="24"/>
        </w:rPr>
        <w:t xml:space="preserve"> which otherwise might have gone to Norwood</w:t>
      </w:r>
      <w:r w:rsidRPr="008D15C0">
        <w:rPr>
          <w:sz w:val="24"/>
          <w:szCs w:val="24"/>
        </w:rPr>
        <w:t xml:space="preserve">, </w:t>
      </w:r>
      <w:r w:rsidR="00F37630">
        <w:rPr>
          <w:sz w:val="24"/>
          <w:szCs w:val="24"/>
        </w:rPr>
        <w:t xml:space="preserve">straining </w:t>
      </w:r>
      <w:r w:rsidR="00C21549">
        <w:rPr>
          <w:sz w:val="24"/>
          <w:szCs w:val="24"/>
        </w:rPr>
        <w:t>BID-N</w:t>
      </w:r>
      <w:r w:rsidRPr="008D15C0">
        <w:rPr>
          <w:sz w:val="24"/>
          <w:szCs w:val="24"/>
        </w:rPr>
        <w:t>eedham’s outpatient resources</w:t>
      </w:r>
      <w:r w:rsidR="00F37630">
        <w:rPr>
          <w:sz w:val="24"/>
          <w:szCs w:val="24"/>
        </w:rPr>
        <w:t>,</w:t>
      </w:r>
      <w:r w:rsidR="001275F8">
        <w:rPr>
          <w:sz w:val="24"/>
          <w:szCs w:val="24"/>
        </w:rPr>
        <w:t xml:space="preserve"> as the same CT serves all three patient types</w:t>
      </w:r>
      <w:r w:rsidRPr="008D15C0">
        <w:rPr>
          <w:sz w:val="24"/>
          <w:szCs w:val="24"/>
        </w:rPr>
        <w:t xml:space="preserve">. </w:t>
      </w:r>
    </w:p>
    <w:p w14:paraId="75B2ED05" w14:textId="79F26C8E" w:rsidR="00667C30" w:rsidRPr="00667C30" w:rsidRDefault="00667C30" w:rsidP="00667C30">
      <w:pPr>
        <w:spacing w:after="0" w:line="240" w:lineRule="auto"/>
        <w:rPr>
          <w:sz w:val="24"/>
          <w:szCs w:val="24"/>
        </w:rPr>
      </w:pPr>
      <w:r>
        <w:rPr>
          <w:sz w:val="24"/>
          <w:szCs w:val="24"/>
        </w:rPr>
        <w:t xml:space="preserve">The Applicant states that the resultant combination of the factors presented in Table </w:t>
      </w:r>
      <w:r w:rsidR="000D70FF">
        <w:rPr>
          <w:sz w:val="24"/>
          <w:szCs w:val="24"/>
        </w:rPr>
        <w:t>3</w:t>
      </w:r>
      <w:r>
        <w:rPr>
          <w:sz w:val="24"/>
          <w:szCs w:val="24"/>
        </w:rPr>
        <w:t xml:space="preserve"> increased CT exams and CT-guided procedures at BID-N to 16,708</w:t>
      </w:r>
      <w:r w:rsidR="0004348B">
        <w:rPr>
          <w:sz w:val="24"/>
          <w:szCs w:val="24"/>
        </w:rPr>
        <w:t xml:space="preserve"> in FY21</w:t>
      </w:r>
      <w:r>
        <w:rPr>
          <w:sz w:val="24"/>
          <w:szCs w:val="24"/>
        </w:rPr>
        <w:t xml:space="preserve">, which is a 39.4% increase over the prior year. </w:t>
      </w:r>
    </w:p>
    <w:p w14:paraId="23A4E156" w14:textId="5AC2C820" w:rsidR="00BC39F2" w:rsidRDefault="00873878" w:rsidP="00873878">
      <w:pPr>
        <w:pStyle w:val="ListParagraph"/>
        <w:spacing w:after="0" w:line="240" w:lineRule="auto"/>
        <w:jc w:val="center"/>
        <w:rPr>
          <w:b/>
          <w:bCs/>
          <w:sz w:val="24"/>
          <w:szCs w:val="24"/>
        </w:rPr>
      </w:pPr>
      <w:r w:rsidRPr="000D70FF">
        <w:rPr>
          <w:b/>
          <w:bCs/>
          <w:sz w:val="24"/>
          <w:szCs w:val="24"/>
        </w:rPr>
        <w:t xml:space="preserve">Table </w:t>
      </w:r>
      <w:r w:rsidR="000D70FF" w:rsidRPr="000D70FF">
        <w:rPr>
          <w:b/>
          <w:bCs/>
          <w:sz w:val="24"/>
          <w:szCs w:val="24"/>
        </w:rPr>
        <w:t>3</w:t>
      </w:r>
      <w:r w:rsidRPr="00873878">
        <w:rPr>
          <w:b/>
          <w:bCs/>
          <w:sz w:val="24"/>
          <w:szCs w:val="24"/>
        </w:rPr>
        <w:t xml:space="preserve">: </w:t>
      </w:r>
      <w:r w:rsidR="00250DCF">
        <w:rPr>
          <w:b/>
          <w:bCs/>
          <w:sz w:val="24"/>
          <w:szCs w:val="24"/>
        </w:rPr>
        <w:t>Key Drivers of Increased CT Use</w:t>
      </w:r>
    </w:p>
    <w:p w14:paraId="6E2836C9" w14:textId="77777777" w:rsidR="00873878" w:rsidRPr="00873878" w:rsidRDefault="00873878" w:rsidP="00873878">
      <w:pPr>
        <w:pStyle w:val="ListParagraph"/>
        <w:spacing w:after="0" w:line="240" w:lineRule="auto"/>
        <w:jc w:val="center"/>
        <w:rPr>
          <w:b/>
          <w:bCs/>
          <w:sz w:val="24"/>
          <w:szCs w:val="24"/>
        </w:rPr>
      </w:pPr>
    </w:p>
    <w:tbl>
      <w:tblPr>
        <w:tblW w:w="0" w:type="auto"/>
        <w:jc w:val="center"/>
        <w:tblLook w:val="04A0" w:firstRow="1" w:lastRow="0" w:firstColumn="1" w:lastColumn="0" w:noHBand="0" w:noVBand="1"/>
      </w:tblPr>
      <w:tblGrid>
        <w:gridCol w:w="5003"/>
        <w:gridCol w:w="992"/>
        <w:gridCol w:w="992"/>
        <w:gridCol w:w="992"/>
        <w:gridCol w:w="1246"/>
      </w:tblGrid>
      <w:tr w:rsidR="00902691" w:rsidRPr="00E61790" w14:paraId="0F0631DB" w14:textId="7E16E657" w:rsidTr="00AF756C">
        <w:trPr>
          <w:cantSplit/>
          <w:trHeight w:val="315"/>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508D47E" w14:textId="77777777" w:rsidR="00902691" w:rsidRPr="00DC69A9" w:rsidRDefault="00902691" w:rsidP="00B8794B">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Measures</w:t>
            </w:r>
          </w:p>
        </w:tc>
        <w:tc>
          <w:tcPr>
            <w:tcW w:w="0" w:type="auto"/>
            <w:tcBorders>
              <w:top w:val="single" w:sz="4" w:space="0" w:color="auto"/>
              <w:left w:val="nil"/>
              <w:bottom w:val="single" w:sz="4" w:space="0" w:color="auto"/>
              <w:right w:val="single" w:sz="4" w:space="0" w:color="auto"/>
            </w:tcBorders>
            <w:shd w:val="clear" w:color="000000" w:fill="D6DCE4"/>
            <w:noWrap/>
            <w:vAlign w:val="bottom"/>
            <w:hideMark/>
          </w:tcPr>
          <w:p w14:paraId="7ECCB9C4" w14:textId="77777777" w:rsidR="00902691" w:rsidRPr="00DC69A9" w:rsidRDefault="00902691" w:rsidP="00B8794B">
            <w:pPr>
              <w:spacing w:after="0" w:line="240" w:lineRule="auto"/>
              <w:jc w:val="center"/>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FY 2019</w:t>
            </w:r>
          </w:p>
        </w:tc>
        <w:tc>
          <w:tcPr>
            <w:tcW w:w="0" w:type="auto"/>
            <w:tcBorders>
              <w:top w:val="single" w:sz="4" w:space="0" w:color="auto"/>
              <w:left w:val="nil"/>
              <w:bottom w:val="single" w:sz="4" w:space="0" w:color="auto"/>
              <w:right w:val="single" w:sz="4" w:space="0" w:color="auto"/>
            </w:tcBorders>
            <w:shd w:val="clear" w:color="000000" w:fill="D6DCE4"/>
            <w:noWrap/>
            <w:vAlign w:val="bottom"/>
            <w:hideMark/>
          </w:tcPr>
          <w:p w14:paraId="0EFF85CC" w14:textId="77777777" w:rsidR="00902691" w:rsidRPr="00DC69A9" w:rsidRDefault="00902691" w:rsidP="00B8794B">
            <w:pPr>
              <w:spacing w:after="0" w:line="240" w:lineRule="auto"/>
              <w:jc w:val="center"/>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FY 2020</w:t>
            </w:r>
          </w:p>
        </w:tc>
        <w:tc>
          <w:tcPr>
            <w:tcW w:w="0" w:type="auto"/>
            <w:tcBorders>
              <w:top w:val="single" w:sz="4" w:space="0" w:color="auto"/>
              <w:left w:val="nil"/>
              <w:bottom w:val="single" w:sz="4" w:space="0" w:color="auto"/>
              <w:right w:val="single" w:sz="4" w:space="0" w:color="auto"/>
            </w:tcBorders>
            <w:shd w:val="clear" w:color="000000" w:fill="D6DCE4"/>
            <w:noWrap/>
            <w:vAlign w:val="bottom"/>
            <w:hideMark/>
          </w:tcPr>
          <w:p w14:paraId="7BBCA4AB" w14:textId="77777777" w:rsidR="00902691" w:rsidRPr="00DC69A9" w:rsidRDefault="00902691" w:rsidP="00B8794B">
            <w:pPr>
              <w:spacing w:after="0" w:line="240" w:lineRule="auto"/>
              <w:jc w:val="center"/>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FY 2021</w:t>
            </w:r>
          </w:p>
        </w:tc>
        <w:tc>
          <w:tcPr>
            <w:tcW w:w="0" w:type="auto"/>
            <w:tcBorders>
              <w:top w:val="single" w:sz="4" w:space="0" w:color="auto"/>
              <w:left w:val="nil"/>
              <w:bottom w:val="single" w:sz="4" w:space="0" w:color="auto"/>
              <w:right w:val="single" w:sz="4" w:space="0" w:color="auto"/>
            </w:tcBorders>
            <w:shd w:val="clear" w:color="000000" w:fill="D6DCE4"/>
          </w:tcPr>
          <w:p w14:paraId="3C6E735B" w14:textId="77777777" w:rsidR="00902691" w:rsidRDefault="00902691" w:rsidP="00B8794B">
            <w:pPr>
              <w:spacing w:after="0" w:line="240" w:lineRule="auto"/>
              <w:jc w:val="center"/>
              <w:rPr>
                <w:rFonts w:ascii="Calibri" w:eastAsia="Times New Roman" w:hAnsi="Calibri" w:cs="Calibri"/>
                <w:b/>
                <w:color w:val="000000"/>
                <w:sz w:val="24"/>
                <w:szCs w:val="24"/>
              </w:rPr>
            </w:pPr>
            <w:r>
              <w:rPr>
                <w:rFonts w:ascii="Calibri" w:eastAsia="Times New Roman" w:hAnsi="Calibri" w:cs="Calibri"/>
                <w:b/>
                <w:color w:val="000000"/>
                <w:sz w:val="24"/>
                <w:szCs w:val="24"/>
              </w:rPr>
              <w:t xml:space="preserve">% Change </w:t>
            </w:r>
          </w:p>
          <w:p w14:paraId="4F8FA18C" w14:textId="76FBC0B9" w:rsidR="00902691" w:rsidRPr="00DC69A9" w:rsidRDefault="00902691" w:rsidP="00B8794B">
            <w:pPr>
              <w:spacing w:after="0" w:line="240" w:lineRule="auto"/>
              <w:jc w:val="center"/>
              <w:rPr>
                <w:rFonts w:ascii="Calibri" w:eastAsia="Times New Roman" w:hAnsi="Calibri" w:cs="Calibri"/>
                <w:b/>
                <w:color w:val="000000"/>
                <w:sz w:val="24"/>
                <w:szCs w:val="24"/>
              </w:rPr>
            </w:pPr>
            <w:r>
              <w:rPr>
                <w:rFonts w:ascii="Calibri" w:eastAsia="Times New Roman" w:hAnsi="Calibri" w:cs="Calibri"/>
                <w:b/>
                <w:color w:val="000000"/>
                <w:sz w:val="24"/>
                <w:szCs w:val="24"/>
              </w:rPr>
              <w:t>FY19-FY21</w:t>
            </w:r>
          </w:p>
        </w:tc>
      </w:tr>
      <w:tr w:rsidR="00667C30" w:rsidRPr="00E61790" w14:paraId="0C913C9B" w14:textId="54356122"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B34A3D" w14:textId="77777777" w:rsidR="00667C30" w:rsidRPr="00DC69A9" w:rsidRDefault="00667C30" w:rsidP="00667C3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BID-Needham Patient Population</w:t>
            </w:r>
          </w:p>
        </w:tc>
        <w:tc>
          <w:tcPr>
            <w:tcW w:w="0" w:type="auto"/>
            <w:tcBorders>
              <w:top w:val="nil"/>
              <w:left w:val="nil"/>
              <w:bottom w:val="single" w:sz="4" w:space="0" w:color="auto"/>
              <w:right w:val="single" w:sz="4" w:space="0" w:color="auto"/>
            </w:tcBorders>
            <w:shd w:val="clear" w:color="auto" w:fill="auto"/>
            <w:noWrap/>
            <w:vAlign w:val="bottom"/>
            <w:hideMark/>
          </w:tcPr>
          <w:p w14:paraId="28340265"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70</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183</w:t>
            </w:r>
          </w:p>
        </w:tc>
        <w:tc>
          <w:tcPr>
            <w:tcW w:w="0" w:type="auto"/>
            <w:tcBorders>
              <w:top w:val="nil"/>
              <w:left w:val="nil"/>
              <w:bottom w:val="single" w:sz="4" w:space="0" w:color="auto"/>
              <w:right w:val="single" w:sz="4" w:space="0" w:color="auto"/>
            </w:tcBorders>
            <w:shd w:val="clear" w:color="auto" w:fill="auto"/>
            <w:noWrap/>
            <w:vAlign w:val="bottom"/>
            <w:hideMark/>
          </w:tcPr>
          <w:p w14:paraId="6E4C9675"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63</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840</w:t>
            </w:r>
          </w:p>
        </w:tc>
        <w:tc>
          <w:tcPr>
            <w:tcW w:w="0" w:type="auto"/>
            <w:tcBorders>
              <w:top w:val="nil"/>
              <w:left w:val="nil"/>
              <w:bottom w:val="single" w:sz="4" w:space="0" w:color="auto"/>
              <w:right w:val="single" w:sz="4" w:space="0" w:color="auto"/>
            </w:tcBorders>
            <w:shd w:val="clear" w:color="auto" w:fill="auto"/>
            <w:noWrap/>
            <w:vAlign w:val="bottom"/>
            <w:hideMark/>
          </w:tcPr>
          <w:p w14:paraId="0B35086F"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81</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634</w:t>
            </w:r>
          </w:p>
        </w:tc>
        <w:tc>
          <w:tcPr>
            <w:tcW w:w="0" w:type="auto"/>
            <w:tcBorders>
              <w:top w:val="nil"/>
              <w:left w:val="nil"/>
              <w:bottom w:val="single" w:sz="4" w:space="0" w:color="auto"/>
              <w:right w:val="single" w:sz="4" w:space="0" w:color="auto"/>
            </w:tcBorders>
          </w:tcPr>
          <w:p w14:paraId="1EDC370F" w14:textId="3812BB17" w:rsidR="00667C30" w:rsidRPr="00E61790" w:rsidRDefault="00667C30" w:rsidP="00513793">
            <w:pPr>
              <w:spacing w:after="0" w:line="240" w:lineRule="auto"/>
              <w:jc w:val="right"/>
              <w:rPr>
                <w:rFonts w:ascii="Calibri" w:eastAsia="Times New Roman" w:hAnsi="Calibri" w:cs="Calibri"/>
                <w:color w:val="000000"/>
                <w:sz w:val="24"/>
                <w:szCs w:val="24"/>
              </w:rPr>
            </w:pPr>
            <w:r w:rsidRPr="00016DD9">
              <w:t>16%</w:t>
            </w:r>
          </w:p>
        </w:tc>
      </w:tr>
      <w:tr w:rsidR="00667C30" w:rsidRPr="00E61790" w14:paraId="3126894A" w14:textId="01390EE6"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CEB537" w14:textId="77777777" w:rsidR="00667C30" w:rsidRPr="00DC69A9" w:rsidRDefault="00667C30" w:rsidP="00667C3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BID-Needham ED Visits</w:t>
            </w:r>
          </w:p>
        </w:tc>
        <w:tc>
          <w:tcPr>
            <w:tcW w:w="0" w:type="auto"/>
            <w:tcBorders>
              <w:top w:val="nil"/>
              <w:left w:val="nil"/>
              <w:bottom w:val="single" w:sz="4" w:space="0" w:color="auto"/>
              <w:right w:val="single" w:sz="4" w:space="0" w:color="auto"/>
            </w:tcBorders>
            <w:shd w:val="clear" w:color="auto" w:fill="auto"/>
            <w:noWrap/>
            <w:vAlign w:val="bottom"/>
            <w:hideMark/>
          </w:tcPr>
          <w:p w14:paraId="270ACD95"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16</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699</w:t>
            </w:r>
          </w:p>
        </w:tc>
        <w:tc>
          <w:tcPr>
            <w:tcW w:w="0" w:type="auto"/>
            <w:tcBorders>
              <w:top w:val="nil"/>
              <w:left w:val="nil"/>
              <w:bottom w:val="single" w:sz="4" w:space="0" w:color="auto"/>
              <w:right w:val="single" w:sz="4" w:space="0" w:color="auto"/>
            </w:tcBorders>
            <w:shd w:val="clear" w:color="auto" w:fill="auto"/>
            <w:noWrap/>
            <w:vAlign w:val="bottom"/>
            <w:hideMark/>
          </w:tcPr>
          <w:p w14:paraId="647D955C"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15</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600</w:t>
            </w:r>
          </w:p>
        </w:tc>
        <w:tc>
          <w:tcPr>
            <w:tcW w:w="0" w:type="auto"/>
            <w:tcBorders>
              <w:top w:val="nil"/>
              <w:left w:val="nil"/>
              <w:bottom w:val="single" w:sz="4" w:space="0" w:color="auto"/>
              <w:right w:val="single" w:sz="4" w:space="0" w:color="auto"/>
            </w:tcBorders>
            <w:shd w:val="clear" w:color="auto" w:fill="auto"/>
            <w:noWrap/>
            <w:vAlign w:val="bottom"/>
            <w:hideMark/>
          </w:tcPr>
          <w:p w14:paraId="40D7C828"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21</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008</w:t>
            </w:r>
          </w:p>
        </w:tc>
        <w:tc>
          <w:tcPr>
            <w:tcW w:w="0" w:type="auto"/>
            <w:tcBorders>
              <w:top w:val="nil"/>
              <w:left w:val="nil"/>
              <w:bottom w:val="single" w:sz="4" w:space="0" w:color="auto"/>
              <w:right w:val="single" w:sz="4" w:space="0" w:color="auto"/>
            </w:tcBorders>
          </w:tcPr>
          <w:p w14:paraId="04FD35DF" w14:textId="41A0313B" w:rsidR="00667C30" w:rsidRPr="00E61790" w:rsidRDefault="00667C30" w:rsidP="00513793">
            <w:pPr>
              <w:spacing w:after="0" w:line="240" w:lineRule="auto"/>
              <w:jc w:val="right"/>
              <w:rPr>
                <w:rFonts w:ascii="Calibri" w:eastAsia="Times New Roman" w:hAnsi="Calibri" w:cs="Calibri"/>
                <w:color w:val="000000"/>
                <w:sz w:val="24"/>
                <w:szCs w:val="24"/>
              </w:rPr>
            </w:pPr>
            <w:r w:rsidRPr="00016DD9">
              <w:t>26%</w:t>
            </w:r>
          </w:p>
        </w:tc>
      </w:tr>
      <w:tr w:rsidR="00667C30" w:rsidRPr="00E61790" w14:paraId="2B61AAD2" w14:textId="010854DA"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6D9ECC" w14:textId="77777777" w:rsidR="00667C30" w:rsidRPr="00DC69A9" w:rsidRDefault="00667C30" w:rsidP="00667C3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BID-Needham Inpatient Discharges</w:t>
            </w:r>
          </w:p>
        </w:tc>
        <w:tc>
          <w:tcPr>
            <w:tcW w:w="0" w:type="auto"/>
            <w:tcBorders>
              <w:top w:val="nil"/>
              <w:left w:val="nil"/>
              <w:bottom w:val="single" w:sz="4" w:space="0" w:color="auto"/>
              <w:right w:val="single" w:sz="4" w:space="0" w:color="auto"/>
            </w:tcBorders>
            <w:shd w:val="clear" w:color="auto" w:fill="auto"/>
            <w:noWrap/>
            <w:vAlign w:val="bottom"/>
            <w:hideMark/>
          </w:tcPr>
          <w:p w14:paraId="3E71B374"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2</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855</w:t>
            </w:r>
          </w:p>
        </w:tc>
        <w:tc>
          <w:tcPr>
            <w:tcW w:w="0" w:type="auto"/>
            <w:tcBorders>
              <w:top w:val="nil"/>
              <w:left w:val="nil"/>
              <w:bottom w:val="single" w:sz="4" w:space="0" w:color="auto"/>
              <w:right w:val="single" w:sz="4" w:space="0" w:color="auto"/>
            </w:tcBorders>
            <w:shd w:val="clear" w:color="auto" w:fill="auto"/>
            <w:noWrap/>
            <w:vAlign w:val="bottom"/>
            <w:hideMark/>
          </w:tcPr>
          <w:p w14:paraId="2AFE3D96"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3</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019</w:t>
            </w:r>
          </w:p>
        </w:tc>
        <w:tc>
          <w:tcPr>
            <w:tcW w:w="0" w:type="auto"/>
            <w:tcBorders>
              <w:top w:val="nil"/>
              <w:left w:val="nil"/>
              <w:bottom w:val="single" w:sz="4" w:space="0" w:color="auto"/>
              <w:right w:val="single" w:sz="4" w:space="0" w:color="auto"/>
            </w:tcBorders>
            <w:shd w:val="clear" w:color="auto" w:fill="auto"/>
            <w:noWrap/>
            <w:vAlign w:val="bottom"/>
            <w:hideMark/>
          </w:tcPr>
          <w:p w14:paraId="768D722A"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3</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742</w:t>
            </w:r>
          </w:p>
        </w:tc>
        <w:tc>
          <w:tcPr>
            <w:tcW w:w="0" w:type="auto"/>
            <w:tcBorders>
              <w:top w:val="nil"/>
              <w:left w:val="nil"/>
              <w:bottom w:val="single" w:sz="4" w:space="0" w:color="auto"/>
              <w:right w:val="single" w:sz="4" w:space="0" w:color="auto"/>
            </w:tcBorders>
          </w:tcPr>
          <w:p w14:paraId="37ABEDF2" w14:textId="398D7009" w:rsidR="00667C30" w:rsidRPr="00E61790" w:rsidRDefault="00667C30" w:rsidP="00513793">
            <w:pPr>
              <w:spacing w:after="0" w:line="240" w:lineRule="auto"/>
              <w:jc w:val="right"/>
              <w:rPr>
                <w:rFonts w:ascii="Calibri" w:eastAsia="Times New Roman" w:hAnsi="Calibri" w:cs="Calibri"/>
                <w:color w:val="000000"/>
                <w:sz w:val="24"/>
                <w:szCs w:val="24"/>
              </w:rPr>
            </w:pPr>
            <w:r w:rsidRPr="00016DD9">
              <w:t>31%</w:t>
            </w:r>
          </w:p>
        </w:tc>
      </w:tr>
      <w:tr w:rsidR="00667C30" w:rsidRPr="00E61790" w14:paraId="722F55E6" w14:textId="59D420B3"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E313FA" w14:textId="77777777" w:rsidR="00667C30" w:rsidRPr="00DC69A9" w:rsidRDefault="00667C30" w:rsidP="00667C3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Average Daily Inpatient Census</w:t>
            </w:r>
          </w:p>
        </w:tc>
        <w:tc>
          <w:tcPr>
            <w:tcW w:w="0" w:type="auto"/>
            <w:tcBorders>
              <w:top w:val="nil"/>
              <w:left w:val="nil"/>
              <w:bottom w:val="single" w:sz="4" w:space="0" w:color="auto"/>
              <w:right w:val="single" w:sz="4" w:space="0" w:color="auto"/>
            </w:tcBorders>
            <w:shd w:val="clear" w:color="auto" w:fill="auto"/>
            <w:noWrap/>
            <w:vAlign w:val="bottom"/>
            <w:hideMark/>
          </w:tcPr>
          <w:p w14:paraId="0E8247EC"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29.1</w:t>
            </w:r>
          </w:p>
        </w:tc>
        <w:tc>
          <w:tcPr>
            <w:tcW w:w="0" w:type="auto"/>
            <w:tcBorders>
              <w:top w:val="nil"/>
              <w:left w:val="nil"/>
              <w:bottom w:val="single" w:sz="4" w:space="0" w:color="auto"/>
              <w:right w:val="single" w:sz="4" w:space="0" w:color="auto"/>
            </w:tcBorders>
            <w:shd w:val="clear" w:color="auto" w:fill="auto"/>
            <w:noWrap/>
            <w:vAlign w:val="bottom"/>
            <w:hideMark/>
          </w:tcPr>
          <w:p w14:paraId="370DE401"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30.9</w:t>
            </w:r>
          </w:p>
        </w:tc>
        <w:tc>
          <w:tcPr>
            <w:tcW w:w="0" w:type="auto"/>
            <w:tcBorders>
              <w:top w:val="nil"/>
              <w:left w:val="nil"/>
              <w:bottom w:val="single" w:sz="4" w:space="0" w:color="auto"/>
              <w:right w:val="single" w:sz="4" w:space="0" w:color="auto"/>
            </w:tcBorders>
            <w:shd w:val="clear" w:color="auto" w:fill="auto"/>
            <w:noWrap/>
            <w:vAlign w:val="bottom"/>
            <w:hideMark/>
          </w:tcPr>
          <w:p w14:paraId="2AF0C7D7"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40.3</w:t>
            </w:r>
          </w:p>
        </w:tc>
        <w:tc>
          <w:tcPr>
            <w:tcW w:w="0" w:type="auto"/>
            <w:tcBorders>
              <w:top w:val="nil"/>
              <w:left w:val="nil"/>
              <w:bottom w:val="single" w:sz="4" w:space="0" w:color="auto"/>
              <w:right w:val="single" w:sz="4" w:space="0" w:color="auto"/>
            </w:tcBorders>
          </w:tcPr>
          <w:p w14:paraId="39F76751" w14:textId="020FEDAD" w:rsidR="00667C30" w:rsidRPr="00E61790" w:rsidRDefault="00667C30" w:rsidP="00513793">
            <w:pPr>
              <w:spacing w:after="0" w:line="240" w:lineRule="auto"/>
              <w:jc w:val="right"/>
              <w:rPr>
                <w:rFonts w:ascii="Calibri" w:eastAsia="Times New Roman" w:hAnsi="Calibri" w:cs="Calibri"/>
                <w:color w:val="000000"/>
                <w:sz w:val="24"/>
                <w:szCs w:val="24"/>
              </w:rPr>
            </w:pPr>
            <w:r w:rsidRPr="00016DD9">
              <w:t>38%</w:t>
            </w:r>
          </w:p>
        </w:tc>
      </w:tr>
      <w:tr w:rsidR="00667C30" w:rsidRPr="00E61790" w14:paraId="646627D6" w14:textId="634364AB"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FF4DBF" w14:textId="77777777" w:rsidR="00667C30" w:rsidRPr="00DC69A9" w:rsidRDefault="00667C30" w:rsidP="00667C3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Average Daily Observation Census</w:t>
            </w:r>
          </w:p>
        </w:tc>
        <w:tc>
          <w:tcPr>
            <w:tcW w:w="0" w:type="auto"/>
            <w:tcBorders>
              <w:top w:val="nil"/>
              <w:left w:val="nil"/>
              <w:bottom w:val="single" w:sz="4" w:space="0" w:color="auto"/>
              <w:right w:val="single" w:sz="4" w:space="0" w:color="auto"/>
            </w:tcBorders>
            <w:shd w:val="clear" w:color="auto" w:fill="auto"/>
            <w:noWrap/>
            <w:vAlign w:val="bottom"/>
            <w:hideMark/>
          </w:tcPr>
          <w:p w14:paraId="09564F2A"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7</w:t>
            </w:r>
          </w:p>
        </w:tc>
        <w:tc>
          <w:tcPr>
            <w:tcW w:w="0" w:type="auto"/>
            <w:tcBorders>
              <w:top w:val="nil"/>
              <w:left w:val="nil"/>
              <w:bottom w:val="single" w:sz="4" w:space="0" w:color="auto"/>
              <w:right w:val="single" w:sz="4" w:space="0" w:color="auto"/>
            </w:tcBorders>
            <w:shd w:val="clear" w:color="auto" w:fill="auto"/>
            <w:noWrap/>
            <w:vAlign w:val="bottom"/>
            <w:hideMark/>
          </w:tcPr>
          <w:p w14:paraId="4F27A944"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6</w:t>
            </w:r>
          </w:p>
        </w:tc>
        <w:tc>
          <w:tcPr>
            <w:tcW w:w="0" w:type="auto"/>
            <w:tcBorders>
              <w:top w:val="nil"/>
              <w:left w:val="nil"/>
              <w:bottom w:val="single" w:sz="4" w:space="0" w:color="auto"/>
              <w:right w:val="single" w:sz="4" w:space="0" w:color="auto"/>
            </w:tcBorders>
            <w:shd w:val="clear" w:color="auto" w:fill="auto"/>
            <w:noWrap/>
            <w:vAlign w:val="bottom"/>
            <w:hideMark/>
          </w:tcPr>
          <w:p w14:paraId="3F957995"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7</w:t>
            </w:r>
          </w:p>
        </w:tc>
        <w:tc>
          <w:tcPr>
            <w:tcW w:w="0" w:type="auto"/>
            <w:tcBorders>
              <w:top w:val="nil"/>
              <w:left w:val="nil"/>
              <w:bottom w:val="single" w:sz="4" w:space="0" w:color="auto"/>
              <w:right w:val="single" w:sz="4" w:space="0" w:color="auto"/>
            </w:tcBorders>
          </w:tcPr>
          <w:p w14:paraId="2B79D096" w14:textId="381DC89C" w:rsidR="00667C30" w:rsidRPr="00E61790" w:rsidRDefault="00667C30" w:rsidP="00513793">
            <w:pPr>
              <w:spacing w:after="0" w:line="240" w:lineRule="auto"/>
              <w:jc w:val="right"/>
              <w:rPr>
                <w:rFonts w:ascii="Calibri" w:eastAsia="Times New Roman" w:hAnsi="Calibri" w:cs="Calibri"/>
                <w:color w:val="000000"/>
                <w:sz w:val="24"/>
                <w:szCs w:val="24"/>
              </w:rPr>
            </w:pPr>
            <w:r w:rsidRPr="00016DD9">
              <w:t>0%</w:t>
            </w:r>
          </w:p>
        </w:tc>
      </w:tr>
      <w:tr w:rsidR="00667C30" w:rsidRPr="00E61790" w14:paraId="701F7CFA" w14:textId="7B43C382"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132D5C" w14:textId="77777777" w:rsidR="00667C30" w:rsidRPr="00DC69A9" w:rsidRDefault="00667C30" w:rsidP="00667C3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BID-Needham CT Exam Volume (No Procedures)</w:t>
            </w:r>
          </w:p>
        </w:tc>
        <w:tc>
          <w:tcPr>
            <w:tcW w:w="0" w:type="auto"/>
            <w:tcBorders>
              <w:top w:val="nil"/>
              <w:left w:val="nil"/>
              <w:bottom w:val="single" w:sz="4" w:space="0" w:color="auto"/>
              <w:right w:val="single" w:sz="4" w:space="0" w:color="auto"/>
            </w:tcBorders>
            <w:shd w:val="clear" w:color="auto" w:fill="auto"/>
            <w:noWrap/>
            <w:vAlign w:val="bottom"/>
            <w:hideMark/>
          </w:tcPr>
          <w:p w14:paraId="00BFFC7D"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11</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611</w:t>
            </w:r>
          </w:p>
        </w:tc>
        <w:tc>
          <w:tcPr>
            <w:tcW w:w="0" w:type="auto"/>
            <w:tcBorders>
              <w:top w:val="nil"/>
              <w:left w:val="nil"/>
              <w:bottom w:val="single" w:sz="4" w:space="0" w:color="auto"/>
              <w:right w:val="single" w:sz="4" w:space="0" w:color="auto"/>
            </w:tcBorders>
            <w:shd w:val="clear" w:color="auto" w:fill="auto"/>
            <w:noWrap/>
            <w:vAlign w:val="bottom"/>
            <w:hideMark/>
          </w:tcPr>
          <w:p w14:paraId="6046079F"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11</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985</w:t>
            </w:r>
          </w:p>
        </w:tc>
        <w:tc>
          <w:tcPr>
            <w:tcW w:w="0" w:type="auto"/>
            <w:tcBorders>
              <w:top w:val="nil"/>
              <w:left w:val="nil"/>
              <w:bottom w:val="single" w:sz="4" w:space="0" w:color="auto"/>
              <w:right w:val="single" w:sz="4" w:space="0" w:color="auto"/>
            </w:tcBorders>
            <w:shd w:val="clear" w:color="auto" w:fill="auto"/>
            <w:noWrap/>
            <w:vAlign w:val="bottom"/>
            <w:hideMark/>
          </w:tcPr>
          <w:p w14:paraId="799F5226"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16</w:t>
            </w:r>
            <w:r>
              <w:rPr>
                <w:rFonts w:ascii="Calibri" w:eastAsia="Times New Roman" w:hAnsi="Calibri" w:cs="Calibri"/>
                <w:color w:val="000000"/>
                <w:sz w:val="24"/>
                <w:szCs w:val="24"/>
              </w:rPr>
              <w:t>,</w:t>
            </w:r>
            <w:r w:rsidRPr="00E61790">
              <w:rPr>
                <w:rFonts w:ascii="Calibri" w:eastAsia="Times New Roman" w:hAnsi="Calibri" w:cs="Calibri"/>
                <w:color w:val="000000"/>
                <w:sz w:val="24"/>
                <w:szCs w:val="24"/>
              </w:rPr>
              <w:t>708</w:t>
            </w:r>
          </w:p>
        </w:tc>
        <w:tc>
          <w:tcPr>
            <w:tcW w:w="0" w:type="auto"/>
            <w:tcBorders>
              <w:top w:val="nil"/>
              <w:left w:val="nil"/>
              <w:bottom w:val="single" w:sz="4" w:space="0" w:color="auto"/>
              <w:right w:val="single" w:sz="4" w:space="0" w:color="auto"/>
            </w:tcBorders>
          </w:tcPr>
          <w:p w14:paraId="71B05B31" w14:textId="69A5DC71" w:rsidR="00667C30" w:rsidRPr="00E61790" w:rsidRDefault="00667C30" w:rsidP="00513793">
            <w:pPr>
              <w:spacing w:after="0" w:line="240" w:lineRule="auto"/>
              <w:jc w:val="right"/>
              <w:rPr>
                <w:rFonts w:ascii="Calibri" w:eastAsia="Times New Roman" w:hAnsi="Calibri" w:cs="Calibri"/>
                <w:color w:val="000000"/>
                <w:sz w:val="24"/>
                <w:szCs w:val="24"/>
              </w:rPr>
            </w:pPr>
            <w:r w:rsidRPr="00016DD9">
              <w:t>44%</w:t>
            </w:r>
          </w:p>
        </w:tc>
      </w:tr>
      <w:tr w:rsidR="00667C30" w:rsidRPr="00E61790" w14:paraId="48DF6924" w14:textId="15A76881"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0A88B9" w14:textId="77777777" w:rsidR="00667C30" w:rsidRPr="00DC69A9" w:rsidRDefault="00667C30" w:rsidP="00667C3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 Needham CT - Guided Procedures</w:t>
            </w:r>
          </w:p>
        </w:tc>
        <w:tc>
          <w:tcPr>
            <w:tcW w:w="0" w:type="auto"/>
            <w:tcBorders>
              <w:top w:val="nil"/>
              <w:left w:val="nil"/>
              <w:bottom w:val="single" w:sz="4" w:space="0" w:color="auto"/>
              <w:right w:val="single" w:sz="4" w:space="0" w:color="auto"/>
            </w:tcBorders>
            <w:shd w:val="clear" w:color="auto" w:fill="auto"/>
            <w:noWrap/>
            <w:vAlign w:val="bottom"/>
            <w:hideMark/>
          </w:tcPr>
          <w:p w14:paraId="462BC519"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22</w:t>
            </w:r>
          </w:p>
        </w:tc>
        <w:tc>
          <w:tcPr>
            <w:tcW w:w="0" w:type="auto"/>
            <w:tcBorders>
              <w:top w:val="nil"/>
              <w:left w:val="nil"/>
              <w:bottom w:val="single" w:sz="4" w:space="0" w:color="auto"/>
              <w:right w:val="single" w:sz="4" w:space="0" w:color="auto"/>
            </w:tcBorders>
            <w:shd w:val="clear" w:color="auto" w:fill="auto"/>
            <w:noWrap/>
            <w:vAlign w:val="bottom"/>
            <w:hideMark/>
          </w:tcPr>
          <w:p w14:paraId="18352A27"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16</w:t>
            </w:r>
          </w:p>
        </w:tc>
        <w:tc>
          <w:tcPr>
            <w:tcW w:w="0" w:type="auto"/>
            <w:tcBorders>
              <w:top w:val="nil"/>
              <w:left w:val="nil"/>
              <w:bottom w:val="single" w:sz="4" w:space="0" w:color="auto"/>
              <w:right w:val="single" w:sz="4" w:space="0" w:color="auto"/>
            </w:tcBorders>
            <w:shd w:val="clear" w:color="auto" w:fill="auto"/>
            <w:noWrap/>
            <w:vAlign w:val="bottom"/>
            <w:hideMark/>
          </w:tcPr>
          <w:p w14:paraId="4A9ECB05" w14:textId="77777777" w:rsidR="00667C30" w:rsidRPr="00E61790" w:rsidRDefault="00667C30" w:rsidP="00513793">
            <w:pPr>
              <w:spacing w:after="0" w:line="240" w:lineRule="auto"/>
              <w:jc w:val="right"/>
              <w:rPr>
                <w:rFonts w:ascii="Calibri" w:eastAsia="Times New Roman" w:hAnsi="Calibri" w:cs="Calibri"/>
                <w:color w:val="000000"/>
                <w:sz w:val="24"/>
                <w:szCs w:val="24"/>
              </w:rPr>
            </w:pPr>
            <w:r w:rsidRPr="00E61790">
              <w:rPr>
                <w:rFonts w:ascii="Calibri" w:eastAsia="Times New Roman" w:hAnsi="Calibri" w:cs="Calibri"/>
                <w:color w:val="000000"/>
                <w:sz w:val="24"/>
                <w:szCs w:val="24"/>
              </w:rPr>
              <w:t>10</w:t>
            </w:r>
          </w:p>
        </w:tc>
        <w:tc>
          <w:tcPr>
            <w:tcW w:w="0" w:type="auto"/>
            <w:tcBorders>
              <w:top w:val="nil"/>
              <w:left w:val="nil"/>
              <w:bottom w:val="single" w:sz="4" w:space="0" w:color="auto"/>
              <w:right w:val="single" w:sz="4" w:space="0" w:color="auto"/>
            </w:tcBorders>
          </w:tcPr>
          <w:p w14:paraId="5260E086" w14:textId="1B06CEBE" w:rsidR="00667C30" w:rsidRPr="00E61790" w:rsidRDefault="00667C30" w:rsidP="00513793">
            <w:pPr>
              <w:spacing w:after="0" w:line="240" w:lineRule="auto"/>
              <w:jc w:val="right"/>
              <w:rPr>
                <w:rFonts w:ascii="Calibri" w:eastAsia="Times New Roman" w:hAnsi="Calibri" w:cs="Calibri"/>
                <w:color w:val="000000"/>
                <w:sz w:val="24"/>
                <w:szCs w:val="24"/>
              </w:rPr>
            </w:pPr>
            <w:r w:rsidRPr="00016DD9">
              <w:t>-55%</w:t>
            </w:r>
          </w:p>
        </w:tc>
      </w:tr>
    </w:tbl>
    <w:p w14:paraId="16850A28" w14:textId="70117E0A" w:rsidR="00BC39F2" w:rsidRDefault="00BC39F2" w:rsidP="006F3742">
      <w:pPr>
        <w:spacing w:after="0" w:line="240" w:lineRule="auto"/>
        <w:rPr>
          <w:sz w:val="24"/>
          <w:szCs w:val="24"/>
        </w:rPr>
      </w:pPr>
    </w:p>
    <w:p w14:paraId="6A1D3BDE" w14:textId="7E8EA5C3" w:rsidR="006F3742" w:rsidRDefault="006F3742" w:rsidP="006F3742">
      <w:pPr>
        <w:spacing w:after="0" w:line="240" w:lineRule="auto"/>
        <w:rPr>
          <w:sz w:val="24"/>
          <w:szCs w:val="24"/>
        </w:rPr>
      </w:pPr>
    </w:p>
    <w:p w14:paraId="335257AE" w14:textId="51E612C7" w:rsidR="007C61C6" w:rsidRPr="0009510A" w:rsidRDefault="006A6645" w:rsidP="00DE20A5">
      <w:pPr>
        <w:pStyle w:val="ListParagraph"/>
        <w:numPr>
          <w:ilvl w:val="0"/>
          <w:numId w:val="3"/>
        </w:numPr>
        <w:spacing w:after="0" w:line="240" w:lineRule="auto"/>
        <w:ind w:left="360"/>
        <w:rPr>
          <w:b/>
          <w:bCs/>
          <w:sz w:val="24"/>
          <w:szCs w:val="24"/>
        </w:rPr>
      </w:pPr>
      <w:r w:rsidRPr="006A6645">
        <w:rPr>
          <w:b/>
          <w:bCs/>
          <w:sz w:val="24"/>
          <w:szCs w:val="24"/>
        </w:rPr>
        <w:t xml:space="preserve">Increase in Acuity of inpatients at </w:t>
      </w:r>
      <w:r w:rsidR="00C21549">
        <w:rPr>
          <w:b/>
          <w:bCs/>
          <w:sz w:val="24"/>
          <w:szCs w:val="24"/>
        </w:rPr>
        <w:t>BID-N</w:t>
      </w:r>
      <w:r w:rsidRPr="006A6645">
        <w:rPr>
          <w:b/>
          <w:bCs/>
          <w:sz w:val="24"/>
          <w:szCs w:val="24"/>
        </w:rPr>
        <w:t>eedham</w:t>
      </w:r>
      <w:r w:rsidR="007C61C6">
        <w:rPr>
          <w:b/>
          <w:bCs/>
          <w:sz w:val="24"/>
          <w:szCs w:val="24"/>
        </w:rPr>
        <w:t xml:space="preserve">. </w:t>
      </w:r>
      <w:bookmarkStart w:id="1" w:name="_Hlk98148408"/>
      <w:r w:rsidR="00465CB2">
        <w:rPr>
          <w:sz w:val="24"/>
          <w:szCs w:val="24"/>
        </w:rPr>
        <w:t>B</w:t>
      </w:r>
      <w:r w:rsidR="003E1C0C" w:rsidRPr="007C61C6">
        <w:rPr>
          <w:sz w:val="24"/>
          <w:szCs w:val="24"/>
        </w:rPr>
        <w:t xml:space="preserve">etween </w:t>
      </w:r>
      <w:r w:rsidR="0004348B">
        <w:rPr>
          <w:sz w:val="24"/>
          <w:szCs w:val="24"/>
        </w:rPr>
        <w:t>FY19 and FY21</w:t>
      </w:r>
      <w:r w:rsidR="00627DF8">
        <w:rPr>
          <w:sz w:val="24"/>
          <w:szCs w:val="24"/>
        </w:rPr>
        <w:t xml:space="preserve"> p</w:t>
      </w:r>
      <w:r w:rsidR="003E1C0C" w:rsidRPr="00627DF8">
        <w:rPr>
          <w:sz w:val="24"/>
          <w:szCs w:val="24"/>
        </w:rPr>
        <w:t xml:space="preserve">atient acuity increased alongside inpatient volume. </w:t>
      </w:r>
      <w:bookmarkEnd w:id="1"/>
      <w:r w:rsidR="00C21549" w:rsidRPr="0009510A">
        <w:rPr>
          <w:sz w:val="24"/>
          <w:szCs w:val="24"/>
        </w:rPr>
        <w:t>BID-N</w:t>
      </w:r>
      <w:r w:rsidR="003E1C0C" w:rsidRPr="0009510A">
        <w:rPr>
          <w:sz w:val="24"/>
          <w:szCs w:val="24"/>
        </w:rPr>
        <w:t xml:space="preserve">eedham’s </w:t>
      </w:r>
      <w:r w:rsidR="00105AAB">
        <w:rPr>
          <w:sz w:val="24"/>
          <w:szCs w:val="24"/>
        </w:rPr>
        <w:t xml:space="preserve">overall </w:t>
      </w:r>
      <w:r w:rsidR="003E1C0C" w:rsidRPr="0009510A">
        <w:rPr>
          <w:sz w:val="24"/>
          <w:szCs w:val="24"/>
        </w:rPr>
        <w:t>average case mix index (CMI)</w:t>
      </w:r>
      <w:r w:rsidR="00406416" w:rsidRPr="0009510A">
        <w:rPr>
          <w:sz w:val="24"/>
          <w:szCs w:val="24"/>
        </w:rPr>
        <w:t xml:space="preserve"> </w:t>
      </w:r>
      <w:r w:rsidR="00E63508" w:rsidRPr="0009510A">
        <w:rPr>
          <w:sz w:val="24"/>
          <w:szCs w:val="24"/>
        </w:rPr>
        <w:t xml:space="preserve">increased </w:t>
      </w:r>
      <w:r w:rsidR="00105AAB">
        <w:rPr>
          <w:sz w:val="24"/>
          <w:szCs w:val="24"/>
        </w:rPr>
        <w:t xml:space="preserve">from 1.34 to </w:t>
      </w:r>
      <w:r w:rsidR="00406416" w:rsidRPr="0009510A">
        <w:rPr>
          <w:sz w:val="24"/>
          <w:szCs w:val="24"/>
        </w:rPr>
        <w:t>1.3</w:t>
      </w:r>
      <w:r w:rsidR="0004348B">
        <w:rPr>
          <w:sz w:val="24"/>
          <w:szCs w:val="24"/>
        </w:rPr>
        <w:t>5</w:t>
      </w:r>
      <w:r w:rsidR="00406416" w:rsidRPr="0009510A">
        <w:rPr>
          <w:sz w:val="24"/>
          <w:szCs w:val="24"/>
        </w:rPr>
        <w:t xml:space="preserve"> overall, and </w:t>
      </w:r>
      <w:r w:rsidR="00735552">
        <w:rPr>
          <w:sz w:val="24"/>
          <w:szCs w:val="24"/>
        </w:rPr>
        <w:t xml:space="preserve">among </w:t>
      </w:r>
      <w:r w:rsidR="003E1C0C" w:rsidRPr="0009510A">
        <w:rPr>
          <w:sz w:val="24"/>
          <w:szCs w:val="24"/>
        </w:rPr>
        <w:t xml:space="preserve">ICU discharges increased </w:t>
      </w:r>
      <w:r w:rsidR="00105AAB">
        <w:rPr>
          <w:sz w:val="24"/>
          <w:szCs w:val="24"/>
        </w:rPr>
        <w:t>from 1.55</w:t>
      </w:r>
      <w:r w:rsidR="005F2BC0">
        <w:rPr>
          <w:sz w:val="24"/>
          <w:szCs w:val="24"/>
        </w:rPr>
        <w:t xml:space="preserve"> in FY19 </w:t>
      </w:r>
      <w:r w:rsidR="00DB572C" w:rsidRPr="0009510A">
        <w:rPr>
          <w:sz w:val="24"/>
          <w:szCs w:val="24"/>
        </w:rPr>
        <w:t xml:space="preserve">to </w:t>
      </w:r>
      <w:r w:rsidR="003E1C0C" w:rsidRPr="0009510A">
        <w:rPr>
          <w:sz w:val="24"/>
          <w:szCs w:val="24"/>
        </w:rPr>
        <w:t xml:space="preserve">1.72 in FY21. </w:t>
      </w:r>
    </w:p>
    <w:p w14:paraId="04DEA5DA" w14:textId="33ACC2E4" w:rsidR="004818CD" w:rsidRDefault="004818CD" w:rsidP="00DE20A5">
      <w:pPr>
        <w:spacing w:after="0" w:line="240" w:lineRule="auto"/>
        <w:rPr>
          <w:sz w:val="24"/>
          <w:szCs w:val="24"/>
        </w:rPr>
      </w:pPr>
    </w:p>
    <w:p w14:paraId="01F480B6" w14:textId="41521C31" w:rsidR="0004348B" w:rsidRDefault="001564BB" w:rsidP="001430AA">
      <w:pPr>
        <w:pStyle w:val="ListParagraph"/>
        <w:numPr>
          <w:ilvl w:val="0"/>
          <w:numId w:val="3"/>
        </w:numPr>
        <w:spacing w:line="240" w:lineRule="auto"/>
        <w:ind w:left="360"/>
        <w:rPr>
          <w:sz w:val="24"/>
          <w:szCs w:val="24"/>
        </w:rPr>
      </w:pPr>
      <w:r w:rsidRPr="00735552">
        <w:rPr>
          <w:b/>
          <w:bCs/>
          <w:sz w:val="24"/>
          <w:szCs w:val="24"/>
        </w:rPr>
        <w:t xml:space="preserve">Increase in ED patients at </w:t>
      </w:r>
      <w:r w:rsidR="00C21549" w:rsidRPr="00735552">
        <w:rPr>
          <w:b/>
          <w:bCs/>
          <w:sz w:val="24"/>
          <w:szCs w:val="24"/>
        </w:rPr>
        <w:t>BID-N</w:t>
      </w:r>
      <w:r w:rsidRPr="00735552">
        <w:rPr>
          <w:b/>
          <w:bCs/>
          <w:sz w:val="24"/>
          <w:szCs w:val="24"/>
        </w:rPr>
        <w:t>eedham</w:t>
      </w:r>
      <w:r w:rsidR="001430AA">
        <w:rPr>
          <w:b/>
          <w:bCs/>
          <w:sz w:val="24"/>
          <w:szCs w:val="24"/>
        </w:rPr>
        <w:t>.</w:t>
      </w:r>
      <w:r w:rsidRPr="00735552">
        <w:rPr>
          <w:b/>
          <w:bCs/>
          <w:sz w:val="24"/>
          <w:szCs w:val="24"/>
        </w:rPr>
        <w:t xml:space="preserve"> </w:t>
      </w:r>
      <w:r w:rsidR="00C21549" w:rsidRPr="00735552">
        <w:rPr>
          <w:sz w:val="24"/>
          <w:szCs w:val="24"/>
        </w:rPr>
        <w:t>BID-N</w:t>
      </w:r>
      <w:r w:rsidR="00A00C40" w:rsidRPr="00735552">
        <w:rPr>
          <w:sz w:val="24"/>
          <w:szCs w:val="24"/>
        </w:rPr>
        <w:t>eedham</w:t>
      </w:r>
      <w:r w:rsidR="004B357A" w:rsidRPr="00735552">
        <w:rPr>
          <w:sz w:val="24"/>
          <w:szCs w:val="24"/>
        </w:rPr>
        <w:t xml:space="preserve">’s ED CT volume </w:t>
      </w:r>
      <w:r w:rsidR="00DB6074" w:rsidRPr="00735552">
        <w:rPr>
          <w:sz w:val="24"/>
          <w:szCs w:val="24"/>
        </w:rPr>
        <w:t xml:space="preserve">has increased </w:t>
      </w:r>
      <w:r w:rsidR="004B357A" w:rsidRPr="00735552">
        <w:rPr>
          <w:sz w:val="24"/>
          <w:szCs w:val="24"/>
        </w:rPr>
        <w:t xml:space="preserve">from 4,300 patient studies in FY2019 to 6,800 studies </w:t>
      </w:r>
      <w:r w:rsidR="00B71286" w:rsidRPr="00735552">
        <w:rPr>
          <w:sz w:val="24"/>
          <w:szCs w:val="24"/>
        </w:rPr>
        <w:t>in FY21</w:t>
      </w:r>
      <w:r w:rsidR="005D0165" w:rsidRPr="00735552">
        <w:rPr>
          <w:sz w:val="24"/>
          <w:szCs w:val="24"/>
        </w:rPr>
        <w:t>.</w:t>
      </w:r>
      <w:r w:rsidR="00D04316" w:rsidRPr="00735552">
        <w:rPr>
          <w:sz w:val="24"/>
          <w:szCs w:val="24"/>
        </w:rPr>
        <w:t xml:space="preserve"> </w:t>
      </w:r>
      <w:r w:rsidR="00C21549" w:rsidRPr="00735552">
        <w:rPr>
          <w:sz w:val="24"/>
          <w:szCs w:val="24"/>
        </w:rPr>
        <w:t>BID-N</w:t>
      </w:r>
      <w:r w:rsidR="00C01E12" w:rsidRPr="00735552">
        <w:rPr>
          <w:sz w:val="24"/>
          <w:szCs w:val="24"/>
        </w:rPr>
        <w:t>eedham</w:t>
      </w:r>
      <w:r w:rsidR="004719D3" w:rsidRPr="001361DF">
        <w:rPr>
          <w:sz w:val="24"/>
          <w:szCs w:val="24"/>
        </w:rPr>
        <w:t xml:space="preserve"> prioriti</w:t>
      </w:r>
      <w:r w:rsidR="0057799C" w:rsidRPr="001361DF">
        <w:rPr>
          <w:sz w:val="24"/>
          <w:szCs w:val="24"/>
        </w:rPr>
        <w:t>zes</w:t>
      </w:r>
      <w:r w:rsidR="004719D3" w:rsidRPr="001361DF">
        <w:rPr>
          <w:sz w:val="24"/>
          <w:szCs w:val="24"/>
        </w:rPr>
        <w:t xml:space="preserve"> </w:t>
      </w:r>
      <w:r w:rsidR="004719D3" w:rsidRPr="00735552">
        <w:rPr>
          <w:sz w:val="24"/>
          <w:szCs w:val="24"/>
        </w:rPr>
        <w:t>time</w:t>
      </w:r>
      <w:r w:rsidR="00F37630">
        <w:rPr>
          <w:sz w:val="24"/>
          <w:szCs w:val="24"/>
        </w:rPr>
        <w:t>-</w:t>
      </w:r>
      <w:r w:rsidR="004719D3" w:rsidRPr="00735552">
        <w:rPr>
          <w:sz w:val="24"/>
          <w:szCs w:val="24"/>
        </w:rPr>
        <w:t>sensitive CT service requests for uses such as stroke, trauma, post-procedural and post-surgical, and inpatient procedures</w:t>
      </w:r>
      <w:r w:rsidR="0057799C" w:rsidRPr="001361DF">
        <w:rPr>
          <w:sz w:val="24"/>
          <w:szCs w:val="24"/>
        </w:rPr>
        <w:t xml:space="preserve"> resulting in the need to </w:t>
      </w:r>
      <w:r w:rsidR="00387A02" w:rsidRPr="001361DF">
        <w:rPr>
          <w:sz w:val="24"/>
          <w:szCs w:val="24"/>
        </w:rPr>
        <w:t>reschedule patients with less urgent need for a CT scan to accommodate time-sensitive CT scan requests.</w:t>
      </w:r>
      <w:r w:rsidR="00D04316" w:rsidRPr="001361DF">
        <w:rPr>
          <w:sz w:val="24"/>
          <w:szCs w:val="24"/>
        </w:rPr>
        <w:t xml:space="preserve"> </w:t>
      </w:r>
    </w:p>
    <w:p w14:paraId="727F34BF" w14:textId="77777777" w:rsidR="0004348B" w:rsidRDefault="0004348B" w:rsidP="0004348B">
      <w:pPr>
        <w:pStyle w:val="ListParagraph"/>
        <w:spacing w:line="240" w:lineRule="auto"/>
        <w:ind w:left="360"/>
        <w:rPr>
          <w:sz w:val="24"/>
          <w:szCs w:val="24"/>
        </w:rPr>
      </w:pPr>
    </w:p>
    <w:p w14:paraId="50382D50" w14:textId="1BFA75A0" w:rsidR="00D04316" w:rsidRDefault="00C21549" w:rsidP="0004348B">
      <w:pPr>
        <w:pStyle w:val="ListParagraph"/>
        <w:spacing w:line="240" w:lineRule="auto"/>
        <w:ind w:left="360"/>
        <w:rPr>
          <w:sz w:val="24"/>
          <w:szCs w:val="24"/>
        </w:rPr>
      </w:pPr>
      <w:r w:rsidRPr="001361DF">
        <w:rPr>
          <w:sz w:val="24"/>
          <w:szCs w:val="24"/>
        </w:rPr>
        <w:t>BID-N</w:t>
      </w:r>
      <w:r w:rsidR="00D04316" w:rsidRPr="001361DF">
        <w:rPr>
          <w:sz w:val="24"/>
          <w:szCs w:val="24"/>
        </w:rPr>
        <w:t xml:space="preserve">eedham is designated by DPH as a Primary Stroke Service (PSS) hospital </w:t>
      </w:r>
      <w:r w:rsidR="001361DF">
        <w:rPr>
          <w:sz w:val="24"/>
          <w:szCs w:val="24"/>
        </w:rPr>
        <w:t xml:space="preserve">which </w:t>
      </w:r>
      <w:r w:rsidR="00D04316" w:rsidRPr="001361DF">
        <w:rPr>
          <w:sz w:val="24"/>
          <w:szCs w:val="24"/>
        </w:rPr>
        <w:t xml:space="preserve">means that </w:t>
      </w:r>
      <w:r w:rsidR="001361DF">
        <w:rPr>
          <w:sz w:val="24"/>
          <w:szCs w:val="24"/>
        </w:rPr>
        <w:t xml:space="preserve">the </w:t>
      </w:r>
      <w:r w:rsidR="00D04316" w:rsidRPr="001361DF">
        <w:rPr>
          <w:sz w:val="24"/>
          <w:szCs w:val="24"/>
        </w:rPr>
        <w:t>Emergency Medical Services (EMS) system sends patients experiencing symptoms of a stroke to the BID-</w:t>
      </w:r>
      <w:r w:rsidR="00B96E0E">
        <w:rPr>
          <w:sz w:val="24"/>
          <w:szCs w:val="24"/>
        </w:rPr>
        <w:t>Needham</w:t>
      </w:r>
      <w:r w:rsidR="00D04316" w:rsidRPr="001361DF">
        <w:rPr>
          <w:sz w:val="24"/>
          <w:szCs w:val="24"/>
        </w:rPr>
        <w:t xml:space="preserve"> ED, and the facility is ready to evaluate and treat acute stroke patients 24 hours a day.  </w:t>
      </w:r>
    </w:p>
    <w:p w14:paraId="47E95A03" w14:textId="77777777" w:rsidR="0004348B" w:rsidRPr="001361DF" w:rsidRDefault="0004348B" w:rsidP="00BD3C35">
      <w:pPr>
        <w:pStyle w:val="ListParagraph"/>
        <w:spacing w:after="0" w:line="240" w:lineRule="auto"/>
        <w:ind w:left="360"/>
        <w:rPr>
          <w:sz w:val="24"/>
          <w:szCs w:val="24"/>
        </w:rPr>
      </w:pPr>
    </w:p>
    <w:p w14:paraId="644A90DD" w14:textId="660F2868" w:rsidR="001611A6" w:rsidRPr="001852F1" w:rsidRDefault="00C21549" w:rsidP="00DD5895">
      <w:pPr>
        <w:spacing w:after="0" w:line="240" w:lineRule="auto"/>
        <w:ind w:left="360"/>
        <w:rPr>
          <w:sz w:val="24"/>
          <w:szCs w:val="24"/>
        </w:rPr>
      </w:pPr>
      <w:r>
        <w:rPr>
          <w:sz w:val="24"/>
          <w:szCs w:val="24"/>
        </w:rPr>
        <w:t>BID-N</w:t>
      </w:r>
      <w:r w:rsidR="00A00C40">
        <w:rPr>
          <w:sz w:val="24"/>
          <w:szCs w:val="24"/>
        </w:rPr>
        <w:t>eedham</w:t>
      </w:r>
      <w:r w:rsidR="007D37B9" w:rsidRPr="00D04316">
        <w:rPr>
          <w:sz w:val="24"/>
          <w:szCs w:val="24"/>
        </w:rPr>
        <w:t xml:space="preserve"> has seen an increase in the number of Code Stroke cases coming into the ED and subsequently to CT service.</w:t>
      </w:r>
      <w:r w:rsidR="00667C30">
        <w:rPr>
          <w:rStyle w:val="FootnoteReference"/>
          <w:sz w:val="24"/>
          <w:szCs w:val="24"/>
        </w:rPr>
        <w:footnoteReference w:id="15"/>
      </w:r>
      <w:r w:rsidR="007D37B9" w:rsidRPr="00D04316">
        <w:rPr>
          <w:sz w:val="24"/>
          <w:szCs w:val="24"/>
        </w:rPr>
        <w:t xml:space="preserve"> </w:t>
      </w:r>
      <w:r w:rsidR="002A5A55">
        <w:rPr>
          <w:sz w:val="24"/>
          <w:szCs w:val="24"/>
        </w:rPr>
        <w:t xml:space="preserve">The Applicant states that </w:t>
      </w:r>
      <w:r w:rsidR="007D37B9" w:rsidRPr="00D04316">
        <w:rPr>
          <w:sz w:val="24"/>
          <w:szCs w:val="24"/>
        </w:rPr>
        <w:t>FY20 saw 148 cases</w:t>
      </w:r>
      <w:r w:rsidR="002A5A55">
        <w:rPr>
          <w:sz w:val="24"/>
          <w:szCs w:val="24"/>
        </w:rPr>
        <w:t xml:space="preserve"> and</w:t>
      </w:r>
      <w:r w:rsidR="007D37B9" w:rsidRPr="00D04316">
        <w:rPr>
          <w:sz w:val="24"/>
          <w:szCs w:val="24"/>
        </w:rPr>
        <w:t xml:space="preserve"> FY21 </w:t>
      </w:r>
      <w:r w:rsidR="007D37B9" w:rsidRPr="00D04316">
        <w:rPr>
          <w:sz w:val="24"/>
          <w:szCs w:val="24"/>
        </w:rPr>
        <w:lastRenderedPageBreak/>
        <w:t>has already seen 117 cases and is on pace for 202, a 36.5% increase</w:t>
      </w:r>
      <w:r w:rsidR="00976EA7">
        <w:rPr>
          <w:sz w:val="24"/>
          <w:szCs w:val="24"/>
        </w:rPr>
        <w:t xml:space="preserve"> </w:t>
      </w:r>
      <w:r w:rsidR="00181B90" w:rsidRPr="001852F1">
        <w:rPr>
          <w:sz w:val="24"/>
          <w:szCs w:val="24"/>
        </w:rPr>
        <w:t>The addition of a second CT unit will i</w:t>
      </w:r>
      <w:r w:rsidR="001611A6" w:rsidRPr="001852F1">
        <w:rPr>
          <w:sz w:val="24"/>
          <w:szCs w:val="24"/>
        </w:rPr>
        <w:t xml:space="preserve">ncrease the efficiency </w:t>
      </w:r>
      <w:r w:rsidR="00181B90" w:rsidRPr="001852F1">
        <w:rPr>
          <w:sz w:val="24"/>
          <w:szCs w:val="24"/>
        </w:rPr>
        <w:t>in which patients are</w:t>
      </w:r>
      <w:r w:rsidR="001430AA">
        <w:rPr>
          <w:sz w:val="24"/>
          <w:szCs w:val="24"/>
        </w:rPr>
        <w:t xml:space="preserve"> </w:t>
      </w:r>
      <w:r w:rsidR="00181B90" w:rsidRPr="001852F1">
        <w:rPr>
          <w:sz w:val="24"/>
          <w:szCs w:val="24"/>
        </w:rPr>
        <w:t xml:space="preserve">transferred </w:t>
      </w:r>
      <w:r w:rsidR="001611A6" w:rsidRPr="001852F1">
        <w:rPr>
          <w:sz w:val="24"/>
          <w:szCs w:val="24"/>
        </w:rPr>
        <w:t xml:space="preserve">to and from the ED at </w:t>
      </w:r>
      <w:r>
        <w:rPr>
          <w:sz w:val="24"/>
          <w:szCs w:val="24"/>
        </w:rPr>
        <w:t>BID-N</w:t>
      </w:r>
      <w:r w:rsidR="00A00C40">
        <w:rPr>
          <w:sz w:val="24"/>
          <w:szCs w:val="24"/>
        </w:rPr>
        <w:t>eedham</w:t>
      </w:r>
      <w:r w:rsidR="001611A6" w:rsidRPr="001852F1">
        <w:rPr>
          <w:sz w:val="24"/>
          <w:szCs w:val="24"/>
        </w:rPr>
        <w:t>.</w:t>
      </w:r>
    </w:p>
    <w:p w14:paraId="03DA0B5D" w14:textId="5EF29B5E" w:rsidR="00C628FB" w:rsidRDefault="00C628FB" w:rsidP="004818CD">
      <w:pPr>
        <w:pStyle w:val="ListParagraph"/>
        <w:rPr>
          <w:sz w:val="24"/>
          <w:szCs w:val="24"/>
        </w:rPr>
      </w:pPr>
    </w:p>
    <w:p w14:paraId="731D6DFA" w14:textId="77777777" w:rsidR="001852F1" w:rsidRDefault="00727A8D" w:rsidP="001852F1">
      <w:pPr>
        <w:pStyle w:val="ListParagraph"/>
        <w:numPr>
          <w:ilvl w:val="0"/>
          <w:numId w:val="3"/>
        </w:numPr>
        <w:ind w:left="360"/>
        <w:rPr>
          <w:b/>
          <w:bCs/>
          <w:sz w:val="24"/>
          <w:szCs w:val="24"/>
        </w:rPr>
      </w:pPr>
      <w:r w:rsidRPr="00545943">
        <w:rPr>
          <w:b/>
          <w:bCs/>
          <w:sz w:val="24"/>
          <w:szCs w:val="24"/>
        </w:rPr>
        <w:t xml:space="preserve">Downtime for repairs and scheduled </w:t>
      </w:r>
      <w:r w:rsidR="00AA3B3C">
        <w:rPr>
          <w:b/>
          <w:bCs/>
          <w:sz w:val="24"/>
          <w:szCs w:val="24"/>
        </w:rPr>
        <w:t>maintenance</w:t>
      </w:r>
      <w:r w:rsidR="001852F1">
        <w:rPr>
          <w:b/>
          <w:bCs/>
          <w:sz w:val="24"/>
          <w:szCs w:val="24"/>
        </w:rPr>
        <w:t xml:space="preserve">. </w:t>
      </w:r>
    </w:p>
    <w:p w14:paraId="2A2DFF8A" w14:textId="1E9EC87C" w:rsidR="000C4FB1" w:rsidRDefault="000B4DD6" w:rsidP="001852F1">
      <w:pPr>
        <w:pStyle w:val="ListParagraph"/>
        <w:spacing w:line="240" w:lineRule="auto"/>
        <w:ind w:left="360"/>
        <w:rPr>
          <w:sz w:val="24"/>
          <w:szCs w:val="24"/>
        </w:rPr>
      </w:pPr>
      <w:bookmarkStart w:id="2" w:name="_Hlk103254022"/>
      <w:bookmarkStart w:id="3" w:name="_Hlk103344877"/>
      <w:r w:rsidRPr="001852F1">
        <w:rPr>
          <w:sz w:val="24"/>
          <w:szCs w:val="24"/>
        </w:rPr>
        <w:t>Interruptions and delays occur when the single scanner is down for scheduled maintenance</w:t>
      </w:r>
      <w:r w:rsidR="001361DF">
        <w:rPr>
          <w:sz w:val="24"/>
          <w:szCs w:val="24"/>
        </w:rPr>
        <w:t xml:space="preserve">, causing </w:t>
      </w:r>
      <w:r w:rsidR="001361DF" w:rsidRPr="001852F1">
        <w:rPr>
          <w:sz w:val="24"/>
          <w:szCs w:val="24"/>
        </w:rPr>
        <w:t xml:space="preserve">ED patients and inpatients </w:t>
      </w:r>
      <w:r w:rsidR="001361DF">
        <w:rPr>
          <w:sz w:val="24"/>
          <w:szCs w:val="24"/>
        </w:rPr>
        <w:t>to</w:t>
      </w:r>
      <w:r w:rsidR="001361DF" w:rsidRPr="001852F1">
        <w:rPr>
          <w:sz w:val="24"/>
          <w:szCs w:val="24"/>
        </w:rPr>
        <w:t xml:space="preserve"> wait for a CT scan</w:t>
      </w:r>
      <w:r w:rsidR="001361DF">
        <w:rPr>
          <w:sz w:val="24"/>
          <w:szCs w:val="24"/>
        </w:rPr>
        <w:t>,</w:t>
      </w:r>
      <w:r w:rsidR="001361DF" w:rsidRPr="001852F1">
        <w:rPr>
          <w:sz w:val="24"/>
          <w:szCs w:val="24"/>
        </w:rPr>
        <w:t xml:space="preserve"> which can increase their LOS.</w:t>
      </w:r>
      <w:r w:rsidR="00DB6074" w:rsidRPr="001852F1">
        <w:rPr>
          <w:sz w:val="24"/>
          <w:szCs w:val="24"/>
        </w:rPr>
        <w:t xml:space="preserve"> </w:t>
      </w:r>
      <w:r w:rsidR="001361DF">
        <w:rPr>
          <w:sz w:val="24"/>
          <w:szCs w:val="24"/>
        </w:rPr>
        <w:t>Repairs and maintenance can also</w:t>
      </w:r>
      <w:r w:rsidR="001361DF" w:rsidRPr="001852F1">
        <w:rPr>
          <w:sz w:val="24"/>
          <w:szCs w:val="24"/>
        </w:rPr>
        <w:t xml:space="preserve"> </w:t>
      </w:r>
      <w:r w:rsidR="001852F1" w:rsidRPr="001852F1">
        <w:rPr>
          <w:sz w:val="24"/>
          <w:szCs w:val="24"/>
        </w:rPr>
        <w:t>r</w:t>
      </w:r>
      <w:r w:rsidR="00DB6074" w:rsidRPr="001852F1">
        <w:rPr>
          <w:sz w:val="24"/>
          <w:szCs w:val="24"/>
        </w:rPr>
        <w:t xml:space="preserve">equire the Hospital to go on </w:t>
      </w:r>
      <w:r w:rsidR="008E7A80">
        <w:rPr>
          <w:sz w:val="24"/>
          <w:szCs w:val="24"/>
        </w:rPr>
        <w:t xml:space="preserve">what they refer to as </w:t>
      </w:r>
      <w:r w:rsidR="00DB6074" w:rsidRPr="001852F1">
        <w:rPr>
          <w:sz w:val="24"/>
          <w:szCs w:val="24"/>
        </w:rPr>
        <w:t>Cautionary Status</w:t>
      </w:r>
      <w:bookmarkEnd w:id="2"/>
      <w:r w:rsidR="007E1925">
        <w:rPr>
          <w:sz w:val="24"/>
          <w:szCs w:val="24"/>
        </w:rPr>
        <w:t xml:space="preserve">. </w:t>
      </w:r>
      <w:r w:rsidR="007E1925" w:rsidRPr="007E1925">
        <w:rPr>
          <w:sz w:val="24"/>
          <w:szCs w:val="24"/>
        </w:rPr>
        <w:t xml:space="preserve">The Hospital (usually ED staff) calls the regional Central Medical Emergency Direction (CMED) Center to alert EMS </w:t>
      </w:r>
      <w:r w:rsidR="008E7A80">
        <w:rPr>
          <w:sz w:val="24"/>
          <w:szCs w:val="24"/>
        </w:rPr>
        <w:t>that the Hospital does not have CT availab</w:t>
      </w:r>
      <w:r w:rsidR="00BD4B61">
        <w:rPr>
          <w:sz w:val="24"/>
          <w:szCs w:val="24"/>
        </w:rPr>
        <w:t>ility</w:t>
      </w:r>
      <w:r w:rsidR="008E7A80">
        <w:rPr>
          <w:sz w:val="24"/>
          <w:szCs w:val="24"/>
        </w:rPr>
        <w:t>, so that ambulance crews can factor that into decision-making</w:t>
      </w:r>
      <w:r w:rsidR="007E1925" w:rsidRPr="007E1925">
        <w:rPr>
          <w:sz w:val="24"/>
          <w:szCs w:val="24"/>
        </w:rPr>
        <w:t>. The Hospital follows the same notification process when CT capability is restored</w:t>
      </w:r>
      <w:r w:rsidR="007E1925">
        <w:rPr>
          <w:sz w:val="24"/>
          <w:szCs w:val="24"/>
        </w:rPr>
        <w:t>.</w:t>
      </w:r>
      <w:bookmarkEnd w:id="3"/>
      <w:r w:rsidR="007E1925" w:rsidRPr="007E1925">
        <w:rPr>
          <w:sz w:val="24"/>
          <w:szCs w:val="24"/>
        </w:rPr>
        <w:t xml:space="preserve"> </w:t>
      </w:r>
      <w:r w:rsidR="007E1925">
        <w:rPr>
          <w:sz w:val="24"/>
          <w:szCs w:val="24"/>
        </w:rPr>
        <w:t>W</w:t>
      </w:r>
      <w:r w:rsidR="00DB6074" w:rsidRPr="001852F1">
        <w:rPr>
          <w:sz w:val="24"/>
          <w:szCs w:val="24"/>
        </w:rPr>
        <w:t xml:space="preserve">hile the occurrence is infrequent, </w:t>
      </w:r>
      <w:r w:rsidR="001361DF">
        <w:rPr>
          <w:sz w:val="24"/>
          <w:szCs w:val="24"/>
        </w:rPr>
        <w:t xml:space="preserve">it is </w:t>
      </w:r>
      <w:r w:rsidR="00DB6074" w:rsidRPr="001852F1">
        <w:rPr>
          <w:sz w:val="24"/>
          <w:szCs w:val="24"/>
        </w:rPr>
        <w:t>highly disruptive to care delivery</w:t>
      </w:r>
      <w:r w:rsidR="001361DF">
        <w:rPr>
          <w:sz w:val="24"/>
          <w:szCs w:val="24"/>
        </w:rPr>
        <w:t>,</w:t>
      </w:r>
      <w:r w:rsidR="00DB6074" w:rsidRPr="001852F1">
        <w:rPr>
          <w:sz w:val="24"/>
          <w:szCs w:val="24"/>
        </w:rPr>
        <w:t xml:space="preserve"> resulting in transfers to other facilities to accommodate treatment</w:t>
      </w:r>
      <w:r w:rsidR="001361DF">
        <w:rPr>
          <w:sz w:val="24"/>
          <w:szCs w:val="24"/>
        </w:rPr>
        <w:t xml:space="preserve"> and </w:t>
      </w:r>
      <w:r w:rsidR="00DB6074" w:rsidRPr="001852F1">
        <w:rPr>
          <w:sz w:val="24"/>
          <w:szCs w:val="24"/>
        </w:rPr>
        <w:t xml:space="preserve">increasing the time it takes for patients to obtain imaging needed to make decisions regarding their care. </w:t>
      </w:r>
      <w:r w:rsidR="001430AA" w:rsidRPr="001430AA">
        <w:rPr>
          <w:sz w:val="24"/>
          <w:szCs w:val="24"/>
        </w:rPr>
        <w:t xml:space="preserve">The Applicant states that planned downtime is scheduled in the early morning and usually lasts </w:t>
      </w:r>
      <w:r w:rsidR="00751AF9">
        <w:rPr>
          <w:sz w:val="24"/>
          <w:szCs w:val="24"/>
        </w:rPr>
        <w:t>approximately</w:t>
      </w:r>
      <w:r w:rsidR="001430AA" w:rsidRPr="001430AA">
        <w:rPr>
          <w:sz w:val="24"/>
          <w:szCs w:val="24"/>
        </w:rPr>
        <w:t xml:space="preserve"> four hours. Unplanned downtime is more variable and usually lengthy if parts are needed. The last </w:t>
      </w:r>
      <w:r w:rsidR="00AC2D29">
        <w:rPr>
          <w:sz w:val="24"/>
          <w:szCs w:val="24"/>
        </w:rPr>
        <w:t xml:space="preserve">unplanned </w:t>
      </w:r>
      <w:r w:rsidR="001430AA" w:rsidRPr="001430AA">
        <w:rPr>
          <w:sz w:val="24"/>
          <w:szCs w:val="24"/>
        </w:rPr>
        <w:t>down time of the unit lasted nine hours.</w:t>
      </w:r>
    </w:p>
    <w:p w14:paraId="20D7E63F" w14:textId="77777777" w:rsidR="005C6A6C" w:rsidRPr="001852F1" w:rsidRDefault="005C6A6C" w:rsidP="001852F1">
      <w:pPr>
        <w:pStyle w:val="ListParagraph"/>
        <w:spacing w:line="240" w:lineRule="auto"/>
        <w:ind w:left="360"/>
        <w:rPr>
          <w:b/>
          <w:bCs/>
          <w:sz w:val="24"/>
          <w:szCs w:val="24"/>
        </w:rPr>
      </w:pPr>
    </w:p>
    <w:p w14:paraId="75EDE169" w14:textId="77777777" w:rsidR="001852F1" w:rsidRDefault="00E61FD4" w:rsidP="001852F1">
      <w:pPr>
        <w:pStyle w:val="ListParagraph"/>
        <w:numPr>
          <w:ilvl w:val="0"/>
          <w:numId w:val="3"/>
        </w:numPr>
        <w:ind w:left="360"/>
        <w:rPr>
          <w:b/>
          <w:bCs/>
          <w:sz w:val="24"/>
          <w:szCs w:val="24"/>
        </w:rPr>
      </w:pPr>
      <w:r w:rsidRPr="00E61FD4">
        <w:rPr>
          <w:b/>
          <w:bCs/>
          <w:sz w:val="24"/>
          <w:szCs w:val="24"/>
        </w:rPr>
        <w:t>Outpatient Diagnostic Use</w:t>
      </w:r>
    </w:p>
    <w:p w14:paraId="7874F690" w14:textId="595A2BDB" w:rsidR="00E61FD4" w:rsidRDefault="00E61FD4" w:rsidP="001F1952">
      <w:pPr>
        <w:pStyle w:val="ListParagraph"/>
        <w:spacing w:line="240" w:lineRule="auto"/>
        <w:ind w:left="360"/>
        <w:rPr>
          <w:sz w:val="24"/>
          <w:szCs w:val="24"/>
        </w:rPr>
      </w:pPr>
      <w:r w:rsidRPr="001852F1">
        <w:rPr>
          <w:sz w:val="24"/>
          <w:szCs w:val="24"/>
        </w:rPr>
        <w:t xml:space="preserve">Additional ED and inpatient volume has impacted the </w:t>
      </w:r>
      <w:r w:rsidR="00531B86">
        <w:rPr>
          <w:sz w:val="24"/>
          <w:szCs w:val="24"/>
        </w:rPr>
        <w:t xml:space="preserve">Applicant’s ability to fully accommodate </w:t>
      </w:r>
      <w:r w:rsidRPr="001852F1">
        <w:rPr>
          <w:sz w:val="24"/>
          <w:szCs w:val="24"/>
        </w:rPr>
        <w:t xml:space="preserve">the needs of </w:t>
      </w:r>
      <w:r w:rsidR="00531B86">
        <w:rPr>
          <w:sz w:val="24"/>
          <w:szCs w:val="24"/>
        </w:rPr>
        <w:t xml:space="preserve">a growing demand for CT services among BID-Needham’s </w:t>
      </w:r>
      <w:r w:rsidRPr="001852F1">
        <w:rPr>
          <w:sz w:val="24"/>
          <w:szCs w:val="24"/>
        </w:rPr>
        <w:t>outpatient</w:t>
      </w:r>
      <w:r w:rsidR="00531B86">
        <w:rPr>
          <w:sz w:val="24"/>
          <w:szCs w:val="24"/>
        </w:rPr>
        <w:t xml:space="preserve"> population</w:t>
      </w:r>
      <w:r w:rsidRPr="001852F1">
        <w:rPr>
          <w:sz w:val="24"/>
          <w:szCs w:val="24"/>
        </w:rPr>
        <w:t xml:space="preserve">. </w:t>
      </w:r>
      <w:r w:rsidRPr="001F1952">
        <w:rPr>
          <w:sz w:val="24"/>
          <w:szCs w:val="24"/>
        </w:rPr>
        <w:t xml:space="preserve">Outpatients can wait as long as </w:t>
      </w:r>
      <w:r w:rsidR="00577DF1">
        <w:rPr>
          <w:sz w:val="24"/>
          <w:szCs w:val="24"/>
        </w:rPr>
        <w:t>five</w:t>
      </w:r>
      <w:r w:rsidRPr="001F1952">
        <w:rPr>
          <w:sz w:val="24"/>
          <w:szCs w:val="24"/>
        </w:rPr>
        <w:t xml:space="preserve"> weeks for non-urgent, outpatient CT services with contrast. </w:t>
      </w:r>
      <w:r w:rsidR="00531B86">
        <w:rPr>
          <w:sz w:val="24"/>
          <w:szCs w:val="24"/>
        </w:rPr>
        <w:t>Also,</w:t>
      </w:r>
      <w:r w:rsidR="001852F1" w:rsidRPr="001F1952">
        <w:rPr>
          <w:sz w:val="24"/>
          <w:szCs w:val="24"/>
        </w:rPr>
        <w:t xml:space="preserve"> outpatients are </w:t>
      </w:r>
      <w:r w:rsidR="00531B86">
        <w:rPr>
          <w:sz w:val="24"/>
          <w:szCs w:val="24"/>
        </w:rPr>
        <w:t xml:space="preserve">currently </w:t>
      </w:r>
      <w:r w:rsidR="001852F1" w:rsidRPr="001F1952">
        <w:rPr>
          <w:sz w:val="24"/>
          <w:szCs w:val="24"/>
        </w:rPr>
        <w:t>being r</w:t>
      </w:r>
      <w:r w:rsidRPr="001F1952">
        <w:rPr>
          <w:sz w:val="24"/>
          <w:szCs w:val="24"/>
        </w:rPr>
        <w:t>eschedul</w:t>
      </w:r>
      <w:r w:rsidR="001852F1" w:rsidRPr="001F1952">
        <w:rPr>
          <w:sz w:val="24"/>
          <w:szCs w:val="24"/>
        </w:rPr>
        <w:t>ed</w:t>
      </w:r>
      <w:r w:rsidRPr="001F1952">
        <w:rPr>
          <w:sz w:val="24"/>
          <w:szCs w:val="24"/>
        </w:rPr>
        <w:t xml:space="preserve"> due to emergent or urgent patients and downtime for maintenance. Adding a second CT scanner can allow for more outpatient CT exams that can be coordinated with patients’ medical visits</w:t>
      </w:r>
      <w:r w:rsidR="00531B86">
        <w:rPr>
          <w:sz w:val="24"/>
          <w:szCs w:val="24"/>
        </w:rPr>
        <w:t xml:space="preserve"> in a </w:t>
      </w:r>
      <w:r w:rsidR="004767F2">
        <w:rPr>
          <w:sz w:val="24"/>
          <w:szCs w:val="24"/>
        </w:rPr>
        <w:t>timelier</w:t>
      </w:r>
      <w:r w:rsidR="00531B86">
        <w:rPr>
          <w:sz w:val="24"/>
          <w:szCs w:val="24"/>
        </w:rPr>
        <w:t xml:space="preserve"> manner</w:t>
      </w:r>
      <w:r w:rsidRPr="001F1952">
        <w:rPr>
          <w:sz w:val="24"/>
          <w:szCs w:val="24"/>
        </w:rPr>
        <w:t>.</w:t>
      </w:r>
      <w:r w:rsidR="00CC6A66">
        <w:rPr>
          <w:sz w:val="24"/>
          <w:szCs w:val="24"/>
        </w:rPr>
        <w:t xml:space="preserve"> Table </w:t>
      </w:r>
      <w:r w:rsidR="000D70FF">
        <w:rPr>
          <w:sz w:val="24"/>
          <w:szCs w:val="24"/>
        </w:rPr>
        <w:t>4</w:t>
      </w:r>
      <w:r w:rsidR="00CC6A66">
        <w:rPr>
          <w:sz w:val="24"/>
          <w:szCs w:val="24"/>
        </w:rPr>
        <w:t xml:space="preserve"> below lists wait times</w:t>
      </w:r>
      <w:r w:rsidR="001430AA">
        <w:rPr>
          <w:sz w:val="24"/>
          <w:szCs w:val="24"/>
        </w:rPr>
        <w:t xml:space="preserve"> for CT services</w:t>
      </w:r>
      <w:r w:rsidR="00CC6A66">
        <w:rPr>
          <w:sz w:val="24"/>
          <w:szCs w:val="24"/>
        </w:rPr>
        <w:t>.</w:t>
      </w:r>
    </w:p>
    <w:p w14:paraId="537D120D" w14:textId="77777777" w:rsidR="00372CF2" w:rsidRDefault="00372CF2" w:rsidP="001F1952">
      <w:pPr>
        <w:pStyle w:val="ListParagraph"/>
        <w:spacing w:line="240" w:lineRule="auto"/>
        <w:ind w:left="360"/>
        <w:rPr>
          <w:sz w:val="24"/>
          <w:szCs w:val="24"/>
        </w:rPr>
      </w:pPr>
    </w:p>
    <w:p w14:paraId="28FCDE1D" w14:textId="77777777" w:rsidR="00CC6A66" w:rsidRDefault="00CC6A66" w:rsidP="00FA65DA">
      <w:pPr>
        <w:pStyle w:val="ListParagraph"/>
        <w:spacing w:line="240" w:lineRule="auto"/>
        <w:ind w:left="360"/>
        <w:jc w:val="center"/>
        <w:rPr>
          <w:b/>
          <w:bCs/>
          <w:sz w:val="24"/>
          <w:szCs w:val="24"/>
          <w:u w:val="single"/>
        </w:rPr>
      </w:pPr>
    </w:p>
    <w:p w14:paraId="2502DF2C" w14:textId="1294263A" w:rsidR="00FA65DA" w:rsidRPr="00531B86" w:rsidRDefault="00FA65DA" w:rsidP="00FA65DA">
      <w:pPr>
        <w:pStyle w:val="ListParagraph"/>
        <w:spacing w:line="240" w:lineRule="auto"/>
        <w:ind w:left="360"/>
        <w:jc w:val="center"/>
        <w:rPr>
          <w:b/>
          <w:bCs/>
          <w:sz w:val="24"/>
          <w:szCs w:val="24"/>
        </w:rPr>
      </w:pPr>
      <w:r w:rsidRPr="000D70FF">
        <w:rPr>
          <w:b/>
          <w:bCs/>
          <w:sz w:val="24"/>
          <w:szCs w:val="24"/>
        </w:rPr>
        <w:t xml:space="preserve">Table </w:t>
      </w:r>
      <w:r w:rsidR="000D70FF" w:rsidRPr="000D70FF">
        <w:rPr>
          <w:b/>
          <w:bCs/>
          <w:sz w:val="24"/>
          <w:szCs w:val="24"/>
        </w:rPr>
        <w:t>4</w:t>
      </w:r>
      <w:r w:rsidRPr="00531B86">
        <w:rPr>
          <w:b/>
          <w:bCs/>
          <w:sz w:val="24"/>
          <w:szCs w:val="24"/>
        </w:rPr>
        <w:t>: Wait Times for CT Services</w:t>
      </w:r>
    </w:p>
    <w:tbl>
      <w:tblPr>
        <w:tblW w:w="0" w:type="auto"/>
        <w:jc w:val="center"/>
        <w:tblLook w:val="04A0" w:firstRow="1" w:lastRow="0" w:firstColumn="1" w:lastColumn="0" w:noHBand="0" w:noVBand="1"/>
      </w:tblPr>
      <w:tblGrid>
        <w:gridCol w:w="3069"/>
        <w:gridCol w:w="2474"/>
      </w:tblGrid>
      <w:tr w:rsidR="00F626F4" w:rsidRPr="003408B2" w14:paraId="2983DA0C" w14:textId="77777777" w:rsidTr="00AF756C">
        <w:trPr>
          <w:cantSplit/>
          <w:trHeight w:val="315"/>
          <w:tblHeader/>
          <w:jc w:val="center"/>
        </w:trPr>
        <w:tc>
          <w:tcPr>
            <w:tcW w:w="0" w:type="auto"/>
            <w:tcBorders>
              <w:top w:val="single" w:sz="4" w:space="0" w:color="auto"/>
              <w:left w:val="single" w:sz="4" w:space="0" w:color="auto"/>
              <w:bottom w:val="nil"/>
              <w:right w:val="nil"/>
            </w:tcBorders>
            <w:shd w:val="clear" w:color="000000" w:fill="D6DCE4"/>
            <w:noWrap/>
            <w:vAlign w:val="center"/>
            <w:hideMark/>
          </w:tcPr>
          <w:p w14:paraId="5C8BF231" w14:textId="77777777" w:rsidR="00F626F4" w:rsidRPr="003408B2" w:rsidRDefault="00F626F4" w:rsidP="00B8794B">
            <w:pPr>
              <w:spacing w:after="0" w:line="240" w:lineRule="auto"/>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w:t>
            </w:r>
            <w:r>
              <w:rPr>
                <w:rFonts w:ascii="Calibri" w:eastAsia="Times New Roman" w:hAnsi="Calibri" w:cs="Calibri"/>
                <w:b/>
                <w:bCs/>
                <w:color w:val="000000"/>
                <w:sz w:val="24"/>
                <w:szCs w:val="24"/>
              </w:rPr>
              <w:t>Y21 C</w:t>
            </w:r>
            <w:r w:rsidRPr="003408B2">
              <w:rPr>
                <w:rFonts w:ascii="Calibri" w:eastAsia="Times New Roman" w:hAnsi="Calibri" w:cs="Calibri"/>
                <w:b/>
                <w:bCs/>
                <w:color w:val="000000"/>
                <w:sz w:val="24"/>
                <w:szCs w:val="24"/>
              </w:rPr>
              <w:t xml:space="preserve">urrent </w:t>
            </w:r>
            <w:r>
              <w:rPr>
                <w:rFonts w:ascii="Calibri" w:eastAsia="Times New Roman" w:hAnsi="Calibri" w:cs="Calibri"/>
                <w:b/>
                <w:bCs/>
                <w:color w:val="000000"/>
                <w:sz w:val="24"/>
                <w:szCs w:val="24"/>
              </w:rPr>
              <w:t>W</w:t>
            </w:r>
            <w:r w:rsidRPr="003408B2">
              <w:rPr>
                <w:rFonts w:ascii="Calibri" w:eastAsia="Times New Roman" w:hAnsi="Calibri" w:cs="Calibri"/>
                <w:b/>
                <w:bCs/>
                <w:color w:val="000000"/>
                <w:sz w:val="24"/>
                <w:szCs w:val="24"/>
              </w:rPr>
              <w:t xml:space="preserve">ait </w:t>
            </w:r>
            <w:r>
              <w:rPr>
                <w:rFonts w:ascii="Calibri" w:eastAsia="Times New Roman" w:hAnsi="Calibri" w:cs="Calibri"/>
                <w:b/>
                <w:bCs/>
                <w:color w:val="000000"/>
                <w:sz w:val="24"/>
                <w:szCs w:val="24"/>
              </w:rPr>
              <w:t>T</w:t>
            </w:r>
            <w:r w:rsidRPr="003408B2">
              <w:rPr>
                <w:rFonts w:ascii="Calibri" w:eastAsia="Times New Roman" w:hAnsi="Calibri" w:cs="Calibri"/>
                <w:b/>
                <w:bCs/>
                <w:color w:val="000000"/>
                <w:sz w:val="24"/>
                <w:szCs w:val="24"/>
              </w:rPr>
              <w:t>imes</w:t>
            </w:r>
          </w:p>
        </w:tc>
        <w:tc>
          <w:tcPr>
            <w:tcW w:w="0" w:type="auto"/>
            <w:tcBorders>
              <w:top w:val="single" w:sz="4" w:space="0" w:color="auto"/>
              <w:left w:val="single" w:sz="4" w:space="0" w:color="auto"/>
              <w:bottom w:val="nil"/>
              <w:right w:val="single" w:sz="4" w:space="0" w:color="auto"/>
            </w:tcBorders>
            <w:shd w:val="clear" w:color="000000" w:fill="D6DCE4"/>
            <w:noWrap/>
            <w:vAlign w:val="center"/>
            <w:hideMark/>
          </w:tcPr>
          <w:p w14:paraId="7FD7290C" w14:textId="77777777" w:rsidR="00F626F4" w:rsidRPr="00B70380" w:rsidRDefault="00F626F4" w:rsidP="00B8794B">
            <w:pPr>
              <w:spacing w:after="0" w:line="240" w:lineRule="auto"/>
              <w:jc w:val="center"/>
              <w:rPr>
                <w:rFonts w:ascii="Calibri" w:eastAsia="Times New Roman" w:hAnsi="Calibri" w:cs="Calibri"/>
                <w:b/>
                <w:color w:val="000000"/>
                <w:sz w:val="24"/>
                <w:szCs w:val="24"/>
              </w:rPr>
            </w:pPr>
            <w:r w:rsidRPr="00B70380">
              <w:rPr>
                <w:rFonts w:ascii="Calibri" w:eastAsia="Times New Roman" w:hAnsi="Calibri" w:cs="Calibri"/>
                <w:b/>
                <w:color w:val="000000"/>
                <w:sz w:val="24"/>
                <w:szCs w:val="24"/>
              </w:rPr>
              <w:t>Exams</w:t>
            </w:r>
          </w:p>
        </w:tc>
      </w:tr>
      <w:tr w:rsidR="00F626F4" w:rsidRPr="003408B2" w14:paraId="1C666193" w14:textId="77777777" w:rsidTr="00AF756C">
        <w:trPr>
          <w:cantSplit/>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0BC7A" w14:textId="77777777" w:rsidR="00F626F4" w:rsidRPr="00F818D7" w:rsidRDefault="00F626F4" w:rsidP="00B8794B">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Inpatient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5B5E0D" w14:textId="77777777" w:rsidR="00F626F4" w:rsidRPr="003408B2" w:rsidRDefault="00F626F4"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Same day</w:t>
            </w:r>
          </w:p>
        </w:tc>
      </w:tr>
      <w:tr w:rsidR="00F626F4" w:rsidRPr="003408B2" w14:paraId="4392B57A" w14:textId="77777777"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BA0ED0" w14:textId="77777777" w:rsidR="00F626F4" w:rsidRPr="00F818D7" w:rsidRDefault="00F626F4" w:rsidP="00B8794B">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ED</w:t>
            </w:r>
          </w:p>
        </w:tc>
        <w:tc>
          <w:tcPr>
            <w:tcW w:w="0" w:type="auto"/>
            <w:tcBorders>
              <w:top w:val="nil"/>
              <w:left w:val="nil"/>
              <w:bottom w:val="single" w:sz="4" w:space="0" w:color="auto"/>
              <w:right w:val="single" w:sz="4" w:space="0" w:color="auto"/>
            </w:tcBorders>
            <w:shd w:val="clear" w:color="auto" w:fill="auto"/>
            <w:noWrap/>
            <w:vAlign w:val="center"/>
            <w:hideMark/>
          </w:tcPr>
          <w:p w14:paraId="62D6F3D6" w14:textId="77777777" w:rsidR="00F626F4" w:rsidRPr="003408B2" w:rsidRDefault="00F626F4" w:rsidP="00B8794B">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Under 90 minutes</w:t>
            </w:r>
          </w:p>
        </w:tc>
      </w:tr>
      <w:tr w:rsidR="00F626F4" w:rsidRPr="003408B2" w14:paraId="121B6408" w14:textId="77777777"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48D1A0" w14:textId="77777777" w:rsidR="00F626F4" w:rsidRPr="00F818D7" w:rsidRDefault="00F626F4" w:rsidP="00B8794B">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OP STAT</w:t>
            </w:r>
          </w:p>
        </w:tc>
        <w:tc>
          <w:tcPr>
            <w:tcW w:w="0" w:type="auto"/>
            <w:tcBorders>
              <w:top w:val="nil"/>
              <w:left w:val="nil"/>
              <w:bottom w:val="single" w:sz="4" w:space="0" w:color="auto"/>
              <w:right w:val="single" w:sz="4" w:space="0" w:color="auto"/>
            </w:tcBorders>
            <w:shd w:val="clear" w:color="auto" w:fill="auto"/>
            <w:noWrap/>
            <w:vAlign w:val="center"/>
            <w:hideMark/>
          </w:tcPr>
          <w:p w14:paraId="7A9ECBD3" w14:textId="77777777" w:rsidR="00F626F4" w:rsidRPr="003408B2" w:rsidRDefault="00F626F4"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 add</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on slot same day</w:t>
            </w:r>
          </w:p>
        </w:tc>
      </w:tr>
      <w:tr w:rsidR="00F626F4" w:rsidRPr="003408B2" w14:paraId="73D13E21" w14:textId="77777777"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D945B2" w14:textId="77777777" w:rsidR="00F626F4" w:rsidRPr="00F818D7" w:rsidRDefault="00F626F4" w:rsidP="00B8794B">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OP Routine without contrast</w:t>
            </w:r>
          </w:p>
        </w:tc>
        <w:tc>
          <w:tcPr>
            <w:tcW w:w="0" w:type="auto"/>
            <w:tcBorders>
              <w:top w:val="nil"/>
              <w:left w:val="nil"/>
              <w:bottom w:val="single" w:sz="4" w:space="0" w:color="auto"/>
              <w:right w:val="single" w:sz="4" w:space="0" w:color="auto"/>
            </w:tcBorders>
            <w:shd w:val="clear" w:color="auto" w:fill="auto"/>
            <w:noWrap/>
            <w:vAlign w:val="center"/>
            <w:hideMark/>
          </w:tcPr>
          <w:p w14:paraId="0D539FC0" w14:textId="77777777" w:rsidR="00F626F4" w:rsidRPr="003408B2" w:rsidRDefault="00F626F4"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 weeks</w:t>
            </w:r>
          </w:p>
        </w:tc>
      </w:tr>
      <w:tr w:rsidR="00F626F4" w:rsidRPr="003408B2" w14:paraId="2592089E" w14:textId="77777777" w:rsidTr="00AF756C">
        <w:trPr>
          <w:cantSplit/>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96F6D" w14:textId="77777777" w:rsidR="00F626F4" w:rsidRPr="00F818D7" w:rsidRDefault="00F626F4" w:rsidP="00B8794B">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OP Routine with contrast</w:t>
            </w:r>
          </w:p>
        </w:tc>
        <w:tc>
          <w:tcPr>
            <w:tcW w:w="0" w:type="auto"/>
            <w:tcBorders>
              <w:top w:val="nil"/>
              <w:left w:val="nil"/>
              <w:bottom w:val="single" w:sz="4" w:space="0" w:color="auto"/>
              <w:right w:val="single" w:sz="4" w:space="0" w:color="auto"/>
            </w:tcBorders>
            <w:shd w:val="clear" w:color="auto" w:fill="auto"/>
            <w:noWrap/>
            <w:vAlign w:val="center"/>
            <w:hideMark/>
          </w:tcPr>
          <w:p w14:paraId="454470C1" w14:textId="77777777" w:rsidR="00F626F4" w:rsidRPr="003408B2" w:rsidRDefault="00F626F4"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5 weeks</w:t>
            </w:r>
          </w:p>
        </w:tc>
      </w:tr>
    </w:tbl>
    <w:p w14:paraId="46D075BE" w14:textId="77777777" w:rsidR="00FA65DA" w:rsidRPr="001F1952" w:rsidRDefault="00FA65DA" w:rsidP="001F1952">
      <w:pPr>
        <w:pStyle w:val="ListParagraph"/>
        <w:spacing w:line="240" w:lineRule="auto"/>
        <w:ind w:left="360"/>
        <w:rPr>
          <w:b/>
          <w:bCs/>
          <w:sz w:val="24"/>
          <w:szCs w:val="24"/>
        </w:rPr>
      </w:pPr>
    </w:p>
    <w:p w14:paraId="6D29FF6B" w14:textId="77777777" w:rsidR="000D236E" w:rsidRPr="000D236E" w:rsidRDefault="000D236E" w:rsidP="000D236E">
      <w:pPr>
        <w:pStyle w:val="ListParagraph"/>
        <w:spacing w:line="240" w:lineRule="auto"/>
        <w:ind w:left="1440"/>
        <w:rPr>
          <w:b/>
          <w:bCs/>
          <w:sz w:val="24"/>
          <w:szCs w:val="24"/>
        </w:rPr>
      </w:pPr>
    </w:p>
    <w:p w14:paraId="6302A77C" w14:textId="1D2445E3" w:rsidR="00727A8D" w:rsidRPr="00873635" w:rsidRDefault="00226E52" w:rsidP="002C493A">
      <w:pPr>
        <w:pStyle w:val="ListParagraph"/>
        <w:numPr>
          <w:ilvl w:val="0"/>
          <w:numId w:val="3"/>
        </w:numPr>
        <w:ind w:left="360"/>
        <w:rPr>
          <w:b/>
          <w:bCs/>
          <w:sz w:val="24"/>
          <w:szCs w:val="24"/>
        </w:rPr>
      </w:pPr>
      <w:r>
        <w:rPr>
          <w:b/>
          <w:bCs/>
          <w:sz w:val="24"/>
          <w:szCs w:val="24"/>
        </w:rPr>
        <w:t xml:space="preserve">Increase Need for CT-Guided Procedures </w:t>
      </w:r>
      <w:r w:rsidR="00303390">
        <w:rPr>
          <w:b/>
          <w:bCs/>
          <w:sz w:val="24"/>
          <w:szCs w:val="24"/>
        </w:rPr>
        <w:t xml:space="preserve">for </w:t>
      </w:r>
      <w:r w:rsidR="00976EA7">
        <w:rPr>
          <w:b/>
          <w:bCs/>
          <w:sz w:val="24"/>
          <w:szCs w:val="24"/>
        </w:rPr>
        <w:t>B</w:t>
      </w:r>
      <w:r w:rsidR="00303390">
        <w:rPr>
          <w:b/>
          <w:bCs/>
          <w:sz w:val="24"/>
          <w:szCs w:val="24"/>
        </w:rPr>
        <w:t xml:space="preserve">oth </w:t>
      </w:r>
      <w:r w:rsidR="00976EA7">
        <w:rPr>
          <w:b/>
          <w:bCs/>
          <w:sz w:val="24"/>
          <w:szCs w:val="24"/>
        </w:rPr>
        <w:t>I</w:t>
      </w:r>
      <w:r w:rsidR="00303390">
        <w:rPr>
          <w:b/>
          <w:bCs/>
          <w:sz w:val="24"/>
          <w:szCs w:val="24"/>
        </w:rPr>
        <w:t xml:space="preserve">npatients and </w:t>
      </w:r>
      <w:r w:rsidR="00976EA7">
        <w:rPr>
          <w:b/>
          <w:bCs/>
          <w:sz w:val="24"/>
          <w:szCs w:val="24"/>
        </w:rPr>
        <w:t>O</w:t>
      </w:r>
      <w:r w:rsidR="00303390">
        <w:rPr>
          <w:b/>
          <w:bCs/>
          <w:sz w:val="24"/>
          <w:szCs w:val="24"/>
        </w:rPr>
        <w:t>utpatients</w:t>
      </w:r>
    </w:p>
    <w:p w14:paraId="20536A51" w14:textId="420A3624" w:rsidR="00D31398" w:rsidRPr="00D31398" w:rsidRDefault="00D31398" w:rsidP="00D31398">
      <w:pPr>
        <w:spacing w:line="240" w:lineRule="auto"/>
        <w:rPr>
          <w:b/>
          <w:bCs/>
          <w:i/>
          <w:iCs/>
          <w:sz w:val="24"/>
          <w:szCs w:val="24"/>
        </w:rPr>
      </w:pPr>
      <w:r w:rsidRPr="00D31398">
        <w:rPr>
          <w:sz w:val="24"/>
          <w:szCs w:val="24"/>
        </w:rPr>
        <w:t>Outpatient minimally invasive treatment options</w:t>
      </w:r>
      <w:r w:rsidR="00FD1D31">
        <w:rPr>
          <w:sz w:val="24"/>
          <w:szCs w:val="24"/>
        </w:rPr>
        <w:t xml:space="preserve"> for oncology and cardiac patients</w:t>
      </w:r>
      <w:r w:rsidRPr="00D31398">
        <w:rPr>
          <w:sz w:val="24"/>
          <w:szCs w:val="24"/>
        </w:rPr>
        <w:t xml:space="preserve"> are shown to provide improved clinical outcomes when compared to open surgery, resulting in decreased patient morbidity and increased cost efficiencies. </w:t>
      </w:r>
      <w:r w:rsidR="00976EA7" w:rsidRPr="00D31398">
        <w:rPr>
          <w:sz w:val="24"/>
          <w:szCs w:val="24"/>
        </w:rPr>
        <w:t xml:space="preserve">CT-guidance </w:t>
      </w:r>
      <w:r w:rsidR="00976EA7">
        <w:rPr>
          <w:sz w:val="24"/>
          <w:szCs w:val="24"/>
        </w:rPr>
        <w:t>is key</w:t>
      </w:r>
      <w:r w:rsidR="00EA2984">
        <w:rPr>
          <w:sz w:val="24"/>
          <w:szCs w:val="24"/>
        </w:rPr>
        <w:t xml:space="preserve"> </w:t>
      </w:r>
      <w:r w:rsidR="00EA2984" w:rsidRPr="00D31398">
        <w:rPr>
          <w:sz w:val="24"/>
          <w:szCs w:val="24"/>
        </w:rPr>
        <w:t xml:space="preserve">for improved accuracy and </w:t>
      </w:r>
      <w:r w:rsidR="00EA2984" w:rsidRPr="00D31398">
        <w:rPr>
          <w:sz w:val="24"/>
          <w:szCs w:val="24"/>
        </w:rPr>
        <w:lastRenderedPageBreak/>
        <w:t>safety</w:t>
      </w:r>
      <w:r w:rsidR="00976EA7">
        <w:rPr>
          <w:sz w:val="24"/>
          <w:szCs w:val="24"/>
        </w:rPr>
        <w:t xml:space="preserve"> in e</w:t>
      </w:r>
      <w:r w:rsidRPr="00D31398">
        <w:rPr>
          <w:sz w:val="24"/>
          <w:szCs w:val="24"/>
        </w:rPr>
        <w:t>merging new</w:t>
      </w:r>
      <w:r w:rsidR="00976EA7">
        <w:rPr>
          <w:sz w:val="24"/>
          <w:szCs w:val="24"/>
        </w:rPr>
        <w:t>,</w:t>
      </w:r>
      <w:r w:rsidRPr="00D31398">
        <w:rPr>
          <w:sz w:val="24"/>
          <w:szCs w:val="24"/>
        </w:rPr>
        <w:t xml:space="preserve"> minimally invasive</w:t>
      </w:r>
      <w:r w:rsidR="00976EA7">
        <w:rPr>
          <w:sz w:val="24"/>
          <w:szCs w:val="24"/>
        </w:rPr>
        <w:t>,</w:t>
      </w:r>
      <w:r w:rsidRPr="00D31398">
        <w:rPr>
          <w:sz w:val="24"/>
          <w:szCs w:val="24"/>
        </w:rPr>
        <w:t xml:space="preserve"> procedures for </w:t>
      </w:r>
      <w:r w:rsidR="00FD1D31">
        <w:rPr>
          <w:sz w:val="24"/>
          <w:szCs w:val="24"/>
        </w:rPr>
        <w:t>these</w:t>
      </w:r>
      <w:r w:rsidRPr="00D31398">
        <w:rPr>
          <w:sz w:val="24"/>
          <w:szCs w:val="24"/>
        </w:rPr>
        <w:t xml:space="preserve"> patients </w:t>
      </w:r>
      <w:r w:rsidR="00976EA7">
        <w:rPr>
          <w:sz w:val="24"/>
          <w:szCs w:val="24"/>
        </w:rPr>
        <w:t xml:space="preserve">that </w:t>
      </w:r>
      <w:r w:rsidRPr="00D31398">
        <w:rPr>
          <w:sz w:val="24"/>
          <w:szCs w:val="24"/>
        </w:rPr>
        <w:t>are predominantly performed in the outpatient setting where patients comfort is increased and health care expenditures are reduced. Recent advances in surgery require high-end CT and CT angiography for triage, planning and safe execution.</w:t>
      </w:r>
      <w:r>
        <w:rPr>
          <w:rStyle w:val="FootnoteReference"/>
          <w:sz w:val="24"/>
          <w:szCs w:val="24"/>
        </w:rPr>
        <w:footnoteReference w:id="16"/>
      </w:r>
    </w:p>
    <w:p w14:paraId="6B08350A" w14:textId="31C19623" w:rsidR="005D0165" w:rsidRPr="00DB66BE" w:rsidRDefault="00226E52" w:rsidP="00B93366">
      <w:pPr>
        <w:spacing w:line="240" w:lineRule="auto"/>
        <w:rPr>
          <w:sz w:val="24"/>
          <w:szCs w:val="24"/>
        </w:rPr>
      </w:pPr>
      <w:r w:rsidRPr="00D31398">
        <w:rPr>
          <w:sz w:val="24"/>
          <w:szCs w:val="24"/>
        </w:rPr>
        <w:t xml:space="preserve">CT-guided procedures are </w:t>
      </w:r>
      <w:r w:rsidR="00C628FB" w:rsidRPr="00D31398">
        <w:rPr>
          <w:sz w:val="24"/>
          <w:szCs w:val="24"/>
        </w:rPr>
        <w:t>not currently</w:t>
      </w:r>
      <w:r w:rsidRPr="00D31398">
        <w:rPr>
          <w:sz w:val="24"/>
          <w:szCs w:val="24"/>
        </w:rPr>
        <w:t xml:space="preserve"> performed</w:t>
      </w:r>
      <w:r w:rsidR="00274AB8">
        <w:rPr>
          <w:sz w:val="24"/>
          <w:szCs w:val="24"/>
        </w:rPr>
        <w:t xml:space="preserve"> at BID-Needham</w:t>
      </w:r>
      <w:r w:rsidRPr="00D31398">
        <w:rPr>
          <w:sz w:val="24"/>
          <w:szCs w:val="24"/>
        </w:rPr>
        <w:t xml:space="preserve"> </w:t>
      </w:r>
      <w:r w:rsidR="00C628FB" w:rsidRPr="00D31398">
        <w:rPr>
          <w:sz w:val="24"/>
          <w:szCs w:val="24"/>
        </w:rPr>
        <w:t>because of existing capacity constraints</w:t>
      </w:r>
      <w:r w:rsidRPr="00D31398">
        <w:rPr>
          <w:sz w:val="24"/>
          <w:szCs w:val="24"/>
        </w:rPr>
        <w:t>.</w:t>
      </w:r>
      <w:r w:rsidR="00C628FB" w:rsidRPr="00D31398">
        <w:rPr>
          <w:sz w:val="24"/>
          <w:szCs w:val="24"/>
        </w:rPr>
        <w:t xml:space="preserve"> </w:t>
      </w:r>
      <w:r w:rsidR="00621F91" w:rsidRPr="00621F91">
        <w:rPr>
          <w:sz w:val="24"/>
          <w:szCs w:val="24"/>
        </w:rPr>
        <w:t xml:space="preserve">The last procedure was performed </w:t>
      </w:r>
      <w:r w:rsidR="00621F91">
        <w:rPr>
          <w:sz w:val="24"/>
          <w:szCs w:val="24"/>
        </w:rPr>
        <w:t>in October 2021</w:t>
      </w:r>
      <w:r w:rsidR="00621F91" w:rsidRPr="00621F91">
        <w:rPr>
          <w:sz w:val="24"/>
          <w:szCs w:val="24"/>
        </w:rPr>
        <w:t>.</w:t>
      </w:r>
      <w:r w:rsidR="00DB66BE">
        <w:rPr>
          <w:sz w:val="24"/>
          <w:szCs w:val="24"/>
        </w:rPr>
        <w:t xml:space="preserve"> The Applicant states that d</w:t>
      </w:r>
      <w:r w:rsidRPr="00DB66BE">
        <w:rPr>
          <w:sz w:val="24"/>
          <w:szCs w:val="24"/>
        </w:rPr>
        <w:t>iagnostic exams take 10-20 minutes</w:t>
      </w:r>
      <w:r w:rsidR="00DB66BE">
        <w:rPr>
          <w:sz w:val="24"/>
          <w:szCs w:val="24"/>
        </w:rPr>
        <w:t xml:space="preserve"> while</w:t>
      </w:r>
      <w:r w:rsidR="00CA244D" w:rsidRPr="00DB66BE">
        <w:rPr>
          <w:sz w:val="24"/>
          <w:szCs w:val="24"/>
        </w:rPr>
        <w:t xml:space="preserve"> </w:t>
      </w:r>
      <w:r w:rsidRPr="00DB66BE">
        <w:rPr>
          <w:sz w:val="24"/>
          <w:szCs w:val="24"/>
        </w:rPr>
        <w:t>CT-guided procedures require at least two hours of dedicate</w:t>
      </w:r>
      <w:r w:rsidR="00C3171F" w:rsidRPr="00DB66BE">
        <w:rPr>
          <w:sz w:val="24"/>
          <w:szCs w:val="24"/>
        </w:rPr>
        <w:t>d</w:t>
      </w:r>
      <w:r w:rsidRPr="00DB66BE">
        <w:rPr>
          <w:sz w:val="24"/>
          <w:szCs w:val="24"/>
        </w:rPr>
        <w:t xml:space="preserve"> CT scan room time per procedure</w:t>
      </w:r>
      <w:r w:rsidR="00E61FD4" w:rsidRPr="00DB66BE">
        <w:rPr>
          <w:sz w:val="24"/>
          <w:szCs w:val="24"/>
        </w:rPr>
        <w:t>.</w:t>
      </w:r>
      <w:r w:rsidRPr="00DB66BE">
        <w:rPr>
          <w:sz w:val="24"/>
          <w:szCs w:val="24"/>
        </w:rPr>
        <w:t xml:space="preserve"> </w:t>
      </w:r>
      <w:r w:rsidR="00116224" w:rsidRPr="00DB66BE">
        <w:rPr>
          <w:sz w:val="24"/>
          <w:szCs w:val="24"/>
        </w:rPr>
        <w:t xml:space="preserve">Any interventional procedures performed on the CT scanner require the ED to go on </w:t>
      </w:r>
      <w:r w:rsidR="000C5E24" w:rsidRPr="00DB66BE">
        <w:rPr>
          <w:sz w:val="24"/>
          <w:szCs w:val="24"/>
        </w:rPr>
        <w:t>Cautionary Status</w:t>
      </w:r>
      <w:r w:rsidR="00116224" w:rsidRPr="00DB66BE">
        <w:rPr>
          <w:sz w:val="24"/>
          <w:szCs w:val="24"/>
        </w:rPr>
        <w:t xml:space="preserve"> for the length of the Procedure and at least an hour before and after the procedure. </w:t>
      </w:r>
      <w:r w:rsidR="00577DF1" w:rsidRPr="00DB66BE">
        <w:rPr>
          <w:sz w:val="24"/>
          <w:szCs w:val="24"/>
        </w:rPr>
        <w:t>When the ED is on Cautionary Status and unable to use the CT scan for emergency medical treatment in patients, it</w:t>
      </w:r>
      <w:r w:rsidR="00727A8D" w:rsidRPr="00DB66BE">
        <w:rPr>
          <w:sz w:val="24"/>
          <w:szCs w:val="24"/>
        </w:rPr>
        <w:t xml:space="preserve"> can increase the time it takes for a patient to get to an alternate facility to obtain imaging that is needed to made decisions regarding care. </w:t>
      </w:r>
      <w:r w:rsidR="00C3171F" w:rsidRPr="00DB66BE">
        <w:rPr>
          <w:sz w:val="24"/>
          <w:szCs w:val="24"/>
        </w:rPr>
        <w:t xml:space="preserve">During an interventional procedure, </w:t>
      </w:r>
      <w:r w:rsidR="00485F81" w:rsidRPr="00DB66BE">
        <w:rPr>
          <w:sz w:val="24"/>
          <w:szCs w:val="24"/>
        </w:rPr>
        <w:t>ED</w:t>
      </w:r>
      <w:r w:rsidR="002D47BC" w:rsidRPr="00DB66BE">
        <w:rPr>
          <w:sz w:val="24"/>
          <w:szCs w:val="24"/>
        </w:rPr>
        <w:t xml:space="preserve"> and inpatients wait for access to CT services, which can increase LOS. </w:t>
      </w:r>
    </w:p>
    <w:p w14:paraId="3057503D" w14:textId="70D3E2DF" w:rsidR="00C628FB" w:rsidRDefault="00C21549" w:rsidP="00274AB8">
      <w:pPr>
        <w:spacing w:line="240" w:lineRule="auto"/>
        <w:rPr>
          <w:sz w:val="24"/>
          <w:szCs w:val="24"/>
        </w:rPr>
      </w:pPr>
      <w:r w:rsidRPr="000C40DB">
        <w:rPr>
          <w:sz w:val="24"/>
          <w:szCs w:val="24"/>
        </w:rPr>
        <w:t>BID-N</w:t>
      </w:r>
      <w:r w:rsidR="00A00C40" w:rsidRPr="000C40DB">
        <w:rPr>
          <w:sz w:val="24"/>
          <w:szCs w:val="24"/>
        </w:rPr>
        <w:t>eedham</w:t>
      </w:r>
      <w:r w:rsidR="00B25E7D" w:rsidRPr="000C40DB">
        <w:rPr>
          <w:sz w:val="24"/>
          <w:szCs w:val="24"/>
        </w:rPr>
        <w:t xml:space="preserve"> </w:t>
      </w:r>
      <w:r w:rsidR="00A70C5B">
        <w:rPr>
          <w:sz w:val="24"/>
          <w:szCs w:val="24"/>
        </w:rPr>
        <w:t>experienced</w:t>
      </w:r>
      <w:r w:rsidR="00B25E7D" w:rsidRPr="000C40DB">
        <w:rPr>
          <w:sz w:val="24"/>
          <w:szCs w:val="24"/>
        </w:rPr>
        <w:t xml:space="preserve"> an i</w:t>
      </w:r>
      <w:r w:rsidR="00D678E6" w:rsidRPr="000C40DB">
        <w:rPr>
          <w:sz w:val="24"/>
          <w:szCs w:val="24"/>
        </w:rPr>
        <w:t>ncrease in need for CT-guided procedures</w:t>
      </w:r>
      <w:r w:rsidR="00D678E6" w:rsidRPr="000C40DB">
        <w:rPr>
          <w:rStyle w:val="FootnoteReference"/>
          <w:sz w:val="24"/>
          <w:szCs w:val="24"/>
        </w:rPr>
        <w:footnoteReference w:id="17"/>
      </w:r>
      <w:r w:rsidR="00D678E6" w:rsidRPr="000C40DB">
        <w:rPr>
          <w:sz w:val="24"/>
          <w:szCs w:val="24"/>
        </w:rPr>
        <w:t xml:space="preserve"> for inpatients and outpatients.</w:t>
      </w:r>
      <w:r w:rsidR="00274AB8">
        <w:rPr>
          <w:sz w:val="24"/>
          <w:szCs w:val="24"/>
        </w:rPr>
        <w:t xml:space="preserve"> </w:t>
      </w:r>
      <w:r w:rsidR="00C628FB" w:rsidRPr="00274AB8">
        <w:rPr>
          <w:sz w:val="24"/>
          <w:szCs w:val="24"/>
        </w:rPr>
        <w:t xml:space="preserve">Between October 2017 and September 2020, the </w:t>
      </w:r>
      <w:r w:rsidRPr="00274AB8">
        <w:rPr>
          <w:sz w:val="24"/>
          <w:szCs w:val="24"/>
        </w:rPr>
        <w:t>BID-N</w:t>
      </w:r>
      <w:r w:rsidR="00A00C40" w:rsidRPr="00274AB8">
        <w:rPr>
          <w:sz w:val="24"/>
          <w:szCs w:val="24"/>
        </w:rPr>
        <w:t>eedham</w:t>
      </w:r>
      <w:r w:rsidR="00C628FB" w:rsidRPr="00274AB8">
        <w:rPr>
          <w:sz w:val="24"/>
          <w:szCs w:val="24"/>
        </w:rPr>
        <w:t xml:space="preserve"> patient population generated a total of 37,078 inpatient, observation and outpatient (including emergency patient) CT exams and procedures</w:t>
      </w:r>
      <w:r w:rsidR="005C6A6C">
        <w:rPr>
          <w:sz w:val="24"/>
          <w:szCs w:val="24"/>
        </w:rPr>
        <w:t xml:space="preserve">. </w:t>
      </w:r>
      <w:r w:rsidR="005C6A6C" w:rsidRPr="005C6A6C">
        <w:rPr>
          <w:sz w:val="24"/>
          <w:szCs w:val="24"/>
        </w:rPr>
        <w:t xml:space="preserve">The Applicant states that reliable data that can be broken down into the requested categories is not available prior to </w:t>
      </w:r>
      <w:r w:rsidR="00E52740">
        <w:rPr>
          <w:sz w:val="24"/>
          <w:szCs w:val="24"/>
        </w:rPr>
        <w:t>October 2018</w:t>
      </w:r>
      <w:r w:rsidR="005C6A6C">
        <w:rPr>
          <w:sz w:val="24"/>
          <w:szCs w:val="24"/>
        </w:rPr>
        <w:t xml:space="preserve">, so yearly data on inpatient, observation, and outpatient (including emergency patient) CT exams and procedures was provided for FY19 to FY22, which Table </w:t>
      </w:r>
      <w:r w:rsidR="000D70FF">
        <w:rPr>
          <w:sz w:val="24"/>
          <w:szCs w:val="24"/>
        </w:rPr>
        <w:t>5</w:t>
      </w:r>
      <w:r w:rsidR="005C6A6C">
        <w:rPr>
          <w:sz w:val="24"/>
          <w:szCs w:val="24"/>
        </w:rPr>
        <w:t xml:space="preserve"> details. </w:t>
      </w:r>
    </w:p>
    <w:p w14:paraId="747E1604" w14:textId="77777777" w:rsidR="00372CF2" w:rsidRDefault="00372CF2" w:rsidP="00274AB8">
      <w:pPr>
        <w:spacing w:line="240" w:lineRule="auto"/>
        <w:rPr>
          <w:sz w:val="24"/>
          <w:szCs w:val="24"/>
        </w:rPr>
      </w:pPr>
    </w:p>
    <w:p w14:paraId="20E24B57" w14:textId="7F16373A" w:rsidR="00CC6A66" w:rsidRPr="001430AA" w:rsidRDefault="001430AA" w:rsidP="001430AA">
      <w:pPr>
        <w:spacing w:line="240" w:lineRule="auto"/>
        <w:jc w:val="center"/>
        <w:rPr>
          <w:b/>
          <w:bCs/>
          <w:sz w:val="24"/>
          <w:szCs w:val="24"/>
        </w:rPr>
      </w:pPr>
      <w:r w:rsidRPr="001430AA">
        <w:rPr>
          <w:b/>
          <w:bCs/>
          <w:sz w:val="24"/>
          <w:szCs w:val="24"/>
        </w:rPr>
        <w:t>Table</w:t>
      </w:r>
      <w:r>
        <w:rPr>
          <w:b/>
          <w:bCs/>
          <w:sz w:val="24"/>
          <w:szCs w:val="24"/>
        </w:rPr>
        <w:t xml:space="preserve"> </w:t>
      </w:r>
      <w:r w:rsidR="000D70FF">
        <w:rPr>
          <w:b/>
          <w:bCs/>
          <w:sz w:val="24"/>
          <w:szCs w:val="24"/>
        </w:rPr>
        <w:t>5</w:t>
      </w:r>
      <w:r>
        <w:rPr>
          <w:b/>
          <w:bCs/>
          <w:sz w:val="24"/>
          <w:szCs w:val="24"/>
        </w:rPr>
        <w:t>: CT Volume FY19-FY22</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60"/>
        <w:gridCol w:w="1339"/>
        <w:gridCol w:w="860"/>
        <w:gridCol w:w="1339"/>
        <w:gridCol w:w="860"/>
        <w:gridCol w:w="1339"/>
        <w:gridCol w:w="860"/>
        <w:gridCol w:w="1339"/>
      </w:tblGrid>
      <w:tr w:rsidR="00CC6A66" w:rsidRPr="003408B2" w14:paraId="0F1E5E37" w14:textId="77777777" w:rsidTr="00AF756C">
        <w:trPr>
          <w:cantSplit/>
          <w:trHeight w:val="315"/>
          <w:tblHeader/>
          <w:jc w:val="center"/>
        </w:trPr>
        <w:tc>
          <w:tcPr>
            <w:tcW w:w="1540" w:type="dxa"/>
            <w:shd w:val="clear" w:color="000000" w:fill="D6DCE4"/>
            <w:noWrap/>
            <w:vAlign w:val="bottom"/>
            <w:hideMark/>
          </w:tcPr>
          <w:p w14:paraId="32DFF74D" w14:textId="77777777" w:rsidR="00CC6A66" w:rsidRPr="003408B2" w:rsidRDefault="00CC6A66" w:rsidP="00B8794B">
            <w:pPr>
              <w:spacing w:after="0" w:line="240" w:lineRule="auto"/>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 </w:t>
            </w:r>
          </w:p>
        </w:tc>
        <w:tc>
          <w:tcPr>
            <w:tcW w:w="2199" w:type="dxa"/>
            <w:gridSpan w:val="2"/>
            <w:shd w:val="clear" w:color="000000" w:fill="D6DCE4"/>
            <w:noWrap/>
            <w:vAlign w:val="center"/>
            <w:hideMark/>
          </w:tcPr>
          <w:p w14:paraId="551F264E" w14:textId="77777777" w:rsidR="00CC6A66" w:rsidRPr="003408B2" w:rsidRDefault="00CC6A66" w:rsidP="00B8794B">
            <w:pPr>
              <w:spacing w:after="0" w:line="240" w:lineRule="auto"/>
              <w:jc w:val="center"/>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20</w:t>
            </w:r>
            <w:r w:rsidRPr="003408B2">
              <w:rPr>
                <w:rFonts w:ascii="Calibri" w:eastAsia="Times New Roman" w:hAnsi="Calibri" w:cs="Calibri"/>
                <w:b/>
                <w:bCs/>
                <w:color w:val="000000"/>
                <w:sz w:val="24"/>
                <w:szCs w:val="24"/>
              </w:rPr>
              <w:t>19</w:t>
            </w:r>
          </w:p>
        </w:tc>
        <w:tc>
          <w:tcPr>
            <w:tcW w:w="2199" w:type="dxa"/>
            <w:gridSpan w:val="2"/>
            <w:shd w:val="clear" w:color="000000" w:fill="D6DCE4"/>
            <w:noWrap/>
            <w:vAlign w:val="center"/>
            <w:hideMark/>
          </w:tcPr>
          <w:p w14:paraId="270D564E" w14:textId="77777777" w:rsidR="00CC6A66" w:rsidRPr="003408B2" w:rsidRDefault="00CC6A66" w:rsidP="00B8794B">
            <w:pPr>
              <w:spacing w:after="0" w:line="240" w:lineRule="auto"/>
              <w:jc w:val="center"/>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20</w:t>
            </w:r>
            <w:r w:rsidRPr="003408B2">
              <w:rPr>
                <w:rFonts w:ascii="Calibri" w:eastAsia="Times New Roman" w:hAnsi="Calibri" w:cs="Calibri"/>
                <w:b/>
                <w:bCs/>
                <w:color w:val="000000"/>
                <w:sz w:val="24"/>
                <w:szCs w:val="24"/>
              </w:rPr>
              <w:t>20</w:t>
            </w:r>
          </w:p>
        </w:tc>
        <w:tc>
          <w:tcPr>
            <w:tcW w:w="2199" w:type="dxa"/>
            <w:gridSpan w:val="2"/>
            <w:shd w:val="clear" w:color="000000" w:fill="D6DCE4"/>
            <w:noWrap/>
            <w:vAlign w:val="center"/>
            <w:hideMark/>
          </w:tcPr>
          <w:p w14:paraId="45B4AB41" w14:textId="77777777" w:rsidR="00CC6A66" w:rsidRPr="003408B2" w:rsidRDefault="00CC6A66" w:rsidP="00B8794B">
            <w:pPr>
              <w:spacing w:after="0" w:line="240" w:lineRule="auto"/>
              <w:jc w:val="center"/>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20</w:t>
            </w:r>
            <w:r w:rsidRPr="003408B2">
              <w:rPr>
                <w:rFonts w:ascii="Calibri" w:eastAsia="Times New Roman" w:hAnsi="Calibri" w:cs="Calibri"/>
                <w:b/>
                <w:bCs/>
                <w:color w:val="000000"/>
                <w:sz w:val="24"/>
                <w:szCs w:val="24"/>
              </w:rPr>
              <w:t>21</w:t>
            </w:r>
          </w:p>
        </w:tc>
        <w:tc>
          <w:tcPr>
            <w:tcW w:w="2199" w:type="dxa"/>
            <w:gridSpan w:val="2"/>
            <w:shd w:val="clear" w:color="000000" w:fill="D6DCE4"/>
            <w:noWrap/>
            <w:vAlign w:val="center"/>
            <w:hideMark/>
          </w:tcPr>
          <w:p w14:paraId="3F1AA9F1" w14:textId="77777777" w:rsidR="00CC6A66" w:rsidRPr="003408B2" w:rsidRDefault="00CC6A66" w:rsidP="00B8794B">
            <w:pPr>
              <w:spacing w:after="0" w:line="240" w:lineRule="auto"/>
              <w:jc w:val="center"/>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20</w:t>
            </w:r>
            <w:r w:rsidRPr="003408B2">
              <w:rPr>
                <w:rFonts w:ascii="Calibri" w:eastAsia="Times New Roman" w:hAnsi="Calibri" w:cs="Calibri"/>
                <w:b/>
                <w:bCs/>
                <w:color w:val="000000"/>
                <w:sz w:val="24"/>
                <w:szCs w:val="24"/>
              </w:rPr>
              <w:t>22</w:t>
            </w:r>
          </w:p>
          <w:p w14:paraId="7CF64768" w14:textId="77777777" w:rsidR="00CC6A66" w:rsidRPr="003408B2" w:rsidRDefault="00CC6A66" w:rsidP="00B8794B">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w:t>
            </w:r>
            <w:r w:rsidRPr="003408B2">
              <w:rPr>
                <w:rFonts w:ascii="Calibri" w:eastAsia="Times New Roman" w:hAnsi="Calibri" w:cs="Calibri"/>
                <w:b/>
                <w:bCs/>
                <w:color w:val="000000"/>
                <w:sz w:val="24"/>
                <w:szCs w:val="24"/>
              </w:rPr>
              <w:t>6 months</w:t>
            </w:r>
            <w:r>
              <w:rPr>
                <w:rFonts w:ascii="Calibri" w:eastAsia="Times New Roman" w:hAnsi="Calibri" w:cs="Calibri"/>
                <w:b/>
                <w:bCs/>
                <w:color w:val="000000"/>
                <w:sz w:val="24"/>
                <w:szCs w:val="24"/>
              </w:rPr>
              <w:t>)</w:t>
            </w:r>
          </w:p>
        </w:tc>
      </w:tr>
      <w:tr w:rsidR="00CC6A66" w:rsidRPr="003408B2" w14:paraId="5F68AA4A" w14:textId="77777777" w:rsidTr="00AF756C">
        <w:trPr>
          <w:cantSplit/>
          <w:trHeight w:val="315"/>
          <w:tblHeader/>
          <w:jc w:val="center"/>
        </w:trPr>
        <w:tc>
          <w:tcPr>
            <w:tcW w:w="1540" w:type="dxa"/>
            <w:shd w:val="clear" w:color="000000" w:fill="D6DCE4"/>
            <w:noWrap/>
            <w:vAlign w:val="bottom"/>
            <w:hideMark/>
          </w:tcPr>
          <w:p w14:paraId="1B111A28" w14:textId="77777777" w:rsidR="00CC6A66" w:rsidRPr="003408B2" w:rsidRDefault="00CC6A66" w:rsidP="00B8794B">
            <w:pPr>
              <w:spacing w:after="0" w:line="240" w:lineRule="auto"/>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 </w:t>
            </w:r>
          </w:p>
        </w:tc>
        <w:tc>
          <w:tcPr>
            <w:tcW w:w="860" w:type="dxa"/>
            <w:shd w:val="clear" w:color="000000" w:fill="D6DCE4"/>
            <w:noWrap/>
            <w:vAlign w:val="center"/>
            <w:hideMark/>
          </w:tcPr>
          <w:p w14:paraId="7A253084" w14:textId="77777777" w:rsidR="00CC6A66" w:rsidRPr="00AB227E" w:rsidRDefault="00CC6A66" w:rsidP="00B8794B">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 Exams</w:t>
            </w:r>
          </w:p>
        </w:tc>
        <w:tc>
          <w:tcPr>
            <w:tcW w:w="1339" w:type="dxa"/>
            <w:shd w:val="clear" w:color="000000" w:fill="D6DCE4"/>
            <w:noWrap/>
            <w:vAlign w:val="center"/>
            <w:hideMark/>
          </w:tcPr>
          <w:p w14:paraId="7FC33CCC" w14:textId="77777777" w:rsidR="00CC6A66" w:rsidRPr="00AB227E" w:rsidRDefault="00CC6A66" w:rsidP="00B8794B">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CT-Guided Procedures</w:t>
            </w:r>
          </w:p>
        </w:tc>
        <w:tc>
          <w:tcPr>
            <w:tcW w:w="860" w:type="dxa"/>
            <w:shd w:val="clear" w:color="000000" w:fill="D6DCE4"/>
            <w:noWrap/>
            <w:vAlign w:val="center"/>
            <w:hideMark/>
          </w:tcPr>
          <w:p w14:paraId="00006044" w14:textId="77777777" w:rsidR="00CC6A66" w:rsidRPr="00AB227E" w:rsidRDefault="00CC6A66" w:rsidP="00B8794B">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 Exams</w:t>
            </w:r>
          </w:p>
        </w:tc>
        <w:tc>
          <w:tcPr>
            <w:tcW w:w="1339" w:type="dxa"/>
            <w:shd w:val="clear" w:color="000000" w:fill="D6DCE4"/>
            <w:noWrap/>
            <w:vAlign w:val="center"/>
            <w:hideMark/>
          </w:tcPr>
          <w:p w14:paraId="2979B173" w14:textId="77777777" w:rsidR="00CC6A66" w:rsidRPr="00AB227E" w:rsidRDefault="00CC6A66" w:rsidP="00B8794B">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CT-Guided Procedures</w:t>
            </w:r>
          </w:p>
        </w:tc>
        <w:tc>
          <w:tcPr>
            <w:tcW w:w="860" w:type="dxa"/>
            <w:shd w:val="clear" w:color="000000" w:fill="D6DCE4"/>
            <w:noWrap/>
            <w:vAlign w:val="center"/>
            <w:hideMark/>
          </w:tcPr>
          <w:p w14:paraId="3C994AB7" w14:textId="77777777" w:rsidR="00CC6A66" w:rsidRPr="00AB227E" w:rsidRDefault="00CC6A66" w:rsidP="00B8794B">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 Exams</w:t>
            </w:r>
          </w:p>
        </w:tc>
        <w:tc>
          <w:tcPr>
            <w:tcW w:w="1339" w:type="dxa"/>
            <w:shd w:val="clear" w:color="000000" w:fill="D6DCE4"/>
            <w:noWrap/>
            <w:vAlign w:val="center"/>
            <w:hideMark/>
          </w:tcPr>
          <w:p w14:paraId="5FD4301C" w14:textId="77777777" w:rsidR="00CC6A66" w:rsidRPr="00AB227E" w:rsidRDefault="00CC6A66" w:rsidP="00B8794B">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CT-Guided Procedures</w:t>
            </w:r>
          </w:p>
        </w:tc>
        <w:tc>
          <w:tcPr>
            <w:tcW w:w="860" w:type="dxa"/>
            <w:shd w:val="clear" w:color="000000" w:fill="D6DCE4"/>
            <w:noWrap/>
            <w:vAlign w:val="center"/>
            <w:hideMark/>
          </w:tcPr>
          <w:p w14:paraId="6A469602" w14:textId="77777777" w:rsidR="00CC6A66" w:rsidRPr="00AB227E" w:rsidRDefault="00CC6A66" w:rsidP="00B8794B">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 Exams</w:t>
            </w:r>
          </w:p>
        </w:tc>
        <w:tc>
          <w:tcPr>
            <w:tcW w:w="1339" w:type="dxa"/>
            <w:shd w:val="clear" w:color="000000" w:fill="D6DCE4"/>
            <w:noWrap/>
            <w:vAlign w:val="center"/>
            <w:hideMark/>
          </w:tcPr>
          <w:p w14:paraId="30F5C3E3" w14:textId="77777777" w:rsidR="00CC6A66" w:rsidRPr="00AB227E" w:rsidRDefault="00CC6A66" w:rsidP="00B8794B">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CT-Guided Procedures</w:t>
            </w:r>
          </w:p>
        </w:tc>
      </w:tr>
      <w:tr w:rsidR="00CC6A66" w:rsidRPr="003408B2" w14:paraId="4F236D4B" w14:textId="77777777" w:rsidTr="00AF756C">
        <w:trPr>
          <w:cantSplit/>
          <w:trHeight w:val="315"/>
          <w:jc w:val="center"/>
        </w:trPr>
        <w:tc>
          <w:tcPr>
            <w:tcW w:w="1540" w:type="dxa"/>
            <w:shd w:val="clear" w:color="auto" w:fill="auto"/>
            <w:noWrap/>
            <w:vAlign w:val="center"/>
            <w:hideMark/>
          </w:tcPr>
          <w:p w14:paraId="4D59B605" w14:textId="77777777" w:rsidR="00CC6A66" w:rsidRPr="00AB227E" w:rsidRDefault="00CC6A66" w:rsidP="00B8794B">
            <w:pPr>
              <w:spacing w:after="0" w:line="240" w:lineRule="auto"/>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Inpatient</w:t>
            </w:r>
          </w:p>
        </w:tc>
        <w:tc>
          <w:tcPr>
            <w:tcW w:w="860" w:type="dxa"/>
            <w:shd w:val="clear" w:color="auto" w:fill="auto"/>
            <w:noWrap/>
            <w:vAlign w:val="center"/>
            <w:hideMark/>
          </w:tcPr>
          <w:p w14:paraId="05A8AF31"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909</w:t>
            </w:r>
          </w:p>
        </w:tc>
        <w:tc>
          <w:tcPr>
            <w:tcW w:w="1339" w:type="dxa"/>
            <w:shd w:val="clear" w:color="auto" w:fill="auto"/>
            <w:noWrap/>
            <w:vAlign w:val="center"/>
            <w:hideMark/>
          </w:tcPr>
          <w:p w14:paraId="3355A851"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6</w:t>
            </w:r>
          </w:p>
        </w:tc>
        <w:tc>
          <w:tcPr>
            <w:tcW w:w="860" w:type="dxa"/>
            <w:shd w:val="clear" w:color="auto" w:fill="auto"/>
            <w:noWrap/>
            <w:vAlign w:val="center"/>
            <w:hideMark/>
          </w:tcPr>
          <w:p w14:paraId="78270A22"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3</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290</w:t>
            </w:r>
          </w:p>
        </w:tc>
        <w:tc>
          <w:tcPr>
            <w:tcW w:w="1339" w:type="dxa"/>
            <w:shd w:val="clear" w:color="auto" w:fill="auto"/>
            <w:noWrap/>
            <w:vAlign w:val="center"/>
            <w:hideMark/>
          </w:tcPr>
          <w:p w14:paraId="0CBCAAF9"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p>
        </w:tc>
        <w:tc>
          <w:tcPr>
            <w:tcW w:w="860" w:type="dxa"/>
            <w:shd w:val="clear" w:color="auto" w:fill="auto"/>
            <w:noWrap/>
            <w:vAlign w:val="center"/>
            <w:hideMark/>
          </w:tcPr>
          <w:p w14:paraId="3CF7C63C"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575</w:t>
            </w:r>
          </w:p>
        </w:tc>
        <w:tc>
          <w:tcPr>
            <w:tcW w:w="1339" w:type="dxa"/>
            <w:shd w:val="clear" w:color="auto" w:fill="auto"/>
            <w:noWrap/>
            <w:vAlign w:val="center"/>
            <w:hideMark/>
          </w:tcPr>
          <w:p w14:paraId="087CB2FC"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w:t>
            </w:r>
          </w:p>
        </w:tc>
        <w:tc>
          <w:tcPr>
            <w:tcW w:w="860" w:type="dxa"/>
            <w:shd w:val="clear" w:color="auto" w:fill="auto"/>
            <w:noWrap/>
            <w:vAlign w:val="center"/>
            <w:hideMark/>
          </w:tcPr>
          <w:p w14:paraId="32EB1017"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492</w:t>
            </w:r>
          </w:p>
        </w:tc>
        <w:tc>
          <w:tcPr>
            <w:tcW w:w="1339" w:type="dxa"/>
            <w:shd w:val="clear" w:color="auto" w:fill="auto"/>
            <w:noWrap/>
            <w:vAlign w:val="center"/>
            <w:hideMark/>
          </w:tcPr>
          <w:p w14:paraId="7ED51213"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r>
      <w:tr w:rsidR="00CC6A66" w:rsidRPr="003408B2" w14:paraId="0C085E8A" w14:textId="77777777" w:rsidTr="00AF756C">
        <w:trPr>
          <w:cantSplit/>
          <w:trHeight w:val="315"/>
          <w:jc w:val="center"/>
        </w:trPr>
        <w:tc>
          <w:tcPr>
            <w:tcW w:w="1540" w:type="dxa"/>
            <w:shd w:val="clear" w:color="auto" w:fill="auto"/>
            <w:noWrap/>
            <w:vAlign w:val="center"/>
            <w:hideMark/>
          </w:tcPr>
          <w:p w14:paraId="1D24C2F8" w14:textId="77777777" w:rsidR="00CC6A66" w:rsidRPr="00AB227E" w:rsidRDefault="00CC6A66" w:rsidP="00B8794B">
            <w:pPr>
              <w:spacing w:after="0" w:line="240" w:lineRule="auto"/>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Observation</w:t>
            </w:r>
          </w:p>
        </w:tc>
        <w:tc>
          <w:tcPr>
            <w:tcW w:w="860" w:type="dxa"/>
            <w:shd w:val="clear" w:color="auto" w:fill="auto"/>
            <w:noWrap/>
            <w:vAlign w:val="center"/>
            <w:hideMark/>
          </w:tcPr>
          <w:p w14:paraId="26586D13"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231</w:t>
            </w:r>
          </w:p>
        </w:tc>
        <w:tc>
          <w:tcPr>
            <w:tcW w:w="1339" w:type="dxa"/>
            <w:shd w:val="clear" w:color="auto" w:fill="auto"/>
            <w:noWrap/>
            <w:vAlign w:val="center"/>
            <w:hideMark/>
          </w:tcPr>
          <w:p w14:paraId="295D4899"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shd w:val="clear" w:color="auto" w:fill="auto"/>
            <w:noWrap/>
            <w:vAlign w:val="center"/>
            <w:hideMark/>
          </w:tcPr>
          <w:p w14:paraId="7AB6CF20"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201</w:t>
            </w:r>
          </w:p>
        </w:tc>
        <w:tc>
          <w:tcPr>
            <w:tcW w:w="1339" w:type="dxa"/>
            <w:shd w:val="clear" w:color="auto" w:fill="auto"/>
            <w:noWrap/>
            <w:vAlign w:val="center"/>
            <w:hideMark/>
          </w:tcPr>
          <w:p w14:paraId="5234EBA5"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shd w:val="clear" w:color="auto" w:fill="auto"/>
            <w:noWrap/>
            <w:vAlign w:val="center"/>
            <w:hideMark/>
          </w:tcPr>
          <w:p w14:paraId="5340FDDE"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496</w:t>
            </w:r>
          </w:p>
        </w:tc>
        <w:tc>
          <w:tcPr>
            <w:tcW w:w="1339" w:type="dxa"/>
            <w:shd w:val="clear" w:color="auto" w:fill="auto"/>
            <w:noWrap/>
            <w:vAlign w:val="center"/>
            <w:hideMark/>
          </w:tcPr>
          <w:p w14:paraId="7F58212F"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shd w:val="clear" w:color="auto" w:fill="auto"/>
            <w:noWrap/>
            <w:vAlign w:val="center"/>
            <w:hideMark/>
          </w:tcPr>
          <w:p w14:paraId="72FE0BB8"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362</w:t>
            </w:r>
          </w:p>
        </w:tc>
        <w:tc>
          <w:tcPr>
            <w:tcW w:w="1339" w:type="dxa"/>
            <w:shd w:val="clear" w:color="auto" w:fill="auto"/>
            <w:noWrap/>
            <w:vAlign w:val="center"/>
            <w:hideMark/>
          </w:tcPr>
          <w:p w14:paraId="17149798"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r>
      <w:tr w:rsidR="00CC6A66" w:rsidRPr="003408B2" w14:paraId="6A0DBDC5" w14:textId="77777777" w:rsidTr="00AF756C">
        <w:trPr>
          <w:cantSplit/>
          <w:trHeight w:val="315"/>
          <w:jc w:val="center"/>
        </w:trPr>
        <w:tc>
          <w:tcPr>
            <w:tcW w:w="1540" w:type="dxa"/>
            <w:shd w:val="clear" w:color="auto" w:fill="auto"/>
            <w:noWrap/>
            <w:vAlign w:val="center"/>
            <w:hideMark/>
          </w:tcPr>
          <w:p w14:paraId="381F9014" w14:textId="77777777" w:rsidR="00CC6A66" w:rsidRPr="00AB227E" w:rsidRDefault="00CC6A66" w:rsidP="00B8794B">
            <w:pPr>
              <w:spacing w:after="0" w:line="240" w:lineRule="auto"/>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ED</w:t>
            </w:r>
          </w:p>
        </w:tc>
        <w:tc>
          <w:tcPr>
            <w:tcW w:w="860" w:type="dxa"/>
            <w:shd w:val="clear" w:color="auto" w:fill="auto"/>
            <w:noWrap/>
            <w:vAlign w:val="center"/>
            <w:hideMark/>
          </w:tcPr>
          <w:p w14:paraId="2DE70EBB"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345</w:t>
            </w:r>
          </w:p>
        </w:tc>
        <w:tc>
          <w:tcPr>
            <w:tcW w:w="1339" w:type="dxa"/>
            <w:shd w:val="clear" w:color="auto" w:fill="auto"/>
            <w:noWrap/>
            <w:vAlign w:val="center"/>
            <w:hideMark/>
          </w:tcPr>
          <w:p w14:paraId="142CF002"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shd w:val="clear" w:color="auto" w:fill="auto"/>
            <w:noWrap/>
            <w:vAlign w:val="center"/>
            <w:hideMark/>
          </w:tcPr>
          <w:p w14:paraId="1B002890"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585</w:t>
            </w:r>
          </w:p>
        </w:tc>
        <w:tc>
          <w:tcPr>
            <w:tcW w:w="1339" w:type="dxa"/>
            <w:shd w:val="clear" w:color="auto" w:fill="auto"/>
            <w:noWrap/>
            <w:vAlign w:val="center"/>
            <w:hideMark/>
          </w:tcPr>
          <w:p w14:paraId="7020D9C0"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shd w:val="clear" w:color="auto" w:fill="auto"/>
            <w:noWrap/>
            <w:vAlign w:val="center"/>
            <w:hideMark/>
          </w:tcPr>
          <w:p w14:paraId="374E98DB"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6</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891</w:t>
            </w:r>
          </w:p>
        </w:tc>
        <w:tc>
          <w:tcPr>
            <w:tcW w:w="1339" w:type="dxa"/>
            <w:shd w:val="clear" w:color="auto" w:fill="auto"/>
            <w:noWrap/>
            <w:vAlign w:val="center"/>
            <w:hideMark/>
          </w:tcPr>
          <w:p w14:paraId="5D4AD802"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shd w:val="clear" w:color="auto" w:fill="auto"/>
            <w:noWrap/>
            <w:vAlign w:val="center"/>
            <w:hideMark/>
          </w:tcPr>
          <w:p w14:paraId="1B4DA563"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3</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767</w:t>
            </w:r>
          </w:p>
        </w:tc>
        <w:tc>
          <w:tcPr>
            <w:tcW w:w="1339" w:type="dxa"/>
            <w:shd w:val="clear" w:color="auto" w:fill="auto"/>
            <w:noWrap/>
            <w:vAlign w:val="center"/>
            <w:hideMark/>
          </w:tcPr>
          <w:p w14:paraId="0CCE8695"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r>
      <w:tr w:rsidR="00CC6A66" w:rsidRPr="003408B2" w14:paraId="1FD037F9" w14:textId="77777777" w:rsidTr="00AF756C">
        <w:trPr>
          <w:cantSplit/>
          <w:trHeight w:val="315"/>
          <w:jc w:val="center"/>
        </w:trPr>
        <w:tc>
          <w:tcPr>
            <w:tcW w:w="1540" w:type="dxa"/>
            <w:shd w:val="clear" w:color="auto" w:fill="auto"/>
            <w:noWrap/>
            <w:vAlign w:val="center"/>
            <w:hideMark/>
          </w:tcPr>
          <w:p w14:paraId="2C361EE3" w14:textId="77777777" w:rsidR="00CC6A66" w:rsidRPr="00AB227E" w:rsidRDefault="00CC6A66" w:rsidP="00B8794B">
            <w:pPr>
              <w:spacing w:after="0" w:line="240" w:lineRule="auto"/>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 xml:space="preserve">Outpatient </w:t>
            </w:r>
          </w:p>
        </w:tc>
        <w:tc>
          <w:tcPr>
            <w:tcW w:w="860" w:type="dxa"/>
            <w:shd w:val="clear" w:color="auto" w:fill="auto"/>
            <w:noWrap/>
            <w:vAlign w:val="center"/>
            <w:hideMark/>
          </w:tcPr>
          <w:p w14:paraId="334BA8A8"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148</w:t>
            </w:r>
          </w:p>
        </w:tc>
        <w:tc>
          <w:tcPr>
            <w:tcW w:w="1339" w:type="dxa"/>
            <w:shd w:val="clear" w:color="auto" w:fill="auto"/>
            <w:noWrap/>
            <w:vAlign w:val="center"/>
            <w:hideMark/>
          </w:tcPr>
          <w:p w14:paraId="789205BA"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16</w:t>
            </w:r>
          </w:p>
        </w:tc>
        <w:tc>
          <w:tcPr>
            <w:tcW w:w="860" w:type="dxa"/>
            <w:shd w:val="clear" w:color="auto" w:fill="auto"/>
            <w:noWrap/>
            <w:vAlign w:val="center"/>
            <w:hideMark/>
          </w:tcPr>
          <w:p w14:paraId="14F2A277"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3</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925</w:t>
            </w:r>
          </w:p>
        </w:tc>
        <w:tc>
          <w:tcPr>
            <w:tcW w:w="1339" w:type="dxa"/>
            <w:shd w:val="clear" w:color="auto" w:fill="auto"/>
            <w:noWrap/>
            <w:vAlign w:val="center"/>
            <w:hideMark/>
          </w:tcPr>
          <w:p w14:paraId="3B4F664E"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12</w:t>
            </w:r>
          </w:p>
        </w:tc>
        <w:tc>
          <w:tcPr>
            <w:tcW w:w="860" w:type="dxa"/>
            <w:shd w:val="clear" w:color="auto" w:fill="auto"/>
            <w:noWrap/>
            <w:vAlign w:val="center"/>
            <w:hideMark/>
          </w:tcPr>
          <w:p w14:paraId="70148537"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746</w:t>
            </w:r>
          </w:p>
        </w:tc>
        <w:tc>
          <w:tcPr>
            <w:tcW w:w="1339" w:type="dxa"/>
            <w:shd w:val="clear" w:color="auto" w:fill="auto"/>
            <w:noWrap/>
            <w:vAlign w:val="center"/>
            <w:hideMark/>
          </w:tcPr>
          <w:p w14:paraId="5E4788BD"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8</w:t>
            </w:r>
          </w:p>
        </w:tc>
        <w:tc>
          <w:tcPr>
            <w:tcW w:w="860" w:type="dxa"/>
            <w:shd w:val="clear" w:color="auto" w:fill="auto"/>
            <w:noWrap/>
            <w:vAlign w:val="center"/>
            <w:hideMark/>
          </w:tcPr>
          <w:p w14:paraId="79559AF1"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w:t>
            </w:r>
            <w:r>
              <w:rPr>
                <w:rFonts w:ascii="Calibri" w:eastAsia="Times New Roman" w:hAnsi="Calibri" w:cs="Calibri"/>
                <w:color w:val="000000"/>
                <w:sz w:val="24"/>
                <w:szCs w:val="24"/>
              </w:rPr>
              <w:t>,</w:t>
            </w:r>
            <w:r w:rsidRPr="003408B2">
              <w:rPr>
                <w:rFonts w:ascii="Calibri" w:eastAsia="Times New Roman" w:hAnsi="Calibri" w:cs="Calibri"/>
                <w:color w:val="000000"/>
                <w:sz w:val="24"/>
                <w:szCs w:val="24"/>
              </w:rPr>
              <w:t>039</w:t>
            </w:r>
          </w:p>
        </w:tc>
        <w:tc>
          <w:tcPr>
            <w:tcW w:w="1339" w:type="dxa"/>
            <w:shd w:val="clear" w:color="auto" w:fill="auto"/>
            <w:noWrap/>
            <w:vAlign w:val="center"/>
            <w:hideMark/>
          </w:tcPr>
          <w:p w14:paraId="6425F90C"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w:t>
            </w:r>
          </w:p>
        </w:tc>
      </w:tr>
      <w:tr w:rsidR="00CC6A66" w:rsidRPr="003408B2" w14:paraId="5B1D5E1D" w14:textId="77777777" w:rsidTr="00AF756C">
        <w:trPr>
          <w:cantSplit/>
          <w:trHeight w:val="315"/>
          <w:jc w:val="center"/>
        </w:trPr>
        <w:tc>
          <w:tcPr>
            <w:tcW w:w="1540" w:type="dxa"/>
            <w:shd w:val="clear" w:color="auto" w:fill="auto"/>
            <w:noWrap/>
            <w:vAlign w:val="center"/>
          </w:tcPr>
          <w:p w14:paraId="1200138B" w14:textId="77777777" w:rsidR="00CC6A66" w:rsidRPr="00AB227E" w:rsidRDefault="00CC6A66" w:rsidP="00B8794B">
            <w:pPr>
              <w:spacing w:after="0" w:line="240" w:lineRule="auto"/>
              <w:rPr>
                <w:rFonts w:ascii="Calibri" w:eastAsia="Times New Roman" w:hAnsi="Calibri" w:cs="Calibri"/>
                <w:b/>
                <w:color w:val="000000"/>
                <w:sz w:val="24"/>
                <w:szCs w:val="24"/>
              </w:rPr>
            </w:pPr>
            <w:r>
              <w:rPr>
                <w:rFonts w:ascii="Calibri" w:eastAsia="Times New Roman" w:hAnsi="Calibri" w:cs="Calibri"/>
                <w:b/>
                <w:color w:val="000000"/>
                <w:sz w:val="24"/>
                <w:szCs w:val="24"/>
              </w:rPr>
              <w:t>Total</w:t>
            </w:r>
          </w:p>
        </w:tc>
        <w:tc>
          <w:tcPr>
            <w:tcW w:w="860" w:type="dxa"/>
            <w:shd w:val="clear" w:color="auto" w:fill="auto"/>
            <w:noWrap/>
          </w:tcPr>
          <w:p w14:paraId="27FA64EF"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B17E40">
              <w:t>11,633</w:t>
            </w:r>
          </w:p>
        </w:tc>
        <w:tc>
          <w:tcPr>
            <w:tcW w:w="1339" w:type="dxa"/>
            <w:shd w:val="clear" w:color="auto" w:fill="auto"/>
            <w:noWrap/>
          </w:tcPr>
          <w:p w14:paraId="4BFEE975"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B17E40">
              <w:t>22</w:t>
            </w:r>
          </w:p>
        </w:tc>
        <w:tc>
          <w:tcPr>
            <w:tcW w:w="860" w:type="dxa"/>
            <w:shd w:val="clear" w:color="auto" w:fill="auto"/>
            <w:noWrap/>
          </w:tcPr>
          <w:p w14:paraId="0D4F1608"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B17E40">
              <w:t>12,001</w:t>
            </w:r>
          </w:p>
        </w:tc>
        <w:tc>
          <w:tcPr>
            <w:tcW w:w="1339" w:type="dxa"/>
            <w:shd w:val="clear" w:color="auto" w:fill="auto"/>
            <w:noWrap/>
          </w:tcPr>
          <w:p w14:paraId="2E0CF34B"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B17E40">
              <w:t>16</w:t>
            </w:r>
          </w:p>
        </w:tc>
        <w:tc>
          <w:tcPr>
            <w:tcW w:w="860" w:type="dxa"/>
            <w:shd w:val="clear" w:color="auto" w:fill="auto"/>
            <w:noWrap/>
          </w:tcPr>
          <w:p w14:paraId="41DE5B8A"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B17E40">
              <w:t>16,708</w:t>
            </w:r>
          </w:p>
        </w:tc>
        <w:tc>
          <w:tcPr>
            <w:tcW w:w="1339" w:type="dxa"/>
            <w:shd w:val="clear" w:color="auto" w:fill="auto"/>
            <w:noWrap/>
          </w:tcPr>
          <w:p w14:paraId="0A6A8811"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B17E40">
              <w:t>10</w:t>
            </w:r>
          </w:p>
        </w:tc>
        <w:tc>
          <w:tcPr>
            <w:tcW w:w="860" w:type="dxa"/>
            <w:shd w:val="clear" w:color="auto" w:fill="auto"/>
            <w:noWrap/>
          </w:tcPr>
          <w:p w14:paraId="33F299DE"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B17E40">
              <w:t>8,660</w:t>
            </w:r>
          </w:p>
        </w:tc>
        <w:tc>
          <w:tcPr>
            <w:tcW w:w="1339" w:type="dxa"/>
            <w:shd w:val="clear" w:color="auto" w:fill="auto"/>
            <w:noWrap/>
          </w:tcPr>
          <w:p w14:paraId="7D059B22" w14:textId="77777777" w:rsidR="00CC6A66" w:rsidRPr="003408B2" w:rsidRDefault="00CC6A66" w:rsidP="00B8794B">
            <w:pPr>
              <w:spacing w:after="0" w:line="240" w:lineRule="auto"/>
              <w:jc w:val="center"/>
              <w:rPr>
                <w:rFonts w:ascii="Calibri" w:eastAsia="Times New Roman" w:hAnsi="Calibri" w:cs="Calibri"/>
                <w:color w:val="000000"/>
                <w:sz w:val="24"/>
                <w:szCs w:val="24"/>
              </w:rPr>
            </w:pPr>
            <w:r w:rsidRPr="00B17E40">
              <w:t>1</w:t>
            </w:r>
          </w:p>
        </w:tc>
      </w:tr>
    </w:tbl>
    <w:p w14:paraId="1D6FA5C6" w14:textId="77777777" w:rsidR="00C27920" w:rsidRDefault="00C27920" w:rsidP="005C6A6C">
      <w:pPr>
        <w:rPr>
          <w:sz w:val="24"/>
          <w:szCs w:val="24"/>
        </w:rPr>
      </w:pPr>
    </w:p>
    <w:p w14:paraId="5147A435" w14:textId="617EB448" w:rsidR="00D0443E" w:rsidRDefault="005C6A6C" w:rsidP="005C6A6C">
      <w:pPr>
        <w:rPr>
          <w:sz w:val="24"/>
          <w:szCs w:val="24"/>
        </w:rPr>
      </w:pPr>
      <w:r w:rsidRPr="005C6A6C">
        <w:rPr>
          <w:sz w:val="24"/>
          <w:szCs w:val="24"/>
        </w:rPr>
        <w:lastRenderedPageBreak/>
        <w:t xml:space="preserve">To further demonstrate increasing need for CT services, the Applicant provided data on CT utilization by daily average visits, and </w:t>
      </w:r>
      <w:r w:rsidR="00C27920">
        <w:rPr>
          <w:sz w:val="24"/>
          <w:szCs w:val="24"/>
        </w:rPr>
        <w:t>on the change</w:t>
      </w:r>
      <w:r w:rsidRPr="005C6A6C">
        <w:rPr>
          <w:sz w:val="24"/>
          <w:szCs w:val="24"/>
        </w:rPr>
        <w:t xml:space="preserve"> in CT use between FY19-FY21</w:t>
      </w:r>
      <w:r w:rsidR="000C0F1E">
        <w:rPr>
          <w:sz w:val="24"/>
          <w:szCs w:val="24"/>
        </w:rPr>
        <w:t xml:space="preserve"> and FY19-FY22</w:t>
      </w:r>
      <w:r w:rsidRPr="005C6A6C">
        <w:rPr>
          <w:sz w:val="24"/>
          <w:szCs w:val="24"/>
        </w:rPr>
        <w:t xml:space="preserve"> which Table </w:t>
      </w:r>
      <w:r w:rsidR="000D70FF">
        <w:rPr>
          <w:sz w:val="24"/>
          <w:szCs w:val="24"/>
        </w:rPr>
        <w:t>6</w:t>
      </w:r>
      <w:r w:rsidRPr="005C6A6C">
        <w:rPr>
          <w:sz w:val="24"/>
          <w:szCs w:val="24"/>
        </w:rPr>
        <w:t xml:space="preserve"> details.</w:t>
      </w:r>
    </w:p>
    <w:p w14:paraId="5E4C5EBB" w14:textId="5BE40A92" w:rsidR="00D0443E" w:rsidRPr="00D0443E" w:rsidRDefault="00D0443E" w:rsidP="00D0443E">
      <w:pPr>
        <w:spacing w:after="0"/>
        <w:jc w:val="center"/>
        <w:rPr>
          <w:b/>
          <w:bCs/>
          <w:sz w:val="24"/>
          <w:szCs w:val="24"/>
        </w:rPr>
      </w:pPr>
      <w:r w:rsidRPr="00D0443E">
        <w:rPr>
          <w:b/>
          <w:bCs/>
          <w:sz w:val="24"/>
          <w:szCs w:val="24"/>
        </w:rPr>
        <w:t xml:space="preserve">Table </w:t>
      </w:r>
      <w:r w:rsidR="000D70FF">
        <w:rPr>
          <w:b/>
          <w:bCs/>
          <w:sz w:val="24"/>
          <w:szCs w:val="24"/>
        </w:rPr>
        <w:t>6</w:t>
      </w:r>
      <w:r w:rsidRPr="00D0443E">
        <w:rPr>
          <w:b/>
          <w:bCs/>
          <w:sz w:val="24"/>
          <w:szCs w:val="24"/>
        </w:rPr>
        <w:t>: BID-N CT Utilization</w:t>
      </w:r>
    </w:p>
    <w:p w14:paraId="1A757D7C" w14:textId="32DB0ED7" w:rsidR="00D0443E" w:rsidRPr="00D0443E" w:rsidRDefault="00D0443E" w:rsidP="00D0443E">
      <w:pPr>
        <w:spacing w:after="0"/>
        <w:jc w:val="center"/>
        <w:rPr>
          <w:b/>
          <w:bCs/>
          <w:sz w:val="24"/>
          <w:szCs w:val="24"/>
        </w:rPr>
      </w:pPr>
      <w:r w:rsidRPr="00D0443E">
        <w:rPr>
          <w:b/>
          <w:bCs/>
          <w:sz w:val="24"/>
          <w:szCs w:val="24"/>
        </w:rPr>
        <w:t>By Daily Average Visits</w:t>
      </w:r>
    </w:p>
    <w:tbl>
      <w:tblPr>
        <w:tblStyle w:val="TableGrid"/>
        <w:tblW w:w="0" w:type="auto"/>
        <w:jc w:val="center"/>
        <w:tblLook w:val="04A0" w:firstRow="1" w:lastRow="0" w:firstColumn="1" w:lastColumn="0" w:noHBand="0" w:noVBand="1"/>
      </w:tblPr>
      <w:tblGrid>
        <w:gridCol w:w="2506"/>
        <w:gridCol w:w="1289"/>
        <w:gridCol w:w="1289"/>
        <w:gridCol w:w="1281"/>
        <w:gridCol w:w="1289"/>
        <w:gridCol w:w="948"/>
      </w:tblGrid>
      <w:tr w:rsidR="00D0443E" w14:paraId="13B89858" w14:textId="77777777" w:rsidTr="00D56BFE">
        <w:trPr>
          <w:cantSplit/>
          <w:tblHeader/>
          <w:jc w:val="center"/>
        </w:trPr>
        <w:tc>
          <w:tcPr>
            <w:tcW w:w="0" w:type="auto"/>
            <w:shd w:val="clear" w:color="auto" w:fill="D9D9D9" w:themeFill="background1" w:themeFillShade="D9"/>
          </w:tcPr>
          <w:p w14:paraId="2CE5F0E4" w14:textId="6A93082D" w:rsidR="00D0443E" w:rsidRPr="00D0443E" w:rsidRDefault="00D0443E" w:rsidP="006C4AC4">
            <w:pPr>
              <w:rPr>
                <w:b/>
                <w:bCs/>
                <w:sz w:val="24"/>
                <w:szCs w:val="24"/>
              </w:rPr>
            </w:pPr>
            <w:r w:rsidRPr="00D0443E">
              <w:rPr>
                <w:b/>
                <w:bCs/>
              </w:rPr>
              <w:t>Fiscal Year</w:t>
            </w:r>
          </w:p>
        </w:tc>
        <w:tc>
          <w:tcPr>
            <w:tcW w:w="0" w:type="auto"/>
            <w:shd w:val="clear" w:color="auto" w:fill="D9D9D9" w:themeFill="background1" w:themeFillShade="D9"/>
          </w:tcPr>
          <w:p w14:paraId="0C572DB4" w14:textId="487D6C14" w:rsidR="00D0443E" w:rsidRPr="00D0443E" w:rsidRDefault="00D0443E" w:rsidP="006C4AC4">
            <w:pPr>
              <w:rPr>
                <w:b/>
                <w:bCs/>
                <w:sz w:val="24"/>
                <w:szCs w:val="24"/>
              </w:rPr>
            </w:pPr>
            <w:r w:rsidRPr="00D0443E">
              <w:rPr>
                <w:b/>
                <w:bCs/>
              </w:rPr>
              <w:t>ER             %</w:t>
            </w:r>
          </w:p>
        </w:tc>
        <w:tc>
          <w:tcPr>
            <w:tcW w:w="0" w:type="auto"/>
            <w:shd w:val="clear" w:color="auto" w:fill="D9D9D9" w:themeFill="background1" w:themeFillShade="D9"/>
          </w:tcPr>
          <w:p w14:paraId="078101D3" w14:textId="2059C85E" w:rsidR="00D0443E" w:rsidRPr="00D0443E" w:rsidRDefault="00D0443E" w:rsidP="006C4AC4">
            <w:pPr>
              <w:rPr>
                <w:b/>
                <w:bCs/>
                <w:sz w:val="24"/>
                <w:szCs w:val="24"/>
              </w:rPr>
            </w:pPr>
            <w:r w:rsidRPr="00D0443E">
              <w:rPr>
                <w:b/>
                <w:bCs/>
              </w:rPr>
              <w:t>IN             %</w:t>
            </w:r>
          </w:p>
        </w:tc>
        <w:tc>
          <w:tcPr>
            <w:tcW w:w="0" w:type="auto"/>
            <w:shd w:val="clear" w:color="auto" w:fill="D9D9D9" w:themeFill="background1" w:themeFillShade="D9"/>
          </w:tcPr>
          <w:p w14:paraId="7B2FAE4D" w14:textId="678B0436" w:rsidR="00D0443E" w:rsidRPr="00D0443E" w:rsidRDefault="00D0443E" w:rsidP="006C4AC4">
            <w:pPr>
              <w:rPr>
                <w:b/>
                <w:bCs/>
                <w:sz w:val="24"/>
                <w:szCs w:val="24"/>
              </w:rPr>
            </w:pPr>
            <w:r w:rsidRPr="00D0443E">
              <w:rPr>
                <w:b/>
                <w:bCs/>
              </w:rPr>
              <w:t>OBSV        %</w:t>
            </w:r>
          </w:p>
        </w:tc>
        <w:tc>
          <w:tcPr>
            <w:tcW w:w="0" w:type="auto"/>
            <w:shd w:val="clear" w:color="auto" w:fill="D9D9D9" w:themeFill="background1" w:themeFillShade="D9"/>
          </w:tcPr>
          <w:p w14:paraId="6F3EB815" w14:textId="01BF14F4" w:rsidR="00D0443E" w:rsidRPr="00D0443E" w:rsidRDefault="00D0443E" w:rsidP="006C4AC4">
            <w:pPr>
              <w:rPr>
                <w:b/>
                <w:bCs/>
                <w:sz w:val="24"/>
                <w:szCs w:val="24"/>
              </w:rPr>
            </w:pPr>
            <w:r w:rsidRPr="00D0443E">
              <w:rPr>
                <w:b/>
                <w:bCs/>
              </w:rPr>
              <w:t>OUT         %</w:t>
            </w:r>
          </w:p>
        </w:tc>
        <w:tc>
          <w:tcPr>
            <w:tcW w:w="0" w:type="auto"/>
            <w:shd w:val="clear" w:color="auto" w:fill="D9D9D9" w:themeFill="background1" w:themeFillShade="D9"/>
          </w:tcPr>
          <w:p w14:paraId="5428DE10" w14:textId="2247A208" w:rsidR="00D0443E" w:rsidRPr="00D0443E" w:rsidRDefault="00D0443E" w:rsidP="006C4AC4">
            <w:pPr>
              <w:rPr>
                <w:b/>
                <w:bCs/>
                <w:sz w:val="24"/>
                <w:szCs w:val="24"/>
              </w:rPr>
            </w:pPr>
            <w:r w:rsidRPr="00D0443E">
              <w:rPr>
                <w:b/>
                <w:bCs/>
              </w:rPr>
              <w:t>FY Total</w:t>
            </w:r>
          </w:p>
        </w:tc>
      </w:tr>
      <w:tr w:rsidR="00D0443E" w14:paraId="014DCF72" w14:textId="77777777" w:rsidTr="00D56BFE">
        <w:trPr>
          <w:cantSplit/>
          <w:jc w:val="center"/>
        </w:trPr>
        <w:tc>
          <w:tcPr>
            <w:tcW w:w="0" w:type="auto"/>
          </w:tcPr>
          <w:p w14:paraId="2BB92CAE" w14:textId="25AD9A43" w:rsidR="00D0443E" w:rsidRDefault="00D0443E" w:rsidP="006C4AC4">
            <w:pPr>
              <w:rPr>
                <w:b/>
                <w:bCs/>
                <w:sz w:val="24"/>
                <w:szCs w:val="24"/>
              </w:rPr>
            </w:pPr>
            <w:r w:rsidRPr="00363A77">
              <w:t>FY 2019</w:t>
            </w:r>
          </w:p>
        </w:tc>
        <w:tc>
          <w:tcPr>
            <w:tcW w:w="0" w:type="auto"/>
          </w:tcPr>
          <w:p w14:paraId="79F3D856" w14:textId="42CD3D3E" w:rsidR="00D0443E" w:rsidRDefault="00D0443E" w:rsidP="006C4AC4">
            <w:pPr>
              <w:rPr>
                <w:b/>
                <w:bCs/>
                <w:sz w:val="24"/>
                <w:szCs w:val="24"/>
              </w:rPr>
            </w:pPr>
            <w:r w:rsidRPr="001116DA">
              <w:t>12.54</w:t>
            </w:r>
            <w:r>
              <w:t xml:space="preserve">       39</w:t>
            </w:r>
          </w:p>
        </w:tc>
        <w:tc>
          <w:tcPr>
            <w:tcW w:w="0" w:type="auto"/>
          </w:tcPr>
          <w:p w14:paraId="1ABF663D" w14:textId="67AAF724" w:rsidR="00D0443E" w:rsidRDefault="00D0443E" w:rsidP="006C4AC4">
            <w:pPr>
              <w:rPr>
                <w:b/>
                <w:bCs/>
                <w:sz w:val="24"/>
                <w:szCs w:val="24"/>
              </w:rPr>
            </w:pPr>
            <w:r w:rsidRPr="00B755B4">
              <w:t>7.97</w:t>
            </w:r>
            <w:r>
              <w:t xml:space="preserve">         25</w:t>
            </w:r>
          </w:p>
        </w:tc>
        <w:tc>
          <w:tcPr>
            <w:tcW w:w="0" w:type="auto"/>
          </w:tcPr>
          <w:p w14:paraId="3BC1E38A" w14:textId="5A82DB65" w:rsidR="00D0443E" w:rsidRDefault="00D0443E" w:rsidP="006C4AC4">
            <w:pPr>
              <w:rPr>
                <w:b/>
                <w:bCs/>
                <w:sz w:val="24"/>
                <w:szCs w:val="24"/>
              </w:rPr>
            </w:pPr>
            <w:r w:rsidRPr="00BB39A9">
              <w:t>0.73</w:t>
            </w:r>
            <w:r>
              <w:t xml:space="preserve">          2</w:t>
            </w:r>
          </w:p>
        </w:tc>
        <w:tc>
          <w:tcPr>
            <w:tcW w:w="0" w:type="auto"/>
          </w:tcPr>
          <w:p w14:paraId="1842F383" w14:textId="155510C1" w:rsidR="00D0443E" w:rsidRDefault="00D0443E" w:rsidP="006C4AC4">
            <w:pPr>
              <w:rPr>
                <w:b/>
                <w:bCs/>
                <w:sz w:val="24"/>
                <w:szCs w:val="24"/>
              </w:rPr>
            </w:pPr>
            <w:r w:rsidRPr="001F668C">
              <w:t>11.36</w:t>
            </w:r>
            <w:r>
              <w:t xml:space="preserve">       36</w:t>
            </w:r>
          </w:p>
        </w:tc>
        <w:tc>
          <w:tcPr>
            <w:tcW w:w="0" w:type="auto"/>
          </w:tcPr>
          <w:p w14:paraId="5B849BEA" w14:textId="311FBF56" w:rsidR="00D0443E" w:rsidRDefault="00D0443E" w:rsidP="006C4AC4">
            <w:pPr>
              <w:rPr>
                <w:b/>
                <w:bCs/>
                <w:sz w:val="24"/>
                <w:szCs w:val="24"/>
              </w:rPr>
            </w:pPr>
            <w:r w:rsidRPr="00C21FB0">
              <w:t>31.87</w:t>
            </w:r>
          </w:p>
        </w:tc>
      </w:tr>
      <w:tr w:rsidR="00D0443E" w14:paraId="2EDD7141" w14:textId="77777777" w:rsidTr="00D56BFE">
        <w:trPr>
          <w:cantSplit/>
          <w:jc w:val="center"/>
        </w:trPr>
        <w:tc>
          <w:tcPr>
            <w:tcW w:w="0" w:type="auto"/>
          </w:tcPr>
          <w:p w14:paraId="211BEF87" w14:textId="1003D61B" w:rsidR="00D0443E" w:rsidRDefault="00D0443E" w:rsidP="006C4AC4">
            <w:pPr>
              <w:rPr>
                <w:b/>
                <w:bCs/>
                <w:sz w:val="24"/>
                <w:szCs w:val="24"/>
              </w:rPr>
            </w:pPr>
            <w:r w:rsidRPr="00363A77">
              <w:t>FY 2020</w:t>
            </w:r>
          </w:p>
        </w:tc>
        <w:tc>
          <w:tcPr>
            <w:tcW w:w="0" w:type="auto"/>
          </w:tcPr>
          <w:p w14:paraId="47C0E0D7" w14:textId="70A3EBC4" w:rsidR="00D0443E" w:rsidRDefault="00D0443E" w:rsidP="006C4AC4">
            <w:pPr>
              <w:rPr>
                <w:b/>
                <w:bCs/>
                <w:sz w:val="24"/>
                <w:szCs w:val="24"/>
              </w:rPr>
            </w:pPr>
            <w:r w:rsidRPr="001116DA">
              <w:t>13.11</w:t>
            </w:r>
            <w:r>
              <w:t xml:space="preserve">       40</w:t>
            </w:r>
          </w:p>
        </w:tc>
        <w:tc>
          <w:tcPr>
            <w:tcW w:w="0" w:type="auto"/>
          </w:tcPr>
          <w:p w14:paraId="4D7E726E" w14:textId="1C00D9A9" w:rsidR="00D0443E" w:rsidRDefault="00D0443E" w:rsidP="006C4AC4">
            <w:pPr>
              <w:rPr>
                <w:b/>
                <w:bCs/>
                <w:sz w:val="24"/>
                <w:szCs w:val="24"/>
              </w:rPr>
            </w:pPr>
            <w:r w:rsidRPr="00B755B4">
              <w:t>9.01</w:t>
            </w:r>
            <w:r>
              <w:t xml:space="preserve">         27</w:t>
            </w:r>
          </w:p>
        </w:tc>
        <w:tc>
          <w:tcPr>
            <w:tcW w:w="0" w:type="auto"/>
          </w:tcPr>
          <w:p w14:paraId="06F8D1B6" w14:textId="100C238F" w:rsidR="00D0443E" w:rsidRDefault="00D0443E" w:rsidP="006C4AC4">
            <w:pPr>
              <w:rPr>
                <w:b/>
                <w:bCs/>
                <w:sz w:val="24"/>
                <w:szCs w:val="24"/>
              </w:rPr>
            </w:pPr>
            <w:r w:rsidRPr="00BB39A9">
              <w:t>0.63</w:t>
            </w:r>
            <w:r>
              <w:t xml:space="preserve">          2</w:t>
            </w:r>
          </w:p>
        </w:tc>
        <w:tc>
          <w:tcPr>
            <w:tcW w:w="0" w:type="auto"/>
          </w:tcPr>
          <w:p w14:paraId="1291EE3D" w14:textId="18C97CAC" w:rsidR="00D0443E" w:rsidRDefault="00D0443E" w:rsidP="006C4AC4">
            <w:pPr>
              <w:rPr>
                <w:b/>
                <w:bCs/>
                <w:sz w:val="24"/>
                <w:szCs w:val="24"/>
              </w:rPr>
            </w:pPr>
            <w:r w:rsidRPr="001F668C">
              <w:t>10.75</w:t>
            </w:r>
            <w:r>
              <w:t xml:space="preserve">       33</w:t>
            </w:r>
          </w:p>
        </w:tc>
        <w:tc>
          <w:tcPr>
            <w:tcW w:w="0" w:type="auto"/>
          </w:tcPr>
          <w:p w14:paraId="036D59B4" w14:textId="29FC0316" w:rsidR="00D0443E" w:rsidRDefault="00D0443E" w:rsidP="006C4AC4">
            <w:pPr>
              <w:rPr>
                <w:b/>
                <w:bCs/>
                <w:sz w:val="24"/>
                <w:szCs w:val="24"/>
              </w:rPr>
            </w:pPr>
            <w:r w:rsidRPr="00C21FB0">
              <w:t>32.88</w:t>
            </w:r>
          </w:p>
        </w:tc>
      </w:tr>
      <w:tr w:rsidR="00D0443E" w14:paraId="37BD7531" w14:textId="77777777" w:rsidTr="00D56BFE">
        <w:trPr>
          <w:cantSplit/>
          <w:jc w:val="center"/>
        </w:trPr>
        <w:tc>
          <w:tcPr>
            <w:tcW w:w="0" w:type="auto"/>
          </w:tcPr>
          <w:p w14:paraId="004E886F" w14:textId="7E399482" w:rsidR="00D0443E" w:rsidRDefault="00D0443E" w:rsidP="006C4AC4">
            <w:pPr>
              <w:rPr>
                <w:b/>
                <w:bCs/>
                <w:sz w:val="24"/>
                <w:szCs w:val="24"/>
              </w:rPr>
            </w:pPr>
            <w:r w:rsidRPr="00363A77">
              <w:t>FY 2021</w:t>
            </w:r>
          </w:p>
        </w:tc>
        <w:tc>
          <w:tcPr>
            <w:tcW w:w="0" w:type="auto"/>
          </w:tcPr>
          <w:p w14:paraId="5FD4B82E" w14:textId="3E934A45" w:rsidR="00D0443E" w:rsidRDefault="00D0443E" w:rsidP="006C4AC4">
            <w:pPr>
              <w:rPr>
                <w:b/>
                <w:bCs/>
                <w:sz w:val="24"/>
                <w:szCs w:val="24"/>
              </w:rPr>
            </w:pPr>
            <w:r w:rsidRPr="001116DA">
              <w:t>20.24</w:t>
            </w:r>
            <w:r>
              <w:t xml:space="preserve">       44</w:t>
            </w:r>
          </w:p>
        </w:tc>
        <w:tc>
          <w:tcPr>
            <w:tcW w:w="0" w:type="auto"/>
          </w:tcPr>
          <w:p w14:paraId="7EAA9CD8" w14:textId="7C6078A2" w:rsidR="00D0443E" w:rsidRDefault="00D0443E" w:rsidP="006C4AC4">
            <w:pPr>
              <w:rPr>
                <w:b/>
                <w:bCs/>
                <w:sz w:val="24"/>
                <w:szCs w:val="24"/>
              </w:rPr>
            </w:pPr>
            <w:r w:rsidRPr="00B755B4">
              <w:t>12.53</w:t>
            </w:r>
            <w:r>
              <w:t xml:space="preserve">       27</w:t>
            </w:r>
          </w:p>
        </w:tc>
        <w:tc>
          <w:tcPr>
            <w:tcW w:w="0" w:type="auto"/>
          </w:tcPr>
          <w:p w14:paraId="724FF46A" w14:textId="7C326AA0" w:rsidR="00D0443E" w:rsidRDefault="00D0443E" w:rsidP="006C4AC4">
            <w:pPr>
              <w:rPr>
                <w:b/>
                <w:bCs/>
                <w:sz w:val="24"/>
                <w:szCs w:val="24"/>
              </w:rPr>
            </w:pPr>
            <w:r w:rsidRPr="00BB39A9">
              <w:t>1.44</w:t>
            </w:r>
            <w:r>
              <w:t xml:space="preserve">          3</w:t>
            </w:r>
          </w:p>
        </w:tc>
        <w:tc>
          <w:tcPr>
            <w:tcW w:w="0" w:type="auto"/>
          </w:tcPr>
          <w:p w14:paraId="006080B8" w14:textId="56E804CF" w:rsidR="00D0443E" w:rsidRDefault="00D0443E" w:rsidP="006C4AC4">
            <w:pPr>
              <w:rPr>
                <w:b/>
                <w:bCs/>
                <w:sz w:val="24"/>
                <w:szCs w:val="24"/>
              </w:rPr>
            </w:pPr>
            <w:r w:rsidRPr="001F668C">
              <w:t>13.00</w:t>
            </w:r>
            <w:r>
              <w:t xml:space="preserve">       28</w:t>
            </w:r>
          </w:p>
        </w:tc>
        <w:tc>
          <w:tcPr>
            <w:tcW w:w="0" w:type="auto"/>
          </w:tcPr>
          <w:p w14:paraId="1136D037" w14:textId="440F295A" w:rsidR="00D0443E" w:rsidRDefault="00D0443E" w:rsidP="006C4AC4">
            <w:pPr>
              <w:rPr>
                <w:b/>
                <w:bCs/>
                <w:sz w:val="24"/>
                <w:szCs w:val="24"/>
              </w:rPr>
            </w:pPr>
            <w:r w:rsidRPr="00C21FB0">
              <w:t>45.78</w:t>
            </w:r>
          </w:p>
        </w:tc>
      </w:tr>
      <w:tr w:rsidR="00D0443E" w14:paraId="787608B9" w14:textId="77777777" w:rsidTr="00D56BFE">
        <w:trPr>
          <w:cantSplit/>
          <w:jc w:val="center"/>
        </w:trPr>
        <w:tc>
          <w:tcPr>
            <w:tcW w:w="0" w:type="auto"/>
          </w:tcPr>
          <w:p w14:paraId="7A45B52F" w14:textId="0203431B" w:rsidR="00D0443E" w:rsidRDefault="00D0443E" w:rsidP="006C4AC4">
            <w:pPr>
              <w:rPr>
                <w:b/>
                <w:bCs/>
                <w:sz w:val="24"/>
                <w:szCs w:val="24"/>
              </w:rPr>
            </w:pPr>
            <w:r w:rsidRPr="00363A77">
              <w:t>FY 2022 6mo</w:t>
            </w:r>
          </w:p>
        </w:tc>
        <w:tc>
          <w:tcPr>
            <w:tcW w:w="0" w:type="auto"/>
          </w:tcPr>
          <w:p w14:paraId="5F44CADA" w14:textId="4A093195" w:rsidR="00D0443E" w:rsidRDefault="00D0443E" w:rsidP="006C4AC4">
            <w:pPr>
              <w:rPr>
                <w:b/>
                <w:bCs/>
                <w:sz w:val="24"/>
                <w:szCs w:val="24"/>
              </w:rPr>
            </w:pPr>
            <w:r w:rsidRPr="001116DA">
              <w:t>22.69</w:t>
            </w:r>
            <w:r>
              <w:t xml:space="preserve">       48</w:t>
            </w:r>
          </w:p>
        </w:tc>
        <w:tc>
          <w:tcPr>
            <w:tcW w:w="0" w:type="auto"/>
          </w:tcPr>
          <w:p w14:paraId="6D26F3EB" w14:textId="0C2B830B" w:rsidR="00D0443E" w:rsidRDefault="00D0443E" w:rsidP="006C4AC4">
            <w:pPr>
              <w:rPr>
                <w:b/>
                <w:bCs/>
                <w:sz w:val="24"/>
                <w:szCs w:val="24"/>
              </w:rPr>
            </w:pPr>
            <w:r w:rsidRPr="00B755B4">
              <w:t>13.69</w:t>
            </w:r>
            <w:r>
              <w:t xml:space="preserve">       29</w:t>
            </w:r>
          </w:p>
        </w:tc>
        <w:tc>
          <w:tcPr>
            <w:tcW w:w="0" w:type="auto"/>
          </w:tcPr>
          <w:p w14:paraId="0A687FB3" w14:textId="75E116DB" w:rsidR="00D0443E" w:rsidRDefault="00D0443E" w:rsidP="006C4AC4">
            <w:pPr>
              <w:rPr>
                <w:b/>
                <w:bCs/>
                <w:sz w:val="24"/>
                <w:szCs w:val="24"/>
              </w:rPr>
            </w:pPr>
            <w:r w:rsidRPr="00BB39A9">
              <w:t>2.21</w:t>
            </w:r>
            <w:r>
              <w:t xml:space="preserve">          5</w:t>
            </w:r>
          </w:p>
        </w:tc>
        <w:tc>
          <w:tcPr>
            <w:tcW w:w="0" w:type="auto"/>
          </w:tcPr>
          <w:p w14:paraId="65F7BD48" w14:textId="7E253679" w:rsidR="00D0443E" w:rsidRDefault="00D0443E" w:rsidP="006C4AC4">
            <w:pPr>
              <w:rPr>
                <w:b/>
                <w:bCs/>
                <w:sz w:val="24"/>
                <w:szCs w:val="24"/>
              </w:rPr>
            </w:pPr>
            <w:r w:rsidRPr="001F668C">
              <w:t>11.21</w:t>
            </w:r>
            <w:r>
              <w:t xml:space="preserve">       24</w:t>
            </w:r>
          </w:p>
        </w:tc>
        <w:tc>
          <w:tcPr>
            <w:tcW w:w="0" w:type="auto"/>
          </w:tcPr>
          <w:p w14:paraId="6C256964" w14:textId="14B22AAE" w:rsidR="00D0443E" w:rsidRDefault="00D0443E" w:rsidP="006C4AC4">
            <w:pPr>
              <w:rPr>
                <w:b/>
                <w:bCs/>
                <w:sz w:val="24"/>
                <w:szCs w:val="24"/>
              </w:rPr>
            </w:pPr>
            <w:r w:rsidRPr="00C21FB0">
              <w:t>47.59</w:t>
            </w:r>
          </w:p>
        </w:tc>
      </w:tr>
      <w:tr w:rsidR="001C7AA1" w14:paraId="6C4DD5C1" w14:textId="77777777" w:rsidTr="00D56BFE">
        <w:trPr>
          <w:cantSplit/>
          <w:jc w:val="center"/>
        </w:trPr>
        <w:tc>
          <w:tcPr>
            <w:tcW w:w="0" w:type="auto"/>
            <w:shd w:val="clear" w:color="auto" w:fill="000000" w:themeFill="text1"/>
          </w:tcPr>
          <w:p w14:paraId="1F00FE79" w14:textId="77777777" w:rsidR="001C7AA1" w:rsidRPr="008F3013" w:rsidRDefault="001C7AA1" w:rsidP="008F3013"/>
        </w:tc>
        <w:tc>
          <w:tcPr>
            <w:tcW w:w="0" w:type="auto"/>
            <w:shd w:val="clear" w:color="auto" w:fill="000000" w:themeFill="text1"/>
          </w:tcPr>
          <w:p w14:paraId="042F2374" w14:textId="77777777" w:rsidR="001C7AA1" w:rsidRPr="00AE3113" w:rsidRDefault="001C7AA1" w:rsidP="006C4AC4"/>
        </w:tc>
        <w:tc>
          <w:tcPr>
            <w:tcW w:w="0" w:type="auto"/>
            <w:shd w:val="clear" w:color="auto" w:fill="000000" w:themeFill="text1"/>
          </w:tcPr>
          <w:p w14:paraId="1F6FD529" w14:textId="77777777" w:rsidR="001C7AA1" w:rsidRPr="00BA2968" w:rsidRDefault="001C7AA1" w:rsidP="006C4AC4"/>
        </w:tc>
        <w:tc>
          <w:tcPr>
            <w:tcW w:w="0" w:type="auto"/>
            <w:shd w:val="clear" w:color="auto" w:fill="000000" w:themeFill="text1"/>
          </w:tcPr>
          <w:p w14:paraId="20514C54" w14:textId="77777777" w:rsidR="001C7AA1" w:rsidRPr="00055847" w:rsidRDefault="001C7AA1" w:rsidP="006C4AC4"/>
        </w:tc>
        <w:tc>
          <w:tcPr>
            <w:tcW w:w="0" w:type="auto"/>
            <w:shd w:val="clear" w:color="auto" w:fill="000000" w:themeFill="text1"/>
          </w:tcPr>
          <w:p w14:paraId="69EA0276" w14:textId="77777777" w:rsidR="001C7AA1" w:rsidRPr="00D472D9" w:rsidRDefault="001C7AA1" w:rsidP="006C4AC4"/>
        </w:tc>
        <w:tc>
          <w:tcPr>
            <w:tcW w:w="0" w:type="auto"/>
            <w:shd w:val="clear" w:color="auto" w:fill="000000" w:themeFill="text1"/>
          </w:tcPr>
          <w:p w14:paraId="516D61CD" w14:textId="77777777" w:rsidR="001C7AA1" w:rsidRPr="00C21FB0" w:rsidRDefault="001C7AA1" w:rsidP="006C4AC4"/>
        </w:tc>
      </w:tr>
      <w:tr w:rsidR="00F2209C" w14:paraId="53FA2F49" w14:textId="77777777" w:rsidTr="00D56BFE">
        <w:trPr>
          <w:cantSplit/>
          <w:jc w:val="center"/>
        </w:trPr>
        <w:tc>
          <w:tcPr>
            <w:tcW w:w="0" w:type="auto"/>
          </w:tcPr>
          <w:p w14:paraId="0D2BA779" w14:textId="18C1206A" w:rsidR="008F3013" w:rsidRPr="008F3013" w:rsidRDefault="008F3013" w:rsidP="008F3013">
            <w:r w:rsidRPr="008F3013">
              <w:t>Overal</w:t>
            </w:r>
            <w:r w:rsidR="009D7EFA">
              <w:t>l</w:t>
            </w:r>
            <w:r w:rsidRPr="008F3013">
              <w:t xml:space="preserve"> Increase in CT use</w:t>
            </w:r>
          </w:p>
          <w:p w14:paraId="1C4DFE51" w14:textId="5EC4970F" w:rsidR="00F2209C" w:rsidRPr="00363A77" w:rsidRDefault="008F3013" w:rsidP="008F3013">
            <w:r w:rsidRPr="008F3013">
              <w:t>from FY19 - FY21</w:t>
            </w:r>
          </w:p>
        </w:tc>
        <w:tc>
          <w:tcPr>
            <w:tcW w:w="0" w:type="auto"/>
          </w:tcPr>
          <w:p w14:paraId="772218A1" w14:textId="62D826E2" w:rsidR="00F2209C" w:rsidRPr="001116DA" w:rsidRDefault="00FD0BC8" w:rsidP="006C4AC4">
            <w:r>
              <w:t>6</w:t>
            </w:r>
            <w:r w:rsidR="003178E1">
              <w:t>2</w:t>
            </w:r>
            <w:r>
              <w:t>%</w:t>
            </w:r>
          </w:p>
        </w:tc>
        <w:tc>
          <w:tcPr>
            <w:tcW w:w="0" w:type="auto"/>
          </w:tcPr>
          <w:p w14:paraId="7217C2F5" w14:textId="4FDEEBDA" w:rsidR="00F2209C" w:rsidRPr="00B755B4" w:rsidRDefault="00FF0A14" w:rsidP="006C4AC4">
            <w:r>
              <w:t>57%</w:t>
            </w:r>
          </w:p>
        </w:tc>
        <w:tc>
          <w:tcPr>
            <w:tcW w:w="0" w:type="auto"/>
          </w:tcPr>
          <w:p w14:paraId="149F358E" w14:textId="4EAD7C5C" w:rsidR="00F2209C" w:rsidRPr="00BB39A9" w:rsidRDefault="00BD495D" w:rsidP="006C4AC4">
            <w:r>
              <w:t>97.3%</w:t>
            </w:r>
          </w:p>
        </w:tc>
        <w:tc>
          <w:tcPr>
            <w:tcW w:w="0" w:type="auto"/>
          </w:tcPr>
          <w:p w14:paraId="3AD64880" w14:textId="1DE205E3" w:rsidR="00F2209C" w:rsidRPr="001F668C" w:rsidRDefault="00C52567" w:rsidP="006C4AC4">
            <w:r>
              <w:t>14.4%</w:t>
            </w:r>
          </w:p>
        </w:tc>
        <w:tc>
          <w:tcPr>
            <w:tcW w:w="0" w:type="auto"/>
            <w:shd w:val="clear" w:color="auto" w:fill="F2F2F2" w:themeFill="background1" w:themeFillShade="F2"/>
          </w:tcPr>
          <w:p w14:paraId="49A82E04" w14:textId="77777777" w:rsidR="00F2209C" w:rsidRPr="00C21FB0" w:rsidRDefault="00F2209C" w:rsidP="006C4AC4"/>
        </w:tc>
      </w:tr>
      <w:tr w:rsidR="00F2209C" w14:paraId="71E3C1A0" w14:textId="77777777" w:rsidTr="00D56BFE">
        <w:trPr>
          <w:cantSplit/>
          <w:jc w:val="center"/>
        </w:trPr>
        <w:tc>
          <w:tcPr>
            <w:tcW w:w="0" w:type="auto"/>
          </w:tcPr>
          <w:p w14:paraId="3ECAC539" w14:textId="44054FC2" w:rsidR="009D7EFA" w:rsidRDefault="009D7EFA" w:rsidP="009D7EFA">
            <w:r>
              <w:t>Overall Increase in CT use</w:t>
            </w:r>
          </w:p>
          <w:p w14:paraId="7BE0294B" w14:textId="03FCEA9C" w:rsidR="00F2209C" w:rsidRPr="00363A77" w:rsidRDefault="009D7EFA" w:rsidP="009D7EFA">
            <w:r>
              <w:t>from FY19 - FY22</w:t>
            </w:r>
          </w:p>
        </w:tc>
        <w:tc>
          <w:tcPr>
            <w:tcW w:w="0" w:type="auto"/>
          </w:tcPr>
          <w:p w14:paraId="619D249F" w14:textId="03708C29" w:rsidR="00F2209C" w:rsidRPr="001116DA" w:rsidRDefault="0025250B" w:rsidP="006C4AC4">
            <w:r>
              <w:t>80.9%</w:t>
            </w:r>
          </w:p>
        </w:tc>
        <w:tc>
          <w:tcPr>
            <w:tcW w:w="0" w:type="auto"/>
          </w:tcPr>
          <w:p w14:paraId="6492C3B2" w14:textId="51B91B34" w:rsidR="00F2209C" w:rsidRPr="00B755B4" w:rsidRDefault="00FF0A14" w:rsidP="006C4AC4">
            <w:r>
              <w:t>72%</w:t>
            </w:r>
          </w:p>
        </w:tc>
        <w:tc>
          <w:tcPr>
            <w:tcW w:w="0" w:type="auto"/>
          </w:tcPr>
          <w:p w14:paraId="6D6A7EFE" w14:textId="7B109DFF" w:rsidR="00F2209C" w:rsidRPr="00BB39A9" w:rsidRDefault="00BD495D" w:rsidP="006C4AC4">
            <w:r>
              <w:t>202.7%</w:t>
            </w:r>
          </w:p>
        </w:tc>
        <w:tc>
          <w:tcPr>
            <w:tcW w:w="0" w:type="auto"/>
          </w:tcPr>
          <w:p w14:paraId="2996D5BA" w14:textId="15C56266" w:rsidR="00F2209C" w:rsidRPr="001F668C" w:rsidRDefault="00C52567" w:rsidP="006C4AC4">
            <w:r>
              <w:t>-1.3%</w:t>
            </w:r>
          </w:p>
        </w:tc>
        <w:tc>
          <w:tcPr>
            <w:tcW w:w="0" w:type="auto"/>
            <w:shd w:val="clear" w:color="auto" w:fill="F2F2F2" w:themeFill="background1" w:themeFillShade="F2"/>
          </w:tcPr>
          <w:p w14:paraId="1A92195D" w14:textId="77777777" w:rsidR="00F2209C" w:rsidRPr="00C21FB0" w:rsidRDefault="00F2209C" w:rsidP="006C4AC4"/>
        </w:tc>
      </w:tr>
    </w:tbl>
    <w:p w14:paraId="0CACE837" w14:textId="7C05DB72" w:rsidR="00F06E81" w:rsidRDefault="00F06E81" w:rsidP="005C6A6C">
      <w:pPr>
        <w:rPr>
          <w:b/>
          <w:bCs/>
          <w:sz w:val="24"/>
          <w:szCs w:val="24"/>
        </w:rPr>
      </w:pPr>
    </w:p>
    <w:p w14:paraId="07C09BA1" w14:textId="77777777" w:rsidR="0022688C" w:rsidRDefault="0022688C" w:rsidP="005C6A6C">
      <w:pPr>
        <w:rPr>
          <w:b/>
          <w:bCs/>
          <w:sz w:val="24"/>
          <w:szCs w:val="24"/>
        </w:rPr>
      </w:pPr>
    </w:p>
    <w:p w14:paraId="3A6E72A3" w14:textId="7639F21E" w:rsidR="00700A12" w:rsidRPr="005C6A6C" w:rsidRDefault="00700A12" w:rsidP="006F3742">
      <w:pPr>
        <w:pStyle w:val="ListParagraph"/>
        <w:numPr>
          <w:ilvl w:val="0"/>
          <w:numId w:val="3"/>
        </w:numPr>
        <w:ind w:left="360"/>
        <w:rPr>
          <w:b/>
          <w:bCs/>
          <w:sz w:val="24"/>
          <w:szCs w:val="24"/>
        </w:rPr>
      </w:pPr>
      <w:r w:rsidRPr="00873635">
        <w:rPr>
          <w:b/>
          <w:bCs/>
          <w:sz w:val="24"/>
          <w:szCs w:val="24"/>
        </w:rPr>
        <w:t>Projected Volume Growth</w:t>
      </w:r>
      <w:r w:rsidR="004B4650">
        <w:rPr>
          <w:b/>
          <w:bCs/>
          <w:sz w:val="24"/>
          <w:szCs w:val="24"/>
        </w:rPr>
        <w:t xml:space="preserve">. </w:t>
      </w:r>
      <w:r w:rsidR="00B13F25">
        <w:rPr>
          <w:sz w:val="24"/>
          <w:szCs w:val="24"/>
        </w:rPr>
        <w:t xml:space="preserve">Existing </w:t>
      </w:r>
      <w:r w:rsidR="00FD1D31">
        <w:rPr>
          <w:sz w:val="24"/>
          <w:szCs w:val="24"/>
        </w:rPr>
        <w:t xml:space="preserve">annual </w:t>
      </w:r>
      <w:r w:rsidR="00B13F25">
        <w:rPr>
          <w:sz w:val="24"/>
          <w:szCs w:val="24"/>
        </w:rPr>
        <w:t xml:space="preserve">CT volume </w:t>
      </w:r>
      <w:r w:rsidR="006D2AA2">
        <w:rPr>
          <w:sz w:val="24"/>
          <w:szCs w:val="24"/>
        </w:rPr>
        <w:t>in FY21 wa</w:t>
      </w:r>
      <w:r w:rsidR="00B13F25">
        <w:rPr>
          <w:sz w:val="24"/>
          <w:szCs w:val="24"/>
        </w:rPr>
        <w:t>s 16,708 scans</w:t>
      </w:r>
      <w:r w:rsidR="00A35E3A">
        <w:rPr>
          <w:sz w:val="24"/>
          <w:szCs w:val="24"/>
        </w:rPr>
        <w:t>,</w:t>
      </w:r>
      <w:r w:rsidR="00B13F25">
        <w:rPr>
          <w:sz w:val="24"/>
          <w:szCs w:val="24"/>
        </w:rPr>
        <w:t xml:space="preserve"> and the Applicant expects proposed volume to be 21,000 scans after project implementation. </w:t>
      </w:r>
      <w:r w:rsidR="00BB30E0" w:rsidRPr="005C6A6C">
        <w:rPr>
          <w:sz w:val="24"/>
          <w:szCs w:val="24"/>
        </w:rPr>
        <w:t>The Applicant is</w:t>
      </w:r>
      <w:r w:rsidR="00BB30E0" w:rsidRPr="005C6A6C">
        <w:rPr>
          <w:b/>
          <w:bCs/>
          <w:sz w:val="24"/>
          <w:szCs w:val="24"/>
        </w:rPr>
        <w:t xml:space="preserve"> </w:t>
      </w:r>
      <w:r w:rsidR="00BB30E0" w:rsidRPr="005C6A6C">
        <w:rPr>
          <w:sz w:val="24"/>
          <w:szCs w:val="24"/>
        </w:rPr>
        <w:t>anticipating growth for CT services based on BID-Needham’s patient population trends show an aging population and increasing acuity.</w:t>
      </w:r>
    </w:p>
    <w:p w14:paraId="36AD9A6B" w14:textId="154E18A8" w:rsidR="00146494" w:rsidRDefault="00146494" w:rsidP="002C493A">
      <w:pPr>
        <w:pStyle w:val="ListParagraph"/>
        <w:numPr>
          <w:ilvl w:val="0"/>
          <w:numId w:val="4"/>
        </w:numPr>
        <w:spacing w:line="240" w:lineRule="auto"/>
        <w:ind w:left="720"/>
        <w:rPr>
          <w:sz w:val="24"/>
          <w:szCs w:val="24"/>
        </w:rPr>
      </w:pPr>
      <w:r>
        <w:rPr>
          <w:sz w:val="24"/>
          <w:szCs w:val="24"/>
        </w:rPr>
        <w:t xml:space="preserve">An estimated five million people reside in the BILH service area. The area has experienced a 6.4% population growth since FY2010 and is projected to increase at a faster rate (4.5%) than the state (3.5%) from 2017 to 2022. </w:t>
      </w:r>
    </w:p>
    <w:p w14:paraId="4C2DDB90" w14:textId="2A224B54" w:rsidR="00837DB6" w:rsidRDefault="00C21549" w:rsidP="002C493A">
      <w:pPr>
        <w:pStyle w:val="ListParagraph"/>
        <w:numPr>
          <w:ilvl w:val="0"/>
          <w:numId w:val="4"/>
        </w:numPr>
        <w:spacing w:line="240" w:lineRule="auto"/>
        <w:ind w:left="720"/>
        <w:rPr>
          <w:sz w:val="24"/>
          <w:szCs w:val="24"/>
        </w:rPr>
      </w:pPr>
      <w:r>
        <w:rPr>
          <w:sz w:val="24"/>
          <w:szCs w:val="24"/>
        </w:rPr>
        <w:t>BID-N</w:t>
      </w:r>
      <w:r w:rsidR="00837DB6">
        <w:rPr>
          <w:sz w:val="24"/>
          <w:szCs w:val="24"/>
        </w:rPr>
        <w:t>eedham</w:t>
      </w:r>
      <w:r w:rsidR="005C6A6C">
        <w:rPr>
          <w:sz w:val="24"/>
          <w:szCs w:val="24"/>
        </w:rPr>
        <w:t>’s</w:t>
      </w:r>
      <w:r w:rsidR="00837DB6">
        <w:rPr>
          <w:sz w:val="24"/>
          <w:szCs w:val="24"/>
        </w:rPr>
        <w:t xml:space="preserve"> </w:t>
      </w:r>
      <w:r w:rsidR="00151148">
        <w:rPr>
          <w:sz w:val="24"/>
          <w:szCs w:val="24"/>
        </w:rPr>
        <w:t>Community Health Needs Assessment (CHNA) reported that</w:t>
      </w:r>
      <w:r w:rsidR="004B4650">
        <w:rPr>
          <w:sz w:val="24"/>
          <w:szCs w:val="24"/>
        </w:rPr>
        <w:t xml:space="preserve"> </w:t>
      </w:r>
      <w:r w:rsidR="00151148">
        <w:rPr>
          <w:sz w:val="24"/>
          <w:szCs w:val="24"/>
        </w:rPr>
        <w:t>al</w:t>
      </w:r>
      <w:r w:rsidR="00837DB6">
        <w:rPr>
          <w:sz w:val="24"/>
          <w:szCs w:val="24"/>
        </w:rPr>
        <w:t xml:space="preserve">l communities in </w:t>
      </w:r>
      <w:r>
        <w:rPr>
          <w:sz w:val="24"/>
          <w:szCs w:val="24"/>
        </w:rPr>
        <w:t>BID-N</w:t>
      </w:r>
      <w:r w:rsidR="00837DB6">
        <w:rPr>
          <w:sz w:val="24"/>
          <w:szCs w:val="24"/>
        </w:rPr>
        <w:t>eedham’s community benefit service area</w:t>
      </w:r>
      <w:r w:rsidR="004B4650">
        <w:rPr>
          <w:sz w:val="24"/>
          <w:szCs w:val="24"/>
        </w:rPr>
        <w:t xml:space="preserve"> (CBSA)</w:t>
      </w:r>
      <w:r w:rsidR="00837DB6">
        <w:rPr>
          <w:sz w:val="24"/>
          <w:szCs w:val="24"/>
        </w:rPr>
        <w:t xml:space="preserve"> ha</w:t>
      </w:r>
      <w:r w:rsidR="00EC680B">
        <w:rPr>
          <w:sz w:val="24"/>
          <w:szCs w:val="24"/>
        </w:rPr>
        <w:t>ve</w:t>
      </w:r>
      <w:r w:rsidR="00837DB6">
        <w:rPr>
          <w:sz w:val="24"/>
          <w:szCs w:val="24"/>
        </w:rPr>
        <w:t xml:space="preserve"> a slightly high</w:t>
      </w:r>
      <w:r w:rsidR="00EA14F6">
        <w:rPr>
          <w:sz w:val="24"/>
          <w:szCs w:val="24"/>
        </w:rPr>
        <w:t>er</w:t>
      </w:r>
      <w:r w:rsidR="00837DB6">
        <w:rPr>
          <w:sz w:val="24"/>
          <w:szCs w:val="24"/>
        </w:rPr>
        <w:t xml:space="preserve"> median age compared to the Commonwealth overall and the percentage of the population over 65 is significantly higher than the Commonwealth in all communities.</w:t>
      </w:r>
      <w:r w:rsidR="002917A8">
        <w:rPr>
          <w:rStyle w:val="EndnoteReference"/>
          <w:sz w:val="24"/>
          <w:szCs w:val="24"/>
        </w:rPr>
        <w:endnoteReference w:id="3"/>
      </w:r>
      <w:r w:rsidR="00837DB6">
        <w:rPr>
          <w:sz w:val="24"/>
          <w:szCs w:val="24"/>
        </w:rPr>
        <w:t xml:space="preserve"> </w:t>
      </w:r>
    </w:p>
    <w:p w14:paraId="7AB3DC3B" w14:textId="06A6D28D" w:rsidR="00DF3FC5" w:rsidRDefault="00151148" w:rsidP="002C493A">
      <w:pPr>
        <w:pStyle w:val="ListParagraph"/>
        <w:numPr>
          <w:ilvl w:val="0"/>
          <w:numId w:val="4"/>
        </w:numPr>
        <w:spacing w:line="240" w:lineRule="auto"/>
        <w:ind w:left="720"/>
        <w:rPr>
          <w:sz w:val="24"/>
          <w:szCs w:val="24"/>
        </w:rPr>
      </w:pPr>
      <w:r>
        <w:rPr>
          <w:sz w:val="24"/>
          <w:szCs w:val="24"/>
        </w:rPr>
        <w:t>There was a s</w:t>
      </w:r>
      <w:r w:rsidR="00DF3FC5">
        <w:rPr>
          <w:sz w:val="24"/>
          <w:szCs w:val="24"/>
        </w:rPr>
        <w:t xml:space="preserve">light increase in age 65 and older age cohort in the </w:t>
      </w:r>
      <w:r w:rsidR="00C21549">
        <w:rPr>
          <w:sz w:val="24"/>
          <w:szCs w:val="24"/>
        </w:rPr>
        <w:t>BID-N</w:t>
      </w:r>
      <w:r w:rsidR="00DF3FC5">
        <w:rPr>
          <w:sz w:val="24"/>
          <w:szCs w:val="24"/>
        </w:rPr>
        <w:t>eedham patient population from 29.</w:t>
      </w:r>
      <w:r w:rsidR="004763FD">
        <w:rPr>
          <w:sz w:val="24"/>
          <w:szCs w:val="24"/>
        </w:rPr>
        <w:t>9</w:t>
      </w:r>
      <w:r w:rsidR="00DF3FC5">
        <w:rPr>
          <w:sz w:val="24"/>
          <w:szCs w:val="24"/>
        </w:rPr>
        <w:t>% to 30.</w:t>
      </w:r>
      <w:r w:rsidR="004763FD">
        <w:rPr>
          <w:sz w:val="24"/>
          <w:szCs w:val="24"/>
        </w:rPr>
        <w:t>9</w:t>
      </w:r>
      <w:r w:rsidR="00DF3FC5">
        <w:rPr>
          <w:sz w:val="24"/>
          <w:szCs w:val="24"/>
        </w:rPr>
        <w:t>% between FY19</w:t>
      </w:r>
      <w:r w:rsidR="00CC7C3C">
        <w:rPr>
          <w:sz w:val="24"/>
          <w:szCs w:val="24"/>
        </w:rPr>
        <w:t xml:space="preserve"> and </w:t>
      </w:r>
      <w:r w:rsidR="00DF3FC5">
        <w:rPr>
          <w:sz w:val="24"/>
          <w:szCs w:val="24"/>
        </w:rPr>
        <w:t xml:space="preserve">FY21. </w:t>
      </w:r>
    </w:p>
    <w:p w14:paraId="320EF70F" w14:textId="6313C215" w:rsidR="00B735D3" w:rsidRDefault="00B735D3" w:rsidP="002C493A">
      <w:pPr>
        <w:pStyle w:val="ListParagraph"/>
        <w:numPr>
          <w:ilvl w:val="0"/>
          <w:numId w:val="4"/>
        </w:numPr>
        <w:spacing w:line="240" w:lineRule="auto"/>
        <w:ind w:left="720"/>
        <w:rPr>
          <w:sz w:val="24"/>
          <w:szCs w:val="24"/>
        </w:rPr>
      </w:pPr>
      <w:r>
        <w:rPr>
          <w:sz w:val="24"/>
          <w:szCs w:val="24"/>
        </w:rPr>
        <w:t>In FY2</w:t>
      </w:r>
      <w:r w:rsidR="00EC7BAD">
        <w:rPr>
          <w:sz w:val="24"/>
          <w:szCs w:val="24"/>
        </w:rPr>
        <w:t>0</w:t>
      </w:r>
      <w:r>
        <w:rPr>
          <w:sz w:val="24"/>
          <w:szCs w:val="24"/>
        </w:rPr>
        <w:t xml:space="preserve">, ~48.3% of </w:t>
      </w:r>
      <w:r w:rsidR="00EC7BAD">
        <w:rPr>
          <w:sz w:val="24"/>
          <w:szCs w:val="24"/>
        </w:rPr>
        <w:t>BID-Needham</w:t>
      </w:r>
      <w:r w:rsidR="00E57C29">
        <w:rPr>
          <w:sz w:val="24"/>
          <w:szCs w:val="24"/>
        </w:rPr>
        <w:t>’s</w:t>
      </w:r>
      <w:r>
        <w:rPr>
          <w:sz w:val="24"/>
          <w:szCs w:val="24"/>
        </w:rPr>
        <w:t xml:space="preserve"> gross revenues were generated by Medicare and managed Medicare insurance products. </w:t>
      </w:r>
    </w:p>
    <w:p w14:paraId="52FD852F" w14:textId="7635871A" w:rsidR="004B4650" w:rsidRDefault="00A35E3A" w:rsidP="002C493A">
      <w:pPr>
        <w:pStyle w:val="ListParagraph"/>
        <w:numPr>
          <w:ilvl w:val="0"/>
          <w:numId w:val="4"/>
        </w:numPr>
        <w:spacing w:line="240" w:lineRule="auto"/>
        <w:ind w:left="720"/>
        <w:rPr>
          <w:sz w:val="24"/>
          <w:szCs w:val="24"/>
        </w:rPr>
      </w:pPr>
      <w:r>
        <w:rPr>
          <w:sz w:val="24"/>
          <w:szCs w:val="24"/>
        </w:rPr>
        <w:t xml:space="preserve">Within the immediate </w:t>
      </w:r>
      <w:r w:rsidR="000156DF">
        <w:rPr>
          <w:sz w:val="24"/>
          <w:szCs w:val="24"/>
        </w:rPr>
        <w:t>s</w:t>
      </w:r>
      <w:r w:rsidR="00F30989">
        <w:rPr>
          <w:sz w:val="24"/>
          <w:szCs w:val="24"/>
        </w:rPr>
        <w:t>urrounding</w:t>
      </w:r>
      <w:r w:rsidR="00B735D3">
        <w:rPr>
          <w:sz w:val="24"/>
          <w:szCs w:val="24"/>
        </w:rPr>
        <w:t xml:space="preserve"> 3-mile </w:t>
      </w:r>
      <w:r w:rsidR="00F30989">
        <w:rPr>
          <w:sz w:val="24"/>
          <w:szCs w:val="24"/>
        </w:rPr>
        <w:t>radius</w:t>
      </w:r>
      <w:r w:rsidR="00B735D3">
        <w:rPr>
          <w:sz w:val="24"/>
          <w:szCs w:val="24"/>
        </w:rPr>
        <w:t xml:space="preserve"> </w:t>
      </w:r>
      <w:r>
        <w:rPr>
          <w:sz w:val="24"/>
          <w:szCs w:val="24"/>
        </w:rPr>
        <w:t xml:space="preserve">are </w:t>
      </w:r>
      <w:r w:rsidR="00B735D3">
        <w:rPr>
          <w:sz w:val="24"/>
          <w:szCs w:val="24"/>
        </w:rPr>
        <w:t xml:space="preserve">six major senior care and independent living facilities that are a major source of referrals to </w:t>
      </w:r>
      <w:r w:rsidR="00C21549">
        <w:rPr>
          <w:sz w:val="24"/>
          <w:szCs w:val="24"/>
        </w:rPr>
        <w:t>BID-N</w:t>
      </w:r>
      <w:r w:rsidR="00A00C40">
        <w:rPr>
          <w:sz w:val="24"/>
          <w:szCs w:val="24"/>
        </w:rPr>
        <w:t>eedham</w:t>
      </w:r>
      <w:r w:rsidR="00B735D3">
        <w:rPr>
          <w:sz w:val="24"/>
          <w:szCs w:val="24"/>
        </w:rPr>
        <w:t>.</w:t>
      </w:r>
      <w:r w:rsidR="00EA14F6">
        <w:rPr>
          <w:rStyle w:val="FootnoteReference"/>
          <w:sz w:val="24"/>
          <w:szCs w:val="24"/>
        </w:rPr>
        <w:footnoteReference w:id="18"/>
      </w:r>
    </w:p>
    <w:p w14:paraId="0F1DFB5B" w14:textId="09CAA3E1" w:rsidR="002129B8" w:rsidRDefault="00EC190F" w:rsidP="002C493A">
      <w:pPr>
        <w:pStyle w:val="ListParagraph"/>
        <w:numPr>
          <w:ilvl w:val="0"/>
          <w:numId w:val="4"/>
        </w:numPr>
        <w:spacing w:line="240" w:lineRule="auto"/>
        <w:ind w:left="720"/>
        <w:rPr>
          <w:sz w:val="24"/>
          <w:szCs w:val="24"/>
        </w:rPr>
      </w:pPr>
      <w:r>
        <w:rPr>
          <w:sz w:val="24"/>
          <w:szCs w:val="24"/>
        </w:rPr>
        <w:t>The s</w:t>
      </w:r>
      <w:r w:rsidR="00B735D3">
        <w:rPr>
          <w:sz w:val="24"/>
          <w:szCs w:val="24"/>
        </w:rPr>
        <w:t>ervice mix</w:t>
      </w:r>
      <w:r>
        <w:rPr>
          <w:sz w:val="24"/>
          <w:szCs w:val="24"/>
        </w:rPr>
        <w:t xml:space="preserve"> at </w:t>
      </w:r>
      <w:r w:rsidR="00C21549">
        <w:rPr>
          <w:sz w:val="24"/>
          <w:szCs w:val="24"/>
        </w:rPr>
        <w:t>BID-N</w:t>
      </w:r>
      <w:r w:rsidR="00A00C40">
        <w:rPr>
          <w:sz w:val="24"/>
          <w:szCs w:val="24"/>
        </w:rPr>
        <w:t>eedham</w:t>
      </w:r>
      <w:r w:rsidR="005C6A6C">
        <w:rPr>
          <w:sz w:val="24"/>
          <w:szCs w:val="24"/>
        </w:rPr>
        <w:t xml:space="preserve"> </w:t>
      </w:r>
      <w:r w:rsidR="00B735D3">
        <w:rPr>
          <w:sz w:val="24"/>
          <w:szCs w:val="24"/>
        </w:rPr>
        <w:t>comprised of access to specialists in cardiology, urology, general surgery, cancer center care, neurology, and diabetes</w:t>
      </w:r>
      <w:r w:rsidR="005C6A6C">
        <w:rPr>
          <w:sz w:val="24"/>
          <w:szCs w:val="24"/>
        </w:rPr>
        <w:t xml:space="preserve"> </w:t>
      </w:r>
      <w:r w:rsidR="00B735D3">
        <w:rPr>
          <w:sz w:val="24"/>
          <w:szCs w:val="24"/>
        </w:rPr>
        <w:t xml:space="preserve">supports a senior population. </w:t>
      </w:r>
    </w:p>
    <w:p w14:paraId="7CEEF6E2" w14:textId="67973EFA" w:rsidR="004818CD" w:rsidRDefault="004818CD" w:rsidP="004B4650">
      <w:pPr>
        <w:pStyle w:val="ListParagraph"/>
        <w:ind w:left="1800"/>
        <w:rPr>
          <w:sz w:val="24"/>
          <w:szCs w:val="24"/>
        </w:rPr>
      </w:pPr>
    </w:p>
    <w:p w14:paraId="72263699" w14:textId="2E4CA058" w:rsidR="00077393" w:rsidRDefault="00DE60C9">
      <w:pPr>
        <w:rPr>
          <w:b/>
          <w:bCs/>
          <w:i/>
          <w:iCs/>
          <w:sz w:val="24"/>
          <w:szCs w:val="24"/>
        </w:rPr>
      </w:pPr>
      <w:r w:rsidRPr="00996545">
        <w:rPr>
          <w:b/>
          <w:bCs/>
          <w:i/>
          <w:iCs/>
          <w:sz w:val="24"/>
          <w:szCs w:val="24"/>
        </w:rPr>
        <w:t>Analysis</w:t>
      </w:r>
      <w:r w:rsidR="00A35E3A">
        <w:rPr>
          <w:b/>
          <w:bCs/>
          <w:i/>
          <w:iCs/>
          <w:sz w:val="24"/>
          <w:szCs w:val="24"/>
        </w:rPr>
        <w:t xml:space="preserve"> </w:t>
      </w:r>
    </w:p>
    <w:p w14:paraId="4CB02EC1" w14:textId="25A2D9FA" w:rsidR="00C652D4" w:rsidRPr="00C652D4" w:rsidRDefault="00580669" w:rsidP="00580669">
      <w:pPr>
        <w:spacing w:line="240" w:lineRule="auto"/>
        <w:rPr>
          <w:sz w:val="24"/>
          <w:szCs w:val="24"/>
        </w:rPr>
      </w:pPr>
      <w:r>
        <w:rPr>
          <w:sz w:val="24"/>
          <w:szCs w:val="24"/>
        </w:rPr>
        <w:lastRenderedPageBreak/>
        <w:t xml:space="preserve">Staff </w:t>
      </w:r>
      <w:r w:rsidR="004209AB">
        <w:rPr>
          <w:sz w:val="24"/>
          <w:szCs w:val="24"/>
        </w:rPr>
        <w:t>find</w:t>
      </w:r>
      <w:r>
        <w:rPr>
          <w:sz w:val="24"/>
          <w:szCs w:val="24"/>
        </w:rPr>
        <w:t xml:space="preserve"> that t</w:t>
      </w:r>
      <w:r w:rsidRPr="00580669">
        <w:rPr>
          <w:sz w:val="24"/>
          <w:szCs w:val="24"/>
        </w:rPr>
        <w:t xml:space="preserve">hrough the Proposed Project, </w:t>
      </w:r>
      <w:r>
        <w:rPr>
          <w:sz w:val="24"/>
          <w:szCs w:val="24"/>
        </w:rPr>
        <w:t>BID-Needham</w:t>
      </w:r>
      <w:r w:rsidRPr="00580669">
        <w:rPr>
          <w:sz w:val="24"/>
          <w:szCs w:val="24"/>
        </w:rPr>
        <w:t xml:space="preserve"> will be able to</w:t>
      </w:r>
      <w:r>
        <w:rPr>
          <w:sz w:val="24"/>
          <w:szCs w:val="24"/>
        </w:rPr>
        <w:t xml:space="preserve"> address existing and future needs of the Patient Panel for CT services, which includes exams and CT-</w:t>
      </w:r>
      <w:r w:rsidR="001430AA">
        <w:rPr>
          <w:sz w:val="24"/>
          <w:szCs w:val="24"/>
        </w:rPr>
        <w:t>g</w:t>
      </w:r>
      <w:r>
        <w:rPr>
          <w:sz w:val="24"/>
          <w:szCs w:val="24"/>
        </w:rPr>
        <w:t>uided procedures</w:t>
      </w:r>
      <w:r w:rsidRPr="00580669">
        <w:rPr>
          <w:sz w:val="24"/>
          <w:szCs w:val="24"/>
        </w:rPr>
        <w:t xml:space="preserve">. The </w:t>
      </w:r>
      <w:r>
        <w:rPr>
          <w:sz w:val="24"/>
          <w:szCs w:val="24"/>
        </w:rPr>
        <w:t xml:space="preserve">Applicant has demonstrated that bringing the replaced unit back online will reduce wait times for CT services, increase access to CT-Guided procedures, and support </w:t>
      </w:r>
      <w:r w:rsidR="001430AA">
        <w:rPr>
          <w:sz w:val="24"/>
          <w:szCs w:val="24"/>
        </w:rPr>
        <w:t xml:space="preserve">local </w:t>
      </w:r>
      <w:r>
        <w:rPr>
          <w:sz w:val="24"/>
          <w:szCs w:val="24"/>
        </w:rPr>
        <w:t xml:space="preserve">access to CT services. </w:t>
      </w:r>
      <w:r w:rsidR="001430AA">
        <w:rPr>
          <w:sz w:val="24"/>
          <w:szCs w:val="24"/>
        </w:rPr>
        <w:t>The</w:t>
      </w:r>
      <w:r>
        <w:rPr>
          <w:sz w:val="24"/>
          <w:szCs w:val="24"/>
        </w:rPr>
        <w:t xml:space="preserve"> additional CT capacity that will be created </w:t>
      </w:r>
      <w:r w:rsidR="004209AB">
        <w:rPr>
          <w:sz w:val="24"/>
          <w:szCs w:val="24"/>
        </w:rPr>
        <w:t xml:space="preserve">through </w:t>
      </w:r>
      <w:r>
        <w:rPr>
          <w:sz w:val="24"/>
          <w:szCs w:val="24"/>
        </w:rPr>
        <w:t>the addition of a second CT unit will reduce the inconvenience of patients that seek CT services elsewhere due to the current lack of capacity. The a</w:t>
      </w:r>
      <w:r w:rsidRPr="00580669">
        <w:rPr>
          <w:sz w:val="24"/>
          <w:szCs w:val="24"/>
        </w:rPr>
        <w:t xml:space="preserve">dditional CT unit is expected to relieve pressure in scheduling all types of </w:t>
      </w:r>
      <w:r>
        <w:rPr>
          <w:sz w:val="24"/>
          <w:szCs w:val="24"/>
        </w:rPr>
        <w:t xml:space="preserve">CT </w:t>
      </w:r>
      <w:r w:rsidRPr="00580669">
        <w:rPr>
          <w:sz w:val="24"/>
          <w:szCs w:val="24"/>
        </w:rPr>
        <w:t>procedures and exams while continuing to ensure that the most emergent and time-sensitive procedures and exams be provided in a timely manner</w:t>
      </w:r>
      <w:r>
        <w:rPr>
          <w:sz w:val="24"/>
          <w:szCs w:val="24"/>
        </w:rPr>
        <w:t xml:space="preserve"> </w:t>
      </w:r>
      <w:r w:rsidRPr="00580669">
        <w:rPr>
          <w:sz w:val="24"/>
          <w:szCs w:val="24"/>
        </w:rPr>
        <w:t xml:space="preserve">especially </w:t>
      </w:r>
      <w:r w:rsidR="001430AA">
        <w:rPr>
          <w:sz w:val="24"/>
          <w:szCs w:val="24"/>
        </w:rPr>
        <w:t xml:space="preserve">for </w:t>
      </w:r>
      <w:r w:rsidRPr="00580669">
        <w:rPr>
          <w:sz w:val="24"/>
          <w:szCs w:val="24"/>
        </w:rPr>
        <w:t xml:space="preserve">those with stroke symptoms seeking care in the ED. </w:t>
      </w:r>
    </w:p>
    <w:p w14:paraId="77F5B851" w14:textId="77777777" w:rsidR="003E732F" w:rsidRDefault="003E732F">
      <w:pPr>
        <w:rPr>
          <w:b/>
          <w:bCs/>
          <w:sz w:val="28"/>
          <w:szCs w:val="28"/>
        </w:rPr>
      </w:pPr>
    </w:p>
    <w:p w14:paraId="65E98050" w14:textId="45FC37CE" w:rsidR="00F67AA2" w:rsidRPr="003D09CA" w:rsidRDefault="00F67AA2">
      <w:pPr>
        <w:rPr>
          <w:b/>
          <w:bCs/>
          <w:sz w:val="28"/>
          <w:szCs w:val="28"/>
        </w:rPr>
      </w:pPr>
      <w:r w:rsidRPr="003D09CA">
        <w:rPr>
          <w:b/>
          <w:bCs/>
          <w:sz w:val="28"/>
          <w:szCs w:val="28"/>
        </w:rPr>
        <w:t>Factor 1: b) Public Health Value, Improved Health Outcomes And Quality Of Life; Assurances Of Health Equity</w:t>
      </w:r>
    </w:p>
    <w:p w14:paraId="5D81B607" w14:textId="77777777" w:rsidR="005C6A6C" w:rsidRPr="005C6A6C" w:rsidRDefault="005C6A6C" w:rsidP="005C6A6C">
      <w:pPr>
        <w:spacing w:line="240" w:lineRule="auto"/>
        <w:rPr>
          <w:b/>
          <w:bCs/>
          <w:sz w:val="24"/>
          <w:szCs w:val="24"/>
        </w:rPr>
      </w:pPr>
      <w:r w:rsidRPr="005C6A6C">
        <w:rPr>
          <w:b/>
          <w:bCs/>
          <w:sz w:val="24"/>
          <w:szCs w:val="24"/>
        </w:rPr>
        <w:t>Public Health Value: Improved Outcomes and Quality of Life</w:t>
      </w:r>
    </w:p>
    <w:p w14:paraId="610AA9A0" w14:textId="280A6342" w:rsidR="003C69B0" w:rsidRPr="003C69B0" w:rsidRDefault="003C69B0" w:rsidP="00904986">
      <w:pPr>
        <w:spacing w:line="240" w:lineRule="auto"/>
        <w:rPr>
          <w:sz w:val="24"/>
          <w:szCs w:val="24"/>
        </w:rPr>
      </w:pPr>
      <w:r w:rsidRPr="003C69B0">
        <w:rPr>
          <w:sz w:val="24"/>
          <w:szCs w:val="24"/>
        </w:rPr>
        <w:t>The clinical benefits of CT have already been established and will not be discussed further. The Applicant cited the use of routine and emergency CT imaging as an essential component of Hospital care.</w:t>
      </w:r>
      <w:r w:rsidR="00B76650">
        <w:rPr>
          <w:sz w:val="24"/>
          <w:szCs w:val="24"/>
        </w:rPr>
        <w:t xml:space="preserve"> </w:t>
      </w:r>
      <w:r w:rsidR="001A278B">
        <w:rPr>
          <w:sz w:val="24"/>
          <w:szCs w:val="24"/>
        </w:rPr>
        <w:t>D</w:t>
      </w:r>
      <w:r w:rsidR="00B76650">
        <w:rPr>
          <w:sz w:val="24"/>
          <w:szCs w:val="24"/>
        </w:rPr>
        <w:t>ela</w:t>
      </w:r>
      <w:r w:rsidR="00C53ECD">
        <w:rPr>
          <w:sz w:val="24"/>
          <w:szCs w:val="24"/>
        </w:rPr>
        <w:t>yed</w:t>
      </w:r>
      <w:r w:rsidR="00B76650">
        <w:rPr>
          <w:sz w:val="24"/>
          <w:szCs w:val="24"/>
        </w:rPr>
        <w:t xml:space="preserve"> access to high-quality care can have </w:t>
      </w:r>
      <w:r w:rsidR="001A278B">
        <w:rPr>
          <w:sz w:val="24"/>
          <w:szCs w:val="24"/>
        </w:rPr>
        <w:t xml:space="preserve">a negative impact </w:t>
      </w:r>
      <w:r w:rsidR="00B76650">
        <w:rPr>
          <w:sz w:val="24"/>
          <w:szCs w:val="24"/>
        </w:rPr>
        <w:t>on patient satisfaction, quality of life, and health outcomes as a result of delayed diagnosis and treatment.</w:t>
      </w:r>
      <w:r w:rsidRPr="003C69B0">
        <w:rPr>
          <w:sz w:val="24"/>
          <w:szCs w:val="24"/>
        </w:rPr>
        <w:t xml:space="preserve"> In terms of the Proposed Project, the addition of a second CT unit will improve health outcomes and quality of life for specific patients requiring CT</w:t>
      </w:r>
      <w:r w:rsidR="005961F6">
        <w:rPr>
          <w:sz w:val="24"/>
          <w:szCs w:val="24"/>
        </w:rPr>
        <w:t>.</w:t>
      </w:r>
    </w:p>
    <w:p w14:paraId="46714C62" w14:textId="1415D69B" w:rsidR="008F346D" w:rsidRDefault="008F346D" w:rsidP="008F346D">
      <w:pPr>
        <w:spacing w:after="0" w:line="240" w:lineRule="auto"/>
        <w:rPr>
          <w:sz w:val="24"/>
          <w:szCs w:val="24"/>
        </w:rPr>
      </w:pPr>
      <w:r w:rsidRPr="008F346D">
        <w:rPr>
          <w:b/>
          <w:bCs/>
          <w:sz w:val="24"/>
          <w:szCs w:val="24"/>
        </w:rPr>
        <w:t>Stroke:</w:t>
      </w:r>
      <w:r w:rsidRPr="008F346D">
        <w:rPr>
          <w:sz w:val="24"/>
          <w:szCs w:val="24"/>
        </w:rPr>
        <w:t xml:space="preserve"> Stroke is a leading cause of death in the United States and is a major cause of serious disability for adults.</w:t>
      </w:r>
      <w:r>
        <w:rPr>
          <w:rStyle w:val="EndnoteReference"/>
          <w:sz w:val="24"/>
          <w:szCs w:val="24"/>
        </w:rPr>
        <w:endnoteReference w:id="4"/>
      </w:r>
      <w:r w:rsidRPr="008F346D">
        <w:rPr>
          <w:sz w:val="24"/>
          <w:szCs w:val="24"/>
        </w:rPr>
        <w:t> Non-contrast computed tomography (CT) remains the primary imaging modality for the initial evaluation of patients with suspected stroke.</w:t>
      </w:r>
      <w:r>
        <w:rPr>
          <w:rStyle w:val="EndnoteReference"/>
          <w:sz w:val="24"/>
          <w:szCs w:val="24"/>
        </w:rPr>
        <w:endnoteReference w:id="5"/>
      </w:r>
      <w:r w:rsidRPr="008F346D">
        <w:rPr>
          <w:sz w:val="24"/>
          <w:szCs w:val="24"/>
        </w:rPr>
        <w:t xml:space="preserve"> AHA/ASA Get With the Guidelines - Stroke program and PSS Time Target Recommendations recommend best practices for stroke care and outline the critical importance of patients receiving immediate medical treatment when experiencing a stroke due to the rapid decline in brain function as a stroke progresses. This includes receiving a CT within 25 minutes (door-to-CT time) and interpretation of the CT scan within 45 minutes. Rapid imaging is important for improving health outcomes; patients that present and receive a CT in a timely manner may be eligible for tPA (clot buster) to potentially prevent long-term cerebral damage. CT is used in diagnosis and to determine the type of stroke a patient is experiencing. CT scan can also rule out other brain abnormalities. Strokes can lead to permanent disability, brain damage, and death. Early diagnosis of stroke can reduce the likelihood of a patient living with a disability. </w:t>
      </w:r>
    </w:p>
    <w:p w14:paraId="24D6BC92" w14:textId="77777777" w:rsidR="001A278B" w:rsidRPr="008F346D" w:rsidRDefault="001A278B" w:rsidP="008F346D">
      <w:pPr>
        <w:spacing w:after="0" w:line="240" w:lineRule="auto"/>
        <w:rPr>
          <w:sz w:val="24"/>
          <w:szCs w:val="24"/>
        </w:rPr>
      </w:pPr>
    </w:p>
    <w:p w14:paraId="2F7C244A" w14:textId="5F297B71" w:rsidR="00BA757F" w:rsidRPr="00C53ECD" w:rsidRDefault="00C53ECD" w:rsidP="00C53ECD">
      <w:pPr>
        <w:spacing w:line="240" w:lineRule="auto"/>
        <w:rPr>
          <w:sz w:val="24"/>
          <w:szCs w:val="24"/>
        </w:rPr>
      </w:pPr>
      <w:r w:rsidRPr="00C53ECD">
        <w:rPr>
          <w:b/>
          <w:bCs/>
          <w:sz w:val="24"/>
          <w:szCs w:val="24"/>
        </w:rPr>
        <w:t>CT-Guided Procedures</w:t>
      </w:r>
      <w:r w:rsidRPr="00C53ECD">
        <w:rPr>
          <w:sz w:val="24"/>
          <w:szCs w:val="24"/>
        </w:rPr>
        <w:t xml:space="preserve">: </w:t>
      </w:r>
      <w:r w:rsidR="00BA757F" w:rsidRPr="00C53ECD">
        <w:rPr>
          <w:sz w:val="24"/>
          <w:szCs w:val="24"/>
        </w:rPr>
        <w:t xml:space="preserve">Complex procedures are often associated with increased procedural risks to patients and navigational tools such as CT-guidance have offered providers a way to facilitate complex interventions and improve outcomes. </w:t>
      </w:r>
      <w:r w:rsidR="001E55DD" w:rsidRPr="00C53ECD">
        <w:rPr>
          <w:sz w:val="24"/>
          <w:szCs w:val="24"/>
        </w:rPr>
        <w:t xml:space="preserve">Image-guided procedures are the safe and preferred alternative to surgical drainage procedures such as drainage of intra-abdominal abscesses. </w:t>
      </w:r>
      <w:r w:rsidR="003A48CD" w:rsidRPr="00C53ECD">
        <w:rPr>
          <w:sz w:val="24"/>
          <w:szCs w:val="24"/>
        </w:rPr>
        <w:t xml:space="preserve">Minimally invasive approach offered by image guided procedures offer lower morbidity, allows the use of moderate sedation (compared to general anesthesia), and is </w:t>
      </w:r>
      <w:r w:rsidR="003A48CD" w:rsidRPr="00C53ECD">
        <w:rPr>
          <w:sz w:val="24"/>
          <w:szCs w:val="24"/>
        </w:rPr>
        <w:lastRenderedPageBreak/>
        <w:t xml:space="preserve">associated with lower costs of medical care. </w:t>
      </w:r>
      <w:r w:rsidR="004209AB">
        <w:rPr>
          <w:sz w:val="24"/>
          <w:szCs w:val="24"/>
        </w:rPr>
        <w:t>Image-guided procedures p</w:t>
      </w:r>
      <w:r w:rsidR="000F7F2A" w:rsidRPr="00C53ECD">
        <w:rPr>
          <w:sz w:val="24"/>
          <w:szCs w:val="24"/>
        </w:rPr>
        <w:t>rovides real-time visual information that leads to improved health outcomes and reduced risk of damage to surrounding tissue.</w:t>
      </w:r>
      <w:r w:rsidR="008C6848">
        <w:rPr>
          <w:rStyle w:val="FootnoteReference"/>
          <w:sz w:val="24"/>
          <w:szCs w:val="24"/>
        </w:rPr>
        <w:footnoteReference w:id="19"/>
      </w:r>
      <w:r w:rsidR="000F7F2A" w:rsidRPr="00C53ECD">
        <w:rPr>
          <w:sz w:val="24"/>
          <w:szCs w:val="24"/>
        </w:rPr>
        <w:t xml:space="preserve"> </w:t>
      </w:r>
    </w:p>
    <w:p w14:paraId="199C2295" w14:textId="0D9F1D78" w:rsidR="0066012B" w:rsidRPr="001659E6" w:rsidRDefault="003E1C8F" w:rsidP="0066012B">
      <w:pPr>
        <w:spacing w:line="240" w:lineRule="auto"/>
        <w:rPr>
          <w:b/>
          <w:bCs/>
          <w:sz w:val="24"/>
          <w:szCs w:val="24"/>
        </w:rPr>
      </w:pPr>
      <w:r w:rsidRPr="003E1C8F">
        <w:rPr>
          <w:b/>
          <w:bCs/>
          <w:sz w:val="24"/>
          <w:szCs w:val="24"/>
        </w:rPr>
        <w:t>Appropriate Use</w:t>
      </w:r>
      <w:r w:rsidR="00C53ECD">
        <w:rPr>
          <w:b/>
          <w:bCs/>
          <w:sz w:val="24"/>
          <w:szCs w:val="24"/>
        </w:rPr>
        <w:t>:</w:t>
      </w:r>
      <w:r w:rsidRPr="003E1C8F">
        <w:rPr>
          <w:b/>
          <w:bCs/>
          <w:sz w:val="24"/>
          <w:szCs w:val="24"/>
        </w:rPr>
        <w:t xml:space="preserve"> </w:t>
      </w:r>
      <w:r w:rsidRPr="003E1C8F">
        <w:rPr>
          <w:sz w:val="24"/>
          <w:szCs w:val="24"/>
        </w:rPr>
        <w:t>Commencing in 2022, providers will be required to follow Medicare Part B Appropriate Use Criteria for Advanced Diagnostic Imaging. The Radiology Department will screen CT orders to ensure appropriateness</w:t>
      </w:r>
      <w:r w:rsidR="004209AB">
        <w:rPr>
          <w:sz w:val="24"/>
          <w:szCs w:val="24"/>
        </w:rPr>
        <w:t xml:space="preserve">. </w:t>
      </w:r>
      <w:r w:rsidRPr="003E1C8F">
        <w:rPr>
          <w:sz w:val="24"/>
          <w:szCs w:val="24"/>
        </w:rPr>
        <w:t>Providers currently follow standards of care to ensure that CT imaging at the hospital is used only under appropriate circumstances. Radiology orders are checked for compliance with external payer preauthorization requirements.</w:t>
      </w:r>
      <w:r w:rsidRPr="003E1C8F">
        <w:rPr>
          <w:b/>
          <w:bCs/>
          <w:sz w:val="24"/>
          <w:szCs w:val="24"/>
        </w:rPr>
        <w:t xml:space="preserve"> </w:t>
      </w:r>
      <w:r w:rsidR="001659E6" w:rsidRPr="00F611D5">
        <w:rPr>
          <w:sz w:val="24"/>
          <w:szCs w:val="24"/>
        </w:rPr>
        <w:t>In addition,</w:t>
      </w:r>
      <w:r w:rsidR="001659E6" w:rsidRPr="00F611D5">
        <w:rPr>
          <w:b/>
          <w:bCs/>
          <w:sz w:val="24"/>
          <w:szCs w:val="24"/>
        </w:rPr>
        <w:t xml:space="preserve"> </w:t>
      </w:r>
      <w:r w:rsidR="00C21549">
        <w:rPr>
          <w:sz w:val="24"/>
          <w:szCs w:val="24"/>
        </w:rPr>
        <w:t>BID-N</w:t>
      </w:r>
      <w:r w:rsidR="001F6101" w:rsidRPr="00F611D5">
        <w:rPr>
          <w:sz w:val="24"/>
          <w:szCs w:val="24"/>
        </w:rPr>
        <w:t>eedham will be</w:t>
      </w:r>
      <w:r w:rsidR="001F6101" w:rsidRPr="00F611D5">
        <w:rPr>
          <w:b/>
          <w:bCs/>
          <w:sz w:val="24"/>
          <w:szCs w:val="24"/>
        </w:rPr>
        <w:t xml:space="preserve"> </w:t>
      </w:r>
      <w:r w:rsidR="001659E6" w:rsidRPr="00F611D5">
        <w:rPr>
          <w:sz w:val="24"/>
          <w:szCs w:val="24"/>
        </w:rPr>
        <w:t>u</w:t>
      </w:r>
      <w:r w:rsidR="0066012B" w:rsidRPr="00F611D5">
        <w:rPr>
          <w:sz w:val="24"/>
          <w:szCs w:val="24"/>
        </w:rPr>
        <w:t xml:space="preserve">tilizing a unit and protocols that are already integrated within the existing </w:t>
      </w:r>
      <w:r w:rsidR="00C21549">
        <w:rPr>
          <w:sz w:val="24"/>
          <w:szCs w:val="24"/>
        </w:rPr>
        <w:t>BID-N</w:t>
      </w:r>
      <w:r w:rsidR="00A00C40">
        <w:rPr>
          <w:sz w:val="24"/>
          <w:szCs w:val="24"/>
        </w:rPr>
        <w:t>eedham</w:t>
      </w:r>
      <w:r w:rsidR="0066012B" w:rsidRPr="00F611D5">
        <w:rPr>
          <w:sz w:val="24"/>
          <w:szCs w:val="24"/>
        </w:rPr>
        <w:t xml:space="preserve"> Department of Radiology.</w:t>
      </w:r>
    </w:p>
    <w:p w14:paraId="3FF4AB72" w14:textId="2C3A4C60" w:rsidR="0066012B" w:rsidRPr="0066012B" w:rsidRDefault="0066012B" w:rsidP="0066012B">
      <w:pPr>
        <w:spacing w:line="240" w:lineRule="auto"/>
        <w:rPr>
          <w:sz w:val="24"/>
          <w:szCs w:val="24"/>
        </w:rPr>
      </w:pPr>
      <w:r w:rsidRPr="0066012B">
        <w:rPr>
          <w:sz w:val="24"/>
          <w:szCs w:val="24"/>
        </w:rPr>
        <w:t>The Applicant has provided several measures, including wait times to appointments, which may indicate improved outcomes. Staff reviewed the suggested measures that will become part of the annual reporting to DPH.  The measures are described in Appendix 1 below.</w:t>
      </w:r>
    </w:p>
    <w:p w14:paraId="6F4871CC" w14:textId="77777777" w:rsidR="00F46BA8" w:rsidRDefault="00F46BA8" w:rsidP="00904986">
      <w:pPr>
        <w:widowControl w:val="0"/>
        <w:spacing w:after="0" w:line="240" w:lineRule="auto"/>
        <w:ind w:right="114"/>
        <w:rPr>
          <w:rFonts w:cstheme="minorHAnsi"/>
          <w:b/>
          <w:i/>
          <w:iCs/>
          <w:sz w:val="24"/>
          <w:szCs w:val="24"/>
        </w:rPr>
      </w:pPr>
    </w:p>
    <w:p w14:paraId="107473E7" w14:textId="7AC70858" w:rsidR="00D80264" w:rsidRPr="005407F6" w:rsidRDefault="00D80264" w:rsidP="00904986">
      <w:pPr>
        <w:widowControl w:val="0"/>
        <w:spacing w:after="0" w:line="240" w:lineRule="auto"/>
        <w:ind w:right="114"/>
        <w:rPr>
          <w:rFonts w:cstheme="minorHAnsi"/>
          <w:b/>
          <w:i/>
          <w:iCs/>
          <w:sz w:val="24"/>
          <w:szCs w:val="24"/>
        </w:rPr>
      </w:pPr>
      <w:r w:rsidRPr="005407F6">
        <w:rPr>
          <w:rFonts w:cstheme="minorHAnsi"/>
          <w:b/>
          <w:i/>
          <w:iCs/>
          <w:sz w:val="24"/>
          <w:szCs w:val="24"/>
        </w:rPr>
        <w:t>Analysis</w:t>
      </w:r>
      <w:r w:rsidR="005C6A6C">
        <w:rPr>
          <w:rFonts w:cstheme="minorHAnsi"/>
          <w:b/>
          <w:i/>
          <w:iCs/>
          <w:sz w:val="24"/>
          <w:szCs w:val="24"/>
        </w:rPr>
        <w:t xml:space="preserve">: Improved Outcomes and Quality of Life </w:t>
      </w:r>
    </w:p>
    <w:p w14:paraId="5E8F310B" w14:textId="77777777" w:rsidR="00D80264" w:rsidRDefault="00D80264" w:rsidP="002C493A">
      <w:pPr>
        <w:pStyle w:val="ListParagraph"/>
        <w:numPr>
          <w:ilvl w:val="0"/>
          <w:numId w:val="2"/>
        </w:numPr>
        <w:spacing w:line="240" w:lineRule="auto"/>
        <w:rPr>
          <w:sz w:val="24"/>
          <w:szCs w:val="24"/>
        </w:rPr>
      </w:pPr>
      <w:r w:rsidRPr="00B1361C">
        <w:rPr>
          <w:b/>
          <w:sz w:val="24"/>
          <w:szCs w:val="24"/>
        </w:rPr>
        <w:t>Improved Outcomes</w:t>
      </w:r>
      <w:r>
        <w:rPr>
          <w:sz w:val="24"/>
          <w:szCs w:val="24"/>
        </w:rPr>
        <w:t xml:space="preserve"> - CT </w:t>
      </w:r>
      <w:r>
        <w:rPr>
          <w:bCs/>
          <w:sz w:val="24"/>
          <w:szCs w:val="24"/>
        </w:rPr>
        <w:t>can i</w:t>
      </w:r>
      <w:r w:rsidRPr="00B1361C">
        <w:rPr>
          <w:bCs/>
          <w:sz w:val="24"/>
          <w:szCs w:val="24"/>
        </w:rPr>
        <w:t>mprov</w:t>
      </w:r>
      <w:r>
        <w:rPr>
          <w:bCs/>
          <w:sz w:val="24"/>
          <w:szCs w:val="24"/>
        </w:rPr>
        <w:t>e</w:t>
      </w:r>
      <w:r w:rsidRPr="00B1361C">
        <w:rPr>
          <w:bCs/>
          <w:sz w:val="24"/>
          <w:szCs w:val="24"/>
        </w:rPr>
        <w:t xml:space="preserve"> quality of life by</w:t>
      </w:r>
      <w:r>
        <w:rPr>
          <w:bCs/>
          <w:sz w:val="24"/>
          <w:szCs w:val="24"/>
        </w:rPr>
        <w:t xml:space="preserve"> </w:t>
      </w:r>
      <w:r w:rsidRPr="00B1361C">
        <w:rPr>
          <w:bCs/>
          <w:sz w:val="24"/>
          <w:szCs w:val="24"/>
        </w:rPr>
        <w:t xml:space="preserve">providing more accurate information to </w:t>
      </w:r>
      <w:r>
        <w:rPr>
          <w:bCs/>
          <w:sz w:val="24"/>
          <w:szCs w:val="24"/>
        </w:rPr>
        <w:t>facilitate</w:t>
      </w:r>
      <w:r w:rsidRPr="00B1361C">
        <w:rPr>
          <w:bCs/>
          <w:sz w:val="24"/>
          <w:szCs w:val="24"/>
        </w:rPr>
        <w:t xml:space="preserve"> appropriate treatment</w:t>
      </w:r>
      <w:r>
        <w:rPr>
          <w:bCs/>
          <w:sz w:val="24"/>
          <w:szCs w:val="24"/>
        </w:rPr>
        <w:t xml:space="preserve"> and </w:t>
      </w:r>
      <w:r w:rsidRPr="009173A3">
        <w:rPr>
          <w:bCs/>
          <w:sz w:val="24"/>
          <w:szCs w:val="24"/>
        </w:rPr>
        <w:t>reduc</w:t>
      </w:r>
      <w:r>
        <w:rPr>
          <w:bCs/>
          <w:sz w:val="24"/>
          <w:szCs w:val="24"/>
        </w:rPr>
        <w:t>e</w:t>
      </w:r>
      <w:r w:rsidRPr="009173A3">
        <w:rPr>
          <w:bCs/>
          <w:sz w:val="24"/>
          <w:szCs w:val="24"/>
        </w:rPr>
        <w:t xml:space="preserve"> unnecessary treatment</w:t>
      </w:r>
      <w:r>
        <w:rPr>
          <w:bCs/>
          <w:sz w:val="24"/>
          <w:szCs w:val="24"/>
        </w:rPr>
        <w:t>.</w:t>
      </w:r>
    </w:p>
    <w:p w14:paraId="365961D1" w14:textId="3E3CD63A" w:rsidR="00D80264" w:rsidRPr="00623FAB" w:rsidRDefault="00D80264" w:rsidP="002C493A">
      <w:pPr>
        <w:pStyle w:val="ListParagraph"/>
        <w:numPr>
          <w:ilvl w:val="0"/>
          <w:numId w:val="2"/>
        </w:numPr>
        <w:spacing w:line="240" w:lineRule="auto"/>
        <w:rPr>
          <w:sz w:val="24"/>
          <w:szCs w:val="24"/>
        </w:rPr>
      </w:pPr>
      <w:r w:rsidRPr="00B1361C">
        <w:rPr>
          <w:b/>
          <w:sz w:val="24"/>
          <w:szCs w:val="24"/>
        </w:rPr>
        <w:t>Reduced wait times for imaging</w:t>
      </w:r>
      <w:r>
        <w:rPr>
          <w:b/>
          <w:sz w:val="24"/>
          <w:szCs w:val="24"/>
        </w:rPr>
        <w:t xml:space="preserve"> </w:t>
      </w:r>
      <w:r w:rsidRPr="00826BD1">
        <w:rPr>
          <w:bCs/>
          <w:sz w:val="24"/>
          <w:szCs w:val="24"/>
        </w:rPr>
        <w:t>-</w:t>
      </w:r>
      <w:r w:rsidRPr="00B1361C">
        <w:rPr>
          <w:b/>
          <w:sz w:val="24"/>
          <w:szCs w:val="24"/>
        </w:rPr>
        <w:t xml:space="preserve"> </w:t>
      </w:r>
      <w:r w:rsidRPr="00B1361C">
        <w:rPr>
          <w:bCs/>
          <w:sz w:val="24"/>
          <w:szCs w:val="24"/>
        </w:rPr>
        <w:t>Improved access to</w:t>
      </w:r>
      <w:r>
        <w:rPr>
          <w:bCs/>
          <w:sz w:val="24"/>
          <w:szCs w:val="24"/>
        </w:rPr>
        <w:t xml:space="preserve"> CT</w:t>
      </w:r>
      <w:r w:rsidRPr="00B1361C">
        <w:rPr>
          <w:bCs/>
          <w:sz w:val="24"/>
          <w:szCs w:val="24"/>
        </w:rPr>
        <w:t xml:space="preserve"> can allow for prompt scanning of more patients</w:t>
      </w:r>
      <w:r>
        <w:rPr>
          <w:bCs/>
          <w:sz w:val="24"/>
          <w:szCs w:val="24"/>
        </w:rPr>
        <w:t>; r</w:t>
      </w:r>
      <w:r w:rsidRPr="00B1361C">
        <w:rPr>
          <w:bCs/>
          <w:sz w:val="24"/>
          <w:szCs w:val="24"/>
        </w:rPr>
        <w:t xml:space="preserve">educing delays in diagnosis and treatment can improve health outcomes and quality of life. </w:t>
      </w:r>
    </w:p>
    <w:p w14:paraId="3EF332F5" w14:textId="1DA9554F" w:rsidR="00623FAB" w:rsidRPr="00B1361C" w:rsidRDefault="00623FAB" w:rsidP="002C493A">
      <w:pPr>
        <w:pStyle w:val="ListParagraph"/>
        <w:numPr>
          <w:ilvl w:val="0"/>
          <w:numId w:val="2"/>
        </w:numPr>
        <w:spacing w:line="240" w:lineRule="auto"/>
        <w:rPr>
          <w:sz w:val="24"/>
          <w:szCs w:val="24"/>
        </w:rPr>
      </w:pPr>
      <w:r>
        <w:rPr>
          <w:b/>
          <w:sz w:val="24"/>
          <w:szCs w:val="24"/>
        </w:rPr>
        <w:t xml:space="preserve">Local/Community Access to CT Services </w:t>
      </w:r>
      <w:r>
        <w:rPr>
          <w:sz w:val="24"/>
          <w:szCs w:val="24"/>
        </w:rPr>
        <w:t xml:space="preserve">– The </w:t>
      </w:r>
      <w:r w:rsidR="00F477C9">
        <w:rPr>
          <w:sz w:val="24"/>
          <w:szCs w:val="24"/>
        </w:rPr>
        <w:t>a</w:t>
      </w:r>
      <w:r>
        <w:rPr>
          <w:sz w:val="24"/>
          <w:szCs w:val="24"/>
        </w:rPr>
        <w:t>ddition of a second CT unit will support local access to CT services for patients currently seeking these services outside the service area due to capacity constraints with the existing CT unit.</w:t>
      </w:r>
    </w:p>
    <w:p w14:paraId="6C0DDED6" w14:textId="77777777" w:rsidR="00301310" w:rsidRDefault="00D80264" w:rsidP="00301310">
      <w:pPr>
        <w:pStyle w:val="ListParagraph"/>
        <w:numPr>
          <w:ilvl w:val="0"/>
          <w:numId w:val="2"/>
        </w:numPr>
        <w:spacing w:line="240" w:lineRule="auto"/>
        <w:rPr>
          <w:bCs/>
          <w:sz w:val="24"/>
          <w:szCs w:val="24"/>
        </w:rPr>
      </w:pPr>
      <w:r w:rsidRPr="00B1361C">
        <w:rPr>
          <w:b/>
          <w:sz w:val="24"/>
          <w:szCs w:val="24"/>
        </w:rPr>
        <w:t>Improved patient experience</w:t>
      </w:r>
      <w:r>
        <w:rPr>
          <w:b/>
          <w:sz w:val="24"/>
          <w:szCs w:val="24"/>
        </w:rPr>
        <w:t xml:space="preserve"> </w:t>
      </w:r>
      <w:r w:rsidRPr="00826BD1">
        <w:rPr>
          <w:bCs/>
          <w:sz w:val="24"/>
          <w:szCs w:val="24"/>
        </w:rPr>
        <w:t xml:space="preserve">- </w:t>
      </w:r>
      <w:r w:rsidRPr="00B1361C">
        <w:rPr>
          <w:bCs/>
          <w:sz w:val="24"/>
          <w:szCs w:val="24"/>
        </w:rPr>
        <w:t>Reducing scan times can provide comfort to patients and improve patient experience and satisfaction.</w:t>
      </w:r>
      <w:r w:rsidRPr="00F16A9E">
        <w:rPr>
          <w:bCs/>
          <w:sz w:val="24"/>
          <w:szCs w:val="24"/>
        </w:rPr>
        <w:t xml:space="preserve"> Earlier diagnosis and treatment can reduce time lost from work, family</w:t>
      </w:r>
      <w:r>
        <w:rPr>
          <w:bCs/>
          <w:sz w:val="24"/>
          <w:szCs w:val="24"/>
        </w:rPr>
        <w:t>,</w:t>
      </w:r>
      <w:r w:rsidRPr="00F16A9E">
        <w:rPr>
          <w:bCs/>
          <w:sz w:val="24"/>
          <w:szCs w:val="24"/>
        </w:rPr>
        <w:t xml:space="preserve"> and other activities, and as a result, patients may experience a greater sense of well-being.</w:t>
      </w:r>
    </w:p>
    <w:p w14:paraId="67F2D0A6" w14:textId="2C87E2B1" w:rsidR="006E0165" w:rsidRPr="00D272FE" w:rsidRDefault="006E0165" w:rsidP="006E0165">
      <w:pPr>
        <w:spacing w:line="240" w:lineRule="auto"/>
        <w:rPr>
          <w:sz w:val="24"/>
          <w:szCs w:val="24"/>
        </w:rPr>
      </w:pPr>
      <w:r w:rsidRPr="00D272FE">
        <w:rPr>
          <w:sz w:val="24"/>
          <w:szCs w:val="24"/>
        </w:rPr>
        <w:t xml:space="preserve">The Applicant anticipates that the addition of one CT at this site will provide its patients with improved access to high quality CT services, which will improve health outcomes and thereby, quality of life. Research indicates that delayed access to quality health care negatively affects patient satisfaction as well as health outcomes due to delays in diagnosis and treatment. Quality of life is including aspects of physical health, and delayed access to care can also decrease quality of life. As a result, staff finds that through the Proposed Project, </w:t>
      </w:r>
      <w:r w:rsidR="00C21549">
        <w:rPr>
          <w:sz w:val="24"/>
          <w:szCs w:val="24"/>
        </w:rPr>
        <w:t>BID-N</w:t>
      </w:r>
      <w:r w:rsidR="00B843F4">
        <w:rPr>
          <w:sz w:val="24"/>
          <w:szCs w:val="24"/>
        </w:rPr>
        <w:t>eedham</w:t>
      </w:r>
      <w:r w:rsidRPr="00D272FE">
        <w:rPr>
          <w:sz w:val="24"/>
          <w:szCs w:val="24"/>
        </w:rPr>
        <w:t xml:space="preserve"> is likely to improve access to effective, high-quality imaging services, and thereby enhance patient satisfaction, health outcomes and quality of life for its patient population.</w:t>
      </w:r>
    </w:p>
    <w:p w14:paraId="693B6860" w14:textId="0F90800D" w:rsidR="006E0165" w:rsidRDefault="00C21549" w:rsidP="006E0165">
      <w:pPr>
        <w:widowControl w:val="0"/>
        <w:spacing w:after="0" w:line="240" w:lineRule="auto"/>
        <w:ind w:right="114"/>
        <w:rPr>
          <w:rFonts w:cstheme="minorHAnsi"/>
          <w:bCs/>
          <w:sz w:val="24"/>
          <w:szCs w:val="24"/>
        </w:rPr>
      </w:pPr>
      <w:r>
        <w:rPr>
          <w:rFonts w:cstheme="minorHAnsi"/>
          <w:bCs/>
          <w:sz w:val="24"/>
          <w:szCs w:val="24"/>
        </w:rPr>
        <w:t>BID-N</w:t>
      </w:r>
      <w:r w:rsidR="0090552A">
        <w:rPr>
          <w:rFonts w:cstheme="minorHAnsi"/>
          <w:bCs/>
          <w:sz w:val="24"/>
          <w:szCs w:val="24"/>
        </w:rPr>
        <w:t>eedham</w:t>
      </w:r>
      <w:r w:rsidR="006E0165">
        <w:rPr>
          <w:rFonts w:cstheme="minorHAnsi"/>
          <w:bCs/>
          <w:sz w:val="24"/>
          <w:szCs w:val="24"/>
        </w:rPr>
        <w:t xml:space="preserve"> </w:t>
      </w:r>
      <w:r w:rsidR="006E0165" w:rsidRPr="00814941">
        <w:rPr>
          <w:rFonts w:cstheme="minorHAnsi"/>
          <w:bCs/>
          <w:sz w:val="24"/>
          <w:szCs w:val="24"/>
        </w:rPr>
        <w:t>is in the process of implementing a clinical decision support tool in compliance with Medicare’s Appropriate Use Criteria mandate</w:t>
      </w:r>
      <w:r w:rsidR="006E0165">
        <w:rPr>
          <w:rFonts w:cstheme="minorHAnsi"/>
          <w:bCs/>
          <w:sz w:val="24"/>
          <w:szCs w:val="24"/>
        </w:rPr>
        <w:t xml:space="preserve">. </w:t>
      </w:r>
      <w:r w:rsidR="006E0165" w:rsidRPr="009646A0">
        <w:rPr>
          <w:rFonts w:cstheme="minorHAnsi"/>
          <w:bCs/>
          <w:sz w:val="24"/>
          <w:szCs w:val="24"/>
        </w:rPr>
        <w:t xml:space="preserve">The Applicant has provided several measures, including wait times to appointments, which may indicate improved outcomes. </w:t>
      </w:r>
      <w:r w:rsidR="006E0165" w:rsidRPr="009646A0">
        <w:rPr>
          <w:rFonts w:cstheme="minorHAnsi"/>
          <w:bCs/>
          <w:sz w:val="24"/>
          <w:szCs w:val="24"/>
        </w:rPr>
        <w:lastRenderedPageBreak/>
        <w:t>Staff reviewed the suggested measures that will become part of the annual reporting to DPH.  The measures are described in Appendix 1 below.</w:t>
      </w:r>
    </w:p>
    <w:p w14:paraId="377F09A3" w14:textId="77777777" w:rsidR="00A241E3" w:rsidRDefault="00A241E3" w:rsidP="008B7E2E">
      <w:pPr>
        <w:spacing w:after="0" w:line="240" w:lineRule="auto"/>
      </w:pPr>
    </w:p>
    <w:p w14:paraId="40981AB9" w14:textId="77777777" w:rsidR="005C6A6C" w:rsidRPr="005C6A6C" w:rsidRDefault="005C6A6C" w:rsidP="005C6A6C">
      <w:pPr>
        <w:spacing w:line="240" w:lineRule="auto"/>
        <w:rPr>
          <w:b/>
          <w:bCs/>
          <w:i/>
          <w:iCs/>
          <w:sz w:val="24"/>
          <w:szCs w:val="24"/>
        </w:rPr>
      </w:pPr>
      <w:r w:rsidRPr="005C6A6C">
        <w:rPr>
          <w:b/>
          <w:bCs/>
          <w:i/>
          <w:iCs/>
          <w:sz w:val="24"/>
          <w:szCs w:val="24"/>
        </w:rPr>
        <w:t>Public Health Value: Health Equity</w:t>
      </w:r>
    </w:p>
    <w:p w14:paraId="56300AD3" w14:textId="1D70AEB7" w:rsidR="00CF6C6F" w:rsidRPr="00ED661D" w:rsidRDefault="00CF6C6F" w:rsidP="00ED661D">
      <w:pPr>
        <w:spacing w:line="240" w:lineRule="auto"/>
        <w:rPr>
          <w:sz w:val="24"/>
          <w:szCs w:val="24"/>
        </w:rPr>
      </w:pPr>
      <w:r w:rsidRPr="00ED661D">
        <w:rPr>
          <w:sz w:val="24"/>
          <w:szCs w:val="24"/>
        </w:rPr>
        <w:t xml:space="preserve">The Applicant states that </w:t>
      </w:r>
      <w:r w:rsidR="00C21549" w:rsidRPr="00ED661D">
        <w:rPr>
          <w:sz w:val="24"/>
          <w:szCs w:val="24"/>
        </w:rPr>
        <w:t>BID-N</w:t>
      </w:r>
      <w:r w:rsidR="00A00C40" w:rsidRPr="00ED661D">
        <w:rPr>
          <w:sz w:val="24"/>
          <w:szCs w:val="24"/>
        </w:rPr>
        <w:t>eedham</w:t>
      </w:r>
      <w:r w:rsidRPr="00ED661D">
        <w:rPr>
          <w:sz w:val="24"/>
          <w:szCs w:val="24"/>
        </w:rPr>
        <w:t xml:space="preserve"> will ensure accessibility of its services for poor, medical indigent, and/or Medicaid eligible individuals or participation in the MassHealth ACO. </w:t>
      </w:r>
      <w:r w:rsidR="00C21549" w:rsidRPr="00ED661D">
        <w:rPr>
          <w:sz w:val="24"/>
          <w:szCs w:val="24"/>
        </w:rPr>
        <w:t>BID-N</w:t>
      </w:r>
      <w:r w:rsidR="00A00C40" w:rsidRPr="00ED661D">
        <w:rPr>
          <w:sz w:val="24"/>
          <w:szCs w:val="24"/>
        </w:rPr>
        <w:t>eedham</w:t>
      </w:r>
      <w:r w:rsidRPr="00ED661D">
        <w:rPr>
          <w:sz w:val="24"/>
          <w:szCs w:val="24"/>
        </w:rPr>
        <w:t xml:space="preserve"> is committed to serving the community regardless of an individual’s ability to pay</w:t>
      </w:r>
      <w:r w:rsidR="00C774D7">
        <w:rPr>
          <w:sz w:val="24"/>
          <w:szCs w:val="24"/>
        </w:rPr>
        <w:t xml:space="preserve">, and the Hospital </w:t>
      </w:r>
      <w:r w:rsidRPr="00ED661D">
        <w:rPr>
          <w:sz w:val="24"/>
          <w:szCs w:val="24"/>
        </w:rPr>
        <w:t xml:space="preserve">does not discriminate based on ability to pay or payor source. </w:t>
      </w:r>
    </w:p>
    <w:p w14:paraId="484F7A24" w14:textId="3DD3CCED" w:rsidR="00573EE7" w:rsidRPr="004209AB" w:rsidRDefault="00717961" w:rsidP="004209AB">
      <w:pPr>
        <w:spacing w:line="240" w:lineRule="auto"/>
        <w:rPr>
          <w:sz w:val="24"/>
          <w:szCs w:val="24"/>
        </w:rPr>
      </w:pPr>
      <w:r>
        <w:rPr>
          <w:sz w:val="24"/>
          <w:szCs w:val="24"/>
        </w:rPr>
        <w:t>The Applicant states that BID-Needham provides</w:t>
      </w:r>
      <w:r w:rsidR="00CF6C6F" w:rsidRPr="00ED661D">
        <w:rPr>
          <w:sz w:val="24"/>
          <w:szCs w:val="24"/>
        </w:rPr>
        <w:t xml:space="preserve"> culturally and linguistically competent care to all patients. </w:t>
      </w:r>
      <w:r w:rsidR="00C21549" w:rsidRPr="00ED661D">
        <w:rPr>
          <w:sz w:val="24"/>
          <w:szCs w:val="24"/>
        </w:rPr>
        <w:t>BID-N</w:t>
      </w:r>
      <w:r w:rsidR="00A00C40" w:rsidRPr="00ED661D">
        <w:rPr>
          <w:sz w:val="24"/>
          <w:szCs w:val="24"/>
        </w:rPr>
        <w:t>eedham</w:t>
      </w:r>
      <w:r w:rsidR="00AB3AEA" w:rsidRPr="00ED661D">
        <w:rPr>
          <w:sz w:val="24"/>
          <w:szCs w:val="24"/>
        </w:rPr>
        <w:t xml:space="preserve"> maintains an Interpreter Services program to meet the needs of its patient population. </w:t>
      </w:r>
      <w:r w:rsidR="001F1800">
        <w:rPr>
          <w:sz w:val="24"/>
          <w:szCs w:val="24"/>
        </w:rPr>
        <w:t xml:space="preserve">BID-Needham uses AMN Healthcare (Stratus) for its interpreter services. </w:t>
      </w:r>
      <w:r w:rsidR="001F1800" w:rsidRPr="001F1800">
        <w:rPr>
          <w:sz w:val="24"/>
          <w:szCs w:val="24"/>
        </w:rPr>
        <w:t xml:space="preserve">BID-Needham offers several options for Interpreter Services for patients, including face-to-face interpreter via video services, phone interpreting and in-person interpreter services. Interpreter </w:t>
      </w:r>
      <w:r w:rsidR="004767F2" w:rsidRPr="001F1800">
        <w:rPr>
          <w:sz w:val="24"/>
          <w:szCs w:val="24"/>
        </w:rPr>
        <w:t>iPad</w:t>
      </w:r>
      <w:r w:rsidR="001F1800" w:rsidRPr="001F1800">
        <w:rPr>
          <w:sz w:val="24"/>
          <w:szCs w:val="24"/>
        </w:rPr>
        <w:t xml:space="preserve"> on wheels (Sheldons) are located throughout the Hospital.</w:t>
      </w:r>
      <w:r w:rsidR="001F1800">
        <w:rPr>
          <w:sz w:val="24"/>
          <w:szCs w:val="24"/>
        </w:rPr>
        <w:t xml:space="preserve"> iPads allow for Video Use Remote Services which includes ASL CDI (American Sign Language Deaf Team), and “Audio Languages” which covers all languages. ASL interpreters are also available onsite. </w:t>
      </w:r>
      <w:r w:rsidR="004209AB">
        <w:rPr>
          <w:sz w:val="24"/>
          <w:szCs w:val="24"/>
        </w:rPr>
        <w:t xml:space="preserve">The Applicant notes that </w:t>
      </w:r>
      <w:r w:rsidR="00172142" w:rsidRPr="004209AB">
        <w:rPr>
          <w:sz w:val="24"/>
          <w:szCs w:val="24"/>
        </w:rPr>
        <w:t>BID-Needham completes the a</w:t>
      </w:r>
      <w:r w:rsidR="00AB3AEA" w:rsidRPr="004209AB">
        <w:rPr>
          <w:sz w:val="24"/>
          <w:szCs w:val="24"/>
        </w:rPr>
        <w:t>nnual submission of interpreter services report to the Department</w:t>
      </w:r>
      <w:r w:rsidR="004209AB">
        <w:rPr>
          <w:sz w:val="24"/>
          <w:szCs w:val="24"/>
        </w:rPr>
        <w:t xml:space="preserve"> and </w:t>
      </w:r>
      <w:r w:rsidR="00FD6028" w:rsidRPr="004209AB">
        <w:rPr>
          <w:sz w:val="24"/>
          <w:szCs w:val="24"/>
        </w:rPr>
        <w:t xml:space="preserve">BID-Needham </w:t>
      </w:r>
      <w:r w:rsidR="00485EE2">
        <w:rPr>
          <w:sz w:val="24"/>
          <w:szCs w:val="24"/>
        </w:rPr>
        <w:t xml:space="preserve">and </w:t>
      </w:r>
      <w:r w:rsidR="00FD6028" w:rsidRPr="004209AB">
        <w:rPr>
          <w:sz w:val="24"/>
          <w:szCs w:val="24"/>
        </w:rPr>
        <w:t>ha</w:t>
      </w:r>
      <w:r w:rsidR="00C774D7" w:rsidRPr="004209AB">
        <w:rPr>
          <w:sz w:val="24"/>
          <w:szCs w:val="24"/>
        </w:rPr>
        <w:t>d</w:t>
      </w:r>
      <w:r w:rsidR="00FD6028" w:rsidRPr="004209AB">
        <w:rPr>
          <w:sz w:val="24"/>
          <w:szCs w:val="24"/>
        </w:rPr>
        <w:t xml:space="preserve"> a s</w:t>
      </w:r>
      <w:r w:rsidR="00AB3AEA" w:rsidRPr="004209AB">
        <w:rPr>
          <w:sz w:val="24"/>
          <w:szCs w:val="24"/>
        </w:rPr>
        <w:t xml:space="preserve">uccessful onsite survey by the Department in 2020. </w:t>
      </w:r>
    </w:p>
    <w:p w14:paraId="525C0AD4" w14:textId="70C1D651" w:rsidR="005C6A6C" w:rsidRPr="005C6A6C" w:rsidRDefault="005C6A6C" w:rsidP="005C6A6C">
      <w:pPr>
        <w:spacing w:line="240" w:lineRule="auto"/>
        <w:rPr>
          <w:b/>
          <w:bCs/>
          <w:sz w:val="24"/>
          <w:szCs w:val="24"/>
        </w:rPr>
      </w:pPr>
      <w:r w:rsidRPr="005C6A6C">
        <w:rPr>
          <w:sz w:val="24"/>
          <w:szCs w:val="24"/>
        </w:rPr>
        <w:t xml:space="preserve">A review of BILH collective communities through the CHNA process revealed a high prevalence of certain chronic conditions, including diabetes, obesity, hypertension, and cancer. Access to specialty care plays a role in the prevention, treatment and management of complex conditions. The Applicant states that BID-Needham serves as a community hospital within the BILH system, servicing the needs of the existing BID-Needham patient population for acute community hospital care and serving as the primary acute care and community hospital for neighborhoods in close proximity to BID-Needham. </w:t>
      </w:r>
    </w:p>
    <w:p w14:paraId="4C78503E" w14:textId="77777777" w:rsidR="00005F9C" w:rsidRDefault="00005F9C" w:rsidP="00667357">
      <w:pPr>
        <w:spacing w:line="240" w:lineRule="auto"/>
        <w:rPr>
          <w:b/>
          <w:bCs/>
          <w:i/>
          <w:iCs/>
          <w:sz w:val="24"/>
          <w:szCs w:val="24"/>
        </w:rPr>
      </w:pPr>
    </w:p>
    <w:p w14:paraId="6E9B658E" w14:textId="00E42BFE" w:rsidR="00D95F91" w:rsidRPr="00667357" w:rsidRDefault="00E36B9C" w:rsidP="00667357">
      <w:pPr>
        <w:spacing w:line="240" w:lineRule="auto"/>
        <w:rPr>
          <w:b/>
          <w:bCs/>
          <w:i/>
          <w:iCs/>
          <w:sz w:val="24"/>
          <w:szCs w:val="24"/>
        </w:rPr>
      </w:pPr>
      <w:r w:rsidRPr="00667357">
        <w:rPr>
          <w:b/>
          <w:bCs/>
          <w:i/>
          <w:iCs/>
          <w:sz w:val="24"/>
          <w:szCs w:val="24"/>
        </w:rPr>
        <w:t xml:space="preserve">Analysis: Health Equity </w:t>
      </w:r>
    </w:p>
    <w:p w14:paraId="1E44B73E" w14:textId="501F8383" w:rsidR="00393FD7" w:rsidRPr="00393FD7" w:rsidRDefault="00393FD7" w:rsidP="00F07990">
      <w:pPr>
        <w:spacing w:line="240" w:lineRule="auto"/>
        <w:rPr>
          <w:sz w:val="24"/>
          <w:szCs w:val="24"/>
        </w:rPr>
      </w:pPr>
      <w:r w:rsidRPr="00393FD7">
        <w:rPr>
          <w:sz w:val="24"/>
          <w:szCs w:val="24"/>
        </w:rPr>
        <w:t xml:space="preserve">Staff finds that </w:t>
      </w:r>
      <w:r w:rsidR="00C21549">
        <w:rPr>
          <w:sz w:val="24"/>
          <w:szCs w:val="24"/>
        </w:rPr>
        <w:t>BID-N</w:t>
      </w:r>
      <w:r w:rsidR="00A00C40">
        <w:rPr>
          <w:sz w:val="24"/>
          <w:szCs w:val="24"/>
        </w:rPr>
        <w:t>eedham</w:t>
      </w:r>
      <w:r w:rsidRPr="00BD2F13">
        <w:rPr>
          <w:sz w:val="24"/>
          <w:szCs w:val="24"/>
        </w:rPr>
        <w:t>’s</w:t>
      </w:r>
      <w:r w:rsidRPr="00393FD7">
        <w:rPr>
          <w:sz w:val="24"/>
          <w:szCs w:val="24"/>
        </w:rPr>
        <w:t xml:space="preserve"> language access services are appropriate for patients receiving CT scans. The Applicant has appropriately outlined at a high level a case for improved health outcomes and has provided reasonable assurances of health equity within for CT patients.</w:t>
      </w:r>
    </w:p>
    <w:p w14:paraId="357F40A8" w14:textId="6DE04119" w:rsidR="00D95F91" w:rsidRDefault="00D95F91"/>
    <w:p w14:paraId="093D5F79" w14:textId="7F6FFE8B" w:rsidR="001151AB" w:rsidRPr="00F32829" w:rsidRDefault="00F32829">
      <w:pPr>
        <w:rPr>
          <w:b/>
          <w:bCs/>
          <w:sz w:val="28"/>
          <w:szCs w:val="28"/>
        </w:rPr>
      </w:pPr>
      <w:r w:rsidRPr="00F32829">
        <w:rPr>
          <w:b/>
          <w:bCs/>
          <w:sz w:val="28"/>
          <w:szCs w:val="28"/>
        </w:rPr>
        <w:t>Factor 1: c) Efficiency, Continuity of Care, Coordination of Care</w:t>
      </w:r>
    </w:p>
    <w:p w14:paraId="0721B23D" w14:textId="5D22D802" w:rsidR="005C4AD8" w:rsidRDefault="0087455C" w:rsidP="0087455C">
      <w:pPr>
        <w:spacing w:line="240" w:lineRule="auto"/>
        <w:rPr>
          <w:sz w:val="24"/>
          <w:szCs w:val="24"/>
        </w:rPr>
      </w:pPr>
      <w:r w:rsidRPr="0087455C">
        <w:rPr>
          <w:sz w:val="24"/>
          <w:szCs w:val="24"/>
        </w:rPr>
        <w:t xml:space="preserve">The Applicant states that </w:t>
      </w:r>
      <w:r w:rsidR="00C21549" w:rsidRPr="0087455C">
        <w:rPr>
          <w:sz w:val="24"/>
          <w:szCs w:val="24"/>
        </w:rPr>
        <w:t>BID-N</w:t>
      </w:r>
      <w:r w:rsidRPr="0087455C">
        <w:rPr>
          <w:sz w:val="24"/>
          <w:szCs w:val="24"/>
        </w:rPr>
        <w:t>eedham</w:t>
      </w:r>
      <w:r w:rsidR="005C4AD8" w:rsidRPr="0087455C">
        <w:rPr>
          <w:sz w:val="24"/>
          <w:szCs w:val="24"/>
        </w:rPr>
        <w:t xml:space="preserve"> supports and/or provides numerous community health initiatives many in conjunction with community partners such as public health departments, councils on aging, food pantries, mental health organizations and other social service organization</w:t>
      </w:r>
      <w:r w:rsidR="001A278B">
        <w:rPr>
          <w:sz w:val="24"/>
          <w:szCs w:val="24"/>
        </w:rPr>
        <w:t>s</w:t>
      </w:r>
      <w:r w:rsidR="005C4AD8" w:rsidRPr="0087455C">
        <w:rPr>
          <w:sz w:val="24"/>
          <w:szCs w:val="24"/>
        </w:rPr>
        <w:t xml:space="preserve">. Through BIDCO, </w:t>
      </w:r>
      <w:r w:rsidR="00C21549" w:rsidRPr="0087455C">
        <w:rPr>
          <w:sz w:val="24"/>
          <w:szCs w:val="24"/>
        </w:rPr>
        <w:t>BID-N</w:t>
      </w:r>
      <w:r w:rsidR="00A00C40" w:rsidRPr="0087455C">
        <w:rPr>
          <w:sz w:val="24"/>
          <w:szCs w:val="24"/>
        </w:rPr>
        <w:t>eedham</w:t>
      </w:r>
      <w:r w:rsidR="005C4AD8" w:rsidRPr="0087455C">
        <w:rPr>
          <w:sz w:val="24"/>
          <w:szCs w:val="24"/>
        </w:rPr>
        <w:t xml:space="preserve"> collaborates with other BIDCO members to evaluate and manage the health of populations through affiliated ACOs, care coordination and follow-up information. </w:t>
      </w:r>
    </w:p>
    <w:p w14:paraId="462AF22B" w14:textId="5C4B8932" w:rsidR="00580669" w:rsidRPr="0087455C" w:rsidRDefault="00580669" w:rsidP="0087455C">
      <w:pPr>
        <w:spacing w:line="240" w:lineRule="auto"/>
        <w:rPr>
          <w:sz w:val="24"/>
          <w:szCs w:val="24"/>
        </w:rPr>
      </w:pPr>
      <w:r>
        <w:rPr>
          <w:sz w:val="24"/>
          <w:szCs w:val="24"/>
        </w:rPr>
        <w:lastRenderedPageBreak/>
        <w:t>As mentioned above in Factor 1a, the addition of a second CT unit will make CT services more efficient by</w:t>
      </w:r>
      <w:r w:rsidRPr="00580669">
        <w:rPr>
          <w:sz w:val="24"/>
          <w:szCs w:val="24"/>
        </w:rPr>
        <w:t xml:space="preserve"> reliev</w:t>
      </w:r>
      <w:r>
        <w:rPr>
          <w:sz w:val="24"/>
          <w:szCs w:val="24"/>
        </w:rPr>
        <w:t>ing</w:t>
      </w:r>
      <w:r w:rsidRPr="00580669">
        <w:rPr>
          <w:sz w:val="24"/>
          <w:szCs w:val="24"/>
        </w:rPr>
        <w:t xml:space="preserve"> pressure in scheduling all types of CT procedures and exams</w:t>
      </w:r>
      <w:r>
        <w:rPr>
          <w:sz w:val="24"/>
          <w:szCs w:val="24"/>
        </w:rPr>
        <w:t>, allow</w:t>
      </w:r>
      <w:r w:rsidR="00086E1F">
        <w:rPr>
          <w:sz w:val="24"/>
          <w:szCs w:val="24"/>
        </w:rPr>
        <w:t>ing</w:t>
      </w:r>
      <w:r>
        <w:rPr>
          <w:sz w:val="24"/>
          <w:szCs w:val="24"/>
        </w:rPr>
        <w:t xml:space="preserve"> for more prompt access to CT services thereby reducing delays in diagnosis and treatment. </w:t>
      </w:r>
      <w:r w:rsidR="00F81687">
        <w:rPr>
          <w:sz w:val="24"/>
          <w:szCs w:val="24"/>
        </w:rPr>
        <w:t>Staff note that BID-Needham is a D</w:t>
      </w:r>
      <w:r w:rsidR="00C37D93">
        <w:rPr>
          <w:sz w:val="24"/>
          <w:szCs w:val="24"/>
        </w:rPr>
        <w:t>P</w:t>
      </w:r>
      <w:r w:rsidR="00F81687">
        <w:rPr>
          <w:sz w:val="24"/>
          <w:szCs w:val="24"/>
        </w:rPr>
        <w:t xml:space="preserve">H-designated PSS Hospital and providing </w:t>
      </w:r>
      <w:r w:rsidR="00F81687" w:rsidRPr="00F81687">
        <w:rPr>
          <w:sz w:val="24"/>
          <w:szCs w:val="24"/>
        </w:rPr>
        <w:t xml:space="preserve">timely and efficient access to CT services </w:t>
      </w:r>
      <w:r w:rsidR="00F81687">
        <w:rPr>
          <w:sz w:val="24"/>
          <w:szCs w:val="24"/>
        </w:rPr>
        <w:t>is critical</w:t>
      </w:r>
      <w:r w:rsidR="00F81687" w:rsidRPr="00F81687">
        <w:rPr>
          <w:sz w:val="24"/>
          <w:szCs w:val="24"/>
        </w:rPr>
        <w:t>.</w:t>
      </w:r>
      <w:r w:rsidR="00F81687">
        <w:rPr>
          <w:sz w:val="24"/>
          <w:szCs w:val="24"/>
        </w:rPr>
        <w:t xml:space="preserve"> The addition of a second CT unit will allow BID-Needham to address the imaging needs of urgent and emergent patients while preserving access for non-urgent CT services. </w:t>
      </w:r>
      <w:r w:rsidR="004209AB" w:rsidRPr="0087455C">
        <w:rPr>
          <w:sz w:val="24"/>
          <w:szCs w:val="24"/>
        </w:rPr>
        <w:t>Electronic Health Record</w:t>
      </w:r>
      <w:r w:rsidR="004209AB">
        <w:rPr>
          <w:sz w:val="24"/>
          <w:szCs w:val="24"/>
        </w:rPr>
        <w:t>s</w:t>
      </w:r>
      <w:r w:rsidR="004209AB" w:rsidRPr="0087455C">
        <w:rPr>
          <w:sz w:val="24"/>
          <w:szCs w:val="24"/>
        </w:rPr>
        <w:t xml:space="preserve"> (EHR</w:t>
      </w:r>
      <w:r w:rsidR="004209AB">
        <w:rPr>
          <w:sz w:val="24"/>
          <w:szCs w:val="24"/>
        </w:rPr>
        <w:t>s</w:t>
      </w:r>
      <w:r w:rsidR="004209AB" w:rsidRPr="0087455C">
        <w:rPr>
          <w:sz w:val="24"/>
          <w:szCs w:val="24"/>
        </w:rPr>
        <w:t xml:space="preserve">) provide internal ordering physicians with results and external ordering physicians receive results via fax. </w:t>
      </w:r>
      <w:r w:rsidR="004209AB">
        <w:rPr>
          <w:sz w:val="24"/>
          <w:szCs w:val="24"/>
        </w:rPr>
        <w:t xml:space="preserve">The </w:t>
      </w:r>
      <w:r w:rsidR="004209AB" w:rsidRPr="0087455C">
        <w:rPr>
          <w:sz w:val="24"/>
          <w:szCs w:val="24"/>
        </w:rPr>
        <w:t xml:space="preserve">BID-Needham </w:t>
      </w:r>
      <w:r w:rsidR="004209AB">
        <w:rPr>
          <w:sz w:val="24"/>
          <w:szCs w:val="24"/>
        </w:rPr>
        <w:t>r</w:t>
      </w:r>
      <w:r w:rsidR="004209AB" w:rsidRPr="0087455C">
        <w:rPr>
          <w:sz w:val="24"/>
          <w:szCs w:val="24"/>
        </w:rPr>
        <w:t>adiologist will contact the ordering physician with any critical results.</w:t>
      </w:r>
    </w:p>
    <w:p w14:paraId="6C864176" w14:textId="17824FAB" w:rsidR="001430AA" w:rsidRDefault="001430AA" w:rsidP="00667357">
      <w:pPr>
        <w:spacing w:line="240" w:lineRule="auto"/>
        <w:rPr>
          <w:b/>
          <w:bCs/>
          <w:i/>
          <w:iCs/>
          <w:sz w:val="24"/>
          <w:szCs w:val="24"/>
        </w:rPr>
      </w:pPr>
    </w:p>
    <w:p w14:paraId="38ACFA0D" w14:textId="73DC7BCC" w:rsidR="00637B0F" w:rsidRPr="00667357" w:rsidRDefault="000D172A" w:rsidP="00667357">
      <w:pPr>
        <w:spacing w:line="240" w:lineRule="auto"/>
        <w:rPr>
          <w:b/>
          <w:bCs/>
          <w:i/>
          <w:iCs/>
          <w:sz w:val="24"/>
          <w:szCs w:val="24"/>
        </w:rPr>
      </w:pPr>
      <w:r w:rsidRPr="00667357">
        <w:rPr>
          <w:b/>
          <w:bCs/>
          <w:i/>
          <w:iCs/>
          <w:sz w:val="24"/>
          <w:szCs w:val="24"/>
        </w:rPr>
        <w:t>Analysis</w:t>
      </w:r>
    </w:p>
    <w:p w14:paraId="3ECC4387" w14:textId="77777777" w:rsidR="00BD2F13" w:rsidRPr="00BD2F13" w:rsidRDefault="00BD2F13" w:rsidP="00BD2F13">
      <w:pPr>
        <w:spacing w:line="240" w:lineRule="auto"/>
        <w:rPr>
          <w:sz w:val="24"/>
          <w:szCs w:val="24"/>
        </w:rPr>
      </w:pPr>
      <w:r w:rsidRPr="00BD2F13">
        <w:rPr>
          <w:sz w:val="24"/>
          <w:szCs w:val="24"/>
        </w:rPr>
        <w:t>Staff concurs that when CT capacity is increased and the provision of CT services is more efficient, delays in diagnosis and treatment can be reduced and note that guidelines for managing stroke patients require efficient access to CT services. EHR systems enable access of imaging results and other patient information to primary care and specialty clinicians across a health system. EHRs improve efficiency for multi-faceted patient care. This helps to ensure that patients benefit from care coordination, better outcomes, and improved quality of life.</w:t>
      </w:r>
    </w:p>
    <w:p w14:paraId="50B5986A" w14:textId="77777777" w:rsidR="001430AA" w:rsidRDefault="001430AA" w:rsidP="007B5D5B">
      <w:pPr>
        <w:spacing w:after="0" w:line="240" w:lineRule="auto"/>
        <w:rPr>
          <w:b/>
          <w:bCs/>
          <w:sz w:val="28"/>
          <w:szCs w:val="28"/>
        </w:rPr>
      </w:pPr>
    </w:p>
    <w:p w14:paraId="407618B6" w14:textId="758A2B8C" w:rsidR="007B5D5B" w:rsidRDefault="007B5D5B" w:rsidP="007B5D5B">
      <w:pPr>
        <w:spacing w:after="0" w:line="240" w:lineRule="auto"/>
        <w:rPr>
          <w:b/>
          <w:bCs/>
          <w:sz w:val="28"/>
          <w:szCs w:val="28"/>
        </w:rPr>
      </w:pPr>
      <w:r w:rsidRPr="007B5D5B">
        <w:rPr>
          <w:b/>
          <w:bCs/>
          <w:sz w:val="28"/>
          <w:szCs w:val="28"/>
        </w:rPr>
        <w:t xml:space="preserve">Factor 1: d) Consultation </w:t>
      </w:r>
    </w:p>
    <w:p w14:paraId="6D50021A" w14:textId="0EF3F7CC" w:rsidR="007B5D5B" w:rsidRPr="007B5D5B" w:rsidRDefault="007B5D5B" w:rsidP="00667357">
      <w:pPr>
        <w:spacing w:after="0" w:line="240" w:lineRule="auto"/>
        <w:rPr>
          <w:sz w:val="24"/>
          <w:szCs w:val="24"/>
        </w:rPr>
      </w:pPr>
      <w:r w:rsidRPr="007B5D5B">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32696191" w14:textId="42BBDB20" w:rsidR="000D172A" w:rsidRDefault="000D172A"/>
    <w:p w14:paraId="3BD24147" w14:textId="77777777" w:rsidR="001C7AA1" w:rsidRDefault="001C7AA1"/>
    <w:p w14:paraId="2950A273" w14:textId="77777777" w:rsidR="00D10C13" w:rsidRDefault="00D10C13" w:rsidP="00D10C13">
      <w:pPr>
        <w:spacing w:after="0" w:line="240" w:lineRule="auto"/>
      </w:pPr>
      <w:r w:rsidRPr="00D10C13">
        <w:rPr>
          <w:b/>
          <w:bCs/>
          <w:sz w:val="28"/>
          <w:szCs w:val="28"/>
        </w:rPr>
        <w:t xml:space="preserve">Factor 1: e) Evidence of Sound Community Engagement through the Patient Panel </w:t>
      </w:r>
    </w:p>
    <w:p w14:paraId="21C7E0B3" w14:textId="20EAACE5" w:rsidR="00D95F91" w:rsidRPr="0057038C" w:rsidRDefault="00D10C13" w:rsidP="00667357">
      <w:pPr>
        <w:spacing w:after="0" w:line="240" w:lineRule="auto"/>
        <w:rPr>
          <w:sz w:val="24"/>
          <w:szCs w:val="24"/>
        </w:rPr>
      </w:pPr>
      <w:r w:rsidRPr="0057038C">
        <w:rPr>
          <w:sz w:val="24"/>
          <w:szCs w:val="24"/>
        </w:rPr>
        <w:t>The Department’s Guideline</w:t>
      </w:r>
      <w:r w:rsidRPr="0057038C">
        <w:rPr>
          <w:rStyle w:val="FootnoteReference"/>
          <w:sz w:val="24"/>
          <w:szCs w:val="24"/>
        </w:rPr>
        <w:footnoteReference w:id="20"/>
      </w:r>
      <w:r w:rsidRPr="0057038C">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57038C">
        <w:rPr>
          <w:rStyle w:val="FootnoteReference"/>
          <w:sz w:val="24"/>
          <w:szCs w:val="24"/>
        </w:rPr>
        <w:footnoteReference w:id="21"/>
      </w:r>
    </w:p>
    <w:p w14:paraId="11579EDE" w14:textId="2CE973E9" w:rsidR="00D95F91" w:rsidRDefault="00D10C13">
      <w:r>
        <w:t xml:space="preserve"> </w:t>
      </w:r>
    </w:p>
    <w:p w14:paraId="7F5E8844" w14:textId="082915DB" w:rsidR="00D95F91" w:rsidRDefault="00D10C13" w:rsidP="00667357">
      <w:pPr>
        <w:spacing w:line="240" w:lineRule="auto"/>
        <w:rPr>
          <w:sz w:val="24"/>
          <w:szCs w:val="24"/>
        </w:rPr>
      </w:pPr>
      <w:r w:rsidRPr="00667357">
        <w:rPr>
          <w:sz w:val="24"/>
          <w:szCs w:val="24"/>
        </w:rPr>
        <w:t>To ensure sound community engagement throughout the development of the Proposed Project, the Applicant took the following actions:</w:t>
      </w:r>
    </w:p>
    <w:p w14:paraId="2B3822E4" w14:textId="74107677" w:rsidR="00903770" w:rsidRPr="00741C4A" w:rsidRDefault="00555109" w:rsidP="002C493A">
      <w:pPr>
        <w:pStyle w:val="ListParagraph"/>
        <w:numPr>
          <w:ilvl w:val="0"/>
          <w:numId w:val="14"/>
        </w:numPr>
        <w:spacing w:line="240" w:lineRule="auto"/>
        <w:rPr>
          <w:b/>
          <w:bCs/>
          <w:sz w:val="24"/>
          <w:szCs w:val="24"/>
        </w:rPr>
      </w:pPr>
      <w:r w:rsidRPr="00555109">
        <w:rPr>
          <w:b/>
          <w:bCs/>
          <w:sz w:val="24"/>
          <w:szCs w:val="24"/>
        </w:rPr>
        <w:t xml:space="preserve">Presentation to </w:t>
      </w:r>
      <w:r w:rsidR="00C21549">
        <w:rPr>
          <w:b/>
          <w:bCs/>
          <w:sz w:val="24"/>
          <w:szCs w:val="24"/>
        </w:rPr>
        <w:t>BID-N</w:t>
      </w:r>
      <w:r w:rsidR="00A00C40">
        <w:rPr>
          <w:b/>
          <w:bCs/>
          <w:sz w:val="24"/>
          <w:szCs w:val="24"/>
        </w:rPr>
        <w:t>eedham</w:t>
      </w:r>
      <w:r w:rsidRPr="00555109">
        <w:rPr>
          <w:b/>
          <w:bCs/>
          <w:sz w:val="24"/>
          <w:szCs w:val="24"/>
        </w:rPr>
        <w:t>’s Community Benefits Advisory Committee</w:t>
      </w:r>
      <w:r w:rsidR="00741C4A">
        <w:rPr>
          <w:b/>
          <w:bCs/>
          <w:sz w:val="24"/>
          <w:szCs w:val="24"/>
        </w:rPr>
        <w:t xml:space="preserve"> (CBA</w:t>
      </w:r>
      <w:r w:rsidR="00F1716D">
        <w:rPr>
          <w:b/>
          <w:bCs/>
          <w:sz w:val="24"/>
          <w:szCs w:val="24"/>
        </w:rPr>
        <w:t>C</w:t>
      </w:r>
      <w:r w:rsidR="00741C4A">
        <w:rPr>
          <w:b/>
          <w:bCs/>
          <w:sz w:val="24"/>
          <w:szCs w:val="24"/>
        </w:rPr>
        <w:t>)</w:t>
      </w:r>
      <w:r w:rsidRPr="00555109">
        <w:rPr>
          <w:b/>
          <w:bCs/>
          <w:sz w:val="24"/>
          <w:szCs w:val="24"/>
        </w:rPr>
        <w:t>.</w:t>
      </w:r>
      <w:r>
        <w:rPr>
          <w:b/>
          <w:bCs/>
          <w:sz w:val="24"/>
          <w:szCs w:val="24"/>
        </w:rPr>
        <w:t xml:space="preserve"> </w:t>
      </w:r>
      <w:r w:rsidR="00B660CC" w:rsidRPr="00AA1959">
        <w:rPr>
          <w:sz w:val="24"/>
          <w:szCs w:val="24"/>
        </w:rPr>
        <w:t>December 10, 2020 and December 8, 2021.</w:t>
      </w:r>
      <w:r w:rsidR="00B660CC">
        <w:rPr>
          <w:b/>
          <w:bCs/>
          <w:sz w:val="24"/>
          <w:szCs w:val="24"/>
        </w:rPr>
        <w:t xml:space="preserve"> </w:t>
      </w:r>
      <w:r w:rsidR="00B660CC">
        <w:rPr>
          <w:sz w:val="24"/>
          <w:szCs w:val="24"/>
        </w:rPr>
        <w:t xml:space="preserve">CBAC is comprised of community partners, social service organization, residents and leaders in the community benefits service area </w:t>
      </w:r>
      <w:r w:rsidR="00B660CC">
        <w:rPr>
          <w:sz w:val="24"/>
          <w:szCs w:val="24"/>
        </w:rPr>
        <w:lastRenderedPageBreak/>
        <w:t xml:space="preserve">(CBSA). </w:t>
      </w:r>
      <w:r w:rsidR="005F457F">
        <w:rPr>
          <w:sz w:val="24"/>
          <w:szCs w:val="24"/>
        </w:rPr>
        <w:t xml:space="preserve">Eighteen people </w:t>
      </w:r>
      <w:r w:rsidR="001A278B">
        <w:rPr>
          <w:sz w:val="24"/>
          <w:szCs w:val="24"/>
        </w:rPr>
        <w:t>attended</w:t>
      </w:r>
      <w:r w:rsidR="005F457F">
        <w:rPr>
          <w:sz w:val="24"/>
          <w:szCs w:val="24"/>
        </w:rPr>
        <w:t xml:space="preserve"> the December </w:t>
      </w:r>
      <w:r w:rsidR="00372F33">
        <w:rPr>
          <w:sz w:val="24"/>
          <w:szCs w:val="24"/>
        </w:rPr>
        <w:t>2020</w:t>
      </w:r>
      <w:r w:rsidR="005F457F">
        <w:rPr>
          <w:sz w:val="24"/>
          <w:szCs w:val="24"/>
        </w:rPr>
        <w:t xml:space="preserve"> meeting and 13 people were in attendance at the December </w:t>
      </w:r>
      <w:r w:rsidR="00372F33">
        <w:rPr>
          <w:sz w:val="24"/>
          <w:szCs w:val="24"/>
        </w:rPr>
        <w:t>2021</w:t>
      </w:r>
      <w:r w:rsidR="005F457F">
        <w:rPr>
          <w:sz w:val="24"/>
          <w:szCs w:val="24"/>
        </w:rPr>
        <w:t xml:space="preserve"> meeting. </w:t>
      </w:r>
      <w:r w:rsidR="009530E0" w:rsidRPr="009530E0">
        <w:rPr>
          <w:sz w:val="24"/>
          <w:szCs w:val="24"/>
        </w:rPr>
        <w:t>Attendees expressed support for the Proposed Project.</w:t>
      </w:r>
    </w:p>
    <w:p w14:paraId="31C40FD0" w14:textId="369DAF16" w:rsidR="00741C4A" w:rsidRPr="00EA4F4D" w:rsidRDefault="00741C4A" w:rsidP="002C493A">
      <w:pPr>
        <w:pStyle w:val="ListParagraph"/>
        <w:numPr>
          <w:ilvl w:val="0"/>
          <w:numId w:val="14"/>
        </w:numPr>
        <w:spacing w:line="240" w:lineRule="auto"/>
        <w:rPr>
          <w:b/>
          <w:bCs/>
          <w:sz w:val="24"/>
          <w:szCs w:val="24"/>
        </w:rPr>
      </w:pPr>
      <w:r w:rsidRPr="00741C4A">
        <w:rPr>
          <w:b/>
          <w:bCs/>
          <w:sz w:val="24"/>
          <w:szCs w:val="24"/>
        </w:rPr>
        <w:t xml:space="preserve">Presentation to </w:t>
      </w:r>
      <w:r w:rsidR="00C21549">
        <w:rPr>
          <w:b/>
          <w:bCs/>
          <w:sz w:val="24"/>
          <w:szCs w:val="24"/>
        </w:rPr>
        <w:t>BID-N</w:t>
      </w:r>
      <w:r w:rsidR="00A00C40">
        <w:rPr>
          <w:b/>
          <w:bCs/>
          <w:sz w:val="24"/>
          <w:szCs w:val="24"/>
        </w:rPr>
        <w:t>eedham</w:t>
      </w:r>
      <w:r w:rsidRPr="00741C4A">
        <w:rPr>
          <w:b/>
          <w:bCs/>
          <w:sz w:val="24"/>
          <w:szCs w:val="24"/>
        </w:rPr>
        <w:t xml:space="preserve">’s Patient and Family Advisory Committee (PFAC). </w:t>
      </w:r>
      <w:r w:rsidR="00B660CC">
        <w:rPr>
          <w:sz w:val="24"/>
          <w:szCs w:val="24"/>
        </w:rPr>
        <w:t>January 20, 2019</w:t>
      </w:r>
      <w:r w:rsidR="009730E0">
        <w:rPr>
          <w:sz w:val="24"/>
          <w:szCs w:val="24"/>
        </w:rPr>
        <w:t xml:space="preserve"> and September 21, 2021.</w:t>
      </w:r>
      <w:r w:rsidR="00B660CC">
        <w:rPr>
          <w:sz w:val="24"/>
          <w:szCs w:val="24"/>
        </w:rPr>
        <w:t xml:space="preserve"> </w:t>
      </w:r>
      <w:r w:rsidR="00E14517">
        <w:rPr>
          <w:sz w:val="24"/>
          <w:szCs w:val="24"/>
        </w:rPr>
        <w:t xml:space="preserve">The PFAC is comprised of a group of patients and family members who volunteer their time each month to provide </w:t>
      </w:r>
      <w:r w:rsidR="00C21549">
        <w:rPr>
          <w:sz w:val="24"/>
          <w:szCs w:val="24"/>
        </w:rPr>
        <w:t>BID-N</w:t>
      </w:r>
      <w:r w:rsidR="00A00C40">
        <w:rPr>
          <w:sz w:val="24"/>
          <w:szCs w:val="24"/>
        </w:rPr>
        <w:t>eedham</w:t>
      </w:r>
      <w:r w:rsidR="00E14517">
        <w:rPr>
          <w:sz w:val="24"/>
          <w:szCs w:val="24"/>
        </w:rPr>
        <w:t xml:space="preserve"> input on its care with a focus on quality, safety, and communication at the hospital. </w:t>
      </w:r>
      <w:r w:rsidR="005F457F">
        <w:rPr>
          <w:sz w:val="24"/>
          <w:szCs w:val="24"/>
        </w:rPr>
        <w:t xml:space="preserve">Seventeen people </w:t>
      </w:r>
      <w:r w:rsidR="001A278B">
        <w:rPr>
          <w:sz w:val="24"/>
          <w:szCs w:val="24"/>
        </w:rPr>
        <w:t>attended</w:t>
      </w:r>
      <w:r w:rsidR="005F457F">
        <w:rPr>
          <w:sz w:val="24"/>
          <w:szCs w:val="24"/>
        </w:rPr>
        <w:t xml:space="preserve"> the January </w:t>
      </w:r>
      <w:r w:rsidR="00372F33">
        <w:rPr>
          <w:sz w:val="24"/>
          <w:szCs w:val="24"/>
        </w:rPr>
        <w:t>2019</w:t>
      </w:r>
      <w:r w:rsidR="005F457F">
        <w:rPr>
          <w:sz w:val="24"/>
          <w:szCs w:val="24"/>
        </w:rPr>
        <w:t xml:space="preserve"> meeting and 11 people were in attendance at the September </w:t>
      </w:r>
      <w:r w:rsidR="00372F33">
        <w:rPr>
          <w:sz w:val="24"/>
          <w:szCs w:val="24"/>
        </w:rPr>
        <w:t xml:space="preserve">2021 </w:t>
      </w:r>
      <w:r w:rsidR="005F457F">
        <w:rPr>
          <w:sz w:val="24"/>
          <w:szCs w:val="24"/>
        </w:rPr>
        <w:t xml:space="preserve">meeting. </w:t>
      </w:r>
      <w:r w:rsidR="009530E0" w:rsidRPr="009530E0">
        <w:rPr>
          <w:sz w:val="24"/>
          <w:szCs w:val="24"/>
        </w:rPr>
        <w:t>Attendees expressed support for the Proposed Project. Attendees expressed concern about current access to CT imaging and wait times for accessing CT services and also questioned when the addition of one CT unit was sufficient to meet Patient Panel need for CT services.</w:t>
      </w:r>
    </w:p>
    <w:p w14:paraId="237954B4" w14:textId="77777777" w:rsidR="009530E0" w:rsidRDefault="005F457F" w:rsidP="00EA4F4D">
      <w:pPr>
        <w:spacing w:line="240" w:lineRule="auto"/>
        <w:rPr>
          <w:sz w:val="24"/>
          <w:szCs w:val="24"/>
        </w:rPr>
      </w:pPr>
      <w:r w:rsidRPr="005F457F">
        <w:rPr>
          <w:sz w:val="24"/>
          <w:szCs w:val="24"/>
        </w:rPr>
        <w:t xml:space="preserve">The Applicant states that generally, attendees </w:t>
      </w:r>
      <w:r w:rsidR="009530E0">
        <w:rPr>
          <w:sz w:val="24"/>
          <w:szCs w:val="24"/>
        </w:rPr>
        <w:t xml:space="preserve">of its community engagement activities </w:t>
      </w:r>
      <w:r w:rsidRPr="005F457F">
        <w:rPr>
          <w:sz w:val="24"/>
          <w:szCs w:val="24"/>
        </w:rPr>
        <w:t xml:space="preserve">were either patients or are </w:t>
      </w:r>
      <w:r w:rsidR="009530E0">
        <w:rPr>
          <w:sz w:val="24"/>
          <w:szCs w:val="24"/>
        </w:rPr>
        <w:t>re</w:t>
      </w:r>
      <w:r w:rsidRPr="005F457F">
        <w:rPr>
          <w:sz w:val="24"/>
          <w:szCs w:val="24"/>
        </w:rPr>
        <w:t xml:space="preserve">presentative of the Applicant’s patients. </w:t>
      </w:r>
    </w:p>
    <w:p w14:paraId="6FD6C842" w14:textId="7159F783" w:rsidR="00EA4F4D" w:rsidRPr="00EA4F4D" w:rsidRDefault="00EA4F4D" w:rsidP="00EA4F4D">
      <w:pPr>
        <w:spacing w:line="240" w:lineRule="auto"/>
        <w:rPr>
          <w:sz w:val="24"/>
          <w:szCs w:val="24"/>
        </w:rPr>
      </w:pPr>
      <w:r w:rsidRPr="00EA4F4D">
        <w:rPr>
          <w:sz w:val="24"/>
          <w:szCs w:val="24"/>
        </w:rPr>
        <w:t xml:space="preserve">Additional presentations </w:t>
      </w:r>
      <w:r w:rsidR="0087455C">
        <w:rPr>
          <w:sz w:val="24"/>
          <w:szCs w:val="24"/>
        </w:rPr>
        <w:t>that were mentioned</w:t>
      </w:r>
      <w:r w:rsidRPr="00EA4F4D">
        <w:rPr>
          <w:sz w:val="24"/>
          <w:szCs w:val="24"/>
        </w:rPr>
        <w:t xml:space="preserve"> include: Presentation at numerous Hospital President employee open forum meetings in FY20 and FY21, and President’s reports for bi-monthly </w:t>
      </w:r>
      <w:r w:rsidR="00C21549">
        <w:rPr>
          <w:sz w:val="24"/>
          <w:szCs w:val="24"/>
        </w:rPr>
        <w:t>BID-N</w:t>
      </w:r>
      <w:r w:rsidR="00A00C40">
        <w:rPr>
          <w:sz w:val="24"/>
          <w:szCs w:val="24"/>
        </w:rPr>
        <w:t>eedham</w:t>
      </w:r>
      <w:r w:rsidRPr="00EA4F4D">
        <w:rPr>
          <w:sz w:val="24"/>
          <w:szCs w:val="24"/>
        </w:rPr>
        <w:t xml:space="preserve"> Board Meetings.</w:t>
      </w:r>
      <w:r w:rsidR="005F457F">
        <w:rPr>
          <w:sz w:val="24"/>
          <w:szCs w:val="24"/>
        </w:rPr>
        <w:t xml:space="preserve"> </w:t>
      </w:r>
    </w:p>
    <w:p w14:paraId="48A1BA38" w14:textId="5C3E8BD6" w:rsidR="00023FEB" w:rsidRPr="00667357" w:rsidRDefault="00023FEB" w:rsidP="00667357">
      <w:pPr>
        <w:spacing w:after="0" w:line="240" w:lineRule="auto"/>
        <w:rPr>
          <w:b/>
          <w:bCs/>
          <w:i/>
          <w:iCs/>
          <w:sz w:val="24"/>
          <w:szCs w:val="24"/>
        </w:rPr>
      </w:pPr>
      <w:r w:rsidRPr="00667357">
        <w:rPr>
          <w:b/>
          <w:bCs/>
          <w:i/>
          <w:iCs/>
          <w:sz w:val="24"/>
          <w:szCs w:val="24"/>
        </w:rPr>
        <w:t xml:space="preserve">Analysis </w:t>
      </w:r>
    </w:p>
    <w:p w14:paraId="24B38CC1" w14:textId="5C9E86AE" w:rsidR="00D95F91" w:rsidRPr="00667357" w:rsidRDefault="00023FEB" w:rsidP="00667357">
      <w:pPr>
        <w:spacing w:after="0" w:line="240" w:lineRule="auto"/>
        <w:rPr>
          <w:sz w:val="24"/>
          <w:szCs w:val="24"/>
        </w:rPr>
      </w:pPr>
      <w:r w:rsidRPr="00667357">
        <w:rPr>
          <w:sz w:val="24"/>
          <w:szCs w:val="24"/>
        </w:rPr>
        <w:t>Staff finds that the Applicant met the minimum required community engagement standard of Consult in the planning phase of the Proposed Project.</w:t>
      </w:r>
    </w:p>
    <w:p w14:paraId="7EDA0BDB" w14:textId="2C0D82D5" w:rsidR="00D95F91" w:rsidRDefault="00D95F91"/>
    <w:p w14:paraId="74C8B9F8" w14:textId="655D44B7" w:rsidR="00D95F91" w:rsidRPr="007506F8" w:rsidRDefault="007506F8" w:rsidP="001A5802">
      <w:pPr>
        <w:spacing w:after="0"/>
        <w:rPr>
          <w:b/>
          <w:bCs/>
          <w:sz w:val="28"/>
          <w:szCs w:val="28"/>
        </w:rPr>
      </w:pPr>
      <w:r w:rsidRPr="007506F8">
        <w:rPr>
          <w:b/>
          <w:bCs/>
          <w:sz w:val="28"/>
          <w:szCs w:val="28"/>
        </w:rPr>
        <w:t>Factor 1: f) Competition On Price, Total Medical Expenses (TME), Costs And Other Measures Of Health Care Spending</w:t>
      </w:r>
    </w:p>
    <w:p w14:paraId="604F0BCB" w14:textId="6A2434F8" w:rsidR="0023774F" w:rsidRDefault="0023774F" w:rsidP="0023774F">
      <w:pPr>
        <w:spacing w:after="0" w:line="240" w:lineRule="auto"/>
        <w:rPr>
          <w:sz w:val="24"/>
          <w:szCs w:val="24"/>
        </w:rPr>
      </w:pPr>
      <w:r>
        <w:rPr>
          <w:sz w:val="24"/>
          <w:szCs w:val="24"/>
        </w:rPr>
        <w:t xml:space="preserve">The Applicant states that the Proposed Project will compete on the basis of price, TME and other measures of health care spending because </w:t>
      </w:r>
      <w:r w:rsidR="00C21549">
        <w:rPr>
          <w:sz w:val="24"/>
          <w:szCs w:val="24"/>
        </w:rPr>
        <w:t>BID-N</w:t>
      </w:r>
      <w:r w:rsidR="00FD7447" w:rsidRPr="0023774F">
        <w:rPr>
          <w:sz w:val="24"/>
          <w:szCs w:val="24"/>
        </w:rPr>
        <w:t xml:space="preserve">eedham is </w:t>
      </w:r>
      <w:r w:rsidR="004C6C0A">
        <w:rPr>
          <w:sz w:val="24"/>
          <w:szCs w:val="24"/>
        </w:rPr>
        <w:t xml:space="preserve">a </w:t>
      </w:r>
      <w:r w:rsidR="00FD7447" w:rsidRPr="0023774F">
        <w:rPr>
          <w:sz w:val="24"/>
          <w:szCs w:val="24"/>
        </w:rPr>
        <w:t>l</w:t>
      </w:r>
      <w:r w:rsidR="005373D2" w:rsidRPr="0023774F">
        <w:rPr>
          <w:sz w:val="24"/>
          <w:szCs w:val="24"/>
        </w:rPr>
        <w:t>ow-cost provider of high</w:t>
      </w:r>
      <w:r w:rsidR="00A00C40">
        <w:rPr>
          <w:sz w:val="24"/>
          <w:szCs w:val="24"/>
        </w:rPr>
        <w:t xml:space="preserve"> </w:t>
      </w:r>
      <w:r w:rsidR="005373D2" w:rsidRPr="0023774F">
        <w:rPr>
          <w:sz w:val="24"/>
          <w:szCs w:val="24"/>
        </w:rPr>
        <w:t>quality services</w:t>
      </w:r>
      <w:r>
        <w:rPr>
          <w:sz w:val="24"/>
          <w:szCs w:val="24"/>
        </w:rPr>
        <w:t>; the P</w:t>
      </w:r>
      <w:r w:rsidR="00A84496" w:rsidRPr="0023774F">
        <w:rPr>
          <w:sz w:val="24"/>
          <w:szCs w:val="24"/>
        </w:rPr>
        <w:t xml:space="preserve">roposed Project will not impact </w:t>
      </w:r>
      <w:r w:rsidR="00C21549">
        <w:rPr>
          <w:sz w:val="24"/>
          <w:szCs w:val="24"/>
        </w:rPr>
        <w:t>BID-N</w:t>
      </w:r>
      <w:r w:rsidR="00A84496" w:rsidRPr="0023774F">
        <w:rPr>
          <w:sz w:val="24"/>
          <w:szCs w:val="24"/>
        </w:rPr>
        <w:t>eedham’s contracted rates for CT services</w:t>
      </w:r>
      <w:r>
        <w:rPr>
          <w:sz w:val="24"/>
          <w:szCs w:val="24"/>
        </w:rPr>
        <w:t xml:space="preserve">; and </w:t>
      </w:r>
      <w:r w:rsidR="0065256D">
        <w:rPr>
          <w:sz w:val="24"/>
          <w:szCs w:val="24"/>
        </w:rPr>
        <w:t xml:space="preserve">because </w:t>
      </w:r>
      <w:r w:rsidR="0021784B" w:rsidRPr="0023774F">
        <w:rPr>
          <w:sz w:val="24"/>
          <w:szCs w:val="24"/>
        </w:rPr>
        <w:t>CT services are not a separately billable event</w:t>
      </w:r>
      <w:r w:rsidR="0065256D">
        <w:rPr>
          <w:sz w:val="24"/>
          <w:szCs w:val="24"/>
        </w:rPr>
        <w:t>,</w:t>
      </w:r>
      <w:r w:rsidR="0021784B" w:rsidRPr="0023774F">
        <w:rPr>
          <w:sz w:val="24"/>
          <w:szCs w:val="24"/>
        </w:rPr>
        <w:t xml:space="preserve"> the service is included as a component of the inpatient stay or is integrated as part of the primary intervention, thereby minimizing risk of inappropriate or over-utilization. </w:t>
      </w:r>
      <w:r w:rsidR="0065256D">
        <w:rPr>
          <w:sz w:val="24"/>
          <w:szCs w:val="24"/>
        </w:rPr>
        <w:t>The Applicant also notes that c</w:t>
      </w:r>
      <w:r w:rsidR="00FA5974" w:rsidRPr="00FA5974">
        <w:rPr>
          <w:sz w:val="24"/>
          <w:szCs w:val="24"/>
        </w:rPr>
        <w:t>ommencing in 2022, providers will be required to follow Medicare Part B Appropriate Use Criteria for Advanced Diagnostic Imaging</w:t>
      </w:r>
      <w:r w:rsidR="00063046">
        <w:rPr>
          <w:sz w:val="24"/>
          <w:szCs w:val="24"/>
        </w:rPr>
        <w:t>, which will support appropriate use of CT imaging services.</w:t>
      </w:r>
    </w:p>
    <w:p w14:paraId="149E3C4A" w14:textId="6E65E06A" w:rsidR="0023774F" w:rsidRDefault="0023774F" w:rsidP="0023774F">
      <w:pPr>
        <w:spacing w:after="0" w:line="240" w:lineRule="auto"/>
        <w:rPr>
          <w:sz w:val="24"/>
          <w:szCs w:val="24"/>
        </w:rPr>
      </w:pPr>
    </w:p>
    <w:p w14:paraId="555F3320" w14:textId="6C4170BA" w:rsidR="00063046" w:rsidRPr="0023774F" w:rsidRDefault="00063046" w:rsidP="0023774F">
      <w:pPr>
        <w:spacing w:after="0" w:line="240" w:lineRule="auto"/>
        <w:rPr>
          <w:sz w:val="24"/>
          <w:szCs w:val="24"/>
        </w:rPr>
      </w:pPr>
      <w:r>
        <w:rPr>
          <w:sz w:val="24"/>
          <w:szCs w:val="24"/>
        </w:rPr>
        <w:t xml:space="preserve">The Applicant cited additional ways in which the Proposed Project </w:t>
      </w:r>
      <w:r w:rsidR="00714D5E">
        <w:rPr>
          <w:sz w:val="24"/>
          <w:szCs w:val="24"/>
        </w:rPr>
        <w:t xml:space="preserve">will </w:t>
      </w:r>
      <w:r>
        <w:rPr>
          <w:sz w:val="24"/>
          <w:szCs w:val="24"/>
        </w:rPr>
        <w:t>compete:</w:t>
      </w:r>
    </w:p>
    <w:p w14:paraId="605B1C77" w14:textId="3F00E7F6" w:rsidR="00D62579" w:rsidRPr="00FA5974" w:rsidRDefault="00C21549" w:rsidP="00FA5974">
      <w:pPr>
        <w:pStyle w:val="ListParagraph"/>
        <w:numPr>
          <w:ilvl w:val="0"/>
          <w:numId w:val="6"/>
        </w:numPr>
        <w:spacing w:after="0" w:line="240" w:lineRule="auto"/>
        <w:rPr>
          <w:sz w:val="24"/>
          <w:szCs w:val="24"/>
        </w:rPr>
      </w:pPr>
      <w:r>
        <w:rPr>
          <w:sz w:val="24"/>
          <w:szCs w:val="24"/>
        </w:rPr>
        <w:t>BID-N</w:t>
      </w:r>
      <w:r w:rsidR="00304DD8">
        <w:rPr>
          <w:sz w:val="24"/>
          <w:szCs w:val="24"/>
        </w:rPr>
        <w:t xml:space="preserve">eedham </w:t>
      </w:r>
      <w:r w:rsidR="0023774F">
        <w:rPr>
          <w:sz w:val="24"/>
          <w:szCs w:val="24"/>
        </w:rPr>
        <w:t xml:space="preserve">has a </w:t>
      </w:r>
      <w:r w:rsidR="00BF3E5C">
        <w:rPr>
          <w:sz w:val="24"/>
          <w:szCs w:val="24"/>
        </w:rPr>
        <w:t>lower-than-average</w:t>
      </w:r>
      <w:r w:rsidR="00304DD8">
        <w:rPr>
          <w:sz w:val="24"/>
          <w:szCs w:val="24"/>
        </w:rPr>
        <w:t xml:space="preserve"> CMI adjusted cost per discharge.</w:t>
      </w:r>
      <w:r w:rsidR="001430AA">
        <w:rPr>
          <w:rStyle w:val="FootnoteReference"/>
          <w:sz w:val="24"/>
          <w:szCs w:val="24"/>
        </w:rPr>
        <w:footnoteReference w:id="22"/>
      </w:r>
      <w:r w:rsidR="00FA5974">
        <w:rPr>
          <w:sz w:val="24"/>
          <w:szCs w:val="24"/>
        </w:rPr>
        <w:t xml:space="preserve"> </w:t>
      </w:r>
    </w:p>
    <w:p w14:paraId="36D78046" w14:textId="5E1ECD0A" w:rsidR="00F968E9" w:rsidRDefault="0023774F" w:rsidP="002C493A">
      <w:pPr>
        <w:pStyle w:val="ListParagraph"/>
        <w:numPr>
          <w:ilvl w:val="0"/>
          <w:numId w:val="8"/>
        </w:numPr>
        <w:spacing w:after="0" w:line="240" w:lineRule="auto"/>
        <w:rPr>
          <w:sz w:val="24"/>
          <w:szCs w:val="24"/>
        </w:rPr>
      </w:pPr>
      <w:r>
        <w:rPr>
          <w:sz w:val="24"/>
          <w:szCs w:val="24"/>
        </w:rPr>
        <w:t>The Proposed Project will i</w:t>
      </w:r>
      <w:r w:rsidR="00623221">
        <w:rPr>
          <w:sz w:val="24"/>
          <w:szCs w:val="24"/>
        </w:rPr>
        <w:t>mprove</w:t>
      </w:r>
      <w:r w:rsidR="00FA5974">
        <w:rPr>
          <w:sz w:val="24"/>
          <w:szCs w:val="24"/>
        </w:rPr>
        <w:t xml:space="preserve"> </w:t>
      </w:r>
      <w:r w:rsidR="00623221">
        <w:rPr>
          <w:sz w:val="24"/>
          <w:szCs w:val="24"/>
        </w:rPr>
        <w:t>outcomes provided through CT-guided procedure use, as discussed in Factor 1b</w:t>
      </w:r>
      <w:r w:rsidR="00D823C9">
        <w:rPr>
          <w:sz w:val="24"/>
          <w:szCs w:val="24"/>
        </w:rPr>
        <w:t xml:space="preserve">. This will </w:t>
      </w:r>
      <w:r w:rsidR="00623221">
        <w:rPr>
          <w:sz w:val="24"/>
          <w:szCs w:val="24"/>
        </w:rPr>
        <w:t>reduce health care expenditures through the reduction in use of health care resources due to reduced complications and faster recovery times</w:t>
      </w:r>
      <w:r w:rsidR="00C61C6E">
        <w:rPr>
          <w:sz w:val="24"/>
          <w:szCs w:val="24"/>
        </w:rPr>
        <w:t xml:space="preserve"> associated with such procedures. </w:t>
      </w:r>
    </w:p>
    <w:p w14:paraId="07EA4600" w14:textId="29103D65" w:rsidR="00FE7185" w:rsidRPr="00FA5974" w:rsidRDefault="00C21549" w:rsidP="00FA5974">
      <w:pPr>
        <w:pStyle w:val="ListParagraph"/>
        <w:numPr>
          <w:ilvl w:val="0"/>
          <w:numId w:val="8"/>
        </w:numPr>
        <w:spacing w:after="0" w:line="240" w:lineRule="auto"/>
        <w:rPr>
          <w:sz w:val="24"/>
          <w:szCs w:val="24"/>
        </w:rPr>
      </w:pPr>
      <w:r>
        <w:rPr>
          <w:sz w:val="24"/>
          <w:szCs w:val="24"/>
        </w:rPr>
        <w:lastRenderedPageBreak/>
        <w:t>BID-N</w:t>
      </w:r>
      <w:r w:rsidR="00A00C40">
        <w:rPr>
          <w:sz w:val="24"/>
          <w:szCs w:val="24"/>
        </w:rPr>
        <w:t>eedham</w:t>
      </w:r>
      <w:r w:rsidR="00FE7185">
        <w:rPr>
          <w:sz w:val="24"/>
          <w:szCs w:val="24"/>
        </w:rPr>
        <w:t xml:space="preserve">’s ACO affiliation with BIDCO </w:t>
      </w:r>
      <w:r w:rsidR="00FD7447">
        <w:rPr>
          <w:sz w:val="24"/>
          <w:szCs w:val="24"/>
        </w:rPr>
        <w:t>contributes to</w:t>
      </w:r>
      <w:r w:rsidR="00FE7185">
        <w:rPr>
          <w:sz w:val="24"/>
          <w:szCs w:val="24"/>
        </w:rPr>
        <w:t xml:space="preserve"> avoiding unnecessary medical expenses.</w:t>
      </w:r>
      <w:r w:rsidR="009530E0">
        <w:rPr>
          <w:rStyle w:val="FootnoteReference"/>
          <w:sz w:val="24"/>
          <w:szCs w:val="24"/>
        </w:rPr>
        <w:footnoteReference w:id="23"/>
      </w:r>
      <w:r w:rsidR="00FE7185">
        <w:rPr>
          <w:sz w:val="24"/>
          <w:szCs w:val="24"/>
        </w:rPr>
        <w:t xml:space="preserve"> </w:t>
      </w:r>
      <w:r w:rsidR="00FE7185" w:rsidRPr="00FA5974">
        <w:rPr>
          <w:sz w:val="24"/>
          <w:szCs w:val="24"/>
        </w:rPr>
        <w:t xml:space="preserve">BIDCO’s total per-member spending on several low value care measures was well below several other large systems. </w:t>
      </w:r>
    </w:p>
    <w:p w14:paraId="061B486E" w14:textId="7F1CC81F" w:rsidR="003D77FA" w:rsidRDefault="001C1F29" w:rsidP="002C493A">
      <w:pPr>
        <w:pStyle w:val="ListParagraph"/>
        <w:numPr>
          <w:ilvl w:val="0"/>
          <w:numId w:val="9"/>
        </w:numPr>
        <w:spacing w:after="0" w:line="240" w:lineRule="auto"/>
        <w:rPr>
          <w:sz w:val="24"/>
          <w:szCs w:val="24"/>
        </w:rPr>
      </w:pPr>
      <w:r>
        <w:rPr>
          <w:sz w:val="24"/>
          <w:szCs w:val="24"/>
        </w:rPr>
        <w:t xml:space="preserve">Increasing access to CT imaging can assist in diagnosing and treating patients in a </w:t>
      </w:r>
      <w:r w:rsidR="00874C46">
        <w:rPr>
          <w:sz w:val="24"/>
          <w:szCs w:val="24"/>
        </w:rPr>
        <w:t>timelier</w:t>
      </w:r>
      <w:r>
        <w:rPr>
          <w:sz w:val="24"/>
          <w:szCs w:val="24"/>
        </w:rPr>
        <w:t xml:space="preserve"> manner</w:t>
      </w:r>
      <w:r w:rsidR="00714D5E">
        <w:rPr>
          <w:sz w:val="24"/>
          <w:szCs w:val="24"/>
        </w:rPr>
        <w:t xml:space="preserve">; </w:t>
      </w:r>
      <w:r>
        <w:rPr>
          <w:sz w:val="24"/>
          <w:szCs w:val="24"/>
        </w:rPr>
        <w:t>allow patients to avoid undergoing more invasive, less effective treatments</w:t>
      </w:r>
      <w:r w:rsidR="00714D5E">
        <w:rPr>
          <w:sz w:val="24"/>
          <w:szCs w:val="24"/>
        </w:rPr>
        <w:t>;</w:t>
      </w:r>
      <w:r>
        <w:rPr>
          <w:sz w:val="24"/>
          <w:szCs w:val="24"/>
        </w:rPr>
        <w:t xml:space="preserve"> and </w:t>
      </w:r>
      <w:r w:rsidR="00714D5E">
        <w:rPr>
          <w:sz w:val="24"/>
          <w:szCs w:val="24"/>
        </w:rPr>
        <w:t xml:space="preserve">allow patients to </w:t>
      </w:r>
      <w:r>
        <w:rPr>
          <w:sz w:val="24"/>
          <w:szCs w:val="24"/>
        </w:rPr>
        <w:t>benefit from more targeted treatment plans, which helps to reduce healthcare expenditures.</w:t>
      </w:r>
    </w:p>
    <w:p w14:paraId="7A09D324" w14:textId="24A33823" w:rsidR="003D77FA" w:rsidRDefault="003D77FA" w:rsidP="002C493A">
      <w:pPr>
        <w:pStyle w:val="ListParagraph"/>
        <w:numPr>
          <w:ilvl w:val="0"/>
          <w:numId w:val="9"/>
        </w:numPr>
        <w:spacing w:after="0" w:line="240" w:lineRule="auto"/>
        <w:rPr>
          <w:sz w:val="24"/>
          <w:szCs w:val="24"/>
        </w:rPr>
      </w:pPr>
      <w:r>
        <w:rPr>
          <w:sz w:val="24"/>
          <w:szCs w:val="24"/>
        </w:rPr>
        <w:t xml:space="preserve">Increasing CT capacity will reduce inefficiencies and the added expenses created by administrative challenges. </w:t>
      </w:r>
    </w:p>
    <w:p w14:paraId="24AD5C8D" w14:textId="0FDFE021" w:rsidR="00D04D38" w:rsidRPr="003D77FA" w:rsidRDefault="00D04D38" w:rsidP="002C493A">
      <w:pPr>
        <w:pStyle w:val="ListParagraph"/>
        <w:numPr>
          <w:ilvl w:val="0"/>
          <w:numId w:val="9"/>
        </w:numPr>
        <w:spacing w:after="0" w:line="240" w:lineRule="auto"/>
        <w:rPr>
          <w:sz w:val="24"/>
          <w:szCs w:val="24"/>
        </w:rPr>
      </w:pPr>
      <w:r>
        <w:rPr>
          <w:sz w:val="24"/>
          <w:szCs w:val="24"/>
        </w:rPr>
        <w:t xml:space="preserve">Reactivation of the 2009 CT scanner requires no additional buildout or disruption to the existing services. </w:t>
      </w:r>
    </w:p>
    <w:p w14:paraId="7AF375CE" w14:textId="77777777" w:rsidR="005373D2" w:rsidRPr="00667357" w:rsidRDefault="005373D2" w:rsidP="005373D2">
      <w:pPr>
        <w:spacing w:after="0" w:line="240" w:lineRule="auto"/>
        <w:rPr>
          <w:sz w:val="24"/>
          <w:szCs w:val="24"/>
        </w:rPr>
      </w:pPr>
    </w:p>
    <w:p w14:paraId="6028EE91" w14:textId="2C0214BC" w:rsidR="00317CEB" w:rsidRDefault="00317CEB" w:rsidP="00667357">
      <w:pPr>
        <w:spacing w:after="0" w:line="240" w:lineRule="auto"/>
        <w:rPr>
          <w:b/>
          <w:bCs/>
          <w:i/>
          <w:iCs/>
          <w:sz w:val="24"/>
          <w:szCs w:val="24"/>
        </w:rPr>
      </w:pPr>
      <w:r w:rsidRPr="00667357">
        <w:rPr>
          <w:b/>
          <w:bCs/>
          <w:i/>
          <w:iCs/>
          <w:sz w:val="24"/>
          <w:szCs w:val="24"/>
        </w:rPr>
        <w:t>Analysis</w:t>
      </w:r>
    </w:p>
    <w:p w14:paraId="121F3EA4" w14:textId="773A2703" w:rsidR="00BD2F13" w:rsidRPr="00BD2F13" w:rsidRDefault="00BD2F13" w:rsidP="00BD2F13">
      <w:pPr>
        <w:spacing w:after="0" w:line="240" w:lineRule="auto"/>
        <w:rPr>
          <w:sz w:val="24"/>
          <w:szCs w:val="24"/>
        </w:rPr>
      </w:pPr>
      <w:r w:rsidRPr="00BD2F13">
        <w:rPr>
          <w:sz w:val="24"/>
          <w:szCs w:val="24"/>
        </w:rPr>
        <w:t xml:space="preserve">A reduction in healthcare utilization and spending can occur with improved access to timely care. The Proposed Project will increase timely access to CT services and this will help to reduce the costs of care for patients. The benefits of </w:t>
      </w:r>
      <w:r w:rsidR="007A16E0">
        <w:rPr>
          <w:sz w:val="24"/>
          <w:szCs w:val="24"/>
        </w:rPr>
        <w:t xml:space="preserve">the </w:t>
      </w:r>
      <w:r w:rsidRPr="00BD2F13">
        <w:rPr>
          <w:sz w:val="24"/>
          <w:szCs w:val="24"/>
        </w:rPr>
        <w:t>additional scanner include</w:t>
      </w:r>
      <w:r w:rsidRPr="00BD2F13">
        <w:rPr>
          <w:b/>
          <w:bCs/>
          <w:sz w:val="24"/>
          <w:szCs w:val="24"/>
        </w:rPr>
        <w:t xml:space="preserve"> </w:t>
      </w:r>
      <w:r w:rsidRPr="00BD2F13">
        <w:rPr>
          <w:sz w:val="24"/>
          <w:szCs w:val="24"/>
        </w:rPr>
        <w:t xml:space="preserve">updated </w:t>
      </w:r>
      <w:r w:rsidR="008116F4" w:rsidRPr="00BD2F13">
        <w:rPr>
          <w:sz w:val="24"/>
          <w:szCs w:val="24"/>
        </w:rPr>
        <w:t>technology, a</w:t>
      </w:r>
      <w:r w:rsidRPr="00BD2F13">
        <w:rPr>
          <w:sz w:val="24"/>
          <w:szCs w:val="24"/>
        </w:rPr>
        <w:t xml:space="preserve"> reduction in wait time for outpatients</w:t>
      </w:r>
      <w:r w:rsidRPr="004F5DA7">
        <w:rPr>
          <w:sz w:val="24"/>
          <w:szCs w:val="24"/>
        </w:rPr>
        <w:t>,</w:t>
      </w:r>
      <w:r w:rsidRPr="00BD2F13">
        <w:rPr>
          <w:b/>
          <w:bCs/>
          <w:sz w:val="24"/>
          <w:szCs w:val="24"/>
        </w:rPr>
        <w:t xml:space="preserve"> </w:t>
      </w:r>
      <w:r w:rsidRPr="00BD2F13">
        <w:rPr>
          <w:sz w:val="24"/>
          <w:szCs w:val="24"/>
        </w:rPr>
        <w:t>more availability for outpatients</w:t>
      </w:r>
      <w:r w:rsidRPr="00BD2F13">
        <w:rPr>
          <w:b/>
          <w:bCs/>
          <w:sz w:val="24"/>
          <w:szCs w:val="24"/>
        </w:rPr>
        <w:t xml:space="preserve">, </w:t>
      </w:r>
      <w:r w:rsidRPr="00BD2F13">
        <w:rPr>
          <w:sz w:val="24"/>
          <w:szCs w:val="24"/>
        </w:rPr>
        <w:t>a</w:t>
      </w:r>
      <w:r w:rsidRPr="00BD2F13">
        <w:rPr>
          <w:b/>
          <w:bCs/>
          <w:sz w:val="24"/>
          <w:szCs w:val="24"/>
        </w:rPr>
        <w:t xml:space="preserve"> </w:t>
      </w:r>
      <w:r w:rsidRPr="00BD2F13">
        <w:rPr>
          <w:sz w:val="24"/>
          <w:szCs w:val="24"/>
        </w:rPr>
        <w:t xml:space="preserve">reduction in equipment issues and faster diagnosis and treatment, all of which can reduce healthcare costs. </w:t>
      </w:r>
    </w:p>
    <w:p w14:paraId="003AF061" w14:textId="77777777" w:rsidR="00F37630" w:rsidRDefault="00F37630" w:rsidP="00441CF7">
      <w:pPr>
        <w:spacing w:after="0"/>
        <w:rPr>
          <w:b/>
          <w:bCs/>
          <w:sz w:val="28"/>
          <w:szCs w:val="28"/>
        </w:rPr>
      </w:pPr>
    </w:p>
    <w:p w14:paraId="11A556C2" w14:textId="75595C68" w:rsidR="00441CF7" w:rsidRDefault="00441CF7" w:rsidP="00441CF7">
      <w:pPr>
        <w:spacing w:after="0"/>
      </w:pPr>
      <w:r w:rsidRPr="00441CF7">
        <w:rPr>
          <w:b/>
          <w:bCs/>
          <w:sz w:val="28"/>
          <w:szCs w:val="28"/>
        </w:rPr>
        <w:t>FACTOR 1</w:t>
      </w:r>
      <w:r w:rsidRPr="001430AA">
        <w:rPr>
          <w:sz w:val="28"/>
          <w:szCs w:val="28"/>
        </w:rPr>
        <w:t xml:space="preserve"> </w:t>
      </w:r>
      <w:r w:rsidR="001430AA" w:rsidRPr="001430AA">
        <w:rPr>
          <w:b/>
          <w:bCs/>
          <w:sz w:val="28"/>
          <w:szCs w:val="28"/>
        </w:rPr>
        <w:t>SUMMARY</w:t>
      </w:r>
    </w:p>
    <w:p w14:paraId="7950AE1B" w14:textId="6CC2CBBF" w:rsidR="00441CF7" w:rsidRPr="00667357" w:rsidRDefault="00441CF7" w:rsidP="00667357">
      <w:pPr>
        <w:spacing w:after="0" w:line="240" w:lineRule="auto"/>
        <w:rPr>
          <w:sz w:val="24"/>
          <w:szCs w:val="24"/>
        </w:rPr>
      </w:pPr>
      <w:r w:rsidRPr="00667357">
        <w:rPr>
          <w:sz w:val="24"/>
          <w:szCs w:val="24"/>
        </w:rPr>
        <w:t>As a result of information provided by the Applicant and additional analysis, staff finds that with the standard reporting requirements outlined below, the Applicant has demonstrated that the Proposed Project has met Factor 1(a-f). The Applicant proposed specific outcome, and process measures to track the impact of the Proposed Project which staff has reviewed</w:t>
      </w:r>
      <w:r w:rsidR="007351EA" w:rsidRPr="00667357">
        <w:rPr>
          <w:sz w:val="24"/>
          <w:szCs w:val="24"/>
        </w:rPr>
        <w:t xml:space="preserve">, and which will become a part of the reporting requirements. </w:t>
      </w:r>
      <w:r w:rsidRPr="00667357">
        <w:rPr>
          <w:sz w:val="24"/>
          <w:szCs w:val="24"/>
        </w:rPr>
        <w:t xml:space="preserve"> </w:t>
      </w:r>
    </w:p>
    <w:p w14:paraId="4F8319F6" w14:textId="77777777" w:rsidR="00607E85" w:rsidRDefault="00607E85">
      <w:pPr>
        <w:rPr>
          <w:b/>
          <w:bCs/>
          <w:sz w:val="28"/>
          <w:szCs w:val="28"/>
        </w:rPr>
      </w:pPr>
    </w:p>
    <w:p w14:paraId="7B0FA7B4" w14:textId="706AE293" w:rsidR="00DD2114" w:rsidRPr="00DD2114" w:rsidRDefault="00DD2114">
      <w:pPr>
        <w:rPr>
          <w:b/>
          <w:bCs/>
          <w:sz w:val="28"/>
          <w:szCs w:val="28"/>
        </w:rPr>
      </w:pPr>
      <w:r w:rsidRPr="00DD2114">
        <w:rPr>
          <w:b/>
          <w:bCs/>
          <w:sz w:val="28"/>
          <w:szCs w:val="28"/>
        </w:rPr>
        <w:t xml:space="preserve">Factor 2: Cost containment, Improved Public Health Outcomes and Delivery System Transformation </w:t>
      </w:r>
    </w:p>
    <w:p w14:paraId="0A67B09C" w14:textId="112670DE" w:rsidR="00D95F91" w:rsidRDefault="00BE75D7" w:rsidP="005F07C5">
      <w:pPr>
        <w:spacing w:line="240" w:lineRule="auto"/>
        <w:rPr>
          <w:b/>
          <w:bCs/>
          <w:sz w:val="24"/>
          <w:szCs w:val="24"/>
        </w:rPr>
      </w:pPr>
      <w:r w:rsidRPr="005F07C5">
        <w:rPr>
          <w:b/>
          <w:bCs/>
          <w:sz w:val="24"/>
          <w:szCs w:val="24"/>
        </w:rPr>
        <w:t>Cost Containment</w:t>
      </w:r>
    </w:p>
    <w:p w14:paraId="0AC4A2BC" w14:textId="277F6B22" w:rsidR="005473F0" w:rsidRPr="005473F0" w:rsidRDefault="005473F0" w:rsidP="005F07C5">
      <w:pPr>
        <w:spacing w:line="240" w:lineRule="auto"/>
        <w:rPr>
          <w:sz w:val="24"/>
          <w:szCs w:val="24"/>
        </w:rPr>
      </w:pPr>
      <w:r w:rsidRPr="005473F0">
        <w:rPr>
          <w:sz w:val="24"/>
          <w:szCs w:val="24"/>
        </w:rPr>
        <w:t xml:space="preserve">The Applicant </w:t>
      </w:r>
      <w:r>
        <w:rPr>
          <w:sz w:val="24"/>
          <w:szCs w:val="24"/>
        </w:rPr>
        <w:t>cites the following reasons to demonstrate</w:t>
      </w:r>
      <w:r w:rsidRPr="005473F0">
        <w:rPr>
          <w:sz w:val="24"/>
          <w:szCs w:val="24"/>
        </w:rPr>
        <w:t xml:space="preserve"> that the Proposed Project is consistent will the Commonwealth’s cost containment goals:</w:t>
      </w:r>
    </w:p>
    <w:p w14:paraId="3E216B20" w14:textId="77777777" w:rsidR="009530E0" w:rsidRDefault="005473F0" w:rsidP="005473F0">
      <w:pPr>
        <w:pStyle w:val="ListParagraph"/>
        <w:numPr>
          <w:ilvl w:val="0"/>
          <w:numId w:val="5"/>
        </w:numPr>
        <w:spacing w:line="240" w:lineRule="auto"/>
        <w:rPr>
          <w:sz w:val="24"/>
          <w:szCs w:val="24"/>
        </w:rPr>
      </w:pPr>
      <w:r>
        <w:rPr>
          <w:sz w:val="24"/>
          <w:szCs w:val="24"/>
        </w:rPr>
        <w:t>The Proposed Project will r</w:t>
      </w:r>
      <w:r w:rsidR="003967CD" w:rsidRPr="003967CD">
        <w:rPr>
          <w:sz w:val="24"/>
          <w:szCs w:val="24"/>
        </w:rPr>
        <w:t xml:space="preserve">educe healthcare expenditures through </w:t>
      </w:r>
      <w:r w:rsidR="006A6B46">
        <w:rPr>
          <w:sz w:val="24"/>
          <w:szCs w:val="24"/>
        </w:rPr>
        <w:t>reducing the</w:t>
      </w:r>
      <w:r w:rsidR="003967CD" w:rsidRPr="003967CD">
        <w:rPr>
          <w:sz w:val="24"/>
          <w:szCs w:val="24"/>
        </w:rPr>
        <w:t xml:space="preserve"> use of healthcare resources as a result of faster evaluation, treatment and recovery </w:t>
      </w:r>
      <w:r w:rsidR="008116F4" w:rsidRPr="003967CD">
        <w:rPr>
          <w:sz w:val="24"/>
          <w:szCs w:val="24"/>
        </w:rPr>
        <w:t>times</w:t>
      </w:r>
      <w:r w:rsidR="007573A0">
        <w:rPr>
          <w:sz w:val="24"/>
          <w:szCs w:val="24"/>
        </w:rPr>
        <w:t xml:space="preserve">. </w:t>
      </w:r>
    </w:p>
    <w:p w14:paraId="05E64CC9" w14:textId="6F5C2C6E" w:rsidR="00374A9D" w:rsidRPr="005473F0" w:rsidRDefault="007573A0" w:rsidP="005473F0">
      <w:pPr>
        <w:pStyle w:val="ListParagraph"/>
        <w:numPr>
          <w:ilvl w:val="0"/>
          <w:numId w:val="5"/>
        </w:numPr>
        <w:spacing w:line="240" w:lineRule="auto"/>
        <w:rPr>
          <w:sz w:val="24"/>
          <w:szCs w:val="24"/>
        </w:rPr>
      </w:pPr>
      <w:r>
        <w:rPr>
          <w:sz w:val="24"/>
          <w:szCs w:val="24"/>
        </w:rPr>
        <w:t xml:space="preserve">The Proposed Project </w:t>
      </w:r>
      <w:r w:rsidR="004767F2">
        <w:rPr>
          <w:sz w:val="24"/>
          <w:szCs w:val="24"/>
        </w:rPr>
        <w:t>will</w:t>
      </w:r>
      <w:r w:rsidR="008116F4">
        <w:rPr>
          <w:sz w:val="24"/>
          <w:szCs w:val="24"/>
        </w:rPr>
        <w:t xml:space="preserve"> maximiz</w:t>
      </w:r>
      <w:r>
        <w:rPr>
          <w:sz w:val="24"/>
          <w:szCs w:val="24"/>
        </w:rPr>
        <w:t>e</w:t>
      </w:r>
      <w:r w:rsidR="00374A9D" w:rsidRPr="005473F0">
        <w:rPr>
          <w:sz w:val="24"/>
          <w:szCs w:val="24"/>
        </w:rPr>
        <w:t xml:space="preserve"> use of existing hospital space, equipment, facilities and ancillary services</w:t>
      </w:r>
      <w:r w:rsidR="005473F0">
        <w:rPr>
          <w:sz w:val="24"/>
          <w:szCs w:val="24"/>
        </w:rPr>
        <w:t xml:space="preserve"> and</w:t>
      </w:r>
      <w:r w:rsidR="004E1509">
        <w:rPr>
          <w:sz w:val="24"/>
          <w:szCs w:val="24"/>
        </w:rPr>
        <w:t xml:space="preserve"> reduc</w:t>
      </w:r>
      <w:r>
        <w:rPr>
          <w:sz w:val="24"/>
          <w:szCs w:val="24"/>
        </w:rPr>
        <w:t>e</w:t>
      </w:r>
      <w:r w:rsidR="00374A9D" w:rsidRPr="005473F0">
        <w:rPr>
          <w:sz w:val="24"/>
          <w:szCs w:val="24"/>
        </w:rPr>
        <w:t xml:space="preserve"> administrative inefficiencies caused by capacity constraints, </w:t>
      </w:r>
      <w:r>
        <w:rPr>
          <w:sz w:val="24"/>
          <w:szCs w:val="24"/>
        </w:rPr>
        <w:t xml:space="preserve">to </w:t>
      </w:r>
      <w:r w:rsidR="00374A9D" w:rsidRPr="005473F0">
        <w:rPr>
          <w:sz w:val="24"/>
          <w:szCs w:val="24"/>
        </w:rPr>
        <w:t>increas</w:t>
      </w:r>
      <w:r>
        <w:rPr>
          <w:sz w:val="24"/>
          <w:szCs w:val="24"/>
        </w:rPr>
        <w:t>e</w:t>
      </w:r>
      <w:r w:rsidR="00374A9D" w:rsidRPr="005473F0">
        <w:rPr>
          <w:sz w:val="24"/>
          <w:szCs w:val="24"/>
        </w:rPr>
        <w:t xml:space="preserve"> timely access to care in an appropriate setting</w:t>
      </w:r>
      <w:r w:rsidR="00F927A2">
        <w:rPr>
          <w:sz w:val="24"/>
          <w:szCs w:val="24"/>
        </w:rPr>
        <w:t>.</w:t>
      </w:r>
    </w:p>
    <w:p w14:paraId="1BDD8FF0" w14:textId="061EA0D4" w:rsidR="00374A9D" w:rsidRPr="00F927A2" w:rsidRDefault="005473F0" w:rsidP="00F927A2">
      <w:pPr>
        <w:pStyle w:val="ListParagraph"/>
        <w:numPr>
          <w:ilvl w:val="0"/>
          <w:numId w:val="5"/>
        </w:numPr>
        <w:rPr>
          <w:b/>
          <w:bCs/>
          <w:sz w:val="24"/>
          <w:szCs w:val="24"/>
        </w:rPr>
      </w:pPr>
      <w:r w:rsidRPr="005473F0">
        <w:rPr>
          <w:sz w:val="24"/>
          <w:szCs w:val="24"/>
        </w:rPr>
        <w:lastRenderedPageBreak/>
        <w:t xml:space="preserve">The Proposed Project will have no impact on </w:t>
      </w:r>
      <w:r w:rsidR="00C21549">
        <w:rPr>
          <w:sz w:val="24"/>
          <w:szCs w:val="24"/>
        </w:rPr>
        <w:t>BID-N</w:t>
      </w:r>
      <w:r w:rsidR="00C067D1">
        <w:rPr>
          <w:sz w:val="24"/>
          <w:szCs w:val="24"/>
        </w:rPr>
        <w:t>eedham</w:t>
      </w:r>
      <w:r w:rsidRPr="005473F0">
        <w:rPr>
          <w:sz w:val="24"/>
          <w:szCs w:val="24"/>
        </w:rPr>
        <w:t>’s contracted rates for CT services.</w:t>
      </w:r>
      <w:r w:rsidR="00F927A2">
        <w:rPr>
          <w:sz w:val="24"/>
          <w:szCs w:val="24"/>
        </w:rPr>
        <w:t xml:space="preserve"> </w:t>
      </w:r>
      <w:r w:rsidR="00374A9D" w:rsidRPr="00F927A2">
        <w:rPr>
          <w:sz w:val="24"/>
          <w:szCs w:val="24"/>
        </w:rPr>
        <w:t xml:space="preserve">No cost </w:t>
      </w:r>
      <w:r w:rsidRPr="00F927A2">
        <w:rPr>
          <w:sz w:val="24"/>
          <w:szCs w:val="24"/>
        </w:rPr>
        <w:t xml:space="preserve">will be </w:t>
      </w:r>
      <w:r w:rsidR="00374A9D" w:rsidRPr="00F927A2">
        <w:rPr>
          <w:sz w:val="24"/>
          <w:szCs w:val="24"/>
        </w:rPr>
        <w:t>incurred by reactivating the 2009 CT, which will be utilized as the second CT</w:t>
      </w:r>
      <w:r w:rsidRPr="00F927A2">
        <w:rPr>
          <w:sz w:val="24"/>
          <w:szCs w:val="24"/>
        </w:rPr>
        <w:t xml:space="preserve"> and a</w:t>
      </w:r>
      <w:r w:rsidR="00082765" w:rsidRPr="00F927A2">
        <w:rPr>
          <w:sz w:val="24"/>
          <w:szCs w:val="24"/>
        </w:rPr>
        <w:t xml:space="preserve"> s</w:t>
      </w:r>
      <w:r w:rsidR="00374A9D" w:rsidRPr="00F927A2">
        <w:rPr>
          <w:sz w:val="24"/>
          <w:szCs w:val="24"/>
        </w:rPr>
        <w:t xml:space="preserve">ignificant percentage of services planned for the additional CT unit are included as a component of an inpatient stay or an interventional procedure. </w:t>
      </w:r>
    </w:p>
    <w:p w14:paraId="4859D0C4" w14:textId="5FCA59CE" w:rsidR="00374A9D" w:rsidRPr="00254C54" w:rsidRDefault="00C21549" w:rsidP="002C493A">
      <w:pPr>
        <w:pStyle w:val="ListParagraph"/>
        <w:numPr>
          <w:ilvl w:val="0"/>
          <w:numId w:val="5"/>
        </w:numPr>
        <w:spacing w:line="240" w:lineRule="auto"/>
        <w:rPr>
          <w:b/>
          <w:bCs/>
          <w:sz w:val="24"/>
          <w:szCs w:val="24"/>
        </w:rPr>
      </w:pPr>
      <w:r>
        <w:rPr>
          <w:sz w:val="24"/>
          <w:szCs w:val="24"/>
        </w:rPr>
        <w:t>BID-N</w:t>
      </w:r>
      <w:r w:rsidR="00374A9D">
        <w:rPr>
          <w:sz w:val="24"/>
          <w:szCs w:val="24"/>
        </w:rPr>
        <w:t xml:space="preserve">eedham is implementing a clinical decision support tool in accordance with federal law, to ensure that physicians ordering advanced imaging consult appropriate use criteria. </w:t>
      </w:r>
    </w:p>
    <w:p w14:paraId="7A721D4F" w14:textId="30C8D2D2" w:rsidR="00254C54" w:rsidRPr="007A312A" w:rsidRDefault="005473F0" w:rsidP="002C493A">
      <w:pPr>
        <w:pStyle w:val="ListParagraph"/>
        <w:numPr>
          <w:ilvl w:val="0"/>
          <w:numId w:val="5"/>
        </w:numPr>
        <w:spacing w:line="240" w:lineRule="auto"/>
        <w:rPr>
          <w:b/>
          <w:bCs/>
          <w:sz w:val="24"/>
          <w:szCs w:val="24"/>
        </w:rPr>
      </w:pPr>
      <w:r>
        <w:rPr>
          <w:sz w:val="24"/>
          <w:szCs w:val="24"/>
        </w:rPr>
        <w:t>The Proposed Project will r</w:t>
      </w:r>
      <w:r w:rsidR="00254C54">
        <w:rPr>
          <w:sz w:val="24"/>
          <w:szCs w:val="24"/>
        </w:rPr>
        <w:t>educ</w:t>
      </w:r>
      <w:r>
        <w:rPr>
          <w:sz w:val="24"/>
          <w:szCs w:val="24"/>
        </w:rPr>
        <w:t>e</w:t>
      </w:r>
      <w:r w:rsidR="00254C54">
        <w:rPr>
          <w:sz w:val="24"/>
          <w:szCs w:val="24"/>
        </w:rPr>
        <w:t xml:space="preserve"> transfers to higher cost facilities</w:t>
      </w:r>
      <w:r w:rsidR="002174D8">
        <w:rPr>
          <w:sz w:val="24"/>
          <w:szCs w:val="24"/>
        </w:rPr>
        <w:t xml:space="preserve"> for CT services</w:t>
      </w:r>
      <w:r w:rsidR="00254C54">
        <w:rPr>
          <w:sz w:val="24"/>
          <w:szCs w:val="24"/>
        </w:rPr>
        <w:t xml:space="preserve">. </w:t>
      </w:r>
    </w:p>
    <w:p w14:paraId="40D510A5" w14:textId="77777777" w:rsidR="007A312A" w:rsidRPr="00374A9D" w:rsidRDefault="007A312A" w:rsidP="007A312A">
      <w:pPr>
        <w:pStyle w:val="ListParagraph"/>
        <w:spacing w:line="240" w:lineRule="auto"/>
        <w:rPr>
          <w:b/>
          <w:bCs/>
          <w:sz w:val="24"/>
          <w:szCs w:val="24"/>
        </w:rPr>
      </w:pPr>
    </w:p>
    <w:p w14:paraId="6DBFCBC0" w14:textId="38A9344D" w:rsidR="00D95F91" w:rsidRPr="005F07C5" w:rsidRDefault="00BE75D7" w:rsidP="005F07C5">
      <w:pPr>
        <w:spacing w:line="240" w:lineRule="auto"/>
        <w:rPr>
          <w:b/>
          <w:bCs/>
          <w:i/>
          <w:iCs/>
          <w:sz w:val="24"/>
          <w:szCs w:val="24"/>
        </w:rPr>
      </w:pPr>
      <w:r w:rsidRPr="005F07C5">
        <w:rPr>
          <w:b/>
          <w:bCs/>
          <w:i/>
          <w:iCs/>
          <w:sz w:val="24"/>
          <w:szCs w:val="24"/>
        </w:rPr>
        <w:t>Analysis: Cost Containment</w:t>
      </w:r>
    </w:p>
    <w:p w14:paraId="2D36DAC1" w14:textId="77777777" w:rsidR="00BD2F13" w:rsidRPr="00BD2F13" w:rsidRDefault="00BD2F13" w:rsidP="00BD2F13">
      <w:pPr>
        <w:spacing w:line="240" w:lineRule="auto"/>
        <w:rPr>
          <w:sz w:val="24"/>
          <w:szCs w:val="24"/>
        </w:rPr>
      </w:pPr>
      <w:r w:rsidRPr="00BD2F13">
        <w:rPr>
          <w:sz w:val="24"/>
          <w:szCs w:val="24"/>
        </w:rPr>
        <w:t>Staff finds that the Applicant has adequately explained how the Proposed Project aligns with the Commonwealth’s cost containment goals through increasing access to high-quality, cost-effective imaging.</w:t>
      </w:r>
    </w:p>
    <w:p w14:paraId="7FC708DC" w14:textId="56BDB573" w:rsidR="00D95F91" w:rsidRDefault="005B0D40" w:rsidP="005F07C5">
      <w:pPr>
        <w:spacing w:line="240" w:lineRule="auto"/>
        <w:rPr>
          <w:b/>
          <w:bCs/>
          <w:sz w:val="24"/>
          <w:szCs w:val="24"/>
        </w:rPr>
      </w:pPr>
      <w:r w:rsidRPr="005F07C5">
        <w:rPr>
          <w:b/>
          <w:bCs/>
          <w:sz w:val="24"/>
          <w:szCs w:val="24"/>
        </w:rPr>
        <w:t>Improved Public Health Outcomes</w:t>
      </w:r>
    </w:p>
    <w:p w14:paraId="46E6EF45" w14:textId="0A79938B" w:rsidR="00C00FB5" w:rsidRDefault="006B2086" w:rsidP="005F07C5">
      <w:pPr>
        <w:spacing w:line="240" w:lineRule="auto"/>
        <w:rPr>
          <w:sz w:val="24"/>
          <w:szCs w:val="24"/>
        </w:rPr>
      </w:pPr>
      <w:r>
        <w:rPr>
          <w:sz w:val="24"/>
          <w:szCs w:val="24"/>
        </w:rPr>
        <w:t>The Applicant asserts that the Proposed Project will i</w:t>
      </w:r>
      <w:r w:rsidR="00735833">
        <w:rPr>
          <w:sz w:val="24"/>
          <w:szCs w:val="24"/>
        </w:rPr>
        <w:t>mprove health outcomes and patient experience through increasing access to CT imaging and reducing wait times for imaging</w:t>
      </w:r>
      <w:r>
        <w:rPr>
          <w:sz w:val="24"/>
          <w:szCs w:val="24"/>
        </w:rPr>
        <w:t xml:space="preserve">. </w:t>
      </w:r>
      <w:r w:rsidR="00AB7C5F">
        <w:rPr>
          <w:sz w:val="24"/>
          <w:szCs w:val="24"/>
        </w:rPr>
        <w:t xml:space="preserve">As mentioned above, increasing timely access to CT services can reduce delays in diagnosis and treatment, leader to faster recovery times and improved health outcomes. </w:t>
      </w:r>
    </w:p>
    <w:p w14:paraId="50D162E6" w14:textId="77777777" w:rsidR="00075C77" w:rsidRPr="00C00FB5" w:rsidRDefault="00075C77" w:rsidP="005F07C5">
      <w:pPr>
        <w:spacing w:line="240" w:lineRule="auto"/>
        <w:rPr>
          <w:sz w:val="24"/>
          <w:szCs w:val="24"/>
        </w:rPr>
      </w:pPr>
    </w:p>
    <w:p w14:paraId="6BCB1E21" w14:textId="39095195" w:rsidR="00D95F91" w:rsidRPr="005F07C5" w:rsidRDefault="005B0D40" w:rsidP="005F07C5">
      <w:pPr>
        <w:spacing w:line="240" w:lineRule="auto"/>
        <w:rPr>
          <w:b/>
          <w:bCs/>
          <w:sz w:val="24"/>
          <w:szCs w:val="24"/>
        </w:rPr>
      </w:pPr>
      <w:r w:rsidRPr="005F07C5">
        <w:rPr>
          <w:b/>
          <w:bCs/>
          <w:sz w:val="24"/>
          <w:szCs w:val="24"/>
        </w:rPr>
        <w:t>Analysis: Public Health Outcomes</w:t>
      </w:r>
    </w:p>
    <w:p w14:paraId="639C8A70" w14:textId="346C7563" w:rsidR="00BD2F13" w:rsidRPr="00BD2F13" w:rsidRDefault="00BD2F13" w:rsidP="00BD2F13">
      <w:pPr>
        <w:spacing w:line="240" w:lineRule="auto"/>
        <w:rPr>
          <w:sz w:val="24"/>
          <w:szCs w:val="24"/>
        </w:rPr>
      </w:pPr>
      <w:r w:rsidRPr="00BD2F13">
        <w:rPr>
          <w:sz w:val="24"/>
          <w:szCs w:val="24"/>
        </w:rPr>
        <w:t xml:space="preserve">As detailed elsewhere in this Report, improvements in patient health outcomes result from efficient and timely access to CT services. </w:t>
      </w:r>
      <w:r w:rsidR="009530E0">
        <w:rPr>
          <w:sz w:val="24"/>
          <w:szCs w:val="24"/>
        </w:rPr>
        <w:t xml:space="preserve">In addition, timelier scheduling of CT services will improve access to CT services and patient experience. </w:t>
      </w:r>
    </w:p>
    <w:p w14:paraId="155E704A" w14:textId="77777777" w:rsidR="009530E0" w:rsidRDefault="009530E0" w:rsidP="005F07C5">
      <w:pPr>
        <w:spacing w:line="240" w:lineRule="auto"/>
        <w:rPr>
          <w:b/>
          <w:bCs/>
          <w:sz w:val="24"/>
          <w:szCs w:val="24"/>
        </w:rPr>
      </w:pPr>
    </w:p>
    <w:p w14:paraId="5D6FBF0F" w14:textId="3FE027AA" w:rsidR="005B0D40" w:rsidRPr="005F07C5" w:rsidRDefault="005B0D40" w:rsidP="005F07C5">
      <w:pPr>
        <w:spacing w:line="240" w:lineRule="auto"/>
        <w:rPr>
          <w:b/>
          <w:bCs/>
          <w:sz w:val="24"/>
          <w:szCs w:val="24"/>
        </w:rPr>
      </w:pPr>
      <w:r w:rsidRPr="005F07C5">
        <w:rPr>
          <w:b/>
          <w:bCs/>
          <w:sz w:val="24"/>
          <w:szCs w:val="24"/>
        </w:rPr>
        <w:t>Delivery System Transformation</w:t>
      </w:r>
    </w:p>
    <w:p w14:paraId="50348D9E" w14:textId="3071DAFF" w:rsidR="00EE2F49" w:rsidRPr="007A0E99" w:rsidRDefault="007A0E99" w:rsidP="007A0E99">
      <w:pPr>
        <w:spacing w:line="240" w:lineRule="auto"/>
        <w:rPr>
          <w:sz w:val="24"/>
          <w:szCs w:val="24"/>
        </w:rPr>
      </w:pPr>
      <w:r>
        <w:rPr>
          <w:sz w:val="24"/>
          <w:szCs w:val="24"/>
        </w:rPr>
        <w:t xml:space="preserve">The </w:t>
      </w:r>
      <w:r w:rsidR="00C225E5">
        <w:rPr>
          <w:sz w:val="24"/>
          <w:szCs w:val="24"/>
        </w:rPr>
        <w:t>Applicant</w:t>
      </w:r>
      <w:r>
        <w:rPr>
          <w:sz w:val="24"/>
          <w:szCs w:val="24"/>
        </w:rPr>
        <w:t xml:space="preserve"> states that </w:t>
      </w:r>
      <w:r w:rsidR="00C21549">
        <w:rPr>
          <w:sz w:val="24"/>
          <w:szCs w:val="24"/>
        </w:rPr>
        <w:t>BID-N</w:t>
      </w:r>
      <w:r w:rsidR="00C067D1">
        <w:rPr>
          <w:sz w:val="24"/>
          <w:szCs w:val="24"/>
        </w:rPr>
        <w:t>eedham</w:t>
      </w:r>
      <w:r w:rsidR="006943FB" w:rsidRPr="007A0E99">
        <w:rPr>
          <w:sz w:val="24"/>
          <w:szCs w:val="24"/>
        </w:rPr>
        <w:t xml:space="preserve"> supports and/or provides numerous community health initiatives, many in conjunction with community partners.</w:t>
      </w:r>
      <w:r w:rsidR="006943FB">
        <w:rPr>
          <w:rStyle w:val="FootnoteReference"/>
          <w:sz w:val="24"/>
          <w:szCs w:val="24"/>
        </w:rPr>
        <w:footnoteReference w:id="24"/>
      </w:r>
      <w:r w:rsidR="006943FB" w:rsidRPr="007A0E99">
        <w:rPr>
          <w:sz w:val="24"/>
          <w:szCs w:val="24"/>
        </w:rPr>
        <w:t xml:space="preserve"> </w:t>
      </w:r>
      <w:r w:rsidR="0098420E" w:rsidRPr="007A0E99">
        <w:rPr>
          <w:sz w:val="24"/>
          <w:szCs w:val="24"/>
        </w:rPr>
        <w:t xml:space="preserve">As noted above, </w:t>
      </w:r>
      <w:r w:rsidR="00C21549">
        <w:rPr>
          <w:sz w:val="24"/>
          <w:szCs w:val="24"/>
        </w:rPr>
        <w:t>BID-N</w:t>
      </w:r>
      <w:r w:rsidR="00C067D1">
        <w:rPr>
          <w:sz w:val="24"/>
          <w:szCs w:val="24"/>
        </w:rPr>
        <w:t>eedham</w:t>
      </w:r>
      <w:r w:rsidR="006943FB" w:rsidRPr="007A0E99">
        <w:rPr>
          <w:sz w:val="24"/>
          <w:szCs w:val="24"/>
        </w:rPr>
        <w:t xml:space="preserve"> is a member of BIDCO – a physician and hospital network and ACO, and subsidiary of BILHPN</w:t>
      </w:r>
      <w:r w:rsidR="00FC2BA1" w:rsidRPr="007A0E99">
        <w:rPr>
          <w:sz w:val="24"/>
          <w:szCs w:val="24"/>
        </w:rPr>
        <w:t xml:space="preserve"> through which it evaluates and manages the health of the population it services through </w:t>
      </w:r>
      <w:r w:rsidR="009530E0">
        <w:rPr>
          <w:sz w:val="24"/>
          <w:szCs w:val="24"/>
        </w:rPr>
        <w:t>social determinants of health (</w:t>
      </w:r>
      <w:r w:rsidR="00FC2BA1" w:rsidRPr="007A0E99">
        <w:rPr>
          <w:sz w:val="24"/>
          <w:szCs w:val="24"/>
        </w:rPr>
        <w:t>SDoH</w:t>
      </w:r>
      <w:r w:rsidR="009530E0">
        <w:rPr>
          <w:sz w:val="24"/>
          <w:szCs w:val="24"/>
        </w:rPr>
        <w:t>)</w:t>
      </w:r>
      <w:r w:rsidR="00FC2BA1" w:rsidRPr="007A0E99">
        <w:rPr>
          <w:sz w:val="24"/>
          <w:szCs w:val="24"/>
        </w:rPr>
        <w:t xml:space="preserve"> assessments and providing care coordination and referrals. </w:t>
      </w:r>
      <w:r w:rsidR="00002AE7" w:rsidRPr="007A0E99">
        <w:rPr>
          <w:sz w:val="24"/>
          <w:szCs w:val="24"/>
        </w:rPr>
        <w:t xml:space="preserve">At </w:t>
      </w:r>
      <w:r w:rsidR="00C21549">
        <w:rPr>
          <w:sz w:val="24"/>
          <w:szCs w:val="24"/>
        </w:rPr>
        <w:t>BID-N</w:t>
      </w:r>
      <w:r w:rsidR="00C067D1">
        <w:rPr>
          <w:sz w:val="24"/>
          <w:szCs w:val="24"/>
        </w:rPr>
        <w:t>eedham</w:t>
      </w:r>
      <w:r w:rsidR="00002AE7" w:rsidRPr="007A0E99">
        <w:rPr>
          <w:sz w:val="24"/>
          <w:szCs w:val="24"/>
        </w:rPr>
        <w:t xml:space="preserve">’s </w:t>
      </w:r>
      <w:r w:rsidR="00513AEC">
        <w:rPr>
          <w:sz w:val="24"/>
          <w:szCs w:val="24"/>
        </w:rPr>
        <w:t>Beth Israel Deaconess HealthCare (</w:t>
      </w:r>
      <w:r w:rsidR="00002AE7" w:rsidRPr="007A0E99">
        <w:rPr>
          <w:sz w:val="24"/>
          <w:szCs w:val="24"/>
        </w:rPr>
        <w:t>BIDHC</w:t>
      </w:r>
      <w:r w:rsidR="00513AEC">
        <w:rPr>
          <w:sz w:val="24"/>
          <w:szCs w:val="24"/>
        </w:rPr>
        <w:t>)</w:t>
      </w:r>
      <w:r w:rsidR="0098420E" w:rsidRPr="007A0E99">
        <w:rPr>
          <w:sz w:val="24"/>
          <w:szCs w:val="24"/>
        </w:rPr>
        <w:t xml:space="preserve"> </w:t>
      </w:r>
      <w:r w:rsidR="005D0970" w:rsidRPr="007A0E99">
        <w:rPr>
          <w:sz w:val="24"/>
          <w:szCs w:val="24"/>
        </w:rPr>
        <w:t xml:space="preserve">primary care practices, all patients receive an SDoH </w:t>
      </w:r>
      <w:r w:rsidR="004A6521" w:rsidRPr="007A0E99">
        <w:rPr>
          <w:sz w:val="24"/>
          <w:szCs w:val="24"/>
        </w:rPr>
        <w:t>screen</w:t>
      </w:r>
      <w:r w:rsidR="004A6521">
        <w:rPr>
          <w:sz w:val="24"/>
          <w:szCs w:val="24"/>
        </w:rPr>
        <w:t>ing</w:t>
      </w:r>
      <w:r w:rsidR="004A6521" w:rsidRPr="007A0E99">
        <w:rPr>
          <w:sz w:val="24"/>
          <w:szCs w:val="24"/>
        </w:rPr>
        <w:t xml:space="preserve"> </w:t>
      </w:r>
      <w:r w:rsidR="005D0970" w:rsidRPr="007A0E99">
        <w:rPr>
          <w:sz w:val="24"/>
          <w:szCs w:val="24"/>
        </w:rPr>
        <w:t xml:space="preserve">as part of their annual wellness exam. </w:t>
      </w:r>
      <w:r w:rsidR="00C0307A" w:rsidRPr="007A0E99">
        <w:rPr>
          <w:sz w:val="24"/>
          <w:szCs w:val="24"/>
        </w:rPr>
        <w:t>The screener form is modified from the Protocols for Responding to and Assessing Patients’ Assets, Risks, and Experiences (PERPARE), which is filled out pre-visit, or on a tablet, or by paper just prior to the visits.</w:t>
      </w:r>
      <w:r w:rsidR="006F3742">
        <w:rPr>
          <w:sz w:val="24"/>
          <w:szCs w:val="24"/>
        </w:rPr>
        <w:t xml:space="preserve"> SDoH screening domains include: </w:t>
      </w:r>
      <w:r w:rsidR="001F1800">
        <w:rPr>
          <w:sz w:val="24"/>
          <w:szCs w:val="24"/>
        </w:rPr>
        <w:t xml:space="preserve">Housing, Transportation, Isolation, Safety, Access to Resources, and </w:t>
      </w:r>
      <w:r w:rsidR="001F1800">
        <w:rPr>
          <w:sz w:val="24"/>
          <w:szCs w:val="24"/>
        </w:rPr>
        <w:lastRenderedPageBreak/>
        <w:t>Access to Healthcare.</w:t>
      </w:r>
      <w:r w:rsidR="00D625BB">
        <w:rPr>
          <w:sz w:val="24"/>
          <w:szCs w:val="24"/>
        </w:rPr>
        <w:t xml:space="preserve"> </w:t>
      </w:r>
      <w:r w:rsidR="005D0970" w:rsidRPr="007A0E99">
        <w:rPr>
          <w:sz w:val="24"/>
          <w:szCs w:val="24"/>
        </w:rPr>
        <w:t xml:space="preserve">Positive SDoH screens are referred to community health </w:t>
      </w:r>
      <w:r w:rsidR="00CB7364" w:rsidRPr="007A0E99">
        <w:rPr>
          <w:sz w:val="24"/>
          <w:szCs w:val="24"/>
        </w:rPr>
        <w:t>workers</w:t>
      </w:r>
      <w:r w:rsidR="005D0970" w:rsidRPr="007A0E99">
        <w:rPr>
          <w:sz w:val="24"/>
          <w:szCs w:val="24"/>
        </w:rPr>
        <w:t xml:space="preserve"> who follow-up with patients directly. </w:t>
      </w:r>
      <w:r w:rsidR="00CB7364" w:rsidRPr="007A0E99">
        <w:rPr>
          <w:sz w:val="24"/>
          <w:szCs w:val="24"/>
        </w:rPr>
        <w:t xml:space="preserve">Safety concerns are flagged for the provider to address during the visit. </w:t>
      </w:r>
      <w:r w:rsidR="00A27BB5">
        <w:rPr>
          <w:sz w:val="24"/>
          <w:szCs w:val="24"/>
        </w:rPr>
        <w:t xml:space="preserve">The Applicant states that </w:t>
      </w:r>
      <w:r w:rsidR="00C21549">
        <w:rPr>
          <w:sz w:val="24"/>
          <w:szCs w:val="24"/>
        </w:rPr>
        <w:t>BID-N</w:t>
      </w:r>
      <w:r w:rsidR="00C067D1">
        <w:rPr>
          <w:sz w:val="24"/>
          <w:szCs w:val="24"/>
        </w:rPr>
        <w:t>eedham</w:t>
      </w:r>
      <w:r w:rsidR="001E04B4" w:rsidRPr="007A0E99">
        <w:rPr>
          <w:sz w:val="24"/>
          <w:szCs w:val="24"/>
        </w:rPr>
        <w:t xml:space="preserve"> </w:t>
      </w:r>
      <w:r w:rsidR="00457078">
        <w:rPr>
          <w:sz w:val="24"/>
          <w:szCs w:val="24"/>
        </w:rPr>
        <w:t>o</w:t>
      </w:r>
      <w:r w:rsidR="00EE2F49" w:rsidRPr="007A0E99">
        <w:rPr>
          <w:sz w:val="24"/>
          <w:szCs w:val="24"/>
        </w:rPr>
        <w:t>ffers a variety of services to address SDoH</w:t>
      </w:r>
      <w:r w:rsidR="001E04B4" w:rsidRPr="007A0E99">
        <w:rPr>
          <w:sz w:val="24"/>
          <w:szCs w:val="24"/>
        </w:rPr>
        <w:t xml:space="preserve"> needs and health care disparities</w:t>
      </w:r>
      <w:r w:rsidR="00EE2F49" w:rsidRPr="007A0E99">
        <w:rPr>
          <w:sz w:val="24"/>
          <w:szCs w:val="24"/>
        </w:rPr>
        <w:t>.</w:t>
      </w:r>
      <w:r w:rsidR="00EE2F49">
        <w:rPr>
          <w:rStyle w:val="FootnoteReference"/>
          <w:sz w:val="24"/>
          <w:szCs w:val="24"/>
        </w:rPr>
        <w:footnoteReference w:id="25"/>
      </w:r>
      <w:r w:rsidR="00EE2F49" w:rsidRPr="007A0E99">
        <w:rPr>
          <w:sz w:val="24"/>
          <w:szCs w:val="24"/>
        </w:rPr>
        <w:t xml:space="preserve"> </w:t>
      </w:r>
    </w:p>
    <w:p w14:paraId="399C7644" w14:textId="77777777" w:rsidR="007F7701" w:rsidRDefault="007F7701" w:rsidP="005F07C5">
      <w:pPr>
        <w:spacing w:line="240" w:lineRule="auto"/>
        <w:rPr>
          <w:b/>
          <w:bCs/>
          <w:sz w:val="24"/>
          <w:szCs w:val="24"/>
        </w:rPr>
      </w:pPr>
    </w:p>
    <w:p w14:paraId="1AE28FD5" w14:textId="33B1732E" w:rsidR="005B0D40" w:rsidRPr="005F07C5" w:rsidRDefault="005B0D40" w:rsidP="005F07C5">
      <w:pPr>
        <w:spacing w:line="240" w:lineRule="auto"/>
        <w:rPr>
          <w:b/>
          <w:bCs/>
          <w:sz w:val="24"/>
          <w:szCs w:val="24"/>
        </w:rPr>
      </w:pPr>
      <w:r w:rsidRPr="005F07C5">
        <w:rPr>
          <w:b/>
          <w:bCs/>
          <w:sz w:val="24"/>
          <w:szCs w:val="24"/>
        </w:rPr>
        <w:t>Analysis: Delivery System Transformation</w:t>
      </w:r>
      <w:r w:rsidR="00002AE7">
        <w:rPr>
          <w:b/>
          <w:bCs/>
          <w:sz w:val="24"/>
          <w:szCs w:val="24"/>
        </w:rPr>
        <w:t xml:space="preserve"> </w:t>
      </w:r>
    </w:p>
    <w:p w14:paraId="6C0A44B7" w14:textId="72DEC024" w:rsidR="005B0D40" w:rsidRPr="005F07C5" w:rsidRDefault="008B4A12" w:rsidP="005F07C5">
      <w:pPr>
        <w:spacing w:line="240" w:lineRule="auto"/>
        <w:rPr>
          <w:sz w:val="24"/>
          <w:szCs w:val="24"/>
        </w:rPr>
      </w:pPr>
      <w:r w:rsidRPr="005F07C5">
        <w:rPr>
          <w:sz w:val="24"/>
          <w:szCs w:val="24"/>
        </w:rPr>
        <w:t xml:space="preserve">Central to the goal of Delivery System Transformation is the integration of social services and community-based expertise. The Applicant has described how </w:t>
      </w:r>
      <w:r w:rsidR="009530E0">
        <w:rPr>
          <w:sz w:val="24"/>
          <w:szCs w:val="24"/>
        </w:rPr>
        <w:t>patients</w:t>
      </w:r>
      <w:r w:rsidRPr="005F07C5">
        <w:rPr>
          <w:sz w:val="24"/>
          <w:szCs w:val="24"/>
        </w:rPr>
        <w:t xml:space="preserve"> in the panel are assessed and how linkages to social services organizations are created.</w:t>
      </w:r>
    </w:p>
    <w:p w14:paraId="3609CC38" w14:textId="6A9D70D5" w:rsidR="00AB7C5F" w:rsidRDefault="00AB7C5F" w:rsidP="008B4A12">
      <w:pPr>
        <w:spacing w:line="240" w:lineRule="auto"/>
      </w:pPr>
    </w:p>
    <w:p w14:paraId="572AF8E7" w14:textId="232D813B" w:rsidR="0098420E" w:rsidRDefault="0098420E" w:rsidP="0098420E">
      <w:pPr>
        <w:spacing w:after="0"/>
      </w:pPr>
      <w:r w:rsidRPr="0098420E">
        <w:rPr>
          <w:b/>
          <w:bCs/>
          <w:sz w:val="28"/>
          <w:szCs w:val="28"/>
        </w:rPr>
        <w:t>FACTOR 2</w:t>
      </w:r>
      <w:r>
        <w:t xml:space="preserve"> </w:t>
      </w:r>
      <w:r w:rsidR="002F5B52" w:rsidRPr="002F5B52">
        <w:rPr>
          <w:b/>
          <w:bCs/>
          <w:sz w:val="28"/>
          <w:szCs w:val="28"/>
        </w:rPr>
        <w:t>SUMMARY</w:t>
      </w:r>
    </w:p>
    <w:p w14:paraId="1AA947C6" w14:textId="025DE3AC" w:rsidR="005B0D40" w:rsidRDefault="0098420E" w:rsidP="005F07C5">
      <w:pPr>
        <w:spacing w:after="0" w:line="240" w:lineRule="auto"/>
        <w:rPr>
          <w:sz w:val="24"/>
          <w:szCs w:val="24"/>
        </w:rPr>
      </w:pPr>
      <w:r w:rsidRPr="005F07C5">
        <w:rPr>
          <w:sz w:val="24"/>
          <w:szCs w:val="24"/>
        </w:rPr>
        <w:t>As a result of information provided by the Applicant and additional analysis, staff finds that with the standard reporting conditions, the Applicant has demonstrated that the Proposed Project has met Factor 2.</w:t>
      </w:r>
    </w:p>
    <w:p w14:paraId="66F3FF1F" w14:textId="77777777" w:rsidR="003079F2" w:rsidRPr="005F07C5" w:rsidRDefault="003079F2" w:rsidP="005F07C5">
      <w:pPr>
        <w:spacing w:after="0" w:line="240" w:lineRule="auto"/>
        <w:rPr>
          <w:b/>
          <w:bCs/>
          <w:sz w:val="24"/>
          <w:szCs w:val="24"/>
        </w:rPr>
      </w:pPr>
    </w:p>
    <w:p w14:paraId="6674E1C5" w14:textId="77777777" w:rsidR="00057CC4" w:rsidRPr="00057CC4" w:rsidRDefault="00057CC4" w:rsidP="00057CC4">
      <w:pPr>
        <w:spacing w:after="0"/>
        <w:rPr>
          <w:b/>
          <w:bCs/>
          <w:sz w:val="28"/>
          <w:szCs w:val="28"/>
        </w:rPr>
      </w:pPr>
      <w:r w:rsidRPr="00057CC4">
        <w:rPr>
          <w:b/>
          <w:bCs/>
          <w:sz w:val="28"/>
          <w:szCs w:val="28"/>
        </w:rPr>
        <w:t xml:space="preserve">Factor 3: Relevant Licensure/Oversight Compliance </w:t>
      </w:r>
    </w:p>
    <w:p w14:paraId="3F4905FF" w14:textId="14143654" w:rsidR="005B0D40" w:rsidRPr="006D6A23" w:rsidRDefault="00057CC4" w:rsidP="005F07C5">
      <w:pPr>
        <w:spacing w:after="0" w:line="240" w:lineRule="auto"/>
        <w:rPr>
          <w:b/>
          <w:bCs/>
          <w:sz w:val="24"/>
          <w:szCs w:val="24"/>
        </w:rPr>
      </w:pPr>
      <w:r w:rsidRPr="006D6A23">
        <w:rPr>
          <w:sz w:val="24"/>
          <w:szCs w:val="24"/>
        </w:rPr>
        <w:t>The Applicant has provided evidence of compliance and good standing with federal, state, and local laws and regulations and will not be addressed further in this report.</w:t>
      </w:r>
    </w:p>
    <w:p w14:paraId="64EF588B" w14:textId="457191EB" w:rsidR="005B0D40" w:rsidRDefault="005B0D40">
      <w:pPr>
        <w:rPr>
          <w:b/>
          <w:bCs/>
        </w:rPr>
      </w:pPr>
    </w:p>
    <w:p w14:paraId="6C3734C2" w14:textId="77777777" w:rsidR="00FA0A99" w:rsidRPr="00FA0A99" w:rsidRDefault="00FA0A99">
      <w:pPr>
        <w:rPr>
          <w:b/>
          <w:bCs/>
          <w:sz w:val="28"/>
          <w:szCs w:val="28"/>
        </w:rPr>
      </w:pPr>
      <w:r w:rsidRPr="00FA0A99">
        <w:rPr>
          <w:b/>
          <w:bCs/>
          <w:sz w:val="28"/>
          <w:szCs w:val="28"/>
        </w:rPr>
        <w:t xml:space="preserve">Factor 4: Demonstration of Sufficient Funds as Supported by an Independent CPA Analysis </w:t>
      </w:r>
    </w:p>
    <w:p w14:paraId="391CCF10" w14:textId="533C7754" w:rsidR="00953E98" w:rsidRPr="005F07C5" w:rsidRDefault="00FA0A99" w:rsidP="005F07C5">
      <w:pPr>
        <w:spacing w:line="240" w:lineRule="auto"/>
        <w:rPr>
          <w:sz w:val="24"/>
          <w:szCs w:val="24"/>
        </w:rPr>
      </w:pPr>
      <w:r w:rsidRPr="005F07C5">
        <w:rPr>
          <w:sz w:val="24"/>
          <w:szCs w:val="24"/>
        </w:rPr>
        <w:t xml:space="preserve">Under </w:t>
      </w:r>
      <w:r w:rsidR="0047451F" w:rsidRPr="005F07C5">
        <w:rPr>
          <w:sz w:val="24"/>
          <w:szCs w:val="24"/>
        </w:rPr>
        <w:t>F</w:t>
      </w:r>
      <w:r w:rsidRPr="005F07C5">
        <w:rPr>
          <w:sz w:val="24"/>
          <w:szCs w:val="24"/>
        </w:rPr>
        <w:t xml:space="preserve">actor 4, the Applicant must demonstrate that it has sufficient funds available for capital and operating costs necessary to support the Proposed Project without negative effects or consequences to the existing </w:t>
      </w:r>
      <w:r w:rsidR="006D6A23">
        <w:rPr>
          <w:sz w:val="24"/>
          <w:szCs w:val="24"/>
        </w:rPr>
        <w:t>P</w:t>
      </w:r>
      <w:r w:rsidRPr="005F07C5">
        <w:rPr>
          <w:sz w:val="24"/>
          <w:szCs w:val="24"/>
        </w:rPr>
        <w:t xml:space="preserve">atient </w:t>
      </w:r>
      <w:r w:rsidR="006D6A23">
        <w:rPr>
          <w:sz w:val="24"/>
          <w:szCs w:val="24"/>
        </w:rPr>
        <w:t>P</w:t>
      </w:r>
      <w:r w:rsidRPr="005F07C5">
        <w:rPr>
          <w:sz w:val="24"/>
          <w:szCs w:val="24"/>
        </w:rPr>
        <w:t>anel. Documentation sufficient to make such finding must be supported by an analysis by an independent CPA. The CPA examined a range of documents and information in developing its report including</w:t>
      </w:r>
      <w:r w:rsidR="00432E0F" w:rsidRPr="005F07C5">
        <w:rPr>
          <w:sz w:val="24"/>
          <w:szCs w:val="24"/>
        </w:rPr>
        <w:t xml:space="preserve"> </w:t>
      </w:r>
      <w:r w:rsidR="008543E3" w:rsidRPr="005F07C5">
        <w:rPr>
          <w:sz w:val="24"/>
          <w:szCs w:val="24"/>
        </w:rPr>
        <w:t>five-year financial forecast (Projections) for fiscal years ending 202</w:t>
      </w:r>
      <w:r w:rsidR="00057A2C">
        <w:rPr>
          <w:sz w:val="24"/>
          <w:szCs w:val="24"/>
        </w:rPr>
        <w:t>1</w:t>
      </w:r>
      <w:r w:rsidR="008543E3" w:rsidRPr="005F07C5">
        <w:rPr>
          <w:sz w:val="24"/>
          <w:szCs w:val="24"/>
        </w:rPr>
        <w:t xml:space="preserve"> through 202</w:t>
      </w:r>
      <w:r w:rsidR="00057A2C">
        <w:rPr>
          <w:sz w:val="24"/>
          <w:szCs w:val="24"/>
        </w:rPr>
        <w:t>5</w:t>
      </w:r>
      <w:r w:rsidRPr="005F07C5">
        <w:rPr>
          <w:sz w:val="24"/>
          <w:szCs w:val="24"/>
        </w:rPr>
        <w:t>.</w:t>
      </w:r>
      <w:r w:rsidR="00057A2C">
        <w:rPr>
          <w:rStyle w:val="FootnoteReference"/>
          <w:sz w:val="24"/>
          <w:szCs w:val="24"/>
        </w:rPr>
        <w:footnoteReference w:id="26"/>
      </w:r>
      <w:r w:rsidRPr="005F07C5">
        <w:rPr>
          <w:sz w:val="24"/>
          <w:szCs w:val="24"/>
        </w:rPr>
        <w:t xml:space="preserve"> Additionally, it calculated key liquidity and operating metrics to assist in determining reasonableness of the Applicant’s assumptions</w:t>
      </w:r>
      <w:r w:rsidR="00546AB6" w:rsidRPr="005F07C5">
        <w:rPr>
          <w:sz w:val="24"/>
          <w:szCs w:val="24"/>
        </w:rPr>
        <w:t xml:space="preserve"> and feasibility of the Projections</w:t>
      </w:r>
      <w:r w:rsidRPr="005F07C5">
        <w:rPr>
          <w:sz w:val="24"/>
          <w:szCs w:val="24"/>
        </w:rPr>
        <w:t>.</w:t>
      </w:r>
      <w:r w:rsidR="004500C8">
        <w:rPr>
          <w:rStyle w:val="FootnoteReference"/>
          <w:sz w:val="24"/>
          <w:szCs w:val="24"/>
        </w:rPr>
        <w:footnoteReference w:id="27"/>
      </w:r>
    </w:p>
    <w:p w14:paraId="30F7C34E" w14:textId="667E182A" w:rsidR="00057CC4" w:rsidRDefault="00FA0A99" w:rsidP="005F07C5">
      <w:pPr>
        <w:spacing w:line="240" w:lineRule="auto"/>
        <w:rPr>
          <w:b/>
          <w:bCs/>
          <w:sz w:val="24"/>
          <w:szCs w:val="24"/>
        </w:rPr>
      </w:pPr>
      <w:r w:rsidRPr="005F07C5">
        <w:rPr>
          <w:b/>
          <w:bCs/>
          <w:sz w:val="24"/>
          <w:szCs w:val="24"/>
        </w:rPr>
        <w:lastRenderedPageBreak/>
        <w:t>Revenues</w:t>
      </w:r>
    </w:p>
    <w:p w14:paraId="5AB1C893" w14:textId="084338AF" w:rsidR="004500C8" w:rsidRPr="004500C8" w:rsidRDefault="004500C8" w:rsidP="005F07C5">
      <w:pPr>
        <w:spacing w:line="240" w:lineRule="auto"/>
        <w:rPr>
          <w:sz w:val="24"/>
          <w:szCs w:val="24"/>
        </w:rPr>
      </w:pPr>
      <w:r w:rsidRPr="004500C8">
        <w:rPr>
          <w:sz w:val="24"/>
          <w:szCs w:val="24"/>
        </w:rPr>
        <w:t xml:space="preserve">The only revenue category that the proposed capital project would impact is net patient service revenue (NPSR). </w:t>
      </w:r>
      <w:r>
        <w:rPr>
          <w:sz w:val="24"/>
          <w:szCs w:val="24"/>
        </w:rPr>
        <w:t>Cumulative NPSR comprises 87.1</w:t>
      </w:r>
      <w:r w:rsidR="00E8681A">
        <w:rPr>
          <w:sz w:val="24"/>
          <w:szCs w:val="24"/>
        </w:rPr>
        <w:t xml:space="preserve"> percent</w:t>
      </w:r>
      <w:r>
        <w:rPr>
          <w:sz w:val="24"/>
          <w:szCs w:val="24"/>
        </w:rPr>
        <w:t xml:space="preserve"> of the cumulative total operating revenue from FY2021 through FY2025. </w:t>
      </w:r>
      <w:r w:rsidRPr="004500C8">
        <w:rPr>
          <w:sz w:val="24"/>
          <w:szCs w:val="24"/>
        </w:rPr>
        <w:t xml:space="preserve">The CPA’s analysis included the Applicant’s </w:t>
      </w:r>
      <w:r w:rsidR="00E8681A">
        <w:rPr>
          <w:sz w:val="24"/>
          <w:szCs w:val="24"/>
        </w:rPr>
        <w:t>NPSR</w:t>
      </w:r>
      <w:r w:rsidRPr="004500C8">
        <w:rPr>
          <w:sz w:val="24"/>
          <w:szCs w:val="24"/>
        </w:rPr>
        <w:t xml:space="preserve"> both historical and projected. The report looked at the projected 3.7</w:t>
      </w:r>
      <w:r w:rsidR="00E8681A">
        <w:rPr>
          <w:sz w:val="24"/>
          <w:szCs w:val="24"/>
        </w:rPr>
        <w:t xml:space="preserve"> percent</w:t>
      </w:r>
      <w:r w:rsidRPr="004500C8">
        <w:rPr>
          <w:sz w:val="24"/>
          <w:szCs w:val="24"/>
        </w:rPr>
        <w:t xml:space="preserve"> four-year compound annual total operating revenue growth rate (CAGR) between FY2021 and FY 2025 and found that it is below the historical CAGR between FY2017 and FY2019 of 6.1</w:t>
      </w:r>
      <w:r w:rsidR="00E8681A">
        <w:rPr>
          <w:sz w:val="24"/>
          <w:szCs w:val="24"/>
        </w:rPr>
        <w:t xml:space="preserve"> percent</w:t>
      </w:r>
      <w:r w:rsidRPr="004500C8">
        <w:rPr>
          <w:sz w:val="24"/>
          <w:szCs w:val="24"/>
        </w:rPr>
        <w:t>. It excluded the performance for fiscal year 2020 in this comparison given it was significantly impacted by the global COVID-19 pandemic. Based upon the foregoing, the CPA’s opinion is that the revenue growth projected by Management reflects a reasonable estimation of future revenue of BILH.</w:t>
      </w:r>
    </w:p>
    <w:p w14:paraId="21818444" w14:textId="77777777" w:rsidR="00C008B1" w:rsidRDefault="00C008B1" w:rsidP="005F07C5">
      <w:pPr>
        <w:spacing w:line="240" w:lineRule="auto"/>
        <w:rPr>
          <w:b/>
          <w:bCs/>
          <w:sz w:val="24"/>
          <w:szCs w:val="24"/>
        </w:rPr>
      </w:pPr>
    </w:p>
    <w:p w14:paraId="75A6C87A" w14:textId="313D8E1C" w:rsidR="005B0D40" w:rsidRPr="005F07C5" w:rsidRDefault="00953E98" w:rsidP="005F07C5">
      <w:pPr>
        <w:spacing w:line="240" w:lineRule="auto"/>
        <w:rPr>
          <w:b/>
          <w:bCs/>
          <w:sz w:val="24"/>
          <w:szCs w:val="24"/>
        </w:rPr>
      </w:pPr>
      <w:r w:rsidRPr="005F07C5">
        <w:rPr>
          <w:b/>
          <w:bCs/>
          <w:sz w:val="24"/>
          <w:szCs w:val="24"/>
        </w:rPr>
        <w:t>Operating Expenses</w:t>
      </w:r>
    </w:p>
    <w:p w14:paraId="554EC212" w14:textId="4271DE47" w:rsidR="00573EE7" w:rsidRDefault="00E8681A" w:rsidP="005F07C5">
      <w:pPr>
        <w:spacing w:line="240" w:lineRule="auto"/>
        <w:rPr>
          <w:sz w:val="24"/>
          <w:szCs w:val="24"/>
        </w:rPr>
      </w:pPr>
      <w:r w:rsidRPr="00E8681A">
        <w:rPr>
          <w:sz w:val="24"/>
          <w:szCs w:val="24"/>
        </w:rPr>
        <w:t>The projections for operating expenses for the Proposed Project were reviewed in the context of actual operating results for BILH for the years ended December 31, 2017</w:t>
      </w:r>
      <w:r w:rsidR="00B04FFE">
        <w:rPr>
          <w:sz w:val="24"/>
          <w:szCs w:val="24"/>
        </w:rPr>
        <w:t xml:space="preserve"> to </w:t>
      </w:r>
      <w:r w:rsidRPr="00E8681A">
        <w:rPr>
          <w:sz w:val="24"/>
          <w:szCs w:val="24"/>
        </w:rPr>
        <w:t>2019. The operating expenses in the analysis include salaries and benefits, depreciation and amortization, interest expenses, and supplies and other expenses. Total operating expenses are projected to grow 3.0 percent in FY 2021 as compared to FY2019. (FY 2020 was excluded given it was significantly impacted by the COVID-19 pandemic.) From FY2022 through FY 2025, operating expenses are projected to grow annually by 3.3 percent. This is slightly below the FY 2017 to FY 2019 annual historical growth, which ranged from 4.2 percent to 5.2 percent. This, the Applicant asserts, is due to synergies as a result of the integration efforts following the formation of BILH, thereby allowing it to operate more efficiently. The CPA points out that the projected total operating expenses as a percentage of total operating revenue range from 98.4 percent to 99.8 percent from FY 2021 to FY 2025, and which is in-line with the historical total operating expenses as a percentage of total operating revenue which ranged from 98.8 percent to 101.5 percent from FY 2017 to FY 2019. Thus, it is the CPA’s opinion that the projected operating expenses reflect reasonable estimation of future expenses of the Applicant</w:t>
      </w:r>
      <w:r>
        <w:rPr>
          <w:sz w:val="24"/>
          <w:szCs w:val="24"/>
        </w:rPr>
        <w:t>.</w:t>
      </w:r>
    </w:p>
    <w:p w14:paraId="25691FE3" w14:textId="77777777" w:rsidR="007F7701" w:rsidRPr="00E8681A" w:rsidRDefault="007F7701" w:rsidP="005F07C5">
      <w:pPr>
        <w:spacing w:line="240" w:lineRule="auto"/>
        <w:rPr>
          <w:sz w:val="24"/>
          <w:szCs w:val="24"/>
        </w:rPr>
      </w:pPr>
    </w:p>
    <w:p w14:paraId="155E0B48" w14:textId="15E23F6F" w:rsidR="005B0D40" w:rsidRDefault="00953E98" w:rsidP="005F07C5">
      <w:pPr>
        <w:spacing w:line="240" w:lineRule="auto"/>
        <w:rPr>
          <w:b/>
          <w:bCs/>
          <w:sz w:val="24"/>
          <w:szCs w:val="24"/>
        </w:rPr>
      </w:pPr>
      <w:r w:rsidRPr="005F07C5">
        <w:rPr>
          <w:b/>
          <w:bCs/>
          <w:sz w:val="24"/>
          <w:szCs w:val="24"/>
        </w:rPr>
        <w:t>Capital Expenditures and Cash Flows</w:t>
      </w:r>
    </w:p>
    <w:p w14:paraId="34848A52" w14:textId="34A67EC4" w:rsidR="001A6140" w:rsidRPr="001A6140" w:rsidRDefault="001A6140" w:rsidP="005F07C5">
      <w:pPr>
        <w:spacing w:line="240" w:lineRule="auto"/>
        <w:rPr>
          <w:sz w:val="24"/>
          <w:szCs w:val="24"/>
        </w:rPr>
      </w:pPr>
      <w:r>
        <w:rPr>
          <w:sz w:val="24"/>
          <w:szCs w:val="24"/>
        </w:rPr>
        <w:t>The 2009 CT Unit (replacement unit) is currently in close proximity to BID-N’s primary CT unit. Reactivation of the CT unit does not require additional buildout or disruption to existing services. Therefore, the Applicant does not expect any major capital expenditures required to reactivate the 2009 CT unit other than a $5,000 inspection fee and legal fees associated with the Proposed Project, estimated to be less than $100,000 in total. Incremental operating expense of the Proposed Project is from $375,000 to $450,000</w:t>
      </w:r>
      <w:r w:rsidR="00837AAE">
        <w:rPr>
          <w:sz w:val="24"/>
          <w:szCs w:val="24"/>
        </w:rPr>
        <w:t xml:space="preserve">, representing incremental annual labor costs, CT maintenance service costs and miscellaneous supply costs required to operate an additional CT unit. The expenditures through the Proposed Project are expected to </w:t>
      </w:r>
      <w:r w:rsidR="00837AAE">
        <w:rPr>
          <w:sz w:val="24"/>
          <w:szCs w:val="24"/>
        </w:rPr>
        <w:lastRenderedPageBreak/>
        <w:t>be funded through cash on hand and cash equivalents balance included in the Projections is ~1.43 billion in FY2021, of which the initial outlay expenses and the annual operating expenses of the Proposed Project represent ~0.</w:t>
      </w:r>
      <w:r w:rsidR="00C5557F">
        <w:rPr>
          <w:sz w:val="24"/>
          <w:szCs w:val="24"/>
        </w:rPr>
        <w:t>0</w:t>
      </w:r>
      <w:r w:rsidR="00837AAE">
        <w:rPr>
          <w:sz w:val="24"/>
          <w:szCs w:val="24"/>
        </w:rPr>
        <w:t xml:space="preserve">3 percent. The CPA found there to be sufficient room to accommodate the financing for the Proposed Project within the Applicant’s available capital without the need for debt financing. </w:t>
      </w:r>
    </w:p>
    <w:p w14:paraId="692478D8" w14:textId="77777777" w:rsidR="00075C77" w:rsidRDefault="00075C77" w:rsidP="005F07C5">
      <w:pPr>
        <w:spacing w:line="240" w:lineRule="auto"/>
        <w:rPr>
          <w:b/>
          <w:bCs/>
          <w:sz w:val="24"/>
          <w:szCs w:val="24"/>
        </w:rPr>
      </w:pPr>
    </w:p>
    <w:p w14:paraId="373C5D9F" w14:textId="12BFF4F1" w:rsidR="005B0D40" w:rsidRDefault="00953E98" w:rsidP="005F07C5">
      <w:pPr>
        <w:spacing w:line="240" w:lineRule="auto"/>
        <w:rPr>
          <w:b/>
          <w:bCs/>
          <w:sz w:val="24"/>
          <w:szCs w:val="24"/>
        </w:rPr>
      </w:pPr>
      <w:r w:rsidRPr="005F07C5">
        <w:rPr>
          <w:b/>
          <w:bCs/>
          <w:sz w:val="24"/>
          <w:szCs w:val="24"/>
        </w:rPr>
        <w:t>CPA’s Conclusion of Feasibility</w:t>
      </w:r>
    </w:p>
    <w:p w14:paraId="23154819" w14:textId="06AFD3A1" w:rsidR="00822E88" w:rsidRDefault="00830A03" w:rsidP="005F07C5">
      <w:pPr>
        <w:spacing w:line="240" w:lineRule="auto"/>
        <w:rPr>
          <w:sz w:val="24"/>
          <w:szCs w:val="24"/>
        </w:rPr>
      </w:pPr>
      <w:r w:rsidRPr="00830A03">
        <w:rPr>
          <w:sz w:val="24"/>
          <w:szCs w:val="24"/>
        </w:rPr>
        <w:t xml:space="preserve">As a result of its analysis the CPA states that “within the projected financial information, the Projections exhibit a cumulative operating EBITDA surplus of approximately 7.5 percent of cumulative projected net patient service revenue for BILH for the five years from FY 2021 through 2025. Based upon our review of the relevant documents and analysis of the Projections, we determined the anticipated EBITDA surplus is a reasonable expectation and based upon feasible financial assumptions.” Accordingly, it determined that the Projections are reasonable and feasible, and not likely to have a negative impact on the </w:t>
      </w:r>
      <w:r w:rsidR="001506B7">
        <w:rPr>
          <w:sz w:val="24"/>
          <w:szCs w:val="24"/>
        </w:rPr>
        <w:t>P</w:t>
      </w:r>
      <w:r w:rsidRPr="00830A03">
        <w:rPr>
          <w:sz w:val="24"/>
          <w:szCs w:val="24"/>
        </w:rPr>
        <w:t xml:space="preserve">atient </w:t>
      </w:r>
      <w:r w:rsidR="001506B7">
        <w:rPr>
          <w:sz w:val="24"/>
          <w:szCs w:val="24"/>
        </w:rPr>
        <w:t>P</w:t>
      </w:r>
      <w:r w:rsidRPr="00830A03">
        <w:rPr>
          <w:sz w:val="24"/>
          <w:szCs w:val="24"/>
        </w:rPr>
        <w:t>anel or result in a liquidation of assets of BILH.</w:t>
      </w:r>
    </w:p>
    <w:p w14:paraId="22568382" w14:textId="77777777" w:rsidR="007F7701" w:rsidRPr="00830A03" w:rsidRDefault="007F7701" w:rsidP="005F07C5">
      <w:pPr>
        <w:spacing w:line="240" w:lineRule="auto"/>
        <w:rPr>
          <w:sz w:val="24"/>
          <w:szCs w:val="24"/>
        </w:rPr>
      </w:pPr>
    </w:p>
    <w:p w14:paraId="71CC8064" w14:textId="77777777" w:rsidR="00953E98" w:rsidRPr="005F07C5" w:rsidRDefault="00953E98" w:rsidP="005F07C5">
      <w:pPr>
        <w:spacing w:after="0" w:line="240" w:lineRule="auto"/>
        <w:rPr>
          <w:b/>
          <w:bCs/>
          <w:i/>
          <w:iCs/>
          <w:sz w:val="24"/>
          <w:szCs w:val="24"/>
        </w:rPr>
      </w:pPr>
      <w:r w:rsidRPr="005F07C5">
        <w:rPr>
          <w:b/>
          <w:bCs/>
          <w:i/>
          <w:iCs/>
          <w:sz w:val="24"/>
          <w:szCs w:val="24"/>
        </w:rPr>
        <w:t xml:space="preserve">Analysis </w:t>
      </w:r>
    </w:p>
    <w:p w14:paraId="644F33FC" w14:textId="524AB61F" w:rsidR="00953E98" w:rsidRPr="005F07C5" w:rsidRDefault="00953E98" w:rsidP="005F07C5">
      <w:pPr>
        <w:spacing w:after="0" w:line="240" w:lineRule="auto"/>
        <w:rPr>
          <w:sz w:val="24"/>
          <w:szCs w:val="24"/>
        </w:rPr>
      </w:pPr>
      <w:r w:rsidRPr="005F07C5">
        <w:rPr>
          <w:sz w:val="24"/>
          <w:szCs w:val="24"/>
        </w:rPr>
        <w:t xml:space="preserve">Staff is satisfied with the CPA’s analysis of </w:t>
      </w:r>
      <w:r w:rsidR="006E1E11">
        <w:rPr>
          <w:sz w:val="24"/>
          <w:szCs w:val="24"/>
        </w:rPr>
        <w:t xml:space="preserve">the </w:t>
      </w:r>
      <w:r w:rsidRPr="005F07C5">
        <w:rPr>
          <w:sz w:val="24"/>
          <w:szCs w:val="24"/>
        </w:rPr>
        <w:t>Applicant</w:t>
      </w:r>
      <w:r w:rsidR="006E1E11">
        <w:rPr>
          <w:sz w:val="24"/>
          <w:szCs w:val="24"/>
        </w:rPr>
        <w:t>’</w:t>
      </w:r>
      <w:r w:rsidRPr="005F07C5">
        <w:rPr>
          <w:sz w:val="24"/>
          <w:szCs w:val="24"/>
        </w:rPr>
        <w:t xml:space="preserve">s decision to proceed with the Proposed Project. As a result, </w:t>
      </w:r>
      <w:r w:rsidR="0097658B">
        <w:rPr>
          <w:sz w:val="24"/>
          <w:szCs w:val="24"/>
        </w:rPr>
        <w:t>s</w:t>
      </w:r>
      <w:r w:rsidRPr="005F07C5">
        <w:rPr>
          <w:sz w:val="24"/>
          <w:szCs w:val="24"/>
        </w:rPr>
        <w:t>taff finds the CPA analysis to be acceptable and that the Applicant has met the requirements of Factor 4.</w:t>
      </w:r>
    </w:p>
    <w:p w14:paraId="2AEF2E29" w14:textId="77777777" w:rsidR="000E1529" w:rsidRDefault="000E1529">
      <w:pPr>
        <w:rPr>
          <w:b/>
          <w:bCs/>
          <w:sz w:val="28"/>
          <w:szCs w:val="28"/>
        </w:rPr>
      </w:pPr>
    </w:p>
    <w:p w14:paraId="3449C1AF" w14:textId="15D86D8B" w:rsidR="003346C7" w:rsidRPr="003346C7" w:rsidRDefault="003346C7">
      <w:pPr>
        <w:rPr>
          <w:b/>
          <w:bCs/>
          <w:sz w:val="28"/>
          <w:szCs w:val="28"/>
        </w:rPr>
      </w:pPr>
      <w:r w:rsidRPr="003346C7">
        <w:rPr>
          <w:b/>
          <w:bCs/>
          <w:sz w:val="28"/>
          <w:szCs w:val="28"/>
        </w:rPr>
        <w:t xml:space="preserve">Factor 5: Assessment of the Proposed Project’s Relative Merit </w:t>
      </w:r>
    </w:p>
    <w:p w14:paraId="14ADBF75" w14:textId="77777777" w:rsidR="003346C7" w:rsidRPr="005F07C5" w:rsidRDefault="003346C7" w:rsidP="006E6AD5">
      <w:pPr>
        <w:spacing w:line="240" w:lineRule="auto"/>
        <w:rPr>
          <w:sz w:val="24"/>
          <w:szCs w:val="24"/>
        </w:rPr>
      </w:pPr>
      <w:r w:rsidRPr="005F07C5">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2AE692E6" w14:textId="0B10A785" w:rsidR="003346C7" w:rsidRPr="005F07C5" w:rsidRDefault="003346C7" w:rsidP="006E6AD5">
      <w:pPr>
        <w:spacing w:line="240" w:lineRule="auto"/>
        <w:rPr>
          <w:sz w:val="24"/>
          <w:szCs w:val="24"/>
        </w:rPr>
      </w:pPr>
      <w:r w:rsidRPr="005F07C5">
        <w:rPr>
          <w:sz w:val="24"/>
          <w:szCs w:val="24"/>
        </w:rPr>
        <w:t>The Applicant considered and rejected</w:t>
      </w:r>
      <w:r w:rsidR="008C0CF7">
        <w:rPr>
          <w:sz w:val="24"/>
          <w:szCs w:val="24"/>
        </w:rPr>
        <w:t xml:space="preserve"> one</w:t>
      </w:r>
      <w:r w:rsidRPr="005F07C5">
        <w:rPr>
          <w:sz w:val="24"/>
          <w:szCs w:val="24"/>
        </w:rPr>
        <w:t xml:space="preserve"> alternative to the Proposed Project.</w:t>
      </w:r>
    </w:p>
    <w:p w14:paraId="76B19A10" w14:textId="181EF457" w:rsidR="00E1388F" w:rsidRDefault="007404E0" w:rsidP="00821075">
      <w:pPr>
        <w:pStyle w:val="ListParagraph"/>
        <w:numPr>
          <w:ilvl w:val="0"/>
          <w:numId w:val="16"/>
        </w:numPr>
        <w:spacing w:line="240" w:lineRule="auto"/>
        <w:rPr>
          <w:sz w:val="24"/>
          <w:szCs w:val="24"/>
        </w:rPr>
      </w:pPr>
      <w:r w:rsidRPr="006C03FB">
        <w:rPr>
          <w:b/>
          <w:bCs/>
          <w:sz w:val="24"/>
          <w:szCs w:val="24"/>
        </w:rPr>
        <w:t>Maintain the status quo and continue to operate one CT unit</w:t>
      </w:r>
      <w:r>
        <w:rPr>
          <w:sz w:val="24"/>
          <w:szCs w:val="24"/>
        </w:rPr>
        <w:t xml:space="preserve">. </w:t>
      </w:r>
      <w:r w:rsidRPr="007404E0">
        <w:rPr>
          <w:sz w:val="24"/>
          <w:szCs w:val="24"/>
        </w:rPr>
        <w:t xml:space="preserve">The Applicant rejected this option because access </w:t>
      </w:r>
      <w:r w:rsidR="00925933">
        <w:rPr>
          <w:sz w:val="24"/>
          <w:szCs w:val="24"/>
        </w:rPr>
        <w:t xml:space="preserve">to </w:t>
      </w:r>
      <w:r w:rsidRPr="007404E0">
        <w:rPr>
          <w:sz w:val="24"/>
          <w:szCs w:val="24"/>
        </w:rPr>
        <w:t xml:space="preserve">care would continue to be reduced and wait times and delays would continue to increase for inpatients, outpatients, and emergency patients, as demand for quality CT services increases with patient volumes. Longer wait times would continue to adversely impact patient outcomes, quality of life, and patient satisfaction. In addition, this alternative would not eliminate the need </w:t>
      </w:r>
      <w:r>
        <w:rPr>
          <w:sz w:val="24"/>
          <w:szCs w:val="24"/>
        </w:rPr>
        <w:t>for</w:t>
      </w:r>
      <w:r w:rsidRPr="007404E0">
        <w:rPr>
          <w:sz w:val="24"/>
          <w:szCs w:val="24"/>
        </w:rPr>
        <w:t xml:space="preserve"> patients </w:t>
      </w:r>
      <w:r>
        <w:rPr>
          <w:sz w:val="24"/>
          <w:szCs w:val="24"/>
        </w:rPr>
        <w:t xml:space="preserve">to travel </w:t>
      </w:r>
      <w:r w:rsidRPr="007404E0">
        <w:rPr>
          <w:sz w:val="24"/>
          <w:szCs w:val="24"/>
        </w:rPr>
        <w:t xml:space="preserve">outside of the </w:t>
      </w:r>
      <w:r w:rsidR="00C21549">
        <w:rPr>
          <w:sz w:val="24"/>
          <w:szCs w:val="24"/>
        </w:rPr>
        <w:t>BID-N</w:t>
      </w:r>
      <w:r w:rsidR="00C067D1">
        <w:rPr>
          <w:sz w:val="24"/>
          <w:szCs w:val="24"/>
        </w:rPr>
        <w:t>eedham</w:t>
      </w:r>
      <w:r w:rsidRPr="007404E0">
        <w:rPr>
          <w:sz w:val="24"/>
          <w:szCs w:val="24"/>
        </w:rPr>
        <w:t xml:space="preserve"> for CT services. </w:t>
      </w:r>
      <w:r w:rsidR="006C03FB">
        <w:rPr>
          <w:sz w:val="24"/>
          <w:szCs w:val="24"/>
        </w:rPr>
        <w:t xml:space="preserve">The Applicant notes that the Radiology Department exhausted its scheduling options to accommodate current demand from inpatients, outpatients and ED patients, and that the current unit is </w:t>
      </w:r>
      <w:r w:rsidR="006C03FB">
        <w:rPr>
          <w:sz w:val="24"/>
          <w:szCs w:val="24"/>
        </w:rPr>
        <w:lastRenderedPageBreak/>
        <w:t xml:space="preserve">already operating 24 hours per day, seven days per week. </w:t>
      </w:r>
      <w:r w:rsidR="00821075" w:rsidRPr="00821075">
        <w:rPr>
          <w:sz w:val="24"/>
          <w:szCs w:val="24"/>
        </w:rPr>
        <w:t xml:space="preserve">The Applicant </w:t>
      </w:r>
      <w:r w:rsidR="00925933">
        <w:rPr>
          <w:sz w:val="24"/>
          <w:szCs w:val="24"/>
        </w:rPr>
        <w:t xml:space="preserve">also </w:t>
      </w:r>
      <w:r w:rsidR="00821075" w:rsidRPr="00821075">
        <w:rPr>
          <w:sz w:val="24"/>
          <w:szCs w:val="24"/>
        </w:rPr>
        <w:t xml:space="preserve">notes that </w:t>
      </w:r>
      <w:r w:rsidR="00C21549">
        <w:rPr>
          <w:sz w:val="24"/>
          <w:szCs w:val="24"/>
        </w:rPr>
        <w:t>BID-N</w:t>
      </w:r>
      <w:r w:rsidR="004322C5" w:rsidRPr="00821075">
        <w:rPr>
          <w:sz w:val="24"/>
          <w:szCs w:val="24"/>
        </w:rPr>
        <w:t xml:space="preserve">eedham has no physical location on its campus where a mobile CT trailer can be parked and operated. </w:t>
      </w:r>
    </w:p>
    <w:p w14:paraId="40222A0D" w14:textId="77777777" w:rsidR="004322C5" w:rsidRPr="004322C5" w:rsidRDefault="004322C5" w:rsidP="005F07C5">
      <w:pPr>
        <w:spacing w:after="0" w:line="240" w:lineRule="auto"/>
        <w:rPr>
          <w:sz w:val="24"/>
          <w:szCs w:val="24"/>
        </w:rPr>
      </w:pPr>
    </w:p>
    <w:p w14:paraId="77952E2B" w14:textId="415BEF53" w:rsidR="003346C7" w:rsidRPr="005F07C5" w:rsidRDefault="003346C7" w:rsidP="005F07C5">
      <w:pPr>
        <w:spacing w:after="0" w:line="240" w:lineRule="auto"/>
        <w:rPr>
          <w:b/>
          <w:bCs/>
          <w:i/>
          <w:iCs/>
          <w:sz w:val="24"/>
          <w:szCs w:val="24"/>
        </w:rPr>
      </w:pPr>
      <w:r w:rsidRPr="005F07C5">
        <w:rPr>
          <w:b/>
          <w:bCs/>
          <w:i/>
          <w:iCs/>
          <w:sz w:val="24"/>
          <w:szCs w:val="24"/>
        </w:rPr>
        <w:t>Analysis</w:t>
      </w:r>
    </w:p>
    <w:p w14:paraId="3BBAA607" w14:textId="7DFEFA7B" w:rsidR="003346C7" w:rsidRDefault="003346C7" w:rsidP="005F07C5">
      <w:pPr>
        <w:spacing w:after="0" w:line="240" w:lineRule="auto"/>
        <w:rPr>
          <w:sz w:val="24"/>
          <w:szCs w:val="24"/>
        </w:rPr>
      </w:pPr>
      <w:r w:rsidRPr="005F07C5">
        <w:rPr>
          <w:sz w:val="24"/>
          <w:szCs w:val="24"/>
        </w:rPr>
        <w:t>Staff finds that the Applicant has appropriately considered the quality, efficiency, and capital and operating costs of the Proposed Project relative to potential alternatives. As a result of information provided by the Applicant and additional analysis, staff finds the Applicant has reasonably met the standards of Factor 5.</w:t>
      </w:r>
    </w:p>
    <w:p w14:paraId="39DC3054" w14:textId="77777777" w:rsidR="00F20593" w:rsidRPr="005F07C5" w:rsidRDefault="00F20593" w:rsidP="005F07C5">
      <w:pPr>
        <w:spacing w:after="0" w:line="240" w:lineRule="auto"/>
        <w:rPr>
          <w:sz w:val="24"/>
          <w:szCs w:val="24"/>
        </w:rPr>
      </w:pPr>
    </w:p>
    <w:p w14:paraId="1C146F74" w14:textId="77777777" w:rsidR="00B9036F" w:rsidRDefault="00B9036F" w:rsidP="003346C7">
      <w:pPr>
        <w:spacing w:after="0"/>
      </w:pPr>
    </w:p>
    <w:p w14:paraId="3B36499D" w14:textId="4707E94D" w:rsidR="00FE5CE4" w:rsidRPr="00FE5CE4" w:rsidRDefault="00FE5CE4" w:rsidP="00FE5CE4">
      <w:pPr>
        <w:tabs>
          <w:tab w:val="left" w:pos="6330"/>
        </w:tabs>
        <w:rPr>
          <w:b/>
          <w:bCs/>
          <w:sz w:val="28"/>
          <w:szCs w:val="28"/>
        </w:rPr>
      </w:pPr>
      <w:r w:rsidRPr="00FE5CE4">
        <w:rPr>
          <w:b/>
          <w:bCs/>
          <w:sz w:val="28"/>
          <w:szCs w:val="28"/>
        </w:rPr>
        <w:t>Factor 6: Fulfillment of DPH Community-based Health Initiatives Guideline</w:t>
      </w:r>
    </w:p>
    <w:p w14:paraId="1B96060E" w14:textId="77777777" w:rsidR="007F7701" w:rsidRPr="007F7701" w:rsidRDefault="007F7701" w:rsidP="00C95027">
      <w:pPr>
        <w:tabs>
          <w:tab w:val="left" w:pos="6330"/>
        </w:tabs>
        <w:spacing w:line="240" w:lineRule="auto"/>
        <w:rPr>
          <w:sz w:val="24"/>
          <w:szCs w:val="24"/>
        </w:rPr>
      </w:pPr>
      <w:bookmarkStart w:id="4" w:name="_Toc17151192"/>
      <w:bookmarkStart w:id="5" w:name="_Toc17322410"/>
      <w:r w:rsidRPr="007F7701">
        <w:rPr>
          <w:i/>
          <w:sz w:val="24"/>
          <w:szCs w:val="24"/>
        </w:rPr>
        <w:t>Summary and relevant background and context for this application:</w:t>
      </w:r>
      <w:r w:rsidRPr="007F7701">
        <w:rPr>
          <w:sz w:val="24"/>
          <w:szCs w:val="24"/>
        </w:rPr>
        <w:t xml:space="preserve"> This is a DoN project for an equipment project that will result in a Tier 1 CHI.  Standard practice is to contribute the full CHI obligation to the statewide fund for DoN-regulated equipment. In this case, the Applicant has an existing Community Health Initiative project in the covered geography and will pool these funds with that existing investment.  The Applicant and DPH have agreed to combined CHI funds for a transparent local CHI investment process, subject to DoN project approval.  </w:t>
      </w:r>
    </w:p>
    <w:p w14:paraId="08E06285" w14:textId="77777777" w:rsidR="007F7701" w:rsidRPr="007F7701" w:rsidRDefault="007F7701" w:rsidP="00C95027">
      <w:pPr>
        <w:tabs>
          <w:tab w:val="left" w:pos="6330"/>
        </w:tabs>
        <w:spacing w:line="240" w:lineRule="auto"/>
        <w:rPr>
          <w:sz w:val="24"/>
          <w:szCs w:val="24"/>
        </w:rPr>
      </w:pPr>
      <w:r w:rsidRPr="007F7701">
        <w:rPr>
          <w:sz w:val="24"/>
          <w:szCs w:val="24"/>
        </w:rPr>
        <w:t>In anticipation of this agreement, for this project, to fulfill Factor 6 requirements, the Applicant submitted its existing Community Health Needs Assessment (CHNA), a Self-Assessment, Stakeholder Assessments, and a CHI Narrative.</w:t>
      </w:r>
    </w:p>
    <w:p w14:paraId="459E519A" w14:textId="77777777" w:rsidR="007F7701" w:rsidRPr="007F7701" w:rsidRDefault="007F7701" w:rsidP="007F7701">
      <w:pPr>
        <w:tabs>
          <w:tab w:val="left" w:pos="6330"/>
        </w:tabs>
        <w:rPr>
          <w:b/>
          <w:sz w:val="24"/>
          <w:szCs w:val="24"/>
        </w:rPr>
      </w:pPr>
    </w:p>
    <w:p w14:paraId="0D58A213" w14:textId="01084591" w:rsidR="007F7701" w:rsidRPr="007F7701" w:rsidRDefault="007F7701" w:rsidP="00C95027">
      <w:pPr>
        <w:tabs>
          <w:tab w:val="left" w:pos="6330"/>
        </w:tabs>
        <w:spacing w:line="240" w:lineRule="auto"/>
        <w:rPr>
          <w:sz w:val="24"/>
          <w:szCs w:val="24"/>
        </w:rPr>
      </w:pPr>
      <w:r w:rsidRPr="007F7701">
        <w:rPr>
          <w:b/>
          <w:sz w:val="24"/>
          <w:szCs w:val="24"/>
        </w:rPr>
        <w:t>The Community Health Needs Assessment</w:t>
      </w:r>
      <w:r w:rsidRPr="007F7701">
        <w:rPr>
          <w:sz w:val="24"/>
          <w:szCs w:val="24"/>
        </w:rPr>
        <w:t xml:space="preserve"> was conducted in 2019 by the applicant, Beth Israel Deaconess Hospital </w:t>
      </w:r>
      <w:r w:rsidRPr="007F7701">
        <w:rPr>
          <w:i/>
          <w:iCs/>
          <w:sz w:val="24"/>
          <w:szCs w:val="24"/>
        </w:rPr>
        <w:t xml:space="preserve">Needham </w:t>
      </w:r>
      <w:r w:rsidRPr="007F7701">
        <w:rPr>
          <w:sz w:val="24"/>
          <w:szCs w:val="24"/>
        </w:rPr>
        <w:t xml:space="preserve">(BID-Needham).  The Community Health Needs Assessment was implemented in three phases. The first phase utilized preliminary engagement strategies including key informant interviews and an internal assessment of Community Benefits activities. The second phase included focus groups, community meetings, and a Community Health Survey.  In the final phase, the Applicant utilized internal meetings, a literature review, and developed an Implementation Strategy.  The Needs Assessment identifies priority populations and describes key findings and themes from the service area and participating communities.  The priority populations are Youth, Older Adults, Low-to-Moderate Income Individuals and Families, and Individuals with Chronic/Complex Conditions.  The priority areas identified are Social Determinants of Health, Substance Use and Mental Health, Behavioral Health Services, Chronic and Acute Physical Health Conditions, High Rates of Leading Risk Factors, and Challenges Navigating Systems and Coordinating Services.  The Applicant will release a new Community Health Needs Assessment in 2022 and will employ similar strategies for engagement.  The Applicant will engage its Community Benefit Advisory Council (CBAC) to select priorities and identify strategies for implementation. </w:t>
      </w:r>
    </w:p>
    <w:p w14:paraId="08FF0ECA" w14:textId="77777777" w:rsidR="007F7701" w:rsidRPr="007F7701" w:rsidRDefault="007F7701" w:rsidP="00C95027">
      <w:pPr>
        <w:tabs>
          <w:tab w:val="left" w:pos="6330"/>
        </w:tabs>
        <w:spacing w:line="240" w:lineRule="auto"/>
        <w:rPr>
          <w:sz w:val="24"/>
          <w:szCs w:val="24"/>
        </w:rPr>
      </w:pPr>
      <w:r w:rsidRPr="007F7701">
        <w:rPr>
          <w:b/>
          <w:bCs/>
          <w:sz w:val="24"/>
          <w:szCs w:val="24"/>
        </w:rPr>
        <w:t xml:space="preserve">The Self-Assessment </w:t>
      </w:r>
      <w:r w:rsidRPr="007F7701">
        <w:rPr>
          <w:sz w:val="24"/>
          <w:szCs w:val="24"/>
        </w:rPr>
        <w:t xml:space="preserve">provided a summary of community engagement processes and socio-demographic information, data and highlights related to topics and themes of community </w:t>
      </w:r>
      <w:r w:rsidRPr="007F7701">
        <w:rPr>
          <w:sz w:val="24"/>
          <w:szCs w:val="24"/>
        </w:rPr>
        <w:lastRenderedPageBreak/>
        <w:t xml:space="preserve">needs related to the current and ongoing assessment work (for the 2022 CHNA). Through primary data collection such as key informant interviews, focus groups, and community wide surveying, data analysis, and with guiding principles of equity, collaboration, engagement, and capacity building, the participating community groups and residents identified the key concerns to be outlined in the 2022 Community Health Needs Assessment. </w:t>
      </w:r>
    </w:p>
    <w:p w14:paraId="2BDB4C74" w14:textId="77777777" w:rsidR="007F7701" w:rsidRPr="007F7701" w:rsidRDefault="007F7701" w:rsidP="00C95027">
      <w:pPr>
        <w:tabs>
          <w:tab w:val="left" w:pos="6330"/>
        </w:tabs>
        <w:spacing w:line="240" w:lineRule="auto"/>
        <w:rPr>
          <w:sz w:val="24"/>
          <w:szCs w:val="24"/>
        </w:rPr>
      </w:pPr>
      <w:r w:rsidRPr="007F7701">
        <w:rPr>
          <w:b/>
          <w:bCs/>
          <w:sz w:val="24"/>
          <w:szCs w:val="24"/>
        </w:rPr>
        <w:t>Stakeholder Assessments</w:t>
      </w:r>
      <w:r w:rsidRPr="007F7701">
        <w:rPr>
          <w:sz w:val="24"/>
          <w:szCs w:val="24"/>
        </w:rPr>
        <w:t xml:space="preserve"> submitted provided information on the individuals’ engagement levels (e.g.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7CBEC3E7" w14:textId="77777777" w:rsidR="007F7701" w:rsidRPr="007F7701" w:rsidRDefault="007F7701" w:rsidP="00C95027">
      <w:pPr>
        <w:tabs>
          <w:tab w:val="left" w:pos="6330"/>
        </w:tabs>
        <w:spacing w:line="240" w:lineRule="auto"/>
        <w:rPr>
          <w:sz w:val="24"/>
          <w:szCs w:val="24"/>
        </w:rPr>
      </w:pPr>
      <w:r w:rsidRPr="007F7701">
        <w:rPr>
          <w:b/>
          <w:bCs/>
          <w:sz w:val="24"/>
          <w:szCs w:val="24"/>
        </w:rPr>
        <w:t>The CHI Narrative</w:t>
      </w:r>
      <w:r w:rsidRPr="007F7701">
        <w:rPr>
          <w:sz w:val="24"/>
          <w:szCs w:val="24"/>
        </w:rPr>
        <w:t xml:space="preserve"> provided background and overview information for the CHI processes.  The narrative also outlines advisory duties for the advisory and allocation committees, and planned use of funding for evaluation and administrative activities.  Additionally, the narrative outlines the CHI funds breakdown and the anticipated timeline for CHI activities.  </w:t>
      </w:r>
    </w:p>
    <w:p w14:paraId="51D4F4E7" w14:textId="77777777" w:rsidR="007F7701" w:rsidRPr="007F7701" w:rsidRDefault="007F7701" w:rsidP="00C95027">
      <w:pPr>
        <w:tabs>
          <w:tab w:val="left" w:pos="6330"/>
        </w:tabs>
        <w:spacing w:line="240" w:lineRule="auto"/>
        <w:rPr>
          <w:sz w:val="24"/>
          <w:szCs w:val="24"/>
        </w:rPr>
      </w:pPr>
      <w:r w:rsidRPr="007F7701">
        <w:rPr>
          <w:sz w:val="24"/>
          <w:szCs w:val="24"/>
        </w:rPr>
        <w:t xml:space="preserve">The timeline, RFP processes, and use of evaluation and administrative funds are all appropriate and in line with CHI planning guidelines.  In order to select strategies that meet Health Priority Guideline principles, the Applicant will need to focus on the priority areas in the upcoming final assessment that allow for implementation at the root cause level.  Examples of this from the 2019 CHNA submitted include the Social Determinants of Health and upstream work across the leading risk factors. The Applicant will work with its CBAC to select priorities and approve implementation strategies. Based on strategies in the Applicant’s ongoing community benefit work, DPH staff have determined that if the Applicant agrees to address community conditions and root causes while engaging in ongoing work with the DoN Advisory Committee, CHI investment will align appropriately with the Health Priorities Guideline.  The Applicant will also have additional touchpoints with DPH staff to share lessons learned and the final 2022 Community Health Needs Assessment to ensure sound processes for planning and implementation work moving forward.  </w:t>
      </w:r>
    </w:p>
    <w:p w14:paraId="0ED0ABF7" w14:textId="77777777" w:rsidR="007F7701" w:rsidRPr="007F7701" w:rsidRDefault="007F7701" w:rsidP="00C95027">
      <w:pPr>
        <w:tabs>
          <w:tab w:val="left" w:pos="6330"/>
        </w:tabs>
        <w:spacing w:line="240" w:lineRule="auto"/>
        <w:rPr>
          <w:sz w:val="24"/>
          <w:szCs w:val="24"/>
        </w:rPr>
      </w:pPr>
      <w:r w:rsidRPr="007F7701">
        <w:rPr>
          <w:sz w:val="24"/>
          <w:szCs w:val="24"/>
        </w:rPr>
        <w:t>The anticipated timeline for CHI activities includes a meeting of the Advisory Committee six weeks post approval, identifying the Health Priorities Strategies 3-4 months post approval, and deciding on best pooling strategy five to six months post approval, with funding disbursed 3-4 months thereafter.</w:t>
      </w:r>
    </w:p>
    <w:p w14:paraId="24ED23B3" w14:textId="46C59F96" w:rsidR="007F7701" w:rsidRPr="007F7701" w:rsidRDefault="007F7701" w:rsidP="00C95027">
      <w:pPr>
        <w:tabs>
          <w:tab w:val="left" w:pos="6330"/>
        </w:tabs>
        <w:spacing w:line="240" w:lineRule="auto"/>
        <w:rPr>
          <w:sz w:val="24"/>
          <w:szCs w:val="24"/>
        </w:rPr>
      </w:pPr>
      <w:r w:rsidRPr="007F7701">
        <w:rPr>
          <w:sz w:val="24"/>
          <w:szCs w:val="24"/>
        </w:rPr>
        <w:t>With the administrative funds, the applicant’s early plans are to encourage meeting participation through promotion and barrier reduction methods including interpreter services and stipends.</w:t>
      </w:r>
    </w:p>
    <w:p w14:paraId="087DA077" w14:textId="77777777" w:rsidR="007F7701" w:rsidRPr="007F7701" w:rsidRDefault="007F7701" w:rsidP="00C95027">
      <w:pPr>
        <w:tabs>
          <w:tab w:val="left" w:pos="6330"/>
        </w:tabs>
        <w:spacing w:line="240" w:lineRule="auto"/>
        <w:rPr>
          <w:b/>
          <w:sz w:val="24"/>
          <w:szCs w:val="24"/>
        </w:rPr>
      </w:pPr>
      <w:r w:rsidRPr="007F7701">
        <w:rPr>
          <w:i/>
          <w:sz w:val="24"/>
          <w:szCs w:val="24"/>
        </w:rPr>
        <w:t>Summary Analysis</w:t>
      </w:r>
      <w:r w:rsidRPr="007F7701">
        <w:rPr>
          <w:sz w:val="24"/>
          <w:szCs w:val="24"/>
        </w:rPr>
        <w:t xml:space="preserve">: As a result of information provided by the Applicant and additional analysis, staff finds that with the conditions outlined below, and the ongoing communication on items outlined above, the Applicant will have demonstrated that the Proposed Project has met Factor 6.  </w:t>
      </w:r>
    </w:p>
    <w:bookmarkEnd w:id="4"/>
    <w:bookmarkEnd w:id="5"/>
    <w:p w14:paraId="5C599939" w14:textId="77777777" w:rsidR="007F7701" w:rsidRPr="007F7701" w:rsidRDefault="007F7701" w:rsidP="007F7701">
      <w:pPr>
        <w:tabs>
          <w:tab w:val="left" w:pos="6330"/>
        </w:tabs>
      </w:pPr>
    </w:p>
    <w:p w14:paraId="44BBBF37" w14:textId="6384E111" w:rsidR="00761D85" w:rsidRDefault="00761D85" w:rsidP="008F2610">
      <w:pPr>
        <w:spacing w:after="0" w:line="240" w:lineRule="auto"/>
        <w:rPr>
          <w:b/>
          <w:bCs/>
          <w:sz w:val="28"/>
          <w:szCs w:val="28"/>
        </w:rPr>
      </w:pPr>
      <w:r w:rsidRPr="00761D85">
        <w:rPr>
          <w:b/>
          <w:bCs/>
          <w:sz w:val="28"/>
          <w:szCs w:val="28"/>
        </w:rPr>
        <w:lastRenderedPageBreak/>
        <w:t xml:space="preserve">Findings and Recommendations </w:t>
      </w:r>
    </w:p>
    <w:p w14:paraId="12160393" w14:textId="17164E16" w:rsidR="00761D85" w:rsidRPr="005F07C5" w:rsidRDefault="00761D85" w:rsidP="005F07C5">
      <w:pPr>
        <w:spacing w:after="0" w:line="240" w:lineRule="auto"/>
        <w:rPr>
          <w:sz w:val="24"/>
          <w:szCs w:val="24"/>
        </w:rPr>
      </w:pPr>
      <w:r w:rsidRPr="005F07C5">
        <w:rPr>
          <w:sz w:val="24"/>
          <w:szCs w:val="24"/>
        </w:rPr>
        <w:t xml:space="preserve">Based upon a review of the materials submitted, </w:t>
      </w:r>
      <w:r w:rsidR="0097658B">
        <w:rPr>
          <w:sz w:val="24"/>
          <w:szCs w:val="24"/>
        </w:rPr>
        <w:t>s</w:t>
      </w:r>
      <w:r w:rsidRPr="005F07C5">
        <w:rPr>
          <w:sz w:val="24"/>
          <w:szCs w:val="24"/>
        </w:rPr>
        <w:t xml:space="preserve">taff finds that, with the addition of the recommended conditions detailed below, the Applicant has met each DoN Factor for the Proposed Project and recommends that the Department approve this Determination of Need, subject to all applicable standard and Other Conditions. </w:t>
      </w:r>
    </w:p>
    <w:p w14:paraId="00540687" w14:textId="77777777" w:rsidR="00607E85" w:rsidRPr="005F07C5" w:rsidRDefault="00607E85" w:rsidP="005F07C5">
      <w:pPr>
        <w:spacing w:line="240" w:lineRule="auto"/>
        <w:rPr>
          <w:b/>
          <w:bCs/>
          <w:sz w:val="24"/>
          <w:szCs w:val="24"/>
        </w:rPr>
      </w:pPr>
    </w:p>
    <w:p w14:paraId="7E4D8644" w14:textId="6660FDAB" w:rsidR="00B55B5C" w:rsidRPr="007F7701" w:rsidRDefault="004A553C" w:rsidP="005F07C5">
      <w:pPr>
        <w:spacing w:line="240" w:lineRule="auto"/>
        <w:rPr>
          <w:b/>
          <w:bCs/>
          <w:sz w:val="24"/>
          <w:szCs w:val="24"/>
        </w:rPr>
      </w:pPr>
      <w:r w:rsidRPr="007F7701">
        <w:rPr>
          <w:b/>
          <w:bCs/>
          <w:sz w:val="24"/>
          <w:szCs w:val="24"/>
        </w:rPr>
        <w:t>Other Conditions</w:t>
      </w:r>
    </w:p>
    <w:p w14:paraId="54BDBAD2" w14:textId="77777777" w:rsidR="007F7701" w:rsidRPr="007F7701" w:rsidRDefault="007F7701" w:rsidP="007F7701">
      <w:pPr>
        <w:pStyle w:val="ListParagraph"/>
        <w:numPr>
          <w:ilvl w:val="0"/>
          <w:numId w:val="30"/>
        </w:numPr>
        <w:tabs>
          <w:tab w:val="left" w:pos="6330"/>
        </w:tabs>
        <w:spacing w:after="0" w:line="240" w:lineRule="auto"/>
        <w:ind w:left="720"/>
        <w:rPr>
          <w:sz w:val="24"/>
          <w:szCs w:val="24"/>
        </w:rPr>
      </w:pPr>
      <w:r w:rsidRPr="007F7701">
        <w:rPr>
          <w:sz w:val="24"/>
          <w:szCs w:val="24"/>
        </w:rPr>
        <w:t>Of the total required CHI contribution of $117,927.00</w:t>
      </w:r>
    </w:p>
    <w:p w14:paraId="533AD5B5" w14:textId="358F47AE" w:rsidR="007F7701" w:rsidRPr="007F7701" w:rsidRDefault="007F7701" w:rsidP="007F7701">
      <w:pPr>
        <w:pStyle w:val="ListParagraph"/>
        <w:numPr>
          <w:ilvl w:val="1"/>
          <w:numId w:val="30"/>
        </w:numPr>
        <w:tabs>
          <w:tab w:val="left" w:pos="6330"/>
        </w:tabs>
        <w:spacing w:after="0" w:line="240" w:lineRule="auto"/>
        <w:ind w:left="1080"/>
        <w:rPr>
          <w:sz w:val="24"/>
          <w:szCs w:val="24"/>
        </w:rPr>
      </w:pPr>
      <w:r w:rsidRPr="007F7701">
        <w:rPr>
          <w:sz w:val="24"/>
          <w:szCs w:val="24"/>
        </w:rPr>
        <w:t xml:space="preserve">$11,320.99 will be directed to the CHI Statewide Initiative </w:t>
      </w:r>
    </w:p>
    <w:p w14:paraId="13255221" w14:textId="77777777" w:rsidR="007F7701" w:rsidRPr="007F7701" w:rsidRDefault="007F7701" w:rsidP="007F7701">
      <w:pPr>
        <w:numPr>
          <w:ilvl w:val="1"/>
          <w:numId w:val="30"/>
        </w:numPr>
        <w:tabs>
          <w:tab w:val="left" w:pos="6330"/>
        </w:tabs>
        <w:spacing w:after="0" w:line="240" w:lineRule="auto"/>
        <w:ind w:left="1080"/>
        <w:rPr>
          <w:sz w:val="24"/>
          <w:szCs w:val="24"/>
        </w:rPr>
      </w:pPr>
      <w:r w:rsidRPr="007F7701">
        <w:rPr>
          <w:sz w:val="24"/>
          <w:szCs w:val="24"/>
        </w:rPr>
        <w:t xml:space="preserve">$101,888.93 will be dedicated to local approaches to the DoN Health Priorities </w:t>
      </w:r>
    </w:p>
    <w:p w14:paraId="19CC7982" w14:textId="77777777" w:rsidR="007F7701" w:rsidRPr="007F7701" w:rsidRDefault="007F7701" w:rsidP="007F7701">
      <w:pPr>
        <w:numPr>
          <w:ilvl w:val="1"/>
          <w:numId w:val="30"/>
        </w:numPr>
        <w:tabs>
          <w:tab w:val="left" w:pos="6330"/>
        </w:tabs>
        <w:spacing w:after="0" w:line="240" w:lineRule="auto"/>
        <w:ind w:left="1080"/>
        <w:rPr>
          <w:sz w:val="24"/>
          <w:szCs w:val="24"/>
        </w:rPr>
      </w:pPr>
      <w:r w:rsidRPr="007F7701">
        <w:rPr>
          <w:sz w:val="24"/>
          <w:szCs w:val="24"/>
        </w:rPr>
        <w:t>$4,717.08 will be designated as the administrative fee.</w:t>
      </w:r>
    </w:p>
    <w:p w14:paraId="535995A0" w14:textId="77777777" w:rsidR="007F7701" w:rsidRPr="007F7701" w:rsidRDefault="007F7701" w:rsidP="007F7701">
      <w:pPr>
        <w:pStyle w:val="ListParagraph"/>
        <w:numPr>
          <w:ilvl w:val="0"/>
          <w:numId w:val="30"/>
        </w:numPr>
        <w:tabs>
          <w:tab w:val="left" w:pos="6330"/>
        </w:tabs>
        <w:spacing w:after="0" w:line="240" w:lineRule="auto"/>
        <w:ind w:left="720"/>
        <w:rPr>
          <w:sz w:val="24"/>
          <w:szCs w:val="24"/>
        </w:rPr>
      </w:pPr>
      <w:r w:rsidRPr="007F7701">
        <w:rPr>
          <w:sz w:val="24"/>
          <w:szCs w:val="24"/>
        </w:rPr>
        <w:t xml:space="preserve">To comply with the Holder’s obligation to contribute to the Statewide CHI Initiative, the Holder must submit a check for $11,320.99 to Health Resources in Action (the fiscal agent for the CHI Statewide Initiative). </w:t>
      </w:r>
    </w:p>
    <w:p w14:paraId="3B4759A8" w14:textId="5E3FDEF7" w:rsidR="007F7701" w:rsidRPr="007F7701" w:rsidRDefault="007F7701" w:rsidP="007F7701">
      <w:pPr>
        <w:pStyle w:val="ListParagraph"/>
        <w:numPr>
          <w:ilvl w:val="2"/>
          <w:numId w:val="30"/>
        </w:numPr>
        <w:tabs>
          <w:tab w:val="left" w:pos="6330"/>
        </w:tabs>
        <w:spacing w:after="0" w:line="240" w:lineRule="auto"/>
        <w:ind w:left="1620"/>
        <w:rPr>
          <w:sz w:val="24"/>
          <w:szCs w:val="24"/>
        </w:rPr>
      </w:pPr>
      <w:r w:rsidRPr="007F7701">
        <w:rPr>
          <w:sz w:val="24"/>
          <w:szCs w:val="24"/>
        </w:rPr>
        <w:t xml:space="preserve">The Holder must submit the funds to HRiA within 30 days from the date of the Notice of Approval. </w:t>
      </w:r>
    </w:p>
    <w:p w14:paraId="3B475C18" w14:textId="77777777" w:rsidR="007F7701" w:rsidRPr="007F7701" w:rsidRDefault="007F7701" w:rsidP="007F7701">
      <w:pPr>
        <w:numPr>
          <w:ilvl w:val="2"/>
          <w:numId w:val="30"/>
        </w:numPr>
        <w:tabs>
          <w:tab w:val="left" w:pos="6330"/>
        </w:tabs>
        <w:spacing w:after="0" w:line="240" w:lineRule="auto"/>
        <w:ind w:left="1620"/>
        <w:rPr>
          <w:sz w:val="24"/>
          <w:szCs w:val="24"/>
        </w:rPr>
      </w:pPr>
      <w:r w:rsidRPr="007F7701">
        <w:rPr>
          <w:sz w:val="24"/>
          <w:szCs w:val="24"/>
        </w:rPr>
        <w:t>The Holder must promptly notify DPH (CHI contact staff) when the payment has been made.</w:t>
      </w:r>
    </w:p>
    <w:p w14:paraId="31F07000" w14:textId="70057289" w:rsidR="004A553C" w:rsidRDefault="004A553C">
      <w:pPr>
        <w:rPr>
          <w:b/>
          <w:bCs/>
        </w:rPr>
      </w:pPr>
    </w:p>
    <w:p w14:paraId="1C07D700" w14:textId="77777777" w:rsidR="004A553C" w:rsidRDefault="004A553C">
      <w:pPr>
        <w:rPr>
          <w:b/>
          <w:bCs/>
        </w:rPr>
      </w:pPr>
    </w:p>
    <w:p w14:paraId="44C7792F" w14:textId="1903937C" w:rsidR="00B55B5C" w:rsidRDefault="00B55B5C">
      <w:pPr>
        <w:rPr>
          <w:b/>
          <w:bCs/>
        </w:rPr>
      </w:pPr>
    </w:p>
    <w:p w14:paraId="393DAA94" w14:textId="0DC5C1E4" w:rsidR="00005F9C" w:rsidRDefault="00005F9C">
      <w:pPr>
        <w:rPr>
          <w:b/>
          <w:bCs/>
        </w:rPr>
      </w:pPr>
    </w:p>
    <w:p w14:paraId="76ABFE4C" w14:textId="3F47ABD6" w:rsidR="00005F9C" w:rsidRDefault="00005F9C">
      <w:pPr>
        <w:rPr>
          <w:b/>
          <w:bCs/>
        </w:rPr>
      </w:pPr>
    </w:p>
    <w:p w14:paraId="3B97FEE5" w14:textId="511A5BFA" w:rsidR="00005F9C" w:rsidRDefault="00005F9C">
      <w:pPr>
        <w:rPr>
          <w:b/>
          <w:bCs/>
        </w:rPr>
      </w:pPr>
    </w:p>
    <w:p w14:paraId="7B4755EA" w14:textId="7AB7F8E0" w:rsidR="00005F9C" w:rsidRDefault="00005F9C">
      <w:pPr>
        <w:rPr>
          <w:b/>
          <w:bCs/>
        </w:rPr>
      </w:pPr>
    </w:p>
    <w:p w14:paraId="7ED3A7C7" w14:textId="18D8679E" w:rsidR="00005F9C" w:rsidRDefault="00005F9C">
      <w:pPr>
        <w:rPr>
          <w:b/>
          <w:bCs/>
        </w:rPr>
      </w:pPr>
    </w:p>
    <w:p w14:paraId="410BE8A6" w14:textId="00E8F064" w:rsidR="00005F9C" w:rsidRDefault="00005F9C">
      <w:pPr>
        <w:rPr>
          <w:b/>
          <w:bCs/>
        </w:rPr>
      </w:pPr>
    </w:p>
    <w:p w14:paraId="035AD5C4" w14:textId="4EC784D7" w:rsidR="00005F9C" w:rsidRDefault="00005F9C">
      <w:pPr>
        <w:rPr>
          <w:b/>
          <w:bCs/>
        </w:rPr>
      </w:pPr>
    </w:p>
    <w:p w14:paraId="573FF9C3" w14:textId="4C5D9DA2" w:rsidR="00005F9C" w:rsidRDefault="00005F9C">
      <w:pPr>
        <w:rPr>
          <w:b/>
          <w:bCs/>
        </w:rPr>
      </w:pPr>
    </w:p>
    <w:p w14:paraId="3E7529FE" w14:textId="2FD8BC75" w:rsidR="00005F9C" w:rsidRDefault="00005F9C">
      <w:pPr>
        <w:rPr>
          <w:b/>
          <w:bCs/>
        </w:rPr>
      </w:pPr>
    </w:p>
    <w:p w14:paraId="28C29D69" w14:textId="4D1D94DE" w:rsidR="00005F9C" w:rsidRDefault="00005F9C">
      <w:pPr>
        <w:rPr>
          <w:b/>
          <w:bCs/>
        </w:rPr>
      </w:pPr>
    </w:p>
    <w:p w14:paraId="6356643A" w14:textId="2062E286" w:rsidR="00005F9C" w:rsidRDefault="00005F9C">
      <w:pPr>
        <w:rPr>
          <w:b/>
          <w:bCs/>
        </w:rPr>
      </w:pPr>
    </w:p>
    <w:p w14:paraId="0C990527" w14:textId="65674DCE" w:rsidR="00005F9C" w:rsidRDefault="00005F9C">
      <w:pPr>
        <w:rPr>
          <w:b/>
          <w:bCs/>
        </w:rPr>
      </w:pPr>
    </w:p>
    <w:p w14:paraId="4720D138" w14:textId="77777777" w:rsidR="00005F9C" w:rsidRDefault="00005F9C">
      <w:pPr>
        <w:rPr>
          <w:b/>
          <w:bCs/>
        </w:rPr>
      </w:pPr>
    </w:p>
    <w:p w14:paraId="0B228183" w14:textId="350A781C" w:rsidR="003721C0" w:rsidRPr="00B91695" w:rsidRDefault="002F5B52" w:rsidP="00B91695">
      <w:pPr>
        <w:spacing w:line="240" w:lineRule="auto"/>
        <w:jc w:val="center"/>
        <w:rPr>
          <w:b/>
          <w:bCs/>
          <w:sz w:val="28"/>
          <w:szCs w:val="28"/>
        </w:rPr>
      </w:pPr>
      <w:r>
        <w:rPr>
          <w:b/>
          <w:bCs/>
          <w:sz w:val="28"/>
          <w:szCs w:val="28"/>
        </w:rPr>
        <w:lastRenderedPageBreak/>
        <w:t>A</w:t>
      </w:r>
      <w:r w:rsidR="003721C0" w:rsidRPr="00B91695">
        <w:rPr>
          <w:b/>
          <w:bCs/>
          <w:sz w:val="28"/>
          <w:szCs w:val="28"/>
        </w:rPr>
        <w:t>ppendix I</w:t>
      </w:r>
    </w:p>
    <w:p w14:paraId="41BBB62E" w14:textId="77777777" w:rsidR="003721C0" w:rsidRPr="003721C0" w:rsidRDefault="003721C0" w:rsidP="007F7701">
      <w:pPr>
        <w:spacing w:line="240" w:lineRule="auto"/>
        <w:jc w:val="center"/>
        <w:rPr>
          <w:b/>
          <w:bCs/>
          <w:sz w:val="24"/>
          <w:szCs w:val="24"/>
          <w:u w:val="single"/>
        </w:rPr>
      </w:pPr>
      <w:r w:rsidRPr="003721C0">
        <w:rPr>
          <w:b/>
          <w:bCs/>
          <w:sz w:val="24"/>
          <w:szCs w:val="24"/>
          <w:u w:val="single"/>
        </w:rPr>
        <w:t>Assessing the Impact of the Proposed Project</w:t>
      </w:r>
    </w:p>
    <w:p w14:paraId="5948E83D" w14:textId="636AC557" w:rsidR="003721C0" w:rsidRPr="003721C0" w:rsidRDefault="003721C0" w:rsidP="00301F79">
      <w:pPr>
        <w:spacing w:line="240" w:lineRule="auto"/>
        <w:rPr>
          <w:sz w:val="24"/>
          <w:szCs w:val="24"/>
        </w:rPr>
      </w:pPr>
      <w:r w:rsidRPr="003721C0">
        <w:rPr>
          <w:sz w:val="24"/>
          <w:szCs w:val="24"/>
        </w:rPr>
        <w:t xml:space="preserve">To assess the impact of the Proposed Project, </w:t>
      </w:r>
      <w:r w:rsidR="00C21549">
        <w:rPr>
          <w:sz w:val="24"/>
          <w:szCs w:val="24"/>
        </w:rPr>
        <w:t>BID-N</w:t>
      </w:r>
      <w:r w:rsidR="00C067D1">
        <w:rPr>
          <w:sz w:val="24"/>
          <w:szCs w:val="24"/>
        </w:rPr>
        <w:t>eedham</w:t>
      </w:r>
      <w:r w:rsidRPr="003721C0">
        <w:rPr>
          <w:sz w:val="24"/>
          <w:szCs w:val="24"/>
        </w:rPr>
        <w:t xml:space="preserve"> has developed the following quality metrics and reporting schematic, as well as metric projections for quality indicators that will measure patient satisfaction and access.  </w:t>
      </w:r>
    </w:p>
    <w:p w14:paraId="5D024AB8" w14:textId="1CC181A3" w:rsidR="003721C0" w:rsidRPr="003721C0" w:rsidRDefault="003721C0" w:rsidP="002C493A">
      <w:pPr>
        <w:numPr>
          <w:ilvl w:val="0"/>
          <w:numId w:val="11"/>
        </w:numPr>
        <w:spacing w:line="240" w:lineRule="auto"/>
        <w:rPr>
          <w:sz w:val="24"/>
          <w:szCs w:val="24"/>
        </w:rPr>
      </w:pPr>
      <w:r w:rsidRPr="003721C0">
        <w:rPr>
          <w:b/>
          <w:bCs/>
          <w:sz w:val="24"/>
          <w:szCs w:val="24"/>
        </w:rPr>
        <w:t>Code Stroke door-to-CT time under 25 minutes</w:t>
      </w:r>
      <w:r w:rsidRPr="003721C0">
        <w:rPr>
          <w:sz w:val="24"/>
          <w:szCs w:val="24"/>
        </w:rPr>
        <w:t xml:space="preserve">:  With the addition of a second CT scanner in the department, </w:t>
      </w:r>
      <w:r w:rsidR="00C21549">
        <w:rPr>
          <w:sz w:val="24"/>
          <w:szCs w:val="24"/>
        </w:rPr>
        <w:t>BID-N</w:t>
      </w:r>
      <w:r w:rsidR="00C067D1">
        <w:rPr>
          <w:sz w:val="24"/>
          <w:szCs w:val="24"/>
        </w:rPr>
        <w:t>eedham</w:t>
      </w:r>
      <w:r w:rsidRPr="003721C0">
        <w:rPr>
          <w:sz w:val="24"/>
          <w:szCs w:val="24"/>
        </w:rPr>
        <w:t xml:space="preserve"> will be able to decrease the critical minutes between the time a patient is identified as a potential stroke patient, definitive diagnosis, and subsequent treatment. This need was clearly demonstrated when </w:t>
      </w:r>
      <w:r w:rsidR="00C21549">
        <w:rPr>
          <w:sz w:val="24"/>
          <w:szCs w:val="24"/>
        </w:rPr>
        <w:t>BID-N</w:t>
      </w:r>
      <w:r w:rsidR="00C067D1">
        <w:rPr>
          <w:sz w:val="24"/>
          <w:szCs w:val="24"/>
        </w:rPr>
        <w:t>eedham</w:t>
      </w:r>
      <w:r w:rsidRPr="003721C0">
        <w:rPr>
          <w:sz w:val="24"/>
          <w:szCs w:val="24"/>
        </w:rPr>
        <w:t xml:space="preserve"> recently had three code stroke cases called within an hour.  </w:t>
      </w:r>
    </w:p>
    <w:p w14:paraId="679F91FC" w14:textId="77777777" w:rsidR="003721C0" w:rsidRPr="003721C0" w:rsidRDefault="003721C0" w:rsidP="002C493A">
      <w:pPr>
        <w:numPr>
          <w:ilvl w:val="1"/>
          <w:numId w:val="11"/>
        </w:numPr>
        <w:spacing w:line="240" w:lineRule="auto"/>
        <w:rPr>
          <w:sz w:val="24"/>
          <w:szCs w:val="24"/>
        </w:rPr>
      </w:pPr>
      <w:r w:rsidRPr="003721C0">
        <w:rPr>
          <w:b/>
          <w:bCs/>
          <w:sz w:val="24"/>
          <w:szCs w:val="24"/>
        </w:rPr>
        <w:t>Measure</w:t>
      </w:r>
      <w:r w:rsidRPr="003721C0">
        <w:rPr>
          <w:sz w:val="24"/>
          <w:szCs w:val="24"/>
        </w:rPr>
        <w:t>:   Monthly statistics on the percentage of all called code stroke cases imaged within 25 minutes of their arrival</w:t>
      </w:r>
    </w:p>
    <w:p w14:paraId="5AEE74F1" w14:textId="1BD2A3EE" w:rsidR="003721C0" w:rsidRPr="003721C0" w:rsidRDefault="003721C0" w:rsidP="00301F79">
      <w:pPr>
        <w:spacing w:line="240" w:lineRule="auto"/>
        <w:ind w:left="720" w:firstLine="720"/>
        <w:rPr>
          <w:sz w:val="24"/>
          <w:szCs w:val="24"/>
        </w:rPr>
      </w:pPr>
      <w:r w:rsidRPr="003721C0">
        <w:rPr>
          <w:b/>
          <w:bCs/>
          <w:sz w:val="24"/>
          <w:szCs w:val="24"/>
        </w:rPr>
        <w:t>Projections</w:t>
      </w:r>
      <w:r w:rsidRPr="003721C0">
        <w:rPr>
          <w:sz w:val="24"/>
          <w:szCs w:val="24"/>
        </w:rPr>
        <w:t xml:space="preserve">: Baseline: </w:t>
      </w:r>
      <w:r w:rsidRPr="003721C0">
        <w:rPr>
          <w:sz w:val="24"/>
          <w:szCs w:val="24"/>
          <w:u w:val="single"/>
        </w:rPr>
        <w:t>85%</w:t>
      </w:r>
      <w:r w:rsidRPr="003721C0">
        <w:rPr>
          <w:sz w:val="24"/>
          <w:szCs w:val="24"/>
        </w:rPr>
        <w:t xml:space="preserve">; Year 1: </w:t>
      </w:r>
      <w:r w:rsidRPr="003721C0">
        <w:rPr>
          <w:sz w:val="24"/>
          <w:szCs w:val="24"/>
          <w:u w:val="single"/>
        </w:rPr>
        <w:t>95%</w:t>
      </w:r>
      <w:r w:rsidRPr="003721C0">
        <w:rPr>
          <w:sz w:val="24"/>
          <w:szCs w:val="24"/>
        </w:rPr>
        <w:t xml:space="preserve">; Year 2: </w:t>
      </w:r>
      <w:r w:rsidRPr="003721C0">
        <w:rPr>
          <w:sz w:val="24"/>
          <w:szCs w:val="24"/>
          <w:u w:val="single"/>
        </w:rPr>
        <w:t>95%</w:t>
      </w:r>
      <w:r w:rsidRPr="003721C0">
        <w:rPr>
          <w:sz w:val="24"/>
          <w:szCs w:val="24"/>
        </w:rPr>
        <w:t xml:space="preserve">; Year 3: </w:t>
      </w:r>
      <w:r w:rsidRPr="003721C0">
        <w:rPr>
          <w:sz w:val="24"/>
          <w:szCs w:val="24"/>
          <w:u w:val="single"/>
        </w:rPr>
        <w:t>95%</w:t>
      </w:r>
    </w:p>
    <w:p w14:paraId="420CE7B8" w14:textId="77777777" w:rsidR="003721C0" w:rsidRPr="003721C0" w:rsidRDefault="003721C0" w:rsidP="00301F79">
      <w:pPr>
        <w:spacing w:line="240" w:lineRule="auto"/>
        <w:ind w:left="1440"/>
        <w:rPr>
          <w:sz w:val="24"/>
          <w:szCs w:val="24"/>
        </w:rPr>
      </w:pPr>
      <w:r w:rsidRPr="003721C0">
        <w:rPr>
          <w:b/>
          <w:bCs/>
          <w:sz w:val="24"/>
          <w:szCs w:val="24"/>
        </w:rPr>
        <w:t>Monitoring</w:t>
      </w:r>
      <w:r w:rsidRPr="003721C0">
        <w:rPr>
          <w:sz w:val="24"/>
          <w:szCs w:val="24"/>
        </w:rPr>
        <w:t>: The Department of Radiology in conjunction with the code stroke committee will monitor all code stroke cases on a monthly basis. The Department of Radiology will report on both the door-to-CT time and CT-to-Read time.</w:t>
      </w:r>
    </w:p>
    <w:p w14:paraId="32FDF818" w14:textId="72E667BA" w:rsidR="003721C0" w:rsidRPr="003721C0" w:rsidRDefault="003721C0" w:rsidP="002C493A">
      <w:pPr>
        <w:numPr>
          <w:ilvl w:val="0"/>
          <w:numId w:val="11"/>
        </w:numPr>
        <w:spacing w:line="240" w:lineRule="auto"/>
        <w:rPr>
          <w:sz w:val="24"/>
          <w:szCs w:val="24"/>
        </w:rPr>
      </w:pPr>
      <w:r w:rsidRPr="003721C0">
        <w:rPr>
          <w:b/>
          <w:bCs/>
          <w:sz w:val="24"/>
          <w:szCs w:val="24"/>
        </w:rPr>
        <w:t>Access-Wait Times</w:t>
      </w:r>
      <w:r w:rsidRPr="003721C0">
        <w:rPr>
          <w:sz w:val="24"/>
          <w:szCs w:val="24"/>
        </w:rPr>
        <w:t xml:space="preserve">:  The Proposed Project seeks to ensure timely access to CT services.  Accordingly, in the Department of Radiology, </w:t>
      </w:r>
      <w:r w:rsidR="00C21549">
        <w:rPr>
          <w:sz w:val="24"/>
          <w:szCs w:val="24"/>
        </w:rPr>
        <w:t>BID-N</w:t>
      </w:r>
      <w:r w:rsidR="00C067D1">
        <w:rPr>
          <w:sz w:val="24"/>
          <w:szCs w:val="24"/>
        </w:rPr>
        <w:t>eedham</w:t>
      </w:r>
      <w:r w:rsidRPr="003721C0">
        <w:rPr>
          <w:sz w:val="24"/>
          <w:szCs w:val="24"/>
        </w:rPr>
        <w:t xml:space="preserve"> will track median time from order placement to next available appointment for outpatient CT diagnostic procedures.</w:t>
      </w:r>
    </w:p>
    <w:p w14:paraId="71736E09" w14:textId="77777777" w:rsidR="003721C0" w:rsidRPr="003721C0" w:rsidRDefault="003721C0" w:rsidP="002C493A">
      <w:pPr>
        <w:numPr>
          <w:ilvl w:val="1"/>
          <w:numId w:val="11"/>
        </w:numPr>
        <w:spacing w:line="240" w:lineRule="auto"/>
        <w:rPr>
          <w:sz w:val="24"/>
          <w:szCs w:val="24"/>
        </w:rPr>
      </w:pPr>
      <w:r w:rsidRPr="003721C0">
        <w:rPr>
          <w:b/>
          <w:bCs/>
          <w:sz w:val="24"/>
          <w:szCs w:val="24"/>
        </w:rPr>
        <w:t>Measure</w:t>
      </w:r>
      <w:r w:rsidRPr="003721C0">
        <w:rPr>
          <w:sz w:val="24"/>
          <w:szCs w:val="24"/>
        </w:rPr>
        <w:t xml:space="preserve">:  Average (mean) time interval from when the CT services request was initiated to the third next available appointment.   </w:t>
      </w:r>
    </w:p>
    <w:p w14:paraId="6A5D9500" w14:textId="77777777" w:rsidR="003721C0" w:rsidRPr="003721C0" w:rsidRDefault="003721C0" w:rsidP="00301F79">
      <w:pPr>
        <w:spacing w:line="240" w:lineRule="auto"/>
        <w:ind w:left="720" w:firstLine="720"/>
        <w:rPr>
          <w:sz w:val="24"/>
          <w:szCs w:val="24"/>
        </w:rPr>
      </w:pPr>
      <w:r w:rsidRPr="003721C0">
        <w:rPr>
          <w:b/>
          <w:bCs/>
          <w:sz w:val="24"/>
          <w:szCs w:val="24"/>
        </w:rPr>
        <w:t>Projections</w:t>
      </w:r>
      <w:r w:rsidRPr="003721C0">
        <w:rPr>
          <w:sz w:val="24"/>
          <w:szCs w:val="24"/>
        </w:rPr>
        <w:t xml:space="preserve">: Baseline: </w:t>
      </w:r>
      <w:r w:rsidRPr="003721C0">
        <w:rPr>
          <w:sz w:val="24"/>
          <w:szCs w:val="24"/>
          <w:u w:val="single"/>
        </w:rPr>
        <w:t>14 days</w:t>
      </w:r>
      <w:r w:rsidRPr="003721C0">
        <w:rPr>
          <w:sz w:val="24"/>
          <w:szCs w:val="24"/>
        </w:rPr>
        <w:t xml:space="preserve">; Year 1:  </w:t>
      </w:r>
      <w:r w:rsidRPr="003721C0">
        <w:rPr>
          <w:sz w:val="24"/>
          <w:szCs w:val="24"/>
          <w:u w:val="single"/>
        </w:rPr>
        <w:t>5 days</w:t>
      </w:r>
      <w:r w:rsidRPr="003721C0">
        <w:rPr>
          <w:sz w:val="24"/>
          <w:szCs w:val="24"/>
        </w:rPr>
        <w:t xml:space="preserve">; Year 2: </w:t>
      </w:r>
      <w:r w:rsidRPr="003721C0">
        <w:rPr>
          <w:sz w:val="24"/>
          <w:szCs w:val="24"/>
          <w:u w:val="single"/>
        </w:rPr>
        <w:t>5 days</w:t>
      </w:r>
      <w:r w:rsidRPr="003721C0">
        <w:rPr>
          <w:sz w:val="24"/>
          <w:szCs w:val="24"/>
        </w:rPr>
        <w:t xml:space="preserve">; Year 3: </w:t>
      </w:r>
      <w:r w:rsidRPr="003721C0">
        <w:rPr>
          <w:sz w:val="24"/>
          <w:szCs w:val="24"/>
          <w:u w:val="single"/>
        </w:rPr>
        <w:t>5 days</w:t>
      </w:r>
      <w:r w:rsidRPr="003721C0">
        <w:rPr>
          <w:sz w:val="24"/>
          <w:szCs w:val="24"/>
        </w:rPr>
        <w:t xml:space="preserve">  </w:t>
      </w:r>
    </w:p>
    <w:p w14:paraId="20267223" w14:textId="77777777" w:rsidR="003721C0" w:rsidRPr="003721C0" w:rsidRDefault="003721C0" w:rsidP="00301F79">
      <w:pPr>
        <w:spacing w:line="240" w:lineRule="auto"/>
        <w:ind w:left="720" w:firstLine="720"/>
        <w:rPr>
          <w:sz w:val="24"/>
          <w:szCs w:val="24"/>
        </w:rPr>
      </w:pPr>
      <w:r w:rsidRPr="003721C0">
        <w:rPr>
          <w:b/>
          <w:bCs/>
          <w:sz w:val="24"/>
          <w:szCs w:val="24"/>
        </w:rPr>
        <w:t>Monitoring</w:t>
      </w:r>
      <w:r w:rsidRPr="003721C0">
        <w:rPr>
          <w:sz w:val="24"/>
          <w:szCs w:val="24"/>
        </w:rPr>
        <w:t>: This data will be provided on an annual basis.</w:t>
      </w:r>
    </w:p>
    <w:p w14:paraId="43F4EA0C" w14:textId="23BC30AB" w:rsidR="003721C0" w:rsidRDefault="003721C0">
      <w:pPr>
        <w:rPr>
          <w:b/>
          <w:bCs/>
        </w:rPr>
      </w:pPr>
    </w:p>
    <w:p w14:paraId="05A3D97B" w14:textId="79DAF07D" w:rsidR="00497E7B" w:rsidRDefault="00497E7B">
      <w:pPr>
        <w:rPr>
          <w:b/>
          <w:bCs/>
        </w:rPr>
      </w:pPr>
    </w:p>
    <w:p w14:paraId="5F48DD13" w14:textId="38D04D75" w:rsidR="00497E7B" w:rsidRDefault="00497E7B">
      <w:pPr>
        <w:rPr>
          <w:b/>
          <w:bCs/>
        </w:rPr>
      </w:pPr>
    </w:p>
    <w:p w14:paraId="2A3857F9" w14:textId="77777777" w:rsidR="00301F79" w:rsidRDefault="00301F79">
      <w:pPr>
        <w:rPr>
          <w:b/>
          <w:bCs/>
        </w:rPr>
      </w:pPr>
    </w:p>
    <w:p w14:paraId="45D2153A" w14:textId="27852039" w:rsidR="00497E7B" w:rsidRDefault="00497E7B">
      <w:pPr>
        <w:rPr>
          <w:b/>
          <w:bCs/>
        </w:rPr>
      </w:pPr>
    </w:p>
    <w:p w14:paraId="3931EF7E" w14:textId="4BBD84DF" w:rsidR="00497E7B" w:rsidRDefault="00497E7B">
      <w:pPr>
        <w:rPr>
          <w:b/>
          <w:bCs/>
        </w:rPr>
      </w:pPr>
    </w:p>
    <w:p w14:paraId="409F3F85" w14:textId="795F92C7" w:rsidR="00497E7B" w:rsidRDefault="00497E7B">
      <w:pPr>
        <w:rPr>
          <w:b/>
          <w:bCs/>
        </w:rPr>
      </w:pPr>
    </w:p>
    <w:p w14:paraId="628EC62A" w14:textId="77777777" w:rsidR="001B67AC" w:rsidRDefault="001B67AC">
      <w:pPr>
        <w:rPr>
          <w:b/>
          <w:bCs/>
        </w:rPr>
      </w:pPr>
    </w:p>
    <w:p w14:paraId="22F1F24F" w14:textId="36E989E8" w:rsidR="00497E7B" w:rsidRDefault="00497E7B">
      <w:pPr>
        <w:rPr>
          <w:b/>
          <w:bCs/>
        </w:rPr>
      </w:pPr>
    </w:p>
    <w:p w14:paraId="0F459D5D" w14:textId="2E8F745B" w:rsidR="004D293C" w:rsidRPr="005F07C5" w:rsidRDefault="00F83EBE" w:rsidP="00561BCC">
      <w:pPr>
        <w:spacing w:after="0" w:line="240" w:lineRule="auto"/>
        <w:rPr>
          <w:b/>
          <w:bCs/>
          <w:sz w:val="24"/>
          <w:szCs w:val="24"/>
        </w:rPr>
      </w:pPr>
      <w:r w:rsidRPr="005F07C5">
        <w:rPr>
          <w:b/>
          <w:bCs/>
          <w:sz w:val="24"/>
          <w:szCs w:val="24"/>
        </w:rPr>
        <w:lastRenderedPageBreak/>
        <w:t>REFERENCES</w:t>
      </w:r>
    </w:p>
    <w:sectPr w:rsidR="004D293C" w:rsidRPr="005F07C5" w:rsidSect="00CF2B67">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C505" w14:textId="77777777" w:rsidR="00A842E9" w:rsidRDefault="00A842E9" w:rsidP="00231103">
      <w:pPr>
        <w:spacing w:after="0" w:line="240" w:lineRule="auto"/>
      </w:pPr>
      <w:r>
        <w:separator/>
      </w:r>
    </w:p>
  </w:endnote>
  <w:endnote w:type="continuationSeparator" w:id="0">
    <w:p w14:paraId="28A6DC11" w14:textId="77777777" w:rsidR="00A842E9" w:rsidRDefault="00A842E9" w:rsidP="00231103">
      <w:pPr>
        <w:spacing w:after="0" w:line="240" w:lineRule="auto"/>
      </w:pPr>
      <w:r>
        <w:continuationSeparator/>
      </w:r>
    </w:p>
  </w:endnote>
  <w:endnote w:id="1">
    <w:p w14:paraId="7836310A" w14:textId="5CDC3229" w:rsidR="004037AB" w:rsidRPr="000D515B" w:rsidRDefault="004037AB" w:rsidP="00840397">
      <w:pPr>
        <w:pStyle w:val="EndnoteText"/>
      </w:pPr>
      <w:r w:rsidRPr="000D515B">
        <w:rPr>
          <w:rStyle w:val="EndnoteReference"/>
        </w:rPr>
        <w:endnoteRef/>
      </w:r>
      <w:r w:rsidRPr="000D515B">
        <w:t xml:space="preserve"> </w:t>
      </w:r>
      <w:hyperlink r:id="rId1" w:history="1">
        <w:r w:rsidRPr="00432A5C">
          <w:rPr>
            <w:rStyle w:val="Hyperlink"/>
          </w:rPr>
          <w:t>Center for Health Information and Analysis. Massachusetts Hospital Profiles</w:t>
        </w:r>
      </w:hyperlink>
      <w:r w:rsidRPr="000D515B">
        <w:t xml:space="preserve">. Technical Appendix. </w:t>
      </w:r>
    </w:p>
  </w:endnote>
  <w:endnote w:id="2">
    <w:p w14:paraId="1961B06A" w14:textId="5B4D0D58" w:rsidR="004037AB" w:rsidRDefault="004037AB">
      <w:pPr>
        <w:pStyle w:val="EndnoteText"/>
      </w:pPr>
      <w:r>
        <w:rPr>
          <w:rStyle w:val="EndnoteReference"/>
        </w:rPr>
        <w:endnoteRef/>
      </w:r>
      <w:r>
        <w:t xml:space="preserve"> </w:t>
      </w:r>
      <w:hyperlink r:id="rId2" w:history="1">
        <w:r w:rsidRPr="00432A5C">
          <w:rPr>
            <w:rStyle w:val="Hyperlink"/>
          </w:rPr>
          <w:t>Center for Health Information and Analysis (CHIA). Beth Israel Lahey Health.</w:t>
        </w:r>
      </w:hyperlink>
      <w:r>
        <w:t xml:space="preserve"> </w:t>
      </w:r>
    </w:p>
  </w:endnote>
  <w:endnote w:id="3">
    <w:p w14:paraId="65B97BB8" w14:textId="0F39BB37" w:rsidR="004037AB" w:rsidRDefault="004037AB">
      <w:pPr>
        <w:pStyle w:val="EndnoteText"/>
      </w:pPr>
      <w:r>
        <w:rPr>
          <w:rStyle w:val="EndnoteReference"/>
        </w:rPr>
        <w:endnoteRef/>
      </w:r>
      <w:r>
        <w:t xml:space="preserve"> </w:t>
      </w:r>
      <w:hyperlink r:id="rId3" w:history="1">
        <w:r w:rsidR="00CF7573" w:rsidRPr="00CF7573">
          <w:rPr>
            <w:rStyle w:val="Hyperlink"/>
          </w:rPr>
          <w:t>Community Health Needs Assessment BI-Needham PDF</w:t>
        </w:r>
      </w:hyperlink>
    </w:p>
  </w:endnote>
  <w:endnote w:id="4">
    <w:p w14:paraId="038C212C" w14:textId="4A39B0C7" w:rsidR="004037AB" w:rsidRDefault="004037AB" w:rsidP="008F346D">
      <w:pPr>
        <w:pStyle w:val="EndnoteText"/>
      </w:pPr>
      <w:r>
        <w:rPr>
          <w:rStyle w:val="EndnoteReference"/>
        </w:rPr>
        <w:endnoteRef/>
      </w:r>
      <w:r>
        <w:t xml:space="preserve"> </w:t>
      </w:r>
      <w:hyperlink r:id="rId4" w:anchor=":~:text=Stroke%20is%20a%20leading%20cause,of%20serious%20disability%20for%20adults.&amp;text=About%20795%2C000%20people%20in%20the%20United%20States%20have%20a%20stroke%20each%20year." w:history="1">
        <w:r w:rsidRPr="00432A5C">
          <w:rPr>
            <w:rStyle w:val="Hyperlink"/>
          </w:rPr>
          <w:t>Centers for Disease Control and Prevention (CDC). Stroke</w:t>
        </w:r>
      </w:hyperlink>
      <w:r>
        <w:t xml:space="preserve">. </w:t>
      </w:r>
    </w:p>
  </w:endnote>
  <w:endnote w:id="5">
    <w:p w14:paraId="31E15918" w14:textId="77777777" w:rsidR="004037AB" w:rsidRDefault="004037AB" w:rsidP="008F346D">
      <w:pPr>
        <w:pStyle w:val="EndnoteText"/>
      </w:pPr>
      <w:r>
        <w:rPr>
          <w:rStyle w:val="EndnoteReference"/>
        </w:rPr>
        <w:endnoteRef/>
      </w:r>
      <w:r>
        <w:t xml:space="preserve"> </w:t>
      </w:r>
      <w:r w:rsidRPr="00614443">
        <w:t>Birenbaum D, Bancroft LW, Felsberg GJ. Imaging in acute stroke. West J Emerg Med. 2011;12(1):67-76.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575B" w14:textId="77777777" w:rsidR="004037AB" w:rsidRDefault="00403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99566"/>
      <w:docPartObj>
        <w:docPartGallery w:val="Page Numbers (Bottom of Page)"/>
        <w:docPartUnique/>
      </w:docPartObj>
    </w:sdtPr>
    <w:sdtEndPr>
      <w:rPr>
        <w:noProof/>
      </w:rPr>
    </w:sdtEndPr>
    <w:sdtContent>
      <w:p w14:paraId="77B228D2" w14:textId="6F8EE75C" w:rsidR="004037AB" w:rsidRDefault="004037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65ADA" w14:textId="77777777" w:rsidR="004037AB" w:rsidRDefault="00403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05FE" w14:textId="77777777" w:rsidR="004037AB" w:rsidRDefault="00403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D13F" w14:textId="77777777" w:rsidR="00A842E9" w:rsidRDefault="00A842E9" w:rsidP="00231103">
      <w:pPr>
        <w:spacing w:after="0" w:line="240" w:lineRule="auto"/>
      </w:pPr>
      <w:r>
        <w:separator/>
      </w:r>
    </w:p>
  </w:footnote>
  <w:footnote w:type="continuationSeparator" w:id="0">
    <w:p w14:paraId="2448A915" w14:textId="77777777" w:rsidR="00A842E9" w:rsidRDefault="00A842E9" w:rsidP="00231103">
      <w:pPr>
        <w:spacing w:after="0" w:line="240" w:lineRule="auto"/>
      </w:pPr>
      <w:r>
        <w:continuationSeparator/>
      </w:r>
    </w:p>
  </w:footnote>
  <w:footnote w:id="1">
    <w:p w14:paraId="251FB9FC" w14:textId="4B256F5D" w:rsidR="005E00AF" w:rsidRPr="00F70399" w:rsidRDefault="005E00AF">
      <w:pPr>
        <w:pStyle w:val="FootnoteText"/>
        <w:rPr>
          <w:sz w:val="18"/>
          <w:szCs w:val="18"/>
        </w:rPr>
      </w:pPr>
      <w:r w:rsidRPr="00F70399">
        <w:rPr>
          <w:rStyle w:val="FootnoteReference"/>
          <w:sz w:val="18"/>
          <w:szCs w:val="18"/>
        </w:rPr>
        <w:footnoteRef/>
      </w:r>
      <w:r w:rsidRPr="00F70399">
        <w:rPr>
          <w:sz w:val="18"/>
          <w:szCs w:val="18"/>
        </w:rPr>
        <w:t xml:space="preserve"> </w:t>
      </w:r>
      <w:r w:rsidR="0072708F" w:rsidRPr="00F70399">
        <w:rPr>
          <w:sz w:val="18"/>
          <w:szCs w:val="18"/>
        </w:rPr>
        <w:t>The Applicant states that a</w:t>
      </w:r>
      <w:r w:rsidRPr="00F70399">
        <w:rPr>
          <w:sz w:val="18"/>
          <w:szCs w:val="18"/>
        </w:rPr>
        <w:t>n estimated five million people reside in the BILH service area. See DoN application narrative</w:t>
      </w:r>
      <w:r w:rsidR="001448FD" w:rsidRPr="00F70399">
        <w:rPr>
          <w:sz w:val="18"/>
          <w:szCs w:val="18"/>
        </w:rPr>
        <w:t>,</w:t>
      </w:r>
      <w:r w:rsidRPr="00F70399">
        <w:rPr>
          <w:sz w:val="18"/>
          <w:szCs w:val="18"/>
        </w:rPr>
        <w:t xml:space="preserve"> page </w:t>
      </w:r>
      <w:r w:rsidR="0072708F" w:rsidRPr="00F70399">
        <w:rPr>
          <w:sz w:val="18"/>
          <w:szCs w:val="18"/>
        </w:rPr>
        <w:t>40 for BILH Service Area</w:t>
      </w:r>
      <w:r w:rsidR="001448FD" w:rsidRPr="00F70399">
        <w:rPr>
          <w:sz w:val="18"/>
          <w:szCs w:val="18"/>
        </w:rPr>
        <w:t xml:space="preserve"> Map</w:t>
      </w:r>
      <w:r w:rsidR="0072708F" w:rsidRPr="00F70399">
        <w:rPr>
          <w:sz w:val="18"/>
          <w:szCs w:val="18"/>
        </w:rPr>
        <w:t xml:space="preserve">. </w:t>
      </w:r>
    </w:p>
  </w:footnote>
  <w:footnote w:id="2">
    <w:p w14:paraId="0030B737" w14:textId="77777777" w:rsidR="00920532" w:rsidRDefault="00920532" w:rsidP="00920532">
      <w:pPr>
        <w:pStyle w:val="FootnoteText"/>
      </w:pPr>
      <w:r w:rsidRPr="00F70399">
        <w:rPr>
          <w:rStyle w:val="FootnoteReference"/>
          <w:sz w:val="18"/>
          <w:szCs w:val="18"/>
          <w:shd w:val="clear" w:color="auto" w:fill="FFFFFF" w:themeFill="background1"/>
        </w:rPr>
        <w:footnoteRef/>
      </w:r>
      <w:r w:rsidRPr="00F70399">
        <w:rPr>
          <w:sz w:val="18"/>
          <w:szCs w:val="18"/>
          <w:shd w:val="clear" w:color="auto" w:fill="FFFFFF" w:themeFill="background1"/>
        </w:rPr>
        <w:t xml:space="preserve"> Beth Israel Lahey Health includes the following Hospitals: Addison Gilbert Hospital (Northeast), Anna Jaques Hospital, BayRidge Hospital (Northeast), Beth Israel Deaconess Hospital – Milton, Beth Israel Hospital – Needham, Beth Israel Hospital – Plymouth, Beth Israel Deaconess Medical Center, Beverly Hospital (Northeast), Lahey Hospital &amp; Medical Center, Lahey Medical Center, Peabody, Mount Auburn Hospital, New England Baptist Hospital, and Winchester Hospital.</w:t>
      </w:r>
    </w:p>
  </w:footnote>
  <w:footnote w:id="3">
    <w:p w14:paraId="11339D06" w14:textId="4AF548E8" w:rsidR="00926487" w:rsidRPr="00F70399" w:rsidRDefault="00926487">
      <w:pPr>
        <w:pStyle w:val="FootnoteText"/>
        <w:rPr>
          <w:sz w:val="18"/>
          <w:szCs w:val="18"/>
        </w:rPr>
      </w:pPr>
      <w:r w:rsidRPr="00F70399">
        <w:rPr>
          <w:rStyle w:val="FootnoteReference"/>
          <w:sz w:val="18"/>
          <w:szCs w:val="18"/>
        </w:rPr>
        <w:footnoteRef/>
      </w:r>
      <w:r w:rsidRPr="00F70399">
        <w:rPr>
          <w:sz w:val="18"/>
          <w:szCs w:val="18"/>
        </w:rPr>
        <w:t xml:space="preserve"> BID-Needham Primary Service Area </w:t>
      </w:r>
      <w:r w:rsidR="0001715A" w:rsidRPr="00F70399">
        <w:rPr>
          <w:sz w:val="18"/>
          <w:szCs w:val="18"/>
        </w:rPr>
        <w:t>i</w:t>
      </w:r>
      <w:r w:rsidRPr="00F70399">
        <w:rPr>
          <w:sz w:val="18"/>
          <w:szCs w:val="18"/>
        </w:rPr>
        <w:t>ncludes Dedham, Dover, Medfield, Needham, Needham Heights, and Westwood.</w:t>
      </w:r>
      <w:r w:rsidR="0001715A" w:rsidRPr="00F70399">
        <w:rPr>
          <w:sz w:val="18"/>
          <w:szCs w:val="18"/>
        </w:rPr>
        <w:t xml:space="preserve"> BID-Needham Secondary Service Area includes Canton, Millis, Natick, Newton Center, Newton Highlands, Newton Upper Falls, Chestnut Hills, Waban, Norwood, Sharon, East Walpole, South Walpole, Wayland, Wellesley, West Roxbury.</w:t>
      </w:r>
    </w:p>
  </w:footnote>
  <w:footnote w:id="4">
    <w:p w14:paraId="5C584855" w14:textId="4327887D" w:rsidR="004037AB" w:rsidRPr="00F70399" w:rsidRDefault="004037AB" w:rsidP="00F96C5D">
      <w:pPr>
        <w:pStyle w:val="FootnoteText"/>
        <w:rPr>
          <w:sz w:val="18"/>
          <w:szCs w:val="18"/>
        </w:rPr>
      </w:pPr>
      <w:r w:rsidRPr="00F70399">
        <w:rPr>
          <w:rStyle w:val="FootnoteReference"/>
          <w:sz w:val="18"/>
          <w:szCs w:val="18"/>
        </w:rPr>
        <w:footnoteRef/>
      </w:r>
      <w:r w:rsidRPr="00F70399">
        <w:rPr>
          <w:sz w:val="18"/>
          <w:szCs w:val="18"/>
        </w:rPr>
        <w:t xml:space="preserve"> Massachusetts Department of Public Health. </w:t>
      </w:r>
      <w:hyperlink r:id="rId1" w:history="1">
        <w:r w:rsidRPr="000C7878">
          <w:rPr>
            <w:rStyle w:val="Hyperlink"/>
            <w:sz w:val="18"/>
            <w:szCs w:val="18"/>
          </w:rPr>
          <w:t>Designated Primary Stroke Services Hospitals</w:t>
        </w:r>
      </w:hyperlink>
      <w:r w:rsidRPr="00F70399">
        <w:rPr>
          <w:sz w:val="18"/>
          <w:szCs w:val="18"/>
        </w:rPr>
        <w:t xml:space="preserve">. </w:t>
      </w:r>
    </w:p>
  </w:footnote>
  <w:footnote w:id="5">
    <w:p w14:paraId="2647697C" w14:textId="6A2E2263" w:rsidR="004037AB" w:rsidRPr="006F3742" w:rsidRDefault="004037AB" w:rsidP="006F3742">
      <w:pPr>
        <w:spacing w:after="0" w:line="240" w:lineRule="auto"/>
        <w:rPr>
          <w:sz w:val="18"/>
          <w:szCs w:val="18"/>
        </w:rPr>
      </w:pPr>
      <w:r w:rsidRPr="00F70399">
        <w:rPr>
          <w:rStyle w:val="FootnoteReference"/>
          <w:sz w:val="18"/>
          <w:szCs w:val="18"/>
        </w:rPr>
        <w:footnoteRef/>
      </w:r>
      <w:r w:rsidRPr="00F70399">
        <w:rPr>
          <w:sz w:val="18"/>
          <w:szCs w:val="18"/>
        </w:rPr>
        <w:t xml:space="preserve"> Primary Stroke Service (PSS) designation in Massachusetts indicates that a health care facility is ready to evaluate and treat acute stroke patients 24 hours a day. Massachusetts PSS facilities submit data to the Bureau of Health Care Safety and Quality (BHCSQ) as part of licensing.</w:t>
      </w:r>
    </w:p>
  </w:footnote>
  <w:footnote w:id="6">
    <w:p w14:paraId="3E414372" w14:textId="795F3144" w:rsidR="004037AB" w:rsidRPr="00497B7C" w:rsidRDefault="004037AB">
      <w:pPr>
        <w:pStyle w:val="FootnoteText"/>
        <w:rPr>
          <w:sz w:val="18"/>
          <w:szCs w:val="18"/>
        </w:rPr>
      </w:pPr>
      <w:r w:rsidRPr="00497B7C">
        <w:rPr>
          <w:rStyle w:val="FootnoteReference"/>
          <w:sz w:val="18"/>
          <w:szCs w:val="18"/>
        </w:rPr>
        <w:footnoteRef/>
      </w:r>
      <w:r w:rsidRPr="00497B7C">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7">
    <w:p w14:paraId="521FF087" w14:textId="684EFCFE" w:rsidR="004037AB" w:rsidRPr="00497B7C" w:rsidRDefault="004037AB" w:rsidP="001841D7">
      <w:pPr>
        <w:pBdr>
          <w:top w:val="nil"/>
          <w:left w:val="nil"/>
          <w:bottom w:val="nil"/>
          <w:right w:val="nil"/>
          <w:between w:val="nil"/>
        </w:pBdr>
        <w:spacing w:after="0" w:line="240" w:lineRule="auto"/>
        <w:rPr>
          <w:color w:val="000000"/>
          <w:sz w:val="18"/>
          <w:szCs w:val="18"/>
        </w:rPr>
      </w:pPr>
      <w:r w:rsidRPr="00497B7C">
        <w:rPr>
          <w:rStyle w:val="FootnoteReference"/>
          <w:sz w:val="18"/>
          <w:szCs w:val="18"/>
        </w:rPr>
        <w:footnoteRef/>
      </w:r>
      <w:r w:rsidRPr="00497B7C">
        <w:rPr>
          <w:color w:val="000000"/>
          <w:sz w:val="18"/>
          <w:szCs w:val="18"/>
        </w:rPr>
        <w:t xml:space="preserve"> For purposes of the Applicant’s and the Hospital’s Patient Panel, the fiscal year is defined as July 1 through June 30.</w:t>
      </w:r>
    </w:p>
  </w:footnote>
  <w:footnote w:id="8">
    <w:p w14:paraId="448A4748" w14:textId="3DC991EF" w:rsidR="00497B7C" w:rsidRPr="00497B7C" w:rsidRDefault="00497B7C" w:rsidP="00497B7C">
      <w:pPr>
        <w:pStyle w:val="FootnoteText"/>
        <w:rPr>
          <w:sz w:val="18"/>
          <w:szCs w:val="18"/>
        </w:rPr>
      </w:pPr>
      <w:r w:rsidRPr="00497B7C">
        <w:rPr>
          <w:rStyle w:val="FootnoteReference"/>
          <w:sz w:val="18"/>
          <w:szCs w:val="18"/>
        </w:rPr>
        <w:footnoteRef/>
      </w:r>
      <w:r w:rsidRPr="00497B7C">
        <w:rPr>
          <w:sz w:val="18"/>
          <w:szCs w:val="18"/>
        </w:rPr>
        <w:t xml:space="preserve"> BILH includes Addison Gilbert Hospital, AJH, BayRidge Hospital, Beverly Hospital, BIDMC, BID-Milton, BID-N, BID-Plymouth, LHMC-Burlington, LHMC-Peabody, MAH, NEBH, and Winchester Hospital. Counts represent the number of unique patients that visited a facility on a BILH hospital license for inpatient or outpatient services, including patients who were admitted through the emergency department. Unique patients are identified at the hospital level, with the exception of Addison Gilbert Hospital, BayRidge Hospital, and Beverly Hospital, which are jointly identified as Northeast Hospital Corp. patients, and LHMC-Burlington and LHMC-Peabody, which are also jointly identified. Patients visiting multiple BILH hospitals in a given year are not uniquely identified.</w:t>
      </w:r>
    </w:p>
  </w:footnote>
  <w:footnote w:id="9">
    <w:p w14:paraId="11B76149" w14:textId="183882DC" w:rsidR="002000B1" w:rsidRPr="00A852B1" w:rsidRDefault="002000B1" w:rsidP="00A37B80">
      <w:pPr>
        <w:pStyle w:val="FootnoteText"/>
        <w:rPr>
          <w:sz w:val="18"/>
          <w:szCs w:val="18"/>
        </w:rPr>
      </w:pPr>
      <w:r w:rsidRPr="00A852B1">
        <w:rPr>
          <w:rStyle w:val="FootnoteReference"/>
          <w:sz w:val="18"/>
          <w:szCs w:val="18"/>
        </w:rPr>
        <w:footnoteRef/>
      </w:r>
      <w:r w:rsidRPr="00A852B1">
        <w:rPr>
          <w:sz w:val="18"/>
          <w:szCs w:val="18"/>
        </w:rPr>
        <w:t xml:space="preserve"> Includes </w:t>
      </w:r>
      <w:r>
        <w:rPr>
          <w:sz w:val="18"/>
          <w:szCs w:val="18"/>
        </w:rPr>
        <w:t>M</w:t>
      </w:r>
      <w:r w:rsidRPr="00A852B1">
        <w:rPr>
          <w:sz w:val="18"/>
          <w:szCs w:val="18"/>
        </w:rPr>
        <w:t xml:space="preserve">ale and </w:t>
      </w:r>
      <w:r>
        <w:rPr>
          <w:sz w:val="18"/>
          <w:szCs w:val="18"/>
        </w:rPr>
        <w:t>O</w:t>
      </w:r>
      <w:r w:rsidRPr="00A852B1">
        <w:rPr>
          <w:sz w:val="18"/>
          <w:szCs w:val="18"/>
        </w:rPr>
        <w:t xml:space="preserve">ther for </w:t>
      </w:r>
      <w:r>
        <w:rPr>
          <w:sz w:val="18"/>
          <w:szCs w:val="18"/>
        </w:rPr>
        <w:t>BID-N</w:t>
      </w:r>
      <w:r w:rsidRPr="00A852B1">
        <w:rPr>
          <w:sz w:val="18"/>
          <w:szCs w:val="18"/>
        </w:rPr>
        <w:t>eedham for confidentiality due to regulations around data with counts less than 11.</w:t>
      </w:r>
    </w:p>
  </w:footnote>
  <w:footnote w:id="10">
    <w:p w14:paraId="0A5836B4" w14:textId="77777777" w:rsidR="002000B1" w:rsidRPr="004C1EA6" w:rsidRDefault="002000B1" w:rsidP="002000B1">
      <w:pPr>
        <w:pStyle w:val="FootnoteText"/>
        <w:rPr>
          <w:sz w:val="18"/>
          <w:szCs w:val="18"/>
        </w:rPr>
      </w:pPr>
      <w:r w:rsidRPr="003C1C44">
        <w:rPr>
          <w:rStyle w:val="FootnoteReference"/>
          <w:sz w:val="18"/>
          <w:szCs w:val="18"/>
        </w:rPr>
        <w:footnoteRef/>
      </w:r>
      <w:r w:rsidRPr="003C1C44">
        <w:rPr>
          <w:sz w:val="18"/>
          <w:szCs w:val="18"/>
        </w:rPr>
        <w:t xml:space="preserve"> </w:t>
      </w:r>
      <w:r>
        <w:rPr>
          <w:sz w:val="18"/>
          <w:szCs w:val="18"/>
        </w:rPr>
        <w:t>BILH p</w:t>
      </w:r>
      <w:r w:rsidRPr="003C1C44">
        <w:rPr>
          <w:sz w:val="18"/>
          <w:szCs w:val="18"/>
        </w:rPr>
        <w:t xml:space="preserve">atients for whom a gender is not specified or whose gender varies across visits over the </w:t>
      </w:r>
      <w:proofErr w:type="gramStart"/>
      <w:r w:rsidRPr="003C1C44">
        <w:rPr>
          <w:sz w:val="18"/>
          <w:szCs w:val="18"/>
        </w:rPr>
        <w:t>time period</w:t>
      </w:r>
      <w:proofErr w:type="gramEnd"/>
      <w:r w:rsidRPr="003C1C44">
        <w:rPr>
          <w:sz w:val="18"/>
          <w:szCs w:val="18"/>
        </w:rPr>
        <w:t xml:space="preserve"> are included in “Other.”</w:t>
      </w:r>
    </w:p>
  </w:footnote>
  <w:footnote w:id="11">
    <w:p w14:paraId="1FF803C9" w14:textId="0DF8DA20" w:rsidR="002000B1" w:rsidRPr="004C1EA6" w:rsidRDefault="002000B1" w:rsidP="00A37B80">
      <w:pPr>
        <w:pStyle w:val="FootnoteText"/>
        <w:rPr>
          <w:sz w:val="18"/>
          <w:szCs w:val="18"/>
        </w:rPr>
      </w:pPr>
      <w:r w:rsidRPr="004C1EA6">
        <w:rPr>
          <w:rStyle w:val="FootnoteReference"/>
          <w:sz w:val="18"/>
          <w:szCs w:val="18"/>
        </w:rPr>
        <w:footnoteRef/>
      </w:r>
      <w:r w:rsidRPr="004C1EA6">
        <w:rPr>
          <w:sz w:val="18"/>
          <w:szCs w:val="18"/>
        </w:rPr>
        <w:t xml:space="preserve"> Self-reported.</w:t>
      </w:r>
      <w:r>
        <w:rPr>
          <w:sz w:val="22"/>
          <w:szCs w:val="22"/>
        </w:rPr>
        <w:t xml:space="preserve"> </w:t>
      </w:r>
      <w:r w:rsidRPr="00B926B7">
        <w:rPr>
          <w:sz w:val="18"/>
          <w:szCs w:val="18"/>
        </w:rPr>
        <w:t xml:space="preserve">Patients for whom a race is not specified are included in "Patient Declined," "Unknown," or "Other," per the local facility’s data collection methodology. Patients for whom race varies across visits over the time period are included in "Other." </w:t>
      </w:r>
    </w:p>
  </w:footnote>
  <w:footnote w:id="12">
    <w:p w14:paraId="0F103F09" w14:textId="6ED5EDE7" w:rsidR="002000B1" w:rsidRPr="00573495" w:rsidRDefault="002000B1" w:rsidP="00185945">
      <w:pPr>
        <w:pStyle w:val="FootnoteText"/>
        <w:rPr>
          <w:sz w:val="18"/>
          <w:szCs w:val="18"/>
        </w:rPr>
      </w:pPr>
      <w:r w:rsidRPr="00573495">
        <w:rPr>
          <w:rStyle w:val="FootnoteReference"/>
          <w:sz w:val="18"/>
          <w:szCs w:val="18"/>
        </w:rPr>
        <w:footnoteRef/>
      </w:r>
      <w:r w:rsidRPr="00573495">
        <w:rPr>
          <w:sz w:val="18"/>
          <w:szCs w:val="18"/>
        </w:rPr>
        <w:t xml:space="preserve"> </w:t>
      </w:r>
      <w:r w:rsidRPr="005B6086">
        <w:rPr>
          <w:sz w:val="18"/>
          <w:szCs w:val="18"/>
        </w:rPr>
        <w:t>Ethnicity information is self-reported. Patients for whom ethnicity is not specified are included in "Patient Declined," "Unknown," or "Other," per the local facility’s data collection methodology</w:t>
      </w:r>
      <w:r>
        <w:rPr>
          <w:sz w:val="18"/>
          <w:szCs w:val="18"/>
        </w:rPr>
        <w:t xml:space="preserve">. </w:t>
      </w:r>
      <w:r w:rsidRPr="00573495">
        <w:rPr>
          <w:sz w:val="18"/>
          <w:szCs w:val="18"/>
        </w:rPr>
        <w:t xml:space="preserve">Ethnicity information is not available for the following BILH Hospitals: </w:t>
      </w:r>
      <w:r>
        <w:rPr>
          <w:sz w:val="18"/>
          <w:szCs w:val="18"/>
        </w:rPr>
        <w:t>BID-N</w:t>
      </w:r>
      <w:r w:rsidRPr="00573495">
        <w:rPr>
          <w:sz w:val="18"/>
          <w:szCs w:val="18"/>
        </w:rPr>
        <w:t xml:space="preserve">eedham, BID-Milton, and BID-Plymouth. </w:t>
      </w:r>
    </w:p>
  </w:footnote>
  <w:footnote w:id="13">
    <w:p w14:paraId="48185F9E" w14:textId="3F312501" w:rsidR="002000B1" w:rsidRPr="00BE2D93" w:rsidRDefault="002000B1">
      <w:pPr>
        <w:pStyle w:val="FootnoteText"/>
        <w:rPr>
          <w:sz w:val="18"/>
          <w:szCs w:val="18"/>
        </w:rPr>
      </w:pPr>
      <w:r w:rsidRPr="00BE2D93">
        <w:rPr>
          <w:rStyle w:val="FootnoteReference"/>
          <w:sz w:val="18"/>
          <w:szCs w:val="18"/>
        </w:rPr>
        <w:footnoteRef/>
      </w:r>
      <w:r w:rsidRPr="00BE2D93">
        <w:rPr>
          <w:sz w:val="18"/>
          <w:szCs w:val="18"/>
        </w:rPr>
        <w:t xml:space="preserve"> BID-Needham payer mix is for fiscal year 20 (FY20). </w:t>
      </w:r>
    </w:p>
  </w:footnote>
  <w:footnote w:id="14">
    <w:p w14:paraId="354C9395" w14:textId="50F38E8F" w:rsidR="004037AB" w:rsidRPr="003E0D64" w:rsidRDefault="004037AB">
      <w:pPr>
        <w:pStyle w:val="FootnoteText"/>
        <w:rPr>
          <w:sz w:val="18"/>
          <w:szCs w:val="18"/>
        </w:rPr>
      </w:pPr>
      <w:r w:rsidRPr="003E0D64">
        <w:rPr>
          <w:rStyle w:val="FootnoteReference"/>
          <w:sz w:val="18"/>
          <w:szCs w:val="18"/>
        </w:rPr>
        <w:footnoteRef/>
      </w:r>
      <w:r w:rsidRPr="003E0D64">
        <w:rPr>
          <w:sz w:val="18"/>
          <w:szCs w:val="18"/>
        </w:rPr>
        <w:t xml:space="preserve"> Estimated that Norwood Hospital will remain closed for three years. </w:t>
      </w:r>
    </w:p>
  </w:footnote>
  <w:footnote w:id="15">
    <w:p w14:paraId="08A59C2C" w14:textId="5933BA03" w:rsidR="004037AB" w:rsidRPr="0004348B" w:rsidRDefault="004037AB">
      <w:pPr>
        <w:pStyle w:val="FootnoteText"/>
        <w:rPr>
          <w:sz w:val="18"/>
          <w:szCs w:val="18"/>
        </w:rPr>
      </w:pPr>
      <w:r w:rsidRPr="0004348B">
        <w:rPr>
          <w:rStyle w:val="FootnoteReference"/>
          <w:sz w:val="18"/>
          <w:szCs w:val="18"/>
        </w:rPr>
        <w:footnoteRef/>
      </w:r>
      <w:r w:rsidRPr="0004348B">
        <w:rPr>
          <w:sz w:val="18"/>
          <w:szCs w:val="18"/>
        </w:rPr>
        <w:t xml:space="preserve"> Code Stroke Case: a “patient presenting with symptoms of acute stroke, transient ischemic attack (TIA), or new neurological event.” </w:t>
      </w:r>
    </w:p>
  </w:footnote>
  <w:footnote w:id="16">
    <w:p w14:paraId="3B225B4D" w14:textId="77777777" w:rsidR="004037AB" w:rsidRPr="0004348B" w:rsidRDefault="004037AB" w:rsidP="00D31398">
      <w:pPr>
        <w:pStyle w:val="FootnoteText"/>
        <w:rPr>
          <w:sz w:val="18"/>
          <w:szCs w:val="18"/>
        </w:rPr>
      </w:pPr>
      <w:r w:rsidRPr="0004348B">
        <w:rPr>
          <w:rStyle w:val="FootnoteReference"/>
          <w:sz w:val="18"/>
          <w:szCs w:val="18"/>
        </w:rPr>
        <w:footnoteRef/>
      </w:r>
      <w:r w:rsidRPr="0004348B">
        <w:rPr>
          <w:sz w:val="18"/>
          <w:szCs w:val="18"/>
        </w:rPr>
        <w:t xml:space="preserve"> Cardiac CT for patients planning for cardiac valve replacement, pancreatic CTA for pancreatic cancer surgery, low extremities CTA for patients with peripheral vascular disease, comprehensive evaluation and triage prior to organ transplant, and monitoring for complications. </w:t>
      </w:r>
    </w:p>
  </w:footnote>
  <w:footnote w:id="17">
    <w:p w14:paraId="1CE25FF9" w14:textId="4BA964E8" w:rsidR="004037AB" w:rsidRPr="0004348B" w:rsidRDefault="004037AB" w:rsidP="00D678E6">
      <w:pPr>
        <w:pStyle w:val="FootnoteText"/>
        <w:rPr>
          <w:sz w:val="18"/>
          <w:szCs w:val="18"/>
        </w:rPr>
      </w:pPr>
      <w:r w:rsidRPr="0004348B">
        <w:rPr>
          <w:rStyle w:val="FootnoteReference"/>
          <w:sz w:val="18"/>
          <w:szCs w:val="18"/>
        </w:rPr>
        <w:footnoteRef/>
      </w:r>
      <w:r w:rsidRPr="0004348B">
        <w:rPr>
          <w:sz w:val="18"/>
          <w:szCs w:val="18"/>
        </w:rPr>
        <w:t xml:space="preserve"> E.g. tissue biopsies, abscess drainage, and cardiac procedures. </w:t>
      </w:r>
    </w:p>
  </w:footnote>
  <w:footnote w:id="18">
    <w:p w14:paraId="7FB3015C" w14:textId="679994CC" w:rsidR="004037AB" w:rsidRPr="00EA14F6" w:rsidRDefault="004037AB">
      <w:pPr>
        <w:pStyle w:val="FootnoteText"/>
        <w:rPr>
          <w:sz w:val="18"/>
          <w:szCs w:val="18"/>
        </w:rPr>
      </w:pPr>
      <w:r w:rsidRPr="007F7701">
        <w:rPr>
          <w:rStyle w:val="FootnoteReference"/>
          <w:sz w:val="18"/>
          <w:szCs w:val="18"/>
        </w:rPr>
        <w:footnoteRef/>
      </w:r>
      <w:r w:rsidRPr="007F7701">
        <w:rPr>
          <w:sz w:val="18"/>
          <w:szCs w:val="18"/>
        </w:rPr>
        <w:t xml:space="preserve"> Includes Briarwood, North Hill, Evita, Wingate and Newbridge on the Charles.</w:t>
      </w:r>
    </w:p>
  </w:footnote>
  <w:footnote w:id="19">
    <w:p w14:paraId="43F16FF3" w14:textId="4C0A2330" w:rsidR="004037AB" w:rsidRDefault="004037AB">
      <w:pPr>
        <w:pStyle w:val="FootnoteText"/>
      </w:pPr>
      <w:r w:rsidRPr="00ED172F">
        <w:rPr>
          <w:rStyle w:val="FootnoteReference"/>
          <w:sz w:val="18"/>
          <w:szCs w:val="18"/>
        </w:rPr>
        <w:footnoteRef/>
      </w:r>
      <w:r w:rsidRPr="00ED172F">
        <w:rPr>
          <w:sz w:val="18"/>
          <w:szCs w:val="18"/>
        </w:rPr>
        <w:t xml:space="preserve"> </w:t>
      </w:r>
      <w:r>
        <w:rPr>
          <w:sz w:val="18"/>
          <w:szCs w:val="18"/>
        </w:rPr>
        <w:t>The s</w:t>
      </w:r>
      <w:r w:rsidRPr="00ED172F">
        <w:rPr>
          <w:sz w:val="18"/>
          <w:szCs w:val="18"/>
        </w:rPr>
        <w:t>econd CT unit will be used for image-guidance procedures for all body regions with the bulk localized to the head and neck, chest, and abdomen.</w:t>
      </w:r>
      <w:r>
        <w:t xml:space="preserve"> </w:t>
      </w:r>
    </w:p>
  </w:footnote>
  <w:footnote w:id="20">
    <w:p w14:paraId="167EDDF3" w14:textId="3AB8A66F" w:rsidR="004037AB" w:rsidRPr="00F70399" w:rsidRDefault="004037AB">
      <w:pPr>
        <w:pStyle w:val="FootnoteText"/>
        <w:rPr>
          <w:sz w:val="18"/>
          <w:szCs w:val="18"/>
        </w:rPr>
      </w:pPr>
      <w:r w:rsidRPr="00F70399">
        <w:rPr>
          <w:rStyle w:val="FootnoteReference"/>
          <w:sz w:val="18"/>
          <w:szCs w:val="18"/>
        </w:rPr>
        <w:footnoteRef/>
      </w:r>
      <w:r w:rsidRPr="00F70399">
        <w:rPr>
          <w:sz w:val="18"/>
          <w:szCs w:val="18"/>
        </w:rPr>
        <w:t xml:space="preserve"> Community Engagement Standards for Community Health Planning Guideline</w:t>
      </w:r>
    </w:p>
  </w:footnote>
  <w:footnote w:id="21">
    <w:p w14:paraId="65F782EA" w14:textId="2ECCE4F4" w:rsidR="004037AB" w:rsidRDefault="004037AB">
      <w:pPr>
        <w:pStyle w:val="FootnoteText"/>
      </w:pPr>
      <w:r w:rsidRPr="00F70399">
        <w:rPr>
          <w:rStyle w:val="FootnoteReference"/>
          <w:sz w:val="18"/>
          <w:szCs w:val="18"/>
        </w:rPr>
        <w:footnoteRef/>
      </w:r>
      <w:r w:rsidRPr="00F70399">
        <w:rPr>
          <w:sz w:val="18"/>
          <w:szCs w:val="18"/>
        </w:rPr>
        <w:t xml:space="preserve"> </w:t>
      </w:r>
      <w:hyperlink r:id="rId2" w:history="1">
        <w:r w:rsidRPr="00D56BFE">
          <w:rPr>
            <w:rStyle w:val="Hyperlink"/>
            <w:sz w:val="18"/>
            <w:szCs w:val="18"/>
          </w:rPr>
          <w:t>DoN Regulation 100.210 (A)(1)(e)</w:t>
        </w:r>
      </w:hyperlink>
      <w:r w:rsidRPr="00F70399">
        <w:rPr>
          <w:sz w:val="18"/>
          <w:szCs w:val="18"/>
        </w:rPr>
        <w:t xml:space="preserve">. </w:t>
      </w:r>
    </w:p>
  </w:footnote>
  <w:footnote w:id="22">
    <w:p w14:paraId="286D61D4" w14:textId="73530395" w:rsidR="004037AB" w:rsidRPr="009530E0" w:rsidRDefault="004037AB">
      <w:pPr>
        <w:pStyle w:val="FootnoteText"/>
        <w:rPr>
          <w:sz w:val="18"/>
          <w:szCs w:val="18"/>
        </w:rPr>
      </w:pPr>
      <w:r w:rsidRPr="009530E0">
        <w:rPr>
          <w:rStyle w:val="FootnoteReference"/>
          <w:sz w:val="18"/>
          <w:szCs w:val="18"/>
        </w:rPr>
        <w:footnoteRef/>
      </w:r>
      <w:r w:rsidRPr="009530E0">
        <w:rPr>
          <w:sz w:val="18"/>
          <w:szCs w:val="18"/>
        </w:rPr>
        <w:t xml:space="preserve"> In FY2018 the average cost per discharge for hospitals in Massachusetts was $12,873.35 – based on data from the Center for Health Information and Analysis (CHIA). BID-Needham’s average cost per discharge was $9,035.32. </w:t>
      </w:r>
    </w:p>
  </w:footnote>
  <w:footnote w:id="23">
    <w:p w14:paraId="6F101A5D" w14:textId="028068EB" w:rsidR="009530E0" w:rsidRDefault="009530E0">
      <w:pPr>
        <w:pStyle w:val="FootnoteText"/>
      </w:pPr>
      <w:r w:rsidRPr="009530E0">
        <w:rPr>
          <w:rStyle w:val="FootnoteReference"/>
          <w:sz w:val="18"/>
          <w:szCs w:val="18"/>
        </w:rPr>
        <w:footnoteRef/>
      </w:r>
      <w:r w:rsidRPr="009530E0">
        <w:rPr>
          <w:sz w:val="18"/>
          <w:szCs w:val="18"/>
        </w:rPr>
        <w:t xml:space="preserve"> The Applicant states that BIDCO’s rate of unnecessary pre-operative tests in 2017 was lower than most other provider systems of all types (25.4% as compared with the average of 26.7%).</w:t>
      </w:r>
    </w:p>
  </w:footnote>
  <w:footnote w:id="24">
    <w:p w14:paraId="037D9EC0" w14:textId="104A403D" w:rsidR="004037AB" w:rsidRPr="00FB33EB" w:rsidRDefault="004037AB">
      <w:pPr>
        <w:pStyle w:val="FootnoteText"/>
        <w:rPr>
          <w:sz w:val="18"/>
          <w:szCs w:val="18"/>
        </w:rPr>
      </w:pPr>
      <w:r w:rsidRPr="00FB33EB">
        <w:rPr>
          <w:rStyle w:val="FootnoteReference"/>
          <w:sz w:val="18"/>
          <w:szCs w:val="18"/>
        </w:rPr>
        <w:footnoteRef/>
      </w:r>
      <w:r w:rsidRPr="00FB33EB">
        <w:rPr>
          <w:sz w:val="18"/>
          <w:szCs w:val="18"/>
        </w:rPr>
        <w:t xml:space="preserve"> E.g. The Charles River YMCA, Needham Community Council, Charles River Center, and The Councils on Aging in Dedham, Dover, Needham and Westwood. </w:t>
      </w:r>
    </w:p>
  </w:footnote>
  <w:footnote w:id="25">
    <w:p w14:paraId="2131F40C" w14:textId="77777777" w:rsidR="004037AB" w:rsidRPr="00373A28" w:rsidRDefault="004037AB" w:rsidP="00EE2F49">
      <w:pPr>
        <w:pStyle w:val="FootnoteText"/>
        <w:rPr>
          <w:sz w:val="18"/>
          <w:szCs w:val="18"/>
        </w:rPr>
      </w:pPr>
      <w:r w:rsidRPr="00FB33EB">
        <w:rPr>
          <w:rStyle w:val="FootnoteReference"/>
          <w:sz w:val="18"/>
          <w:szCs w:val="18"/>
        </w:rPr>
        <w:footnoteRef/>
      </w:r>
      <w:r w:rsidRPr="00FB33EB">
        <w:rPr>
          <w:sz w:val="18"/>
          <w:szCs w:val="18"/>
        </w:rPr>
        <w:t xml:space="preserve"> E.g. interpreter services, financial assistance, social services, and partnerships with community health centers.</w:t>
      </w:r>
    </w:p>
  </w:footnote>
  <w:footnote w:id="26">
    <w:p w14:paraId="264967C1" w14:textId="3C95B4FC" w:rsidR="004037AB" w:rsidRPr="004500C8" w:rsidRDefault="004037AB">
      <w:pPr>
        <w:pStyle w:val="FootnoteText"/>
        <w:rPr>
          <w:sz w:val="18"/>
          <w:szCs w:val="18"/>
        </w:rPr>
      </w:pPr>
      <w:r w:rsidRPr="004500C8">
        <w:rPr>
          <w:rStyle w:val="FootnoteReference"/>
          <w:sz w:val="18"/>
          <w:szCs w:val="18"/>
        </w:rPr>
        <w:footnoteRef/>
      </w:r>
      <w:r w:rsidRPr="004500C8">
        <w:rPr>
          <w:sz w:val="18"/>
          <w:szCs w:val="18"/>
        </w:rPr>
        <w:t xml:space="preserve"> 1. Financial Model for BILH for the periods ending September 30, 2021 through September 30, 2025; 2. Draft BILH Application Form for DoN Application, including narrative; 3. Audited Financial Statements for Beth Israel Lahey Health, Inc. for the seven month period ended September 30, 2019 and Fiscal Year ended September 30, 2020; 4. Audited Financial Statements for Caregroup, Inc., Seacoast Regional Health Systems, Inc. and Lahey Health Systems, Inc. for Fiscal Years Ended September 30, 2017 and 2018; 5. Beth Israel Lahey Health, Inc. draft patient volume tables for Fiscal Years Ended September 30, 2019 and 2018; 6.BILH’s Fiscal Year 2021 Operating and Capital Budgets Finance Committee Presentation as of December 18, 2020; 7. BILH’s Fiscal Year 2021 Budget for Growth in Patient Volume and Consolidated Statement of Revenue and Expenses; 8. RMA Annual Statement Studies, published by The Risk Management Association; 9. Definitive Healthcare data; 10. IBISWorld Industry Report, Hospitals in the US, dated January 2021.</w:t>
      </w:r>
    </w:p>
  </w:footnote>
  <w:footnote w:id="27">
    <w:p w14:paraId="630D06B4" w14:textId="2E1161BB" w:rsidR="004037AB" w:rsidRDefault="004037AB">
      <w:pPr>
        <w:pStyle w:val="FootnoteText"/>
      </w:pPr>
      <w:r w:rsidRPr="004500C8">
        <w:rPr>
          <w:rStyle w:val="FootnoteReference"/>
          <w:sz w:val="18"/>
          <w:szCs w:val="18"/>
        </w:rPr>
        <w:footnoteRef/>
      </w:r>
      <w:r w:rsidRPr="004500C8">
        <w:rPr>
          <w:sz w:val="18"/>
          <w:szCs w:val="18"/>
        </w:rPr>
        <w:t xml:space="preserve"> Liquidity metrics, measure quality and adequacy of assets to meet current obligations as they come due. Operating metrics, such as earnings before interest, taxes, depreciation and amortization ("Adjusted EBITDA") are used to assist in the evaluation of management performance in how efficiently resources are utilized. Solvency metrics, such as Debt to Equity, measure the company's ability to service debt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A34B" w14:textId="493E0C73" w:rsidR="004037AB" w:rsidRDefault="00403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71A6" w14:textId="6C707908" w:rsidR="004037AB" w:rsidRDefault="00403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23C4" w14:textId="4EF5DD77" w:rsidR="004037AB" w:rsidRDefault="0040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EE5"/>
    <w:multiLevelType w:val="hybridMultilevel"/>
    <w:tmpl w:val="FA54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113C"/>
    <w:multiLevelType w:val="hybridMultilevel"/>
    <w:tmpl w:val="D5C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E5715"/>
    <w:multiLevelType w:val="hybridMultilevel"/>
    <w:tmpl w:val="ED940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6D23C0"/>
    <w:multiLevelType w:val="hybridMultilevel"/>
    <w:tmpl w:val="4112C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300E"/>
    <w:multiLevelType w:val="hybridMultilevel"/>
    <w:tmpl w:val="AEB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40CB1"/>
    <w:multiLevelType w:val="hybridMultilevel"/>
    <w:tmpl w:val="7674C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30510"/>
    <w:multiLevelType w:val="hybridMultilevel"/>
    <w:tmpl w:val="F0A0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E2F28"/>
    <w:multiLevelType w:val="hybridMultilevel"/>
    <w:tmpl w:val="8DC4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47150"/>
    <w:multiLevelType w:val="hybridMultilevel"/>
    <w:tmpl w:val="EA8ECAE4"/>
    <w:lvl w:ilvl="0" w:tplc="659209C8">
      <w:start w:val="1"/>
      <w:numFmt w:val="decimal"/>
      <w:lvlText w:val="%1."/>
      <w:lvlJc w:val="left"/>
      <w:pPr>
        <w:ind w:left="720" w:hanging="360"/>
      </w:pPr>
      <w:rPr>
        <w:rFonts w:hint="default"/>
        <w:b w:val="0"/>
        <w:bCs/>
      </w:rPr>
    </w:lvl>
    <w:lvl w:ilvl="1" w:tplc="1966D64E">
      <w:start w:val="1"/>
      <w:numFmt w:val="lowerLetter"/>
      <w:lvlText w:val="%2."/>
      <w:lvlJc w:val="left"/>
      <w:pPr>
        <w:ind w:left="1440" w:hanging="360"/>
      </w:pPr>
      <w:rPr>
        <w:b w:val="0"/>
        <w:bCs/>
      </w:rPr>
    </w:lvl>
    <w:lvl w:ilvl="2" w:tplc="1572F778">
      <w:start w:val="1"/>
      <w:numFmt w:val="lowerRoman"/>
      <w:lvlText w:val="%3."/>
      <w:lvlJc w:val="right"/>
      <w:pPr>
        <w:ind w:left="2160" w:hanging="180"/>
      </w:pPr>
    </w:lvl>
    <w:lvl w:ilvl="3" w:tplc="5BE0FE14" w:tentative="1">
      <w:start w:val="1"/>
      <w:numFmt w:val="decimal"/>
      <w:lvlText w:val="%4."/>
      <w:lvlJc w:val="left"/>
      <w:pPr>
        <w:ind w:left="2880" w:hanging="360"/>
      </w:pPr>
    </w:lvl>
    <w:lvl w:ilvl="4" w:tplc="118C6A8E" w:tentative="1">
      <w:start w:val="1"/>
      <w:numFmt w:val="lowerLetter"/>
      <w:lvlText w:val="%5."/>
      <w:lvlJc w:val="left"/>
      <w:pPr>
        <w:ind w:left="3600" w:hanging="360"/>
      </w:pPr>
    </w:lvl>
    <w:lvl w:ilvl="5" w:tplc="57B0709E" w:tentative="1">
      <w:start w:val="1"/>
      <w:numFmt w:val="lowerRoman"/>
      <w:lvlText w:val="%6."/>
      <w:lvlJc w:val="right"/>
      <w:pPr>
        <w:ind w:left="4320" w:hanging="180"/>
      </w:pPr>
    </w:lvl>
    <w:lvl w:ilvl="6" w:tplc="C8EA630C" w:tentative="1">
      <w:start w:val="1"/>
      <w:numFmt w:val="decimal"/>
      <w:lvlText w:val="%7."/>
      <w:lvlJc w:val="left"/>
      <w:pPr>
        <w:ind w:left="5040" w:hanging="360"/>
      </w:pPr>
    </w:lvl>
    <w:lvl w:ilvl="7" w:tplc="5956A2F0" w:tentative="1">
      <w:start w:val="1"/>
      <w:numFmt w:val="lowerLetter"/>
      <w:lvlText w:val="%8."/>
      <w:lvlJc w:val="left"/>
      <w:pPr>
        <w:ind w:left="5760" w:hanging="360"/>
      </w:pPr>
    </w:lvl>
    <w:lvl w:ilvl="8" w:tplc="386618F2" w:tentative="1">
      <w:start w:val="1"/>
      <w:numFmt w:val="lowerRoman"/>
      <w:lvlText w:val="%9."/>
      <w:lvlJc w:val="right"/>
      <w:pPr>
        <w:ind w:left="6480" w:hanging="180"/>
      </w:pPr>
    </w:lvl>
  </w:abstractNum>
  <w:abstractNum w:abstractNumId="11" w15:restartNumberingAfterBreak="0">
    <w:nsid w:val="37CE0E99"/>
    <w:multiLevelType w:val="hybridMultilevel"/>
    <w:tmpl w:val="94A04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118B1"/>
    <w:multiLevelType w:val="hybridMultilevel"/>
    <w:tmpl w:val="FFE20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11D6E"/>
    <w:multiLevelType w:val="hybridMultilevel"/>
    <w:tmpl w:val="7826B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E6D16"/>
    <w:multiLevelType w:val="hybridMultilevel"/>
    <w:tmpl w:val="826C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3137"/>
    <w:multiLevelType w:val="hybridMultilevel"/>
    <w:tmpl w:val="A524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02052"/>
    <w:multiLevelType w:val="hybridMultilevel"/>
    <w:tmpl w:val="2F4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87439"/>
    <w:multiLevelType w:val="hybridMultilevel"/>
    <w:tmpl w:val="9CF2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7165A"/>
    <w:multiLevelType w:val="hybridMultilevel"/>
    <w:tmpl w:val="7F7E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75DB0"/>
    <w:multiLevelType w:val="hybridMultilevel"/>
    <w:tmpl w:val="54E4FF06"/>
    <w:lvl w:ilvl="0" w:tplc="164A5ACC">
      <w:start w:val="1"/>
      <w:numFmt w:val="decimal"/>
      <w:lvlText w:val="%1."/>
      <w:lvlJc w:val="left"/>
      <w:pPr>
        <w:ind w:left="1080" w:hanging="720"/>
      </w:pPr>
      <w:rPr>
        <w:rFonts w:asciiTheme="minorHAnsi" w:eastAsiaTheme="minorHAnsi" w:hAnsiTheme="minorHAnsi" w:cstheme="minorBidi"/>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C48C9"/>
    <w:multiLevelType w:val="hybridMultilevel"/>
    <w:tmpl w:val="0EA08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A70129"/>
    <w:multiLevelType w:val="hybridMultilevel"/>
    <w:tmpl w:val="84AAFEEE"/>
    <w:lvl w:ilvl="0" w:tplc="81BC698C">
      <w:start w:val="1"/>
      <w:numFmt w:val="decimal"/>
      <w:lvlText w:val="%1."/>
      <w:lvlJc w:val="left"/>
      <w:pPr>
        <w:ind w:left="1080" w:hanging="360"/>
      </w:pPr>
      <w:rPr>
        <w:rFonts w:hint="default"/>
        <w:b/>
        <w:bCs/>
      </w:rPr>
    </w:lvl>
    <w:lvl w:ilvl="1" w:tplc="F094EDAC">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E3F02908">
      <w:start w:val="1"/>
      <w:numFmt w:val="bullet"/>
      <w:lvlText w:val="-"/>
      <w:lvlJc w:val="left"/>
      <w:pPr>
        <w:ind w:left="3240" w:hanging="360"/>
      </w:pPr>
      <w:rPr>
        <w:rFonts w:ascii="Calibri" w:eastAsiaTheme="minorHAnsi" w:hAnsi="Calibri" w:cs="Calibri" w:hint="default"/>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AE6A5F"/>
    <w:multiLevelType w:val="hybridMultilevel"/>
    <w:tmpl w:val="349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A0C7B"/>
    <w:multiLevelType w:val="hybridMultilevel"/>
    <w:tmpl w:val="D80CE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85F77"/>
    <w:multiLevelType w:val="hybridMultilevel"/>
    <w:tmpl w:val="3CEA6174"/>
    <w:lvl w:ilvl="0" w:tplc="2F52C716">
      <w:numFmt w:val="bullet"/>
      <w:lvlText w:val=""/>
      <w:lvlJc w:val="left"/>
      <w:pPr>
        <w:ind w:left="1920" w:hanging="360"/>
      </w:pPr>
      <w:rPr>
        <w:rFonts w:ascii="Symbol" w:eastAsia="Symbol" w:hAnsi="Symbol" w:cs="Symbol" w:hint="default"/>
        <w:w w:val="100"/>
        <w:sz w:val="24"/>
        <w:szCs w:val="24"/>
      </w:rPr>
    </w:lvl>
    <w:lvl w:ilvl="1" w:tplc="2A205876">
      <w:numFmt w:val="bullet"/>
      <w:lvlText w:val="•"/>
      <w:lvlJc w:val="left"/>
      <w:pPr>
        <w:ind w:left="2904" w:hanging="360"/>
      </w:pPr>
      <w:rPr>
        <w:rFonts w:hint="default"/>
      </w:rPr>
    </w:lvl>
    <w:lvl w:ilvl="2" w:tplc="3C6A0EBE">
      <w:numFmt w:val="bullet"/>
      <w:lvlText w:val="•"/>
      <w:lvlJc w:val="left"/>
      <w:pPr>
        <w:ind w:left="3888" w:hanging="360"/>
      </w:pPr>
      <w:rPr>
        <w:rFonts w:hint="default"/>
      </w:rPr>
    </w:lvl>
    <w:lvl w:ilvl="3" w:tplc="D2F24162">
      <w:numFmt w:val="bullet"/>
      <w:lvlText w:val="•"/>
      <w:lvlJc w:val="left"/>
      <w:pPr>
        <w:ind w:left="4872" w:hanging="360"/>
      </w:pPr>
      <w:rPr>
        <w:rFonts w:hint="default"/>
      </w:rPr>
    </w:lvl>
    <w:lvl w:ilvl="4" w:tplc="9668BCC6">
      <w:numFmt w:val="bullet"/>
      <w:lvlText w:val="•"/>
      <w:lvlJc w:val="left"/>
      <w:pPr>
        <w:ind w:left="5856" w:hanging="360"/>
      </w:pPr>
      <w:rPr>
        <w:rFonts w:hint="default"/>
      </w:rPr>
    </w:lvl>
    <w:lvl w:ilvl="5" w:tplc="A6524464">
      <w:numFmt w:val="bullet"/>
      <w:lvlText w:val="•"/>
      <w:lvlJc w:val="left"/>
      <w:pPr>
        <w:ind w:left="6840" w:hanging="360"/>
      </w:pPr>
      <w:rPr>
        <w:rFonts w:hint="default"/>
      </w:rPr>
    </w:lvl>
    <w:lvl w:ilvl="6" w:tplc="36C46F6C">
      <w:numFmt w:val="bullet"/>
      <w:lvlText w:val="•"/>
      <w:lvlJc w:val="left"/>
      <w:pPr>
        <w:ind w:left="7824" w:hanging="360"/>
      </w:pPr>
      <w:rPr>
        <w:rFonts w:hint="default"/>
      </w:rPr>
    </w:lvl>
    <w:lvl w:ilvl="7" w:tplc="F996846A">
      <w:numFmt w:val="bullet"/>
      <w:lvlText w:val="•"/>
      <w:lvlJc w:val="left"/>
      <w:pPr>
        <w:ind w:left="8808" w:hanging="360"/>
      </w:pPr>
      <w:rPr>
        <w:rFonts w:hint="default"/>
      </w:rPr>
    </w:lvl>
    <w:lvl w:ilvl="8" w:tplc="439C0846">
      <w:numFmt w:val="bullet"/>
      <w:lvlText w:val="•"/>
      <w:lvlJc w:val="left"/>
      <w:pPr>
        <w:ind w:left="9792" w:hanging="360"/>
      </w:pPr>
      <w:rPr>
        <w:rFonts w:hint="default"/>
      </w:rPr>
    </w:lvl>
  </w:abstractNum>
  <w:abstractNum w:abstractNumId="26" w15:restartNumberingAfterBreak="0">
    <w:nsid w:val="6FA71E79"/>
    <w:multiLevelType w:val="hybridMultilevel"/>
    <w:tmpl w:val="8B0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96F8F"/>
    <w:multiLevelType w:val="hybridMultilevel"/>
    <w:tmpl w:val="0934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824686"/>
    <w:multiLevelType w:val="hybridMultilevel"/>
    <w:tmpl w:val="7248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002C5"/>
    <w:multiLevelType w:val="hybridMultilevel"/>
    <w:tmpl w:val="F7E8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89551">
    <w:abstractNumId w:val="15"/>
  </w:num>
  <w:num w:numId="2" w16cid:durableId="1591889537">
    <w:abstractNumId w:val="1"/>
  </w:num>
  <w:num w:numId="3" w16cid:durableId="613443900">
    <w:abstractNumId w:val="22"/>
  </w:num>
  <w:num w:numId="4" w16cid:durableId="750780842">
    <w:abstractNumId w:val="2"/>
  </w:num>
  <w:num w:numId="5" w16cid:durableId="704061304">
    <w:abstractNumId w:val="18"/>
  </w:num>
  <w:num w:numId="6" w16cid:durableId="1239286200">
    <w:abstractNumId w:val="24"/>
  </w:num>
  <w:num w:numId="7" w16cid:durableId="1721593899">
    <w:abstractNumId w:val="14"/>
  </w:num>
  <w:num w:numId="8" w16cid:durableId="197861664">
    <w:abstractNumId w:val="13"/>
  </w:num>
  <w:num w:numId="9" w16cid:durableId="440534431">
    <w:abstractNumId w:val="0"/>
  </w:num>
  <w:num w:numId="10" w16cid:durableId="1609506469">
    <w:abstractNumId w:val="29"/>
  </w:num>
  <w:num w:numId="11" w16cid:durableId="1951356687">
    <w:abstractNumId w:val="10"/>
  </w:num>
  <w:num w:numId="12" w16cid:durableId="1573004273">
    <w:abstractNumId w:val="26"/>
  </w:num>
  <w:num w:numId="13" w16cid:durableId="1744528691">
    <w:abstractNumId w:val="17"/>
  </w:num>
  <w:num w:numId="14" w16cid:durableId="1707101346">
    <w:abstractNumId w:val="7"/>
  </w:num>
  <w:num w:numId="15" w16cid:durableId="1312443752">
    <w:abstractNumId w:val="23"/>
  </w:num>
  <w:num w:numId="16" w16cid:durableId="1833448975">
    <w:abstractNumId w:val="16"/>
  </w:num>
  <w:num w:numId="17" w16cid:durableId="336731731">
    <w:abstractNumId w:val="8"/>
  </w:num>
  <w:num w:numId="18" w16cid:durableId="834419140">
    <w:abstractNumId w:val="12"/>
  </w:num>
  <w:num w:numId="19" w16cid:durableId="957563574">
    <w:abstractNumId w:val="20"/>
  </w:num>
  <w:num w:numId="20" w16cid:durableId="1692685772">
    <w:abstractNumId w:val="6"/>
  </w:num>
  <w:num w:numId="21" w16cid:durableId="606231761">
    <w:abstractNumId w:val="9"/>
  </w:num>
  <w:num w:numId="22" w16cid:durableId="1472868458">
    <w:abstractNumId w:val="5"/>
  </w:num>
  <w:num w:numId="23" w16cid:durableId="938410668">
    <w:abstractNumId w:val="11"/>
  </w:num>
  <w:num w:numId="24" w16cid:durableId="1465197925">
    <w:abstractNumId w:val="25"/>
  </w:num>
  <w:num w:numId="25" w16cid:durableId="481317826">
    <w:abstractNumId w:val="21"/>
  </w:num>
  <w:num w:numId="26" w16cid:durableId="9576856">
    <w:abstractNumId w:val="3"/>
  </w:num>
  <w:num w:numId="27" w16cid:durableId="1468206380">
    <w:abstractNumId w:val="27"/>
  </w:num>
  <w:num w:numId="28" w16cid:durableId="156649059">
    <w:abstractNumId w:val="28"/>
  </w:num>
  <w:num w:numId="29" w16cid:durableId="945963539">
    <w:abstractNumId w:val="4"/>
  </w:num>
  <w:num w:numId="30" w16cid:durableId="28731645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614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83C"/>
    <w:rsid w:val="0000121C"/>
    <w:rsid w:val="00002148"/>
    <w:rsid w:val="00002AE7"/>
    <w:rsid w:val="0000377A"/>
    <w:rsid w:val="000037BD"/>
    <w:rsid w:val="00003F09"/>
    <w:rsid w:val="00005930"/>
    <w:rsid w:val="00005F9C"/>
    <w:rsid w:val="00006120"/>
    <w:rsid w:val="0000620A"/>
    <w:rsid w:val="00011D5C"/>
    <w:rsid w:val="0001463A"/>
    <w:rsid w:val="000156DF"/>
    <w:rsid w:val="0001715A"/>
    <w:rsid w:val="00017354"/>
    <w:rsid w:val="00021CE3"/>
    <w:rsid w:val="000221E0"/>
    <w:rsid w:val="00023FEB"/>
    <w:rsid w:val="00025521"/>
    <w:rsid w:val="00032FF5"/>
    <w:rsid w:val="00033EEA"/>
    <w:rsid w:val="00040674"/>
    <w:rsid w:val="00040CD4"/>
    <w:rsid w:val="00041D23"/>
    <w:rsid w:val="00042AF6"/>
    <w:rsid w:val="00042FA6"/>
    <w:rsid w:val="0004348B"/>
    <w:rsid w:val="00043E84"/>
    <w:rsid w:val="00045C97"/>
    <w:rsid w:val="0004645C"/>
    <w:rsid w:val="000471B4"/>
    <w:rsid w:val="00047AEF"/>
    <w:rsid w:val="00047EFF"/>
    <w:rsid w:val="00050811"/>
    <w:rsid w:val="00055847"/>
    <w:rsid w:val="00055C09"/>
    <w:rsid w:val="00056707"/>
    <w:rsid w:val="000570BB"/>
    <w:rsid w:val="000574A7"/>
    <w:rsid w:val="00057A2C"/>
    <w:rsid w:val="00057CC4"/>
    <w:rsid w:val="00060255"/>
    <w:rsid w:val="00060651"/>
    <w:rsid w:val="00060A51"/>
    <w:rsid w:val="00061476"/>
    <w:rsid w:val="00062599"/>
    <w:rsid w:val="00063046"/>
    <w:rsid w:val="00064A49"/>
    <w:rsid w:val="000677FD"/>
    <w:rsid w:val="000678AD"/>
    <w:rsid w:val="00070A8A"/>
    <w:rsid w:val="00071296"/>
    <w:rsid w:val="00073588"/>
    <w:rsid w:val="0007370C"/>
    <w:rsid w:val="00073DC9"/>
    <w:rsid w:val="00074092"/>
    <w:rsid w:val="00075C77"/>
    <w:rsid w:val="00076CB2"/>
    <w:rsid w:val="00076E56"/>
    <w:rsid w:val="00077393"/>
    <w:rsid w:val="00081273"/>
    <w:rsid w:val="00082765"/>
    <w:rsid w:val="00085226"/>
    <w:rsid w:val="000862E1"/>
    <w:rsid w:val="00086E1F"/>
    <w:rsid w:val="00087344"/>
    <w:rsid w:val="00087615"/>
    <w:rsid w:val="00090BD4"/>
    <w:rsid w:val="00090F76"/>
    <w:rsid w:val="00094A55"/>
    <w:rsid w:val="00095007"/>
    <w:rsid w:val="0009510A"/>
    <w:rsid w:val="000952D1"/>
    <w:rsid w:val="00095778"/>
    <w:rsid w:val="00096803"/>
    <w:rsid w:val="00097809"/>
    <w:rsid w:val="000A1D7F"/>
    <w:rsid w:val="000A67B4"/>
    <w:rsid w:val="000A7362"/>
    <w:rsid w:val="000B1D01"/>
    <w:rsid w:val="000B4DD6"/>
    <w:rsid w:val="000B5BBB"/>
    <w:rsid w:val="000C0F1B"/>
    <w:rsid w:val="000C0F1E"/>
    <w:rsid w:val="000C218C"/>
    <w:rsid w:val="000C40DB"/>
    <w:rsid w:val="000C4FB1"/>
    <w:rsid w:val="000C5E24"/>
    <w:rsid w:val="000C6031"/>
    <w:rsid w:val="000C64C6"/>
    <w:rsid w:val="000C662C"/>
    <w:rsid w:val="000C7878"/>
    <w:rsid w:val="000C7EB8"/>
    <w:rsid w:val="000D172A"/>
    <w:rsid w:val="000D236E"/>
    <w:rsid w:val="000D256E"/>
    <w:rsid w:val="000D70FF"/>
    <w:rsid w:val="000E1529"/>
    <w:rsid w:val="000E31EB"/>
    <w:rsid w:val="000E34E6"/>
    <w:rsid w:val="000E78AF"/>
    <w:rsid w:val="000F0728"/>
    <w:rsid w:val="000F5882"/>
    <w:rsid w:val="000F77B8"/>
    <w:rsid w:val="000F7F2A"/>
    <w:rsid w:val="001004EA"/>
    <w:rsid w:val="00101B78"/>
    <w:rsid w:val="001037E2"/>
    <w:rsid w:val="00103FA5"/>
    <w:rsid w:val="001041BA"/>
    <w:rsid w:val="00104AA4"/>
    <w:rsid w:val="0010588A"/>
    <w:rsid w:val="00105AAB"/>
    <w:rsid w:val="0010627A"/>
    <w:rsid w:val="00106D23"/>
    <w:rsid w:val="00106EAB"/>
    <w:rsid w:val="001102AD"/>
    <w:rsid w:val="00111DF6"/>
    <w:rsid w:val="001144E9"/>
    <w:rsid w:val="0011452E"/>
    <w:rsid w:val="001151AB"/>
    <w:rsid w:val="00116224"/>
    <w:rsid w:val="00124249"/>
    <w:rsid w:val="001275F8"/>
    <w:rsid w:val="00127AF5"/>
    <w:rsid w:val="00131A32"/>
    <w:rsid w:val="00133AEF"/>
    <w:rsid w:val="00133FA2"/>
    <w:rsid w:val="00134C6F"/>
    <w:rsid w:val="001361DF"/>
    <w:rsid w:val="00137753"/>
    <w:rsid w:val="00137E4A"/>
    <w:rsid w:val="00140A5E"/>
    <w:rsid w:val="001430AA"/>
    <w:rsid w:val="00143A79"/>
    <w:rsid w:val="00144893"/>
    <w:rsid w:val="001448FD"/>
    <w:rsid w:val="00144C8D"/>
    <w:rsid w:val="00145577"/>
    <w:rsid w:val="00146494"/>
    <w:rsid w:val="001506B7"/>
    <w:rsid w:val="00151148"/>
    <w:rsid w:val="00153AB6"/>
    <w:rsid w:val="0015438B"/>
    <w:rsid w:val="00155426"/>
    <w:rsid w:val="001564BB"/>
    <w:rsid w:val="00160E14"/>
    <w:rsid w:val="001611A6"/>
    <w:rsid w:val="00162A1A"/>
    <w:rsid w:val="00163DCC"/>
    <w:rsid w:val="00164494"/>
    <w:rsid w:val="001659E6"/>
    <w:rsid w:val="00166844"/>
    <w:rsid w:val="00166CDE"/>
    <w:rsid w:val="00172142"/>
    <w:rsid w:val="001724EC"/>
    <w:rsid w:val="00173733"/>
    <w:rsid w:val="001755C5"/>
    <w:rsid w:val="00176C56"/>
    <w:rsid w:val="00181B90"/>
    <w:rsid w:val="001841D7"/>
    <w:rsid w:val="001852F1"/>
    <w:rsid w:val="00185945"/>
    <w:rsid w:val="00186494"/>
    <w:rsid w:val="00190554"/>
    <w:rsid w:val="001907CB"/>
    <w:rsid w:val="001908B8"/>
    <w:rsid w:val="00191A7E"/>
    <w:rsid w:val="00191DAC"/>
    <w:rsid w:val="00192500"/>
    <w:rsid w:val="00192CFC"/>
    <w:rsid w:val="00194F6F"/>
    <w:rsid w:val="001A10AF"/>
    <w:rsid w:val="001A269F"/>
    <w:rsid w:val="001A278B"/>
    <w:rsid w:val="001A4977"/>
    <w:rsid w:val="001A4B54"/>
    <w:rsid w:val="001A5802"/>
    <w:rsid w:val="001A5B28"/>
    <w:rsid w:val="001A5D3E"/>
    <w:rsid w:val="001A6140"/>
    <w:rsid w:val="001B0000"/>
    <w:rsid w:val="001B3A91"/>
    <w:rsid w:val="001B67AC"/>
    <w:rsid w:val="001B7AEB"/>
    <w:rsid w:val="001B7E7E"/>
    <w:rsid w:val="001B7FB8"/>
    <w:rsid w:val="001C0FD2"/>
    <w:rsid w:val="001C16B2"/>
    <w:rsid w:val="001C1F29"/>
    <w:rsid w:val="001C364B"/>
    <w:rsid w:val="001C5BF3"/>
    <w:rsid w:val="001C7466"/>
    <w:rsid w:val="001C7AA1"/>
    <w:rsid w:val="001D1C4F"/>
    <w:rsid w:val="001D2820"/>
    <w:rsid w:val="001D32B8"/>
    <w:rsid w:val="001D5EB6"/>
    <w:rsid w:val="001E04B4"/>
    <w:rsid w:val="001E06B6"/>
    <w:rsid w:val="001E0FCD"/>
    <w:rsid w:val="001E12E0"/>
    <w:rsid w:val="001E514A"/>
    <w:rsid w:val="001E55DD"/>
    <w:rsid w:val="001F0E7D"/>
    <w:rsid w:val="001F169E"/>
    <w:rsid w:val="001F1800"/>
    <w:rsid w:val="001F1952"/>
    <w:rsid w:val="001F24C5"/>
    <w:rsid w:val="001F27B7"/>
    <w:rsid w:val="001F5246"/>
    <w:rsid w:val="001F6101"/>
    <w:rsid w:val="001F64B6"/>
    <w:rsid w:val="002000B1"/>
    <w:rsid w:val="002007B1"/>
    <w:rsid w:val="00204FCC"/>
    <w:rsid w:val="00206D90"/>
    <w:rsid w:val="00212862"/>
    <w:rsid w:val="002129B8"/>
    <w:rsid w:val="00213FB6"/>
    <w:rsid w:val="0021428A"/>
    <w:rsid w:val="00216136"/>
    <w:rsid w:val="0021674E"/>
    <w:rsid w:val="00216949"/>
    <w:rsid w:val="002174D8"/>
    <w:rsid w:val="0021784B"/>
    <w:rsid w:val="00225132"/>
    <w:rsid w:val="00225900"/>
    <w:rsid w:val="00225DD3"/>
    <w:rsid w:val="0022688C"/>
    <w:rsid w:val="00226E52"/>
    <w:rsid w:val="00231103"/>
    <w:rsid w:val="0023141E"/>
    <w:rsid w:val="00233BCA"/>
    <w:rsid w:val="0023774F"/>
    <w:rsid w:val="0024150F"/>
    <w:rsid w:val="00241717"/>
    <w:rsid w:val="00242455"/>
    <w:rsid w:val="00243D77"/>
    <w:rsid w:val="00246F5A"/>
    <w:rsid w:val="002500B7"/>
    <w:rsid w:val="00250DCF"/>
    <w:rsid w:val="0025250B"/>
    <w:rsid w:val="0025349C"/>
    <w:rsid w:val="00254C54"/>
    <w:rsid w:val="0025619E"/>
    <w:rsid w:val="0026051E"/>
    <w:rsid w:val="002615CB"/>
    <w:rsid w:val="00261EC6"/>
    <w:rsid w:val="0026489E"/>
    <w:rsid w:val="00267FF8"/>
    <w:rsid w:val="002705E5"/>
    <w:rsid w:val="002727C9"/>
    <w:rsid w:val="0027335D"/>
    <w:rsid w:val="00273516"/>
    <w:rsid w:val="002744ED"/>
    <w:rsid w:val="00274934"/>
    <w:rsid w:val="00274AB8"/>
    <w:rsid w:val="002809E6"/>
    <w:rsid w:val="002917A8"/>
    <w:rsid w:val="00296483"/>
    <w:rsid w:val="00297272"/>
    <w:rsid w:val="00297A0F"/>
    <w:rsid w:val="002A1D6A"/>
    <w:rsid w:val="002A5A55"/>
    <w:rsid w:val="002A61C6"/>
    <w:rsid w:val="002A698A"/>
    <w:rsid w:val="002A6A0A"/>
    <w:rsid w:val="002A7524"/>
    <w:rsid w:val="002A7B3C"/>
    <w:rsid w:val="002B6695"/>
    <w:rsid w:val="002B77B1"/>
    <w:rsid w:val="002C13F0"/>
    <w:rsid w:val="002C493A"/>
    <w:rsid w:val="002C6490"/>
    <w:rsid w:val="002D23BA"/>
    <w:rsid w:val="002D32DB"/>
    <w:rsid w:val="002D36FB"/>
    <w:rsid w:val="002D47BC"/>
    <w:rsid w:val="002D4FF4"/>
    <w:rsid w:val="002D7B18"/>
    <w:rsid w:val="002E4428"/>
    <w:rsid w:val="002E56A1"/>
    <w:rsid w:val="002E783C"/>
    <w:rsid w:val="002F1046"/>
    <w:rsid w:val="002F3817"/>
    <w:rsid w:val="002F4CBF"/>
    <w:rsid w:val="002F5B52"/>
    <w:rsid w:val="002F6463"/>
    <w:rsid w:val="002F6E88"/>
    <w:rsid w:val="002F7B99"/>
    <w:rsid w:val="002F7E86"/>
    <w:rsid w:val="00301310"/>
    <w:rsid w:val="00301A66"/>
    <w:rsid w:val="00301F79"/>
    <w:rsid w:val="00303390"/>
    <w:rsid w:val="00303EE3"/>
    <w:rsid w:val="00304DD8"/>
    <w:rsid w:val="00306307"/>
    <w:rsid w:val="0030663B"/>
    <w:rsid w:val="00306B9D"/>
    <w:rsid w:val="003079F2"/>
    <w:rsid w:val="003103B0"/>
    <w:rsid w:val="00310B54"/>
    <w:rsid w:val="00311073"/>
    <w:rsid w:val="003124DA"/>
    <w:rsid w:val="00312A19"/>
    <w:rsid w:val="003149DA"/>
    <w:rsid w:val="003155E9"/>
    <w:rsid w:val="00316601"/>
    <w:rsid w:val="0031675B"/>
    <w:rsid w:val="00317593"/>
    <w:rsid w:val="003178E1"/>
    <w:rsid w:val="00317CEB"/>
    <w:rsid w:val="00321970"/>
    <w:rsid w:val="00324830"/>
    <w:rsid w:val="0032588C"/>
    <w:rsid w:val="003302C2"/>
    <w:rsid w:val="003310DD"/>
    <w:rsid w:val="003315A0"/>
    <w:rsid w:val="003346C7"/>
    <w:rsid w:val="00334C9E"/>
    <w:rsid w:val="00335181"/>
    <w:rsid w:val="00336600"/>
    <w:rsid w:val="00341513"/>
    <w:rsid w:val="00341FC5"/>
    <w:rsid w:val="003426B7"/>
    <w:rsid w:val="0034298E"/>
    <w:rsid w:val="00342C0F"/>
    <w:rsid w:val="00345410"/>
    <w:rsid w:val="00351893"/>
    <w:rsid w:val="00353AF9"/>
    <w:rsid w:val="0035406E"/>
    <w:rsid w:val="0035674E"/>
    <w:rsid w:val="003620FB"/>
    <w:rsid w:val="0036263C"/>
    <w:rsid w:val="0036358B"/>
    <w:rsid w:val="003654FF"/>
    <w:rsid w:val="00366DCC"/>
    <w:rsid w:val="00367189"/>
    <w:rsid w:val="003721C0"/>
    <w:rsid w:val="00372CF2"/>
    <w:rsid w:val="00372F33"/>
    <w:rsid w:val="00373A28"/>
    <w:rsid w:val="00374A9D"/>
    <w:rsid w:val="00380361"/>
    <w:rsid w:val="00380A27"/>
    <w:rsid w:val="00381484"/>
    <w:rsid w:val="0038189A"/>
    <w:rsid w:val="00383B5E"/>
    <w:rsid w:val="003843FC"/>
    <w:rsid w:val="003844E3"/>
    <w:rsid w:val="00386E03"/>
    <w:rsid w:val="00387A02"/>
    <w:rsid w:val="0039099A"/>
    <w:rsid w:val="00391E2A"/>
    <w:rsid w:val="0039366C"/>
    <w:rsid w:val="00393FD7"/>
    <w:rsid w:val="00394D00"/>
    <w:rsid w:val="0039633B"/>
    <w:rsid w:val="003967CD"/>
    <w:rsid w:val="00396CC2"/>
    <w:rsid w:val="003A0818"/>
    <w:rsid w:val="003A190D"/>
    <w:rsid w:val="003A2DF4"/>
    <w:rsid w:val="003A3086"/>
    <w:rsid w:val="003A3FA2"/>
    <w:rsid w:val="003A48CD"/>
    <w:rsid w:val="003A4AE7"/>
    <w:rsid w:val="003A50DD"/>
    <w:rsid w:val="003B1342"/>
    <w:rsid w:val="003B308D"/>
    <w:rsid w:val="003B36B7"/>
    <w:rsid w:val="003C0977"/>
    <w:rsid w:val="003C1BC1"/>
    <w:rsid w:val="003C1C44"/>
    <w:rsid w:val="003C327C"/>
    <w:rsid w:val="003C4C61"/>
    <w:rsid w:val="003C51D8"/>
    <w:rsid w:val="003C6202"/>
    <w:rsid w:val="003C64C4"/>
    <w:rsid w:val="003C69B0"/>
    <w:rsid w:val="003D09CA"/>
    <w:rsid w:val="003D326A"/>
    <w:rsid w:val="003D3B32"/>
    <w:rsid w:val="003D47B5"/>
    <w:rsid w:val="003D50D2"/>
    <w:rsid w:val="003D77FA"/>
    <w:rsid w:val="003E029C"/>
    <w:rsid w:val="003E049C"/>
    <w:rsid w:val="003E0906"/>
    <w:rsid w:val="003E0D64"/>
    <w:rsid w:val="003E1C0C"/>
    <w:rsid w:val="003E1C8F"/>
    <w:rsid w:val="003E6C80"/>
    <w:rsid w:val="003E732F"/>
    <w:rsid w:val="003E74DD"/>
    <w:rsid w:val="003F1EF6"/>
    <w:rsid w:val="003F3F76"/>
    <w:rsid w:val="003F4BBE"/>
    <w:rsid w:val="003F616E"/>
    <w:rsid w:val="003F63FE"/>
    <w:rsid w:val="00401EDA"/>
    <w:rsid w:val="004037AB"/>
    <w:rsid w:val="004039A7"/>
    <w:rsid w:val="0040468B"/>
    <w:rsid w:val="00404876"/>
    <w:rsid w:val="00406416"/>
    <w:rsid w:val="00406549"/>
    <w:rsid w:val="004067C6"/>
    <w:rsid w:val="00407A67"/>
    <w:rsid w:val="00412C32"/>
    <w:rsid w:val="004162C8"/>
    <w:rsid w:val="00416AA5"/>
    <w:rsid w:val="00416AC2"/>
    <w:rsid w:val="004209AB"/>
    <w:rsid w:val="004239E1"/>
    <w:rsid w:val="004240F6"/>
    <w:rsid w:val="00425FC4"/>
    <w:rsid w:val="00426BE0"/>
    <w:rsid w:val="00427C68"/>
    <w:rsid w:val="0043184D"/>
    <w:rsid w:val="004319C1"/>
    <w:rsid w:val="004322C5"/>
    <w:rsid w:val="00432A5C"/>
    <w:rsid w:val="00432E0F"/>
    <w:rsid w:val="00433427"/>
    <w:rsid w:val="00433E94"/>
    <w:rsid w:val="0043785E"/>
    <w:rsid w:val="00437DB0"/>
    <w:rsid w:val="0044022C"/>
    <w:rsid w:val="00441CF7"/>
    <w:rsid w:val="00446875"/>
    <w:rsid w:val="004500C8"/>
    <w:rsid w:val="0045091C"/>
    <w:rsid w:val="004522C3"/>
    <w:rsid w:val="0045298B"/>
    <w:rsid w:val="00453DBA"/>
    <w:rsid w:val="00455C61"/>
    <w:rsid w:val="00457078"/>
    <w:rsid w:val="00460A58"/>
    <w:rsid w:val="0046455E"/>
    <w:rsid w:val="00464996"/>
    <w:rsid w:val="00465CB2"/>
    <w:rsid w:val="00470ED1"/>
    <w:rsid w:val="004718E8"/>
    <w:rsid w:val="004719D3"/>
    <w:rsid w:val="004730A2"/>
    <w:rsid w:val="0047451F"/>
    <w:rsid w:val="004763FD"/>
    <w:rsid w:val="004767F2"/>
    <w:rsid w:val="00477F92"/>
    <w:rsid w:val="004818CD"/>
    <w:rsid w:val="00483913"/>
    <w:rsid w:val="0048431D"/>
    <w:rsid w:val="004845C0"/>
    <w:rsid w:val="004853A8"/>
    <w:rsid w:val="00485EE2"/>
    <w:rsid w:val="00485F81"/>
    <w:rsid w:val="00486A39"/>
    <w:rsid w:val="00492C5A"/>
    <w:rsid w:val="004939E7"/>
    <w:rsid w:val="00497B7C"/>
    <w:rsid w:val="00497E7B"/>
    <w:rsid w:val="004A17B1"/>
    <w:rsid w:val="004A376C"/>
    <w:rsid w:val="004A4A56"/>
    <w:rsid w:val="004A553C"/>
    <w:rsid w:val="004A6521"/>
    <w:rsid w:val="004B0D57"/>
    <w:rsid w:val="004B1152"/>
    <w:rsid w:val="004B1CE6"/>
    <w:rsid w:val="004B2E1D"/>
    <w:rsid w:val="004B357A"/>
    <w:rsid w:val="004B4650"/>
    <w:rsid w:val="004B6588"/>
    <w:rsid w:val="004B75E0"/>
    <w:rsid w:val="004C172E"/>
    <w:rsid w:val="004C2AE3"/>
    <w:rsid w:val="004C2F9B"/>
    <w:rsid w:val="004C5E66"/>
    <w:rsid w:val="004C6C0A"/>
    <w:rsid w:val="004D0CAE"/>
    <w:rsid w:val="004D1B66"/>
    <w:rsid w:val="004D293C"/>
    <w:rsid w:val="004D2F9F"/>
    <w:rsid w:val="004D41E7"/>
    <w:rsid w:val="004D67DC"/>
    <w:rsid w:val="004D7014"/>
    <w:rsid w:val="004D7290"/>
    <w:rsid w:val="004D7445"/>
    <w:rsid w:val="004D76A3"/>
    <w:rsid w:val="004D7860"/>
    <w:rsid w:val="004E00DE"/>
    <w:rsid w:val="004E0765"/>
    <w:rsid w:val="004E0B88"/>
    <w:rsid w:val="004E1509"/>
    <w:rsid w:val="004E166A"/>
    <w:rsid w:val="004E19F0"/>
    <w:rsid w:val="004E21D1"/>
    <w:rsid w:val="004E5E50"/>
    <w:rsid w:val="004E64FE"/>
    <w:rsid w:val="004E7AD4"/>
    <w:rsid w:val="004F2AF1"/>
    <w:rsid w:val="004F432A"/>
    <w:rsid w:val="004F47AB"/>
    <w:rsid w:val="004F5DA7"/>
    <w:rsid w:val="004F6BB4"/>
    <w:rsid w:val="004F7581"/>
    <w:rsid w:val="00504B19"/>
    <w:rsid w:val="00506B58"/>
    <w:rsid w:val="0050760F"/>
    <w:rsid w:val="00510D93"/>
    <w:rsid w:val="0051371D"/>
    <w:rsid w:val="00513793"/>
    <w:rsid w:val="00513AEC"/>
    <w:rsid w:val="00514ECB"/>
    <w:rsid w:val="00515ADC"/>
    <w:rsid w:val="00523B94"/>
    <w:rsid w:val="005251A6"/>
    <w:rsid w:val="00525BEF"/>
    <w:rsid w:val="00527788"/>
    <w:rsid w:val="005301FC"/>
    <w:rsid w:val="00530477"/>
    <w:rsid w:val="00531B86"/>
    <w:rsid w:val="005362FB"/>
    <w:rsid w:val="0053661A"/>
    <w:rsid w:val="005373D2"/>
    <w:rsid w:val="005377B4"/>
    <w:rsid w:val="0054059D"/>
    <w:rsid w:val="005407F6"/>
    <w:rsid w:val="00541921"/>
    <w:rsid w:val="00541E8A"/>
    <w:rsid w:val="00543C47"/>
    <w:rsid w:val="00545943"/>
    <w:rsid w:val="00546928"/>
    <w:rsid w:val="00546AB6"/>
    <w:rsid w:val="005473F0"/>
    <w:rsid w:val="00550267"/>
    <w:rsid w:val="00551278"/>
    <w:rsid w:val="00551FC4"/>
    <w:rsid w:val="005524C9"/>
    <w:rsid w:val="00553843"/>
    <w:rsid w:val="00553A13"/>
    <w:rsid w:val="005544BE"/>
    <w:rsid w:val="00555109"/>
    <w:rsid w:val="005561B2"/>
    <w:rsid w:val="00560E8F"/>
    <w:rsid w:val="0056130D"/>
    <w:rsid w:val="00561790"/>
    <w:rsid w:val="00561A09"/>
    <w:rsid w:val="00561BCC"/>
    <w:rsid w:val="0056486D"/>
    <w:rsid w:val="00565DA7"/>
    <w:rsid w:val="0057038C"/>
    <w:rsid w:val="00573495"/>
    <w:rsid w:val="00573EE7"/>
    <w:rsid w:val="00575405"/>
    <w:rsid w:val="0057546E"/>
    <w:rsid w:val="0057799C"/>
    <w:rsid w:val="00577BA9"/>
    <w:rsid w:val="00577DF1"/>
    <w:rsid w:val="00580669"/>
    <w:rsid w:val="00580D64"/>
    <w:rsid w:val="00581A0B"/>
    <w:rsid w:val="00582F78"/>
    <w:rsid w:val="00584C35"/>
    <w:rsid w:val="0058502B"/>
    <w:rsid w:val="00587600"/>
    <w:rsid w:val="00590361"/>
    <w:rsid w:val="0059323D"/>
    <w:rsid w:val="005941A3"/>
    <w:rsid w:val="005961F6"/>
    <w:rsid w:val="00597BD6"/>
    <w:rsid w:val="00597CAB"/>
    <w:rsid w:val="005A0EE8"/>
    <w:rsid w:val="005A1373"/>
    <w:rsid w:val="005A1789"/>
    <w:rsid w:val="005A18D2"/>
    <w:rsid w:val="005A2389"/>
    <w:rsid w:val="005A2571"/>
    <w:rsid w:val="005A7598"/>
    <w:rsid w:val="005B094D"/>
    <w:rsid w:val="005B0D40"/>
    <w:rsid w:val="005B1219"/>
    <w:rsid w:val="005B13C3"/>
    <w:rsid w:val="005B40AA"/>
    <w:rsid w:val="005B49A9"/>
    <w:rsid w:val="005B4AEC"/>
    <w:rsid w:val="005B6086"/>
    <w:rsid w:val="005C20CC"/>
    <w:rsid w:val="005C3136"/>
    <w:rsid w:val="005C3B97"/>
    <w:rsid w:val="005C4AD8"/>
    <w:rsid w:val="005C533B"/>
    <w:rsid w:val="005C6A6C"/>
    <w:rsid w:val="005D0165"/>
    <w:rsid w:val="005D0970"/>
    <w:rsid w:val="005D3016"/>
    <w:rsid w:val="005D5463"/>
    <w:rsid w:val="005E00AF"/>
    <w:rsid w:val="005E06C4"/>
    <w:rsid w:val="005F07C5"/>
    <w:rsid w:val="005F1350"/>
    <w:rsid w:val="005F2BC0"/>
    <w:rsid w:val="005F4526"/>
    <w:rsid w:val="005F457F"/>
    <w:rsid w:val="005F4ADE"/>
    <w:rsid w:val="005F53F5"/>
    <w:rsid w:val="005F6DA3"/>
    <w:rsid w:val="005F7AE5"/>
    <w:rsid w:val="0060112A"/>
    <w:rsid w:val="00601352"/>
    <w:rsid w:val="00602539"/>
    <w:rsid w:val="00602821"/>
    <w:rsid w:val="00603B35"/>
    <w:rsid w:val="00607E85"/>
    <w:rsid w:val="006125B1"/>
    <w:rsid w:val="0061670F"/>
    <w:rsid w:val="00617438"/>
    <w:rsid w:val="0062153D"/>
    <w:rsid w:val="00621F91"/>
    <w:rsid w:val="00622AA2"/>
    <w:rsid w:val="00622F65"/>
    <w:rsid w:val="00623221"/>
    <w:rsid w:val="00623FAB"/>
    <w:rsid w:val="006274EF"/>
    <w:rsid w:val="006277C1"/>
    <w:rsid w:val="00627DF8"/>
    <w:rsid w:val="00632516"/>
    <w:rsid w:val="00633838"/>
    <w:rsid w:val="006353BB"/>
    <w:rsid w:val="006369CC"/>
    <w:rsid w:val="00637B0F"/>
    <w:rsid w:val="006403D2"/>
    <w:rsid w:val="00641133"/>
    <w:rsid w:val="00642695"/>
    <w:rsid w:val="00643D57"/>
    <w:rsid w:val="00644A72"/>
    <w:rsid w:val="00644CE4"/>
    <w:rsid w:val="00646058"/>
    <w:rsid w:val="0064769C"/>
    <w:rsid w:val="00651E1B"/>
    <w:rsid w:val="0065256D"/>
    <w:rsid w:val="00655FDC"/>
    <w:rsid w:val="006560F8"/>
    <w:rsid w:val="00657267"/>
    <w:rsid w:val="0066012B"/>
    <w:rsid w:val="00660997"/>
    <w:rsid w:val="00660F94"/>
    <w:rsid w:val="0066523E"/>
    <w:rsid w:val="006656C5"/>
    <w:rsid w:val="00666375"/>
    <w:rsid w:val="006664EB"/>
    <w:rsid w:val="00667294"/>
    <w:rsid w:val="00667357"/>
    <w:rsid w:val="00667B1F"/>
    <w:rsid w:val="00667C30"/>
    <w:rsid w:val="00670144"/>
    <w:rsid w:val="00672DF8"/>
    <w:rsid w:val="00674424"/>
    <w:rsid w:val="006762B4"/>
    <w:rsid w:val="006814E7"/>
    <w:rsid w:val="006859ED"/>
    <w:rsid w:val="00690908"/>
    <w:rsid w:val="006909CB"/>
    <w:rsid w:val="00690C12"/>
    <w:rsid w:val="006940E8"/>
    <w:rsid w:val="006943FB"/>
    <w:rsid w:val="006A068B"/>
    <w:rsid w:val="006A257A"/>
    <w:rsid w:val="006A25D2"/>
    <w:rsid w:val="006A423F"/>
    <w:rsid w:val="006A5200"/>
    <w:rsid w:val="006A6645"/>
    <w:rsid w:val="006A6B46"/>
    <w:rsid w:val="006A7AD1"/>
    <w:rsid w:val="006A7D4D"/>
    <w:rsid w:val="006B0247"/>
    <w:rsid w:val="006B1206"/>
    <w:rsid w:val="006B2086"/>
    <w:rsid w:val="006C03FB"/>
    <w:rsid w:val="006C04F2"/>
    <w:rsid w:val="006C21D8"/>
    <w:rsid w:val="006C4AC4"/>
    <w:rsid w:val="006C552B"/>
    <w:rsid w:val="006C7D07"/>
    <w:rsid w:val="006D165C"/>
    <w:rsid w:val="006D27CC"/>
    <w:rsid w:val="006D2AA2"/>
    <w:rsid w:val="006D45CF"/>
    <w:rsid w:val="006D4754"/>
    <w:rsid w:val="006D5705"/>
    <w:rsid w:val="006D6A23"/>
    <w:rsid w:val="006E0165"/>
    <w:rsid w:val="006E1E11"/>
    <w:rsid w:val="006E1F43"/>
    <w:rsid w:val="006E279C"/>
    <w:rsid w:val="006E428A"/>
    <w:rsid w:val="006E595F"/>
    <w:rsid w:val="006E6AD5"/>
    <w:rsid w:val="006F0D23"/>
    <w:rsid w:val="006F1D4C"/>
    <w:rsid w:val="006F3742"/>
    <w:rsid w:val="006F4B3E"/>
    <w:rsid w:val="00700A12"/>
    <w:rsid w:val="00700C10"/>
    <w:rsid w:val="007027B8"/>
    <w:rsid w:val="00703C7E"/>
    <w:rsid w:val="007043F3"/>
    <w:rsid w:val="0070546A"/>
    <w:rsid w:val="00710314"/>
    <w:rsid w:val="0071221D"/>
    <w:rsid w:val="007122FA"/>
    <w:rsid w:val="00712C8F"/>
    <w:rsid w:val="00713030"/>
    <w:rsid w:val="0071402E"/>
    <w:rsid w:val="0071452B"/>
    <w:rsid w:val="007145DF"/>
    <w:rsid w:val="00714D5E"/>
    <w:rsid w:val="00717961"/>
    <w:rsid w:val="007211C2"/>
    <w:rsid w:val="007230BC"/>
    <w:rsid w:val="00726ACA"/>
    <w:rsid w:val="0072708F"/>
    <w:rsid w:val="00727A8D"/>
    <w:rsid w:val="00731EAD"/>
    <w:rsid w:val="0073218D"/>
    <w:rsid w:val="00733120"/>
    <w:rsid w:val="00734A0C"/>
    <w:rsid w:val="007351EA"/>
    <w:rsid w:val="00735552"/>
    <w:rsid w:val="00735833"/>
    <w:rsid w:val="0073605D"/>
    <w:rsid w:val="007404E0"/>
    <w:rsid w:val="00740A04"/>
    <w:rsid w:val="00740B16"/>
    <w:rsid w:val="00741C4A"/>
    <w:rsid w:val="007421C3"/>
    <w:rsid w:val="007506F8"/>
    <w:rsid w:val="00751A4F"/>
    <w:rsid w:val="00751AF9"/>
    <w:rsid w:val="0075621F"/>
    <w:rsid w:val="00757141"/>
    <w:rsid w:val="007573A0"/>
    <w:rsid w:val="00757656"/>
    <w:rsid w:val="0075791A"/>
    <w:rsid w:val="00761D80"/>
    <w:rsid w:val="00761D85"/>
    <w:rsid w:val="00761F57"/>
    <w:rsid w:val="00764C26"/>
    <w:rsid w:val="00771621"/>
    <w:rsid w:val="00771728"/>
    <w:rsid w:val="00775529"/>
    <w:rsid w:val="007760BF"/>
    <w:rsid w:val="00777DA3"/>
    <w:rsid w:val="00777ED6"/>
    <w:rsid w:val="00780259"/>
    <w:rsid w:val="00780A3F"/>
    <w:rsid w:val="00783FB4"/>
    <w:rsid w:val="007846FF"/>
    <w:rsid w:val="007868C5"/>
    <w:rsid w:val="0078793B"/>
    <w:rsid w:val="00795E61"/>
    <w:rsid w:val="007A0E99"/>
    <w:rsid w:val="007A16E0"/>
    <w:rsid w:val="007A1945"/>
    <w:rsid w:val="007A1F07"/>
    <w:rsid w:val="007A1F60"/>
    <w:rsid w:val="007A25A9"/>
    <w:rsid w:val="007A312A"/>
    <w:rsid w:val="007A544F"/>
    <w:rsid w:val="007B4371"/>
    <w:rsid w:val="007B4F34"/>
    <w:rsid w:val="007B5913"/>
    <w:rsid w:val="007B5C83"/>
    <w:rsid w:val="007B5D5B"/>
    <w:rsid w:val="007C2B1C"/>
    <w:rsid w:val="007C61C6"/>
    <w:rsid w:val="007C706E"/>
    <w:rsid w:val="007D0487"/>
    <w:rsid w:val="007D09F1"/>
    <w:rsid w:val="007D2033"/>
    <w:rsid w:val="007D37B9"/>
    <w:rsid w:val="007D3E84"/>
    <w:rsid w:val="007D41BF"/>
    <w:rsid w:val="007D6DFE"/>
    <w:rsid w:val="007E0AC9"/>
    <w:rsid w:val="007E0CBF"/>
    <w:rsid w:val="007E125B"/>
    <w:rsid w:val="007E1925"/>
    <w:rsid w:val="007E3780"/>
    <w:rsid w:val="007E41E1"/>
    <w:rsid w:val="007E4B0D"/>
    <w:rsid w:val="007E4C3E"/>
    <w:rsid w:val="007E5143"/>
    <w:rsid w:val="007E5235"/>
    <w:rsid w:val="007E72C0"/>
    <w:rsid w:val="007F05EA"/>
    <w:rsid w:val="007F343F"/>
    <w:rsid w:val="007F5301"/>
    <w:rsid w:val="007F74A6"/>
    <w:rsid w:val="007F7701"/>
    <w:rsid w:val="008004CF"/>
    <w:rsid w:val="00802226"/>
    <w:rsid w:val="008028A4"/>
    <w:rsid w:val="00805C65"/>
    <w:rsid w:val="0081028D"/>
    <w:rsid w:val="008102C5"/>
    <w:rsid w:val="008116F4"/>
    <w:rsid w:val="008128B9"/>
    <w:rsid w:val="00815464"/>
    <w:rsid w:val="00817154"/>
    <w:rsid w:val="00817442"/>
    <w:rsid w:val="00820323"/>
    <w:rsid w:val="00821075"/>
    <w:rsid w:val="00822E88"/>
    <w:rsid w:val="008243B3"/>
    <w:rsid w:val="00825B64"/>
    <w:rsid w:val="00825BBC"/>
    <w:rsid w:val="0082699F"/>
    <w:rsid w:val="00826BD1"/>
    <w:rsid w:val="00830085"/>
    <w:rsid w:val="00830883"/>
    <w:rsid w:val="00830A03"/>
    <w:rsid w:val="00832905"/>
    <w:rsid w:val="0083351F"/>
    <w:rsid w:val="00837AAE"/>
    <w:rsid w:val="00837DB6"/>
    <w:rsid w:val="00840397"/>
    <w:rsid w:val="008418B7"/>
    <w:rsid w:val="00841A51"/>
    <w:rsid w:val="0084462B"/>
    <w:rsid w:val="00844BD8"/>
    <w:rsid w:val="008519AC"/>
    <w:rsid w:val="00853CBA"/>
    <w:rsid w:val="008543E3"/>
    <w:rsid w:val="0085608E"/>
    <w:rsid w:val="00856691"/>
    <w:rsid w:val="008570DA"/>
    <w:rsid w:val="0086021D"/>
    <w:rsid w:val="00861C5E"/>
    <w:rsid w:val="00861F1A"/>
    <w:rsid w:val="00862AF4"/>
    <w:rsid w:val="00865A21"/>
    <w:rsid w:val="008660C5"/>
    <w:rsid w:val="00870F75"/>
    <w:rsid w:val="00873635"/>
    <w:rsid w:val="00873878"/>
    <w:rsid w:val="0087455C"/>
    <w:rsid w:val="00874C46"/>
    <w:rsid w:val="00876CE8"/>
    <w:rsid w:val="00876D0E"/>
    <w:rsid w:val="00877D29"/>
    <w:rsid w:val="0088156B"/>
    <w:rsid w:val="0088188E"/>
    <w:rsid w:val="0088211A"/>
    <w:rsid w:val="00882DDF"/>
    <w:rsid w:val="00885485"/>
    <w:rsid w:val="00890791"/>
    <w:rsid w:val="008909E3"/>
    <w:rsid w:val="008917A7"/>
    <w:rsid w:val="00893623"/>
    <w:rsid w:val="00896051"/>
    <w:rsid w:val="00897F7A"/>
    <w:rsid w:val="008A6CA4"/>
    <w:rsid w:val="008A76FE"/>
    <w:rsid w:val="008B02E5"/>
    <w:rsid w:val="008B24E9"/>
    <w:rsid w:val="008B4A12"/>
    <w:rsid w:val="008B4D2E"/>
    <w:rsid w:val="008B6E96"/>
    <w:rsid w:val="008B73B2"/>
    <w:rsid w:val="008B7E2E"/>
    <w:rsid w:val="008C0CF7"/>
    <w:rsid w:val="008C1253"/>
    <w:rsid w:val="008C1C2E"/>
    <w:rsid w:val="008C21E8"/>
    <w:rsid w:val="008C302A"/>
    <w:rsid w:val="008C465C"/>
    <w:rsid w:val="008C47A4"/>
    <w:rsid w:val="008C6848"/>
    <w:rsid w:val="008D15C0"/>
    <w:rsid w:val="008D34FD"/>
    <w:rsid w:val="008D35EB"/>
    <w:rsid w:val="008D46F8"/>
    <w:rsid w:val="008D6874"/>
    <w:rsid w:val="008D739E"/>
    <w:rsid w:val="008D7D1B"/>
    <w:rsid w:val="008E06E5"/>
    <w:rsid w:val="008E1FCC"/>
    <w:rsid w:val="008E2C62"/>
    <w:rsid w:val="008E3D3C"/>
    <w:rsid w:val="008E725E"/>
    <w:rsid w:val="008E7A80"/>
    <w:rsid w:val="008F0330"/>
    <w:rsid w:val="008F1860"/>
    <w:rsid w:val="008F1E70"/>
    <w:rsid w:val="008F2610"/>
    <w:rsid w:val="008F3013"/>
    <w:rsid w:val="008F346D"/>
    <w:rsid w:val="00900D34"/>
    <w:rsid w:val="00902691"/>
    <w:rsid w:val="00902DED"/>
    <w:rsid w:val="0090347A"/>
    <w:rsid w:val="00903770"/>
    <w:rsid w:val="00904986"/>
    <w:rsid w:val="0090552A"/>
    <w:rsid w:val="009064A5"/>
    <w:rsid w:val="009068AC"/>
    <w:rsid w:val="00910C1C"/>
    <w:rsid w:val="00914855"/>
    <w:rsid w:val="00915B12"/>
    <w:rsid w:val="00916378"/>
    <w:rsid w:val="00920532"/>
    <w:rsid w:val="009227A9"/>
    <w:rsid w:val="00923B0D"/>
    <w:rsid w:val="009255CD"/>
    <w:rsid w:val="00925933"/>
    <w:rsid w:val="009260AA"/>
    <w:rsid w:val="00926487"/>
    <w:rsid w:val="00930ABA"/>
    <w:rsid w:val="00933B3E"/>
    <w:rsid w:val="00934C26"/>
    <w:rsid w:val="00935686"/>
    <w:rsid w:val="00935767"/>
    <w:rsid w:val="0093616A"/>
    <w:rsid w:val="00936B01"/>
    <w:rsid w:val="0093757A"/>
    <w:rsid w:val="00937C51"/>
    <w:rsid w:val="00937DF4"/>
    <w:rsid w:val="009427B3"/>
    <w:rsid w:val="0094528E"/>
    <w:rsid w:val="009470F6"/>
    <w:rsid w:val="00950FD0"/>
    <w:rsid w:val="00951BFC"/>
    <w:rsid w:val="00951DC8"/>
    <w:rsid w:val="0095207D"/>
    <w:rsid w:val="0095225C"/>
    <w:rsid w:val="009530E0"/>
    <w:rsid w:val="00953E98"/>
    <w:rsid w:val="009540BC"/>
    <w:rsid w:val="00954452"/>
    <w:rsid w:val="0095456A"/>
    <w:rsid w:val="00954A5D"/>
    <w:rsid w:val="009565FB"/>
    <w:rsid w:val="00960B07"/>
    <w:rsid w:val="00962E26"/>
    <w:rsid w:val="00963C31"/>
    <w:rsid w:val="0096655A"/>
    <w:rsid w:val="00966B21"/>
    <w:rsid w:val="00967574"/>
    <w:rsid w:val="00971780"/>
    <w:rsid w:val="009730E0"/>
    <w:rsid w:val="009731AC"/>
    <w:rsid w:val="0097658B"/>
    <w:rsid w:val="00976C8B"/>
    <w:rsid w:val="00976CA0"/>
    <w:rsid w:val="00976EA7"/>
    <w:rsid w:val="00976F94"/>
    <w:rsid w:val="00981996"/>
    <w:rsid w:val="00981E5C"/>
    <w:rsid w:val="0098420E"/>
    <w:rsid w:val="009845AA"/>
    <w:rsid w:val="00985271"/>
    <w:rsid w:val="00987F41"/>
    <w:rsid w:val="00990C0C"/>
    <w:rsid w:val="009910CE"/>
    <w:rsid w:val="00991117"/>
    <w:rsid w:val="009961E8"/>
    <w:rsid w:val="00996497"/>
    <w:rsid w:val="00996545"/>
    <w:rsid w:val="009A0EC5"/>
    <w:rsid w:val="009A446D"/>
    <w:rsid w:val="009A6266"/>
    <w:rsid w:val="009A6360"/>
    <w:rsid w:val="009A7794"/>
    <w:rsid w:val="009B0F55"/>
    <w:rsid w:val="009B1150"/>
    <w:rsid w:val="009B122A"/>
    <w:rsid w:val="009B1280"/>
    <w:rsid w:val="009B5C2B"/>
    <w:rsid w:val="009B5F01"/>
    <w:rsid w:val="009B72AC"/>
    <w:rsid w:val="009C1C4C"/>
    <w:rsid w:val="009C26C6"/>
    <w:rsid w:val="009C352A"/>
    <w:rsid w:val="009C3654"/>
    <w:rsid w:val="009C370C"/>
    <w:rsid w:val="009C6A6E"/>
    <w:rsid w:val="009C7551"/>
    <w:rsid w:val="009D2B28"/>
    <w:rsid w:val="009D57FC"/>
    <w:rsid w:val="009D6D90"/>
    <w:rsid w:val="009D7EFA"/>
    <w:rsid w:val="009E03C2"/>
    <w:rsid w:val="009E1A1C"/>
    <w:rsid w:val="009E214E"/>
    <w:rsid w:val="009E22E0"/>
    <w:rsid w:val="009E2663"/>
    <w:rsid w:val="009E2754"/>
    <w:rsid w:val="009E3FBE"/>
    <w:rsid w:val="009F081B"/>
    <w:rsid w:val="009F0824"/>
    <w:rsid w:val="009F187B"/>
    <w:rsid w:val="009F1E27"/>
    <w:rsid w:val="009F3FB3"/>
    <w:rsid w:val="009F5604"/>
    <w:rsid w:val="00A00C40"/>
    <w:rsid w:val="00A03E82"/>
    <w:rsid w:val="00A04B4E"/>
    <w:rsid w:val="00A050F1"/>
    <w:rsid w:val="00A12086"/>
    <w:rsid w:val="00A13CD6"/>
    <w:rsid w:val="00A144A5"/>
    <w:rsid w:val="00A15C5C"/>
    <w:rsid w:val="00A20590"/>
    <w:rsid w:val="00A20989"/>
    <w:rsid w:val="00A211EB"/>
    <w:rsid w:val="00A21DCD"/>
    <w:rsid w:val="00A23EA5"/>
    <w:rsid w:val="00A2418F"/>
    <w:rsid w:val="00A241E3"/>
    <w:rsid w:val="00A2589E"/>
    <w:rsid w:val="00A25AFC"/>
    <w:rsid w:val="00A27454"/>
    <w:rsid w:val="00A27BB5"/>
    <w:rsid w:val="00A323E2"/>
    <w:rsid w:val="00A32F27"/>
    <w:rsid w:val="00A35022"/>
    <w:rsid w:val="00A35E3A"/>
    <w:rsid w:val="00A35E58"/>
    <w:rsid w:val="00A36515"/>
    <w:rsid w:val="00A37B80"/>
    <w:rsid w:val="00A4045B"/>
    <w:rsid w:val="00A434C9"/>
    <w:rsid w:val="00A43D7E"/>
    <w:rsid w:val="00A44911"/>
    <w:rsid w:val="00A4690E"/>
    <w:rsid w:val="00A50168"/>
    <w:rsid w:val="00A53457"/>
    <w:rsid w:val="00A53D03"/>
    <w:rsid w:val="00A540D7"/>
    <w:rsid w:val="00A62488"/>
    <w:rsid w:val="00A629D7"/>
    <w:rsid w:val="00A63B34"/>
    <w:rsid w:val="00A66FB9"/>
    <w:rsid w:val="00A70440"/>
    <w:rsid w:val="00A70C5B"/>
    <w:rsid w:val="00A7138A"/>
    <w:rsid w:val="00A72BA2"/>
    <w:rsid w:val="00A733BA"/>
    <w:rsid w:val="00A7487E"/>
    <w:rsid w:val="00A74F64"/>
    <w:rsid w:val="00A82823"/>
    <w:rsid w:val="00A842E9"/>
    <w:rsid w:val="00A84496"/>
    <w:rsid w:val="00A84E87"/>
    <w:rsid w:val="00A852B1"/>
    <w:rsid w:val="00A85DF5"/>
    <w:rsid w:val="00A871D5"/>
    <w:rsid w:val="00A87B4A"/>
    <w:rsid w:val="00A9043A"/>
    <w:rsid w:val="00A90CF0"/>
    <w:rsid w:val="00A9164D"/>
    <w:rsid w:val="00A916CA"/>
    <w:rsid w:val="00A9201C"/>
    <w:rsid w:val="00A95904"/>
    <w:rsid w:val="00AA1959"/>
    <w:rsid w:val="00AA21DF"/>
    <w:rsid w:val="00AA3B3C"/>
    <w:rsid w:val="00AA670D"/>
    <w:rsid w:val="00AB1CEB"/>
    <w:rsid w:val="00AB27CF"/>
    <w:rsid w:val="00AB3AEA"/>
    <w:rsid w:val="00AB5BCB"/>
    <w:rsid w:val="00AB6501"/>
    <w:rsid w:val="00AB6AF8"/>
    <w:rsid w:val="00AB7094"/>
    <w:rsid w:val="00AB7C5F"/>
    <w:rsid w:val="00AC2D29"/>
    <w:rsid w:val="00AC3C3D"/>
    <w:rsid w:val="00AC3F5A"/>
    <w:rsid w:val="00AC4253"/>
    <w:rsid w:val="00AC48D1"/>
    <w:rsid w:val="00AC6112"/>
    <w:rsid w:val="00AC721E"/>
    <w:rsid w:val="00AC7BF3"/>
    <w:rsid w:val="00AD059C"/>
    <w:rsid w:val="00AD3390"/>
    <w:rsid w:val="00AD3AE6"/>
    <w:rsid w:val="00AD436B"/>
    <w:rsid w:val="00AD4908"/>
    <w:rsid w:val="00AD4D27"/>
    <w:rsid w:val="00AD687C"/>
    <w:rsid w:val="00AD7A98"/>
    <w:rsid w:val="00AE1F14"/>
    <w:rsid w:val="00AE2658"/>
    <w:rsid w:val="00AE298A"/>
    <w:rsid w:val="00AE2E70"/>
    <w:rsid w:val="00AE3113"/>
    <w:rsid w:val="00AE5D1E"/>
    <w:rsid w:val="00AF0573"/>
    <w:rsid w:val="00AF172F"/>
    <w:rsid w:val="00AF25DD"/>
    <w:rsid w:val="00AF3BAD"/>
    <w:rsid w:val="00AF6195"/>
    <w:rsid w:val="00AF756C"/>
    <w:rsid w:val="00B00C44"/>
    <w:rsid w:val="00B027C9"/>
    <w:rsid w:val="00B04FFE"/>
    <w:rsid w:val="00B05114"/>
    <w:rsid w:val="00B06CE3"/>
    <w:rsid w:val="00B077A3"/>
    <w:rsid w:val="00B1336F"/>
    <w:rsid w:val="00B1361C"/>
    <w:rsid w:val="00B13EA8"/>
    <w:rsid w:val="00B13F25"/>
    <w:rsid w:val="00B1422B"/>
    <w:rsid w:val="00B2070A"/>
    <w:rsid w:val="00B20C25"/>
    <w:rsid w:val="00B20DBF"/>
    <w:rsid w:val="00B21D57"/>
    <w:rsid w:val="00B236BE"/>
    <w:rsid w:val="00B24A34"/>
    <w:rsid w:val="00B24E87"/>
    <w:rsid w:val="00B24F25"/>
    <w:rsid w:val="00B25240"/>
    <w:rsid w:val="00B25E7D"/>
    <w:rsid w:val="00B268F1"/>
    <w:rsid w:val="00B27040"/>
    <w:rsid w:val="00B3101E"/>
    <w:rsid w:val="00B314F9"/>
    <w:rsid w:val="00B31EFD"/>
    <w:rsid w:val="00B326D6"/>
    <w:rsid w:val="00B32EEC"/>
    <w:rsid w:val="00B34962"/>
    <w:rsid w:val="00B34E66"/>
    <w:rsid w:val="00B35B64"/>
    <w:rsid w:val="00B4092F"/>
    <w:rsid w:val="00B40B50"/>
    <w:rsid w:val="00B40CFE"/>
    <w:rsid w:val="00B419BC"/>
    <w:rsid w:val="00B44362"/>
    <w:rsid w:val="00B4586B"/>
    <w:rsid w:val="00B4644C"/>
    <w:rsid w:val="00B4746D"/>
    <w:rsid w:val="00B47C7E"/>
    <w:rsid w:val="00B52D41"/>
    <w:rsid w:val="00B5430C"/>
    <w:rsid w:val="00B55B5C"/>
    <w:rsid w:val="00B56381"/>
    <w:rsid w:val="00B57174"/>
    <w:rsid w:val="00B573A4"/>
    <w:rsid w:val="00B623B0"/>
    <w:rsid w:val="00B64C80"/>
    <w:rsid w:val="00B65A6B"/>
    <w:rsid w:val="00B65AF6"/>
    <w:rsid w:val="00B65BEE"/>
    <w:rsid w:val="00B660CC"/>
    <w:rsid w:val="00B707CA"/>
    <w:rsid w:val="00B70EF5"/>
    <w:rsid w:val="00B71286"/>
    <w:rsid w:val="00B725FC"/>
    <w:rsid w:val="00B730F2"/>
    <w:rsid w:val="00B735D3"/>
    <w:rsid w:val="00B75D34"/>
    <w:rsid w:val="00B76650"/>
    <w:rsid w:val="00B77842"/>
    <w:rsid w:val="00B843F4"/>
    <w:rsid w:val="00B851A8"/>
    <w:rsid w:val="00B8794B"/>
    <w:rsid w:val="00B9033D"/>
    <w:rsid w:val="00B9036F"/>
    <w:rsid w:val="00B91695"/>
    <w:rsid w:val="00B926B7"/>
    <w:rsid w:val="00B93366"/>
    <w:rsid w:val="00B93F53"/>
    <w:rsid w:val="00B96E0E"/>
    <w:rsid w:val="00B96F08"/>
    <w:rsid w:val="00BA004E"/>
    <w:rsid w:val="00BA115E"/>
    <w:rsid w:val="00BA2968"/>
    <w:rsid w:val="00BA4081"/>
    <w:rsid w:val="00BA5784"/>
    <w:rsid w:val="00BA645F"/>
    <w:rsid w:val="00BA757F"/>
    <w:rsid w:val="00BB0F4E"/>
    <w:rsid w:val="00BB19D8"/>
    <w:rsid w:val="00BB1F04"/>
    <w:rsid w:val="00BB296A"/>
    <w:rsid w:val="00BB2A69"/>
    <w:rsid w:val="00BB30E0"/>
    <w:rsid w:val="00BB4006"/>
    <w:rsid w:val="00BB45AC"/>
    <w:rsid w:val="00BB5650"/>
    <w:rsid w:val="00BB679E"/>
    <w:rsid w:val="00BB7FBA"/>
    <w:rsid w:val="00BC015F"/>
    <w:rsid w:val="00BC0789"/>
    <w:rsid w:val="00BC1364"/>
    <w:rsid w:val="00BC39F2"/>
    <w:rsid w:val="00BD024B"/>
    <w:rsid w:val="00BD2A7D"/>
    <w:rsid w:val="00BD2F13"/>
    <w:rsid w:val="00BD3218"/>
    <w:rsid w:val="00BD3B34"/>
    <w:rsid w:val="00BD3C35"/>
    <w:rsid w:val="00BD3EBC"/>
    <w:rsid w:val="00BD495D"/>
    <w:rsid w:val="00BD4B61"/>
    <w:rsid w:val="00BD594B"/>
    <w:rsid w:val="00BD5D70"/>
    <w:rsid w:val="00BD65F5"/>
    <w:rsid w:val="00BE1C88"/>
    <w:rsid w:val="00BE2D93"/>
    <w:rsid w:val="00BE67C3"/>
    <w:rsid w:val="00BE75D7"/>
    <w:rsid w:val="00BF0F02"/>
    <w:rsid w:val="00BF2B30"/>
    <w:rsid w:val="00BF2EEB"/>
    <w:rsid w:val="00BF349C"/>
    <w:rsid w:val="00BF3E5C"/>
    <w:rsid w:val="00BF42B8"/>
    <w:rsid w:val="00BF67D4"/>
    <w:rsid w:val="00C008B1"/>
    <w:rsid w:val="00C00FB5"/>
    <w:rsid w:val="00C01E12"/>
    <w:rsid w:val="00C0307A"/>
    <w:rsid w:val="00C03F5F"/>
    <w:rsid w:val="00C04C8C"/>
    <w:rsid w:val="00C053BD"/>
    <w:rsid w:val="00C063CD"/>
    <w:rsid w:val="00C067D1"/>
    <w:rsid w:val="00C11A40"/>
    <w:rsid w:val="00C11A68"/>
    <w:rsid w:val="00C11CDD"/>
    <w:rsid w:val="00C1362E"/>
    <w:rsid w:val="00C13914"/>
    <w:rsid w:val="00C15338"/>
    <w:rsid w:val="00C15E16"/>
    <w:rsid w:val="00C16614"/>
    <w:rsid w:val="00C179FD"/>
    <w:rsid w:val="00C21549"/>
    <w:rsid w:val="00C21B48"/>
    <w:rsid w:val="00C225E5"/>
    <w:rsid w:val="00C2376E"/>
    <w:rsid w:val="00C25493"/>
    <w:rsid w:val="00C27920"/>
    <w:rsid w:val="00C30B23"/>
    <w:rsid w:val="00C3171F"/>
    <w:rsid w:val="00C320A4"/>
    <w:rsid w:val="00C330DB"/>
    <w:rsid w:val="00C331FF"/>
    <w:rsid w:val="00C36CB9"/>
    <w:rsid w:val="00C378B3"/>
    <w:rsid w:val="00C37D93"/>
    <w:rsid w:val="00C401FF"/>
    <w:rsid w:val="00C42388"/>
    <w:rsid w:val="00C428E5"/>
    <w:rsid w:val="00C50A28"/>
    <w:rsid w:val="00C52567"/>
    <w:rsid w:val="00C529DA"/>
    <w:rsid w:val="00C53ECD"/>
    <w:rsid w:val="00C5405A"/>
    <w:rsid w:val="00C5557F"/>
    <w:rsid w:val="00C565F5"/>
    <w:rsid w:val="00C56733"/>
    <w:rsid w:val="00C5684E"/>
    <w:rsid w:val="00C56A65"/>
    <w:rsid w:val="00C56AFC"/>
    <w:rsid w:val="00C60CB9"/>
    <w:rsid w:val="00C61C6E"/>
    <w:rsid w:val="00C61FFA"/>
    <w:rsid w:val="00C628FB"/>
    <w:rsid w:val="00C62975"/>
    <w:rsid w:val="00C6488B"/>
    <w:rsid w:val="00C652D4"/>
    <w:rsid w:val="00C71E44"/>
    <w:rsid w:val="00C72625"/>
    <w:rsid w:val="00C740EE"/>
    <w:rsid w:val="00C74549"/>
    <w:rsid w:val="00C76A97"/>
    <w:rsid w:val="00C774D7"/>
    <w:rsid w:val="00C77922"/>
    <w:rsid w:val="00C80820"/>
    <w:rsid w:val="00C82E80"/>
    <w:rsid w:val="00C83AB6"/>
    <w:rsid w:val="00C845E5"/>
    <w:rsid w:val="00C86D85"/>
    <w:rsid w:val="00C91C37"/>
    <w:rsid w:val="00C9251D"/>
    <w:rsid w:val="00C95027"/>
    <w:rsid w:val="00C9628C"/>
    <w:rsid w:val="00C9796D"/>
    <w:rsid w:val="00C97AC1"/>
    <w:rsid w:val="00CA244D"/>
    <w:rsid w:val="00CA4194"/>
    <w:rsid w:val="00CA6D0F"/>
    <w:rsid w:val="00CA70C3"/>
    <w:rsid w:val="00CB29EB"/>
    <w:rsid w:val="00CB2CB9"/>
    <w:rsid w:val="00CB6539"/>
    <w:rsid w:val="00CB6880"/>
    <w:rsid w:val="00CB7364"/>
    <w:rsid w:val="00CC0383"/>
    <w:rsid w:val="00CC046F"/>
    <w:rsid w:val="00CC1C41"/>
    <w:rsid w:val="00CC2BEF"/>
    <w:rsid w:val="00CC34BE"/>
    <w:rsid w:val="00CC6A66"/>
    <w:rsid w:val="00CC7C3C"/>
    <w:rsid w:val="00CD323C"/>
    <w:rsid w:val="00CD4D62"/>
    <w:rsid w:val="00CD641C"/>
    <w:rsid w:val="00CD7F2F"/>
    <w:rsid w:val="00CE6C17"/>
    <w:rsid w:val="00CF26F9"/>
    <w:rsid w:val="00CF2AD9"/>
    <w:rsid w:val="00CF2B67"/>
    <w:rsid w:val="00CF2E20"/>
    <w:rsid w:val="00CF6446"/>
    <w:rsid w:val="00CF6C6F"/>
    <w:rsid w:val="00CF7573"/>
    <w:rsid w:val="00CF7D2C"/>
    <w:rsid w:val="00D01230"/>
    <w:rsid w:val="00D016E1"/>
    <w:rsid w:val="00D01FFC"/>
    <w:rsid w:val="00D04316"/>
    <w:rsid w:val="00D0443E"/>
    <w:rsid w:val="00D04D38"/>
    <w:rsid w:val="00D07555"/>
    <w:rsid w:val="00D10C13"/>
    <w:rsid w:val="00D11FAA"/>
    <w:rsid w:val="00D201B1"/>
    <w:rsid w:val="00D21870"/>
    <w:rsid w:val="00D2345D"/>
    <w:rsid w:val="00D25D4C"/>
    <w:rsid w:val="00D25F24"/>
    <w:rsid w:val="00D31398"/>
    <w:rsid w:val="00D32DDB"/>
    <w:rsid w:val="00D34EE7"/>
    <w:rsid w:val="00D372FD"/>
    <w:rsid w:val="00D37BC5"/>
    <w:rsid w:val="00D413CE"/>
    <w:rsid w:val="00D472D9"/>
    <w:rsid w:val="00D512C5"/>
    <w:rsid w:val="00D51315"/>
    <w:rsid w:val="00D56B96"/>
    <w:rsid w:val="00D56BFE"/>
    <w:rsid w:val="00D56E29"/>
    <w:rsid w:val="00D576E8"/>
    <w:rsid w:val="00D611AB"/>
    <w:rsid w:val="00D61488"/>
    <w:rsid w:val="00D62579"/>
    <w:rsid w:val="00D625BB"/>
    <w:rsid w:val="00D63B4A"/>
    <w:rsid w:val="00D65070"/>
    <w:rsid w:val="00D66243"/>
    <w:rsid w:val="00D678E6"/>
    <w:rsid w:val="00D7034A"/>
    <w:rsid w:val="00D705A8"/>
    <w:rsid w:val="00D706DF"/>
    <w:rsid w:val="00D72DAF"/>
    <w:rsid w:val="00D75ADE"/>
    <w:rsid w:val="00D80264"/>
    <w:rsid w:val="00D823C9"/>
    <w:rsid w:val="00D83C60"/>
    <w:rsid w:val="00D851C5"/>
    <w:rsid w:val="00D866BC"/>
    <w:rsid w:val="00D87487"/>
    <w:rsid w:val="00D901BF"/>
    <w:rsid w:val="00D922D7"/>
    <w:rsid w:val="00D95F91"/>
    <w:rsid w:val="00D97089"/>
    <w:rsid w:val="00D97C9E"/>
    <w:rsid w:val="00DA0665"/>
    <w:rsid w:val="00DA2129"/>
    <w:rsid w:val="00DA2813"/>
    <w:rsid w:val="00DA5B94"/>
    <w:rsid w:val="00DA698E"/>
    <w:rsid w:val="00DB37E7"/>
    <w:rsid w:val="00DB5395"/>
    <w:rsid w:val="00DB572C"/>
    <w:rsid w:val="00DB6074"/>
    <w:rsid w:val="00DB66BE"/>
    <w:rsid w:val="00DB685D"/>
    <w:rsid w:val="00DB6BED"/>
    <w:rsid w:val="00DB7FA3"/>
    <w:rsid w:val="00DC2A83"/>
    <w:rsid w:val="00DC3F91"/>
    <w:rsid w:val="00DC5E55"/>
    <w:rsid w:val="00DC7317"/>
    <w:rsid w:val="00DD2114"/>
    <w:rsid w:val="00DD39CA"/>
    <w:rsid w:val="00DD4217"/>
    <w:rsid w:val="00DD5895"/>
    <w:rsid w:val="00DD7592"/>
    <w:rsid w:val="00DE07DF"/>
    <w:rsid w:val="00DE114C"/>
    <w:rsid w:val="00DE1A28"/>
    <w:rsid w:val="00DE20A5"/>
    <w:rsid w:val="00DE2EC2"/>
    <w:rsid w:val="00DE60C9"/>
    <w:rsid w:val="00DE7675"/>
    <w:rsid w:val="00DF057D"/>
    <w:rsid w:val="00DF07AB"/>
    <w:rsid w:val="00DF159F"/>
    <w:rsid w:val="00DF2366"/>
    <w:rsid w:val="00DF3FC5"/>
    <w:rsid w:val="00DF45C5"/>
    <w:rsid w:val="00DF5831"/>
    <w:rsid w:val="00E06398"/>
    <w:rsid w:val="00E102D5"/>
    <w:rsid w:val="00E11A96"/>
    <w:rsid w:val="00E1388F"/>
    <w:rsid w:val="00E14517"/>
    <w:rsid w:val="00E14EFB"/>
    <w:rsid w:val="00E1578B"/>
    <w:rsid w:val="00E16424"/>
    <w:rsid w:val="00E1736F"/>
    <w:rsid w:val="00E20EFE"/>
    <w:rsid w:val="00E20F3B"/>
    <w:rsid w:val="00E26257"/>
    <w:rsid w:val="00E306BA"/>
    <w:rsid w:val="00E33041"/>
    <w:rsid w:val="00E36332"/>
    <w:rsid w:val="00E36B9C"/>
    <w:rsid w:val="00E434EB"/>
    <w:rsid w:val="00E44882"/>
    <w:rsid w:val="00E45CA0"/>
    <w:rsid w:val="00E47444"/>
    <w:rsid w:val="00E47801"/>
    <w:rsid w:val="00E52740"/>
    <w:rsid w:val="00E55F12"/>
    <w:rsid w:val="00E57C29"/>
    <w:rsid w:val="00E61DED"/>
    <w:rsid w:val="00E61FD4"/>
    <w:rsid w:val="00E62187"/>
    <w:rsid w:val="00E62656"/>
    <w:rsid w:val="00E6335D"/>
    <w:rsid w:val="00E63508"/>
    <w:rsid w:val="00E66052"/>
    <w:rsid w:val="00E73075"/>
    <w:rsid w:val="00E73630"/>
    <w:rsid w:val="00E75956"/>
    <w:rsid w:val="00E76004"/>
    <w:rsid w:val="00E771C2"/>
    <w:rsid w:val="00E8155F"/>
    <w:rsid w:val="00E8264B"/>
    <w:rsid w:val="00E83720"/>
    <w:rsid w:val="00E862ED"/>
    <w:rsid w:val="00E8681A"/>
    <w:rsid w:val="00E9179F"/>
    <w:rsid w:val="00E91A8B"/>
    <w:rsid w:val="00E91CFD"/>
    <w:rsid w:val="00E9373D"/>
    <w:rsid w:val="00E96A31"/>
    <w:rsid w:val="00EA0456"/>
    <w:rsid w:val="00EA0562"/>
    <w:rsid w:val="00EA14F6"/>
    <w:rsid w:val="00EA2435"/>
    <w:rsid w:val="00EA2984"/>
    <w:rsid w:val="00EA42C3"/>
    <w:rsid w:val="00EA4F4D"/>
    <w:rsid w:val="00EB3F53"/>
    <w:rsid w:val="00EB40A9"/>
    <w:rsid w:val="00EB63FE"/>
    <w:rsid w:val="00EC190F"/>
    <w:rsid w:val="00EC680B"/>
    <w:rsid w:val="00EC7BAD"/>
    <w:rsid w:val="00ED0805"/>
    <w:rsid w:val="00ED172F"/>
    <w:rsid w:val="00ED3D14"/>
    <w:rsid w:val="00ED4EBD"/>
    <w:rsid w:val="00ED661D"/>
    <w:rsid w:val="00EE01D8"/>
    <w:rsid w:val="00EE122E"/>
    <w:rsid w:val="00EE1A07"/>
    <w:rsid w:val="00EE1A68"/>
    <w:rsid w:val="00EE2F49"/>
    <w:rsid w:val="00EF202A"/>
    <w:rsid w:val="00EF2636"/>
    <w:rsid w:val="00EF43C6"/>
    <w:rsid w:val="00F0375A"/>
    <w:rsid w:val="00F06E81"/>
    <w:rsid w:val="00F07990"/>
    <w:rsid w:val="00F07CB0"/>
    <w:rsid w:val="00F152D8"/>
    <w:rsid w:val="00F16A9E"/>
    <w:rsid w:val="00F1716D"/>
    <w:rsid w:val="00F20593"/>
    <w:rsid w:val="00F2209C"/>
    <w:rsid w:val="00F2425E"/>
    <w:rsid w:val="00F2660F"/>
    <w:rsid w:val="00F2668C"/>
    <w:rsid w:val="00F273E5"/>
    <w:rsid w:val="00F2776F"/>
    <w:rsid w:val="00F30989"/>
    <w:rsid w:val="00F32829"/>
    <w:rsid w:val="00F3353C"/>
    <w:rsid w:val="00F33FC6"/>
    <w:rsid w:val="00F35DC5"/>
    <w:rsid w:val="00F37114"/>
    <w:rsid w:val="00F37630"/>
    <w:rsid w:val="00F438BD"/>
    <w:rsid w:val="00F43ACD"/>
    <w:rsid w:val="00F4517B"/>
    <w:rsid w:val="00F4688E"/>
    <w:rsid w:val="00F46BA8"/>
    <w:rsid w:val="00F477C9"/>
    <w:rsid w:val="00F5094C"/>
    <w:rsid w:val="00F56A98"/>
    <w:rsid w:val="00F577CC"/>
    <w:rsid w:val="00F600B5"/>
    <w:rsid w:val="00F611D5"/>
    <w:rsid w:val="00F613E0"/>
    <w:rsid w:val="00F623B3"/>
    <w:rsid w:val="00F626F4"/>
    <w:rsid w:val="00F63BBE"/>
    <w:rsid w:val="00F648BC"/>
    <w:rsid w:val="00F671D9"/>
    <w:rsid w:val="00F67246"/>
    <w:rsid w:val="00F67AA2"/>
    <w:rsid w:val="00F70399"/>
    <w:rsid w:val="00F7109B"/>
    <w:rsid w:val="00F744D1"/>
    <w:rsid w:val="00F7468B"/>
    <w:rsid w:val="00F76C99"/>
    <w:rsid w:val="00F80C02"/>
    <w:rsid w:val="00F81687"/>
    <w:rsid w:val="00F834B1"/>
    <w:rsid w:val="00F83EBE"/>
    <w:rsid w:val="00F85833"/>
    <w:rsid w:val="00F9153B"/>
    <w:rsid w:val="00F927A2"/>
    <w:rsid w:val="00F968E9"/>
    <w:rsid w:val="00F96C5D"/>
    <w:rsid w:val="00F97B57"/>
    <w:rsid w:val="00F97DDE"/>
    <w:rsid w:val="00FA0A99"/>
    <w:rsid w:val="00FA198A"/>
    <w:rsid w:val="00FA3555"/>
    <w:rsid w:val="00FA3B9B"/>
    <w:rsid w:val="00FA4525"/>
    <w:rsid w:val="00FA5974"/>
    <w:rsid w:val="00FA59CA"/>
    <w:rsid w:val="00FA65DA"/>
    <w:rsid w:val="00FB0744"/>
    <w:rsid w:val="00FB0848"/>
    <w:rsid w:val="00FB1F6C"/>
    <w:rsid w:val="00FB33EB"/>
    <w:rsid w:val="00FB3938"/>
    <w:rsid w:val="00FB44CA"/>
    <w:rsid w:val="00FB750C"/>
    <w:rsid w:val="00FC11D3"/>
    <w:rsid w:val="00FC2BA1"/>
    <w:rsid w:val="00FC43A7"/>
    <w:rsid w:val="00FC4B86"/>
    <w:rsid w:val="00FC61B8"/>
    <w:rsid w:val="00FC6F94"/>
    <w:rsid w:val="00FD0BC8"/>
    <w:rsid w:val="00FD1088"/>
    <w:rsid w:val="00FD15E9"/>
    <w:rsid w:val="00FD1CC4"/>
    <w:rsid w:val="00FD1D31"/>
    <w:rsid w:val="00FD3979"/>
    <w:rsid w:val="00FD4068"/>
    <w:rsid w:val="00FD6007"/>
    <w:rsid w:val="00FD6028"/>
    <w:rsid w:val="00FD6279"/>
    <w:rsid w:val="00FD6B28"/>
    <w:rsid w:val="00FD7447"/>
    <w:rsid w:val="00FE1718"/>
    <w:rsid w:val="00FE56C3"/>
    <w:rsid w:val="00FE5CE4"/>
    <w:rsid w:val="00FE5F1E"/>
    <w:rsid w:val="00FE7185"/>
    <w:rsid w:val="00FF095D"/>
    <w:rsid w:val="00FF0A14"/>
    <w:rsid w:val="00FF195F"/>
    <w:rsid w:val="00FF1E36"/>
    <w:rsid w:val="00FF54E4"/>
    <w:rsid w:val="00FF6E9E"/>
    <w:rsid w:val="00FF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AD1842"/>
  <w15:docId w15:val="{DCDDACF1-AD0B-48D9-B104-9A83AAE3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0F07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table" w:customStyle="1" w:styleId="GridTable4-Accent11">
    <w:name w:val="Grid Table 4 - Accent 11"/>
    <w:basedOn w:val="TableNormal"/>
    <w:uiPriority w:val="49"/>
    <w:rsid w:val="00CF2B67"/>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Caption">
    <w:name w:val="caption"/>
    <w:basedOn w:val="Normal"/>
    <w:next w:val="Normal"/>
    <w:uiPriority w:val="35"/>
    <w:unhideWhenUsed/>
    <w:qFormat/>
    <w:rsid w:val="00F7468B"/>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2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F5"/>
  </w:style>
  <w:style w:type="character" w:styleId="Hyperlink">
    <w:name w:val="Hyperlink"/>
    <w:basedOn w:val="DefaultParagraphFont"/>
    <w:uiPriority w:val="99"/>
    <w:unhideWhenUsed/>
    <w:rsid w:val="00D10C13"/>
    <w:rPr>
      <w:color w:val="0563C1" w:themeColor="hyperlink"/>
      <w:u w:val="single"/>
    </w:rPr>
  </w:style>
  <w:style w:type="character" w:styleId="UnresolvedMention">
    <w:name w:val="Unresolved Mention"/>
    <w:basedOn w:val="DefaultParagraphFont"/>
    <w:uiPriority w:val="99"/>
    <w:semiHidden/>
    <w:unhideWhenUsed/>
    <w:rsid w:val="00D10C13"/>
    <w:rPr>
      <w:color w:val="605E5C"/>
      <w:shd w:val="clear" w:color="auto" w:fill="E1DFDD"/>
    </w:rPr>
  </w:style>
  <w:style w:type="paragraph" w:styleId="EndnoteText">
    <w:name w:val="endnote text"/>
    <w:basedOn w:val="Normal"/>
    <w:link w:val="EndnoteTextChar"/>
    <w:uiPriority w:val="99"/>
    <w:semiHidden/>
    <w:unhideWhenUsed/>
    <w:rsid w:val="001925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500"/>
    <w:rPr>
      <w:sz w:val="20"/>
      <w:szCs w:val="20"/>
    </w:rPr>
  </w:style>
  <w:style w:type="character" w:styleId="EndnoteReference">
    <w:name w:val="endnote reference"/>
    <w:basedOn w:val="DefaultParagraphFont"/>
    <w:uiPriority w:val="99"/>
    <w:semiHidden/>
    <w:unhideWhenUsed/>
    <w:rsid w:val="00192500"/>
    <w:rPr>
      <w:vertAlign w:val="superscript"/>
    </w:rPr>
  </w:style>
  <w:style w:type="character" w:customStyle="1" w:styleId="Heading1Char">
    <w:name w:val="Heading 1 Char"/>
    <w:basedOn w:val="DefaultParagraphFont"/>
    <w:link w:val="Heading1"/>
    <w:uiPriority w:val="9"/>
    <w:rsid w:val="000F072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C0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F2"/>
    <w:rPr>
      <w:rFonts w:ascii="Segoe UI" w:hAnsi="Segoe UI" w:cs="Segoe UI"/>
      <w:sz w:val="18"/>
      <w:szCs w:val="18"/>
    </w:rPr>
  </w:style>
  <w:style w:type="paragraph" w:styleId="Revision">
    <w:name w:val="Revision"/>
    <w:hidden/>
    <w:uiPriority w:val="99"/>
    <w:semiHidden/>
    <w:rsid w:val="000471B4"/>
    <w:pPr>
      <w:spacing w:after="0" w:line="240" w:lineRule="auto"/>
    </w:pPr>
  </w:style>
  <w:style w:type="table" w:customStyle="1" w:styleId="TableGrid1">
    <w:name w:val="Table Grid1"/>
    <w:basedOn w:val="TableNormal"/>
    <w:next w:val="TableGrid"/>
    <w:uiPriority w:val="39"/>
    <w:rsid w:val="00A37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2A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2358">
      <w:bodyDiv w:val="1"/>
      <w:marLeft w:val="0"/>
      <w:marRight w:val="0"/>
      <w:marTop w:val="0"/>
      <w:marBottom w:val="0"/>
      <w:divBdr>
        <w:top w:val="none" w:sz="0" w:space="0" w:color="auto"/>
        <w:left w:val="none" w:sz="0" w:space="0" w:color="auto"/>
        <w:bottom w:val="none" w:sz="0" w:space="0" w:color="auto"/>
        <w:right w:val="none" w:sz="0" w:space="0" w:color="auto"/>
      </w:divBdr>
      <w:divsChild>
        <w:div w:id="435173763">
          <w:marLeft w:val="0"/>
          <w:marRight w:val="0"/>
          <w:marTop w:val="0"/>
          <w:marBottom w:val="0"/>
          <w:divBdr>
            <w:top w:val="none" w:sz="0" w:space="0" w:color="auto"/>
            <w:left w:val="none" w:sz="0" w:space="0" w:color="auto"/>
            <w:bottom w:val="none" w:sz="0" w:space="0" w:color="auto"/>
            <w:right w:val="none" w:sz="0" w:space="0" w:color="auto"/>
          </w:divBdr>
        </w:div>
        <w:div w:id="1009864946">
          <w:marLeft w:val="0"/>
          <w:marRight w:val="0"/>
          <w:marTop w:val="75"/>
          <w:marBottom w:val="0"/>
          <w:divBdr>
            <w:top w:val="none" w:sz="0" w:space="0" w:color="auto"/>
            <w:left w:val="none" w:sz="0" w:space="0" w:color="auto"/>
            <w:bottom w:val="none" w:sz="0" w:space="0" w:color="auto"/>
            <w:right w:val="none" w:sz="0" w:space="0" w:color="auto"/>
          </w:divBdr>
        </w:div>
        <w:div w:id="1871333219">
          <w:marLeft w:val="0"/>
          <w:marRight w:val="0"/>
          <w:marTop w:val="75"/>
          <w:marBottom w:val="0"/>
          <w:divBdr>
            <w:top w:val="none" w:sz="0" w:space="0" w:color="auto"/>
            <w:left w:val="none" w:sz="0" w:space="0" w:color="auto"/>
            <w:bottom w:val="none" w:sz="0" w:space="0" w:color="auto"/>
            <w:right w:val="none" w:sz="0" w:space="0" w:color="auto"/>
          </w:divBdr>
        </w:div>
      </w:divsChild>
    </w:div>
    <w:div w:id="352222936">
      <w:bodyDiv w:val="1"/>
      <w:marLeft w:val="0"/>
      <w:marRight w:val="0"/>
      <w:marTop w:val="0"/>
      <w:marBottom w:val="0"/>
      <w:divBdr>
        <w:top w:val="none" w:sz="0" w:space="0" w:color="auto"/>
        <w:left w:val="none" w:sz="0" w:space="0" w:color="auto"/>
        <w:bottom w:val="none" w:sz="0" w:space="0" w:color="auto"/>
        <w:right w:val="none" w:sz="0" w:space="0" w:color="auto"/>
      </w:divBdr>
    </w:div>
    <w:div w:id="519241818">
      <w:bodyDiv w:val="1"/>
      <w:marLeft w:val="0"/>
      <w:marRight w:val="0"/>
      <w:marTop w:val="0"/>
      <w:marBottom w:val="0"/>
      <w:divBdr>
        <w:top w:val="none" w:sz="0" w:space="0" w:color="auto"/>
        <w:left w:val="none" w:sz="0" w:space="0" w:color="auto"/>
        <w:bottom w:val="none" w:sz="0" w:space="0" w:color="auto"/>
        <w:right w:val="none" w:sz="0" w:space="0" w:color="auto"/>
      </w:divBdr>
    </w:div>
    <w:div w:id="1380401142">
      <w:bodyDiv w:val="1"/>
      <w:marLeft w:val="0"/>
      <w:marRight w:val="0"/>
      <w:marTop w:val="0"/>
      <w:marBottom w:val="0"/>
      <w:divBdr>
        <w:top w:val="none" w:sz="0" w:space="0" w:color="auto"/>
        <w:left w:val="none" w:sz="0" w:space="0" w:color="auto"/>
        <w:bottom w:val="none" w:sz="0" w:space="0" w:color="auto"/>
        <w:right w:val="none" w:sz="0" w:space="0" w:color="auto"/>
      </w:divBdr>
      <w:divsChild>
        <w:div w:id="479074304">
          <w:marLeft w:val="0"/>
          <w:marRight w:val="0"/>
          <w:marTop w:val="75"/>
          <w:marBottom w:val="0"/>
          <w:divBdr>
            <w:top w:val="none" w:sz="0" w:space="0" w:color="auto"/>
            <w:left w:val="none" w:sz="0" w:space="0" w:color="auto"/>
            <w:bottom w:val="none" w:sz="0" w:space="0" w:color="auto"/>
            <w:right w:val="none" w:sz="0" w:space="0" w:color="auto"/>
          </w:divBdr>
        </w:div>
        <w:div w:id="1879272329">
          <w:marLeft w:val="0"/>
          <w:marRight w:val="0"/>
          <w:marTop w:val="75"/>
          <w:marBottom w:val="0"/>
          <w:divBdr>
            <w:top w:val="none" w:sz="0" w:space="0" w:color="auto"/>
            <w:left w:val="none" w:sz="0" w:space="0" w:color="auto"/>
            <w:bottom w:val="none" w:sz="0" w:space="0" w:color="auto"/>
            <w:right w:val="none" w:sz="0" w:space="0" w:color="auto"/>
          </w:divBdr>
        </w:div>
        <w:div w:id="2043624412">
          <w:marLeft w:val="0"/>
          <w:marRight w:val="0"/>
          <w:marTop w:val="0"/>
          <w:marBottom w:val="0"/>
          <w:divBdr>
            <w:top w:val="none" w:sz="0" w:space="0" w:color="auto"/>
            <w:left w:val="none" w:sz="0" w:space="0" w:color="auto"/>
            <w:bottom w:val="none" w:sz="0" w:space="0" w:color="auto"/>
            <w:right w:val="none" w:sz="0" w:space="0" w:color="auto"/>
          </w:divBdr>
        </w:div>
      </w:divsChild>
    </w:div>
    <w:div w:id="1627735690">
      <w:bodyDiv w:val="1"/>
      <w:marLeft w:val="0"/>
      <w:marRight w:val="0"/>
      <w:marTop w:val="0"/>
      <w:marBottom w:val="0"/>
      <w:divBdr>
        <w:top w:val="none" w:sz="0" w:space="0" w:color="auto"/>
        <w:left w:val="none" w:sz="0" w:space="0" w:color="auto"/>
        <w:bottom w:val="none" w:sz="0" w:space="0" w:color="auto"/>
        <w:right w:val="none" w:sz="0" w:space="0" w:color="auto"/>
      </w:divBdr>
    </w:div>
    <w:div w:id="1840385403">
      <w:bodyDiv w:val="1"/>
      <w:marLeft w:val="0"/>
      <w:marRight w:val="0"/>
      <w:marTop w:val="0"/>
      <w:marBottom w:val="0"/>
      <w:divBdr>
        <w:top w:val="none" w:sz="0" w:space="0" w:color="auto"/>
        <w:left w:val="none" w:sz="0" w:space="0" w:color="auto"/>
        <w:bottom w:val="none" w:sz="0" w:space="0" w:color="auto"/>
        <w:right w:val="none" w:sz="0" w:space="0" w:color="auto"/>
      </w:divBdr>
    </w:div>
    <w:div w:id="2056470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bidneedham.org/writable/files/Needham-CHNA-Report.pdf" TargetMode="External"/><Relationship Id="rId2" Type="http://schemas.openxmlformats.org/officeDocument/2006/relationships/hyperlink" Target="https://www.chiamass.gov/assets/docs/r/hospital-profiles/2020/hospital-health-systems/Beth-Israel-Lahey.pdf" TargetMode="External"/><Relationship Id="rId1" Type="http://schemas.openxmlformats.org/officeDocument/2006/relationships/hyperlink" Target="https://www.chiamass.gov/assets/docs/r/hospital-profiles/2019/FY19-Massachusetts-Hospital-Profiles-Technical-Appendix.pdf" TargetMode="External"/><Relationship Id="rId4" Type="http://schemas.openxmlformats.org/officeDocument/2006/relationships/hyperlink" Target="https://www.cdc.gov/stroke/index.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mass.gov/info-details/designated-primary-stroke-services-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165ea960078262fa8a7f0ac1c7ca937b">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6d1a749b0ddad8e2d66487aff0075ad9"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8D588-6691-45E2-819A-A16C4C21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FAE7C5-ABAD-4661-BE59-17656C8CD6DE}">
  <ds:schemaRefs>
    <ds:schemaRef ds:uri="http://schemas.microsoft.com/sharepoint/v3/contenttype/forms"/>
  </ds:schemaRefs>
</ds:datastoreItem>
</file>

<file path=customXml/itemProps3.xml><?xml version="1.0" encoding="utf-8"?>
<ds:datastoreItem xmlns:ds="http://schemas.openxmlformats.org/officeDocument/2006/customXml" ds:itemID="{5C909B30-0B11-467C-BB8E-1A08F6D9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26</Pages>
  <Words>8354</Words>
  <Characters>47619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65</cp:revision>
  <cp:lastPrinted>2022-05-18T16:44:00Z</cp:lastPrinted>
  <dcterms:created xsi:type="dcterms:W3CDTF">2022-05-18T14:51:00Z</dcterms:created>
  <dcterms:modified xsi:type="dcterms:W3CDTF">2022-06-13T13:32:00Z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