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F9661" w14:textId="77777777" w:rsidR="001626F0" w:rsidRDefault="001626F0" w:rsidP="00C62459">
      <w:pPr>
        <w:spacing w:after="0" w:line="240" w:lineRule="auto"/>
        <w:rPr>
          <w:b/>
          <w:bCs/>
          <w:sz w:val="24"/>
          <w:szCs w:val="24"/>
        </w:rPr>
      </w:pPr>
    </w:p>
    <w:p w14:paraId="0E27B753" w14:textId="77777777" w:rsidR="001626F0" w:rsidRDefault="001626F0" w:rsidP="00C62459">
      <w:pPr>
        <w:spacing w:after="0" w:line="240" w:lineRule="auto"/>
        <w:rPr>
          <w:b/>
          <w:bCs/>
          <w:sz w:val="24"/>
          <w:szCs w:val="24"/>
        </w:rPr>
      </w:pPr>
    </w:p>
    <w:p w14:paraId="28D9001B" w14:textId="77777777" w:rsidR="001626F0" w:rsidRDefault="001626F0" w:rsidP="00C62459">
      <w:pPr>
        <w:spacing w:after="0" w:line="240" w:lineRule="auto"/>
        <w:rPr>
          <w:b/>
          <w:bCs/>
          <w:sz w:val="24"/>
          <w:szCs w:val="24"/>
        </w:rPr>
      </w:pPr>
    </w:p>
    <w:p w14:paraId="39B36276" w14:textId="77777777" w:rsidR="001626F0" w:rsidRDefault="001626F0" w:rsidP="00C62459">
      <w:pPr>
        <w:spacing w:after="0" w:line="240" w:lineRule="auto"/>
        <w:rPr>
          <w:b/>
          <w:bCs/>
          <w:sz w:val="24"/>
          <w:szCs w:val="24"/>
        </w:rPr>
      </w:pPr>
    </w:p>
    <w:p w14:paraId="5617A8A7" w14:textId="77777777" w:rsidR="001626F0" w:rsidRDefault="001626F0" w:rsidP="00C62459">
      <w:pPr>
        <w:spacing w:after="0" w:line="240" w:lineRule="auto"/>
        <w:rPr>
          <w:b/>
          <w:bCs/>
          <w:sz w:val="24"/>
          <w:szCs w:val="24"/>
        </w:rPr>
      </w:pPr>
    </w:p>
    <w:p w14:paraId="00448350" w14:textId="77777777" w:rsidR="001626F0" w:rsidRDefault="001626F0" w:rsidP="00C62459">
      <w:pPr>
        <w:spacing w:after="0" w:line="240" w:lineRule="auto"/>
        <w:rPr>
          <w:b/>
          <w:bCs/>
          <w:sz w:val="24"/>
          <w:szCs w:val="24"/>
        </w:rPr>
      </w:pPr>
    </w:p>
    <w:p w14:paraId="26E8F1B8" w14:textId="77777777" w:rsidR="001626F0" w:rsidRDefault="001626F0" w:rsidP="00C62459">
      <w:pPr>
        <w:spacing w:after="0" w:line="240" w:lineRule="auto"/>
        <w:rPr>
          <w:b/>
          <w:bCs/>
          <w:sz w:val="24"/>
          <w:szCs w:val="24"/>
        </w:rPr>
      </w:pPr>
    </w:p>
    <w:p w14:paraId="4BF31FCD" w14:textId="77777777" w:rsidR="001626F0" w:rsidRDefault="001626F0" w:rsidP="00C62459">
      <w:pPr>
        <w:spacing w:after="0" w:line="240" w:lineRule="auto"/>
        <w:rPr>
          <w:b/>
          <w:bCs/>
          <w:sz w:val="24"/>
          <w:szCs w:val="24"/>
        </w:rPr>
      </w:pPr>
    </w:p>
    <w:p w14:paraId="3384628B" w14:textId="77777777" w:rsidR="001626F0" w:rsidRDefault="001626F0" w:rsidP="00C62459">
      <w:pPr>
        <w:spacing w:after="0" w:line="240" w:lineRule="auto"/>
        <w:rPr>
          <w:b/>
          <w:bCs/>
          <w:sz w:val="24"/>
          <w:szCs w:val="24"/>
        </w:rPr>
      </w:pPr>
    </w:p>
    <w:p w14:paraId="43A2DAD8" w14:textId="77777777" w:rsidR="001626F0" w:rsidRDefault="001626F0" w:rsidP="00C62459">
      <w:pPr>
        <w:spacing w:after="0" w:line="240" w:lineRule="auto"/>
        <w:rPr>
          <w:b/>
          <w:bCs/>
          <w:sz w:val="24"/>
          <w:szCs w:val="24"/>
        </w:rPr>
      </w:pPr>
    </w:p>
    <w:p w14:paraId="2E379844" w14:textId="77777777" w:rsidR="001626F0" w:rsidRDefault="001626F0" w:rsidP="00C62459">
      <w:pPr>
        <w:spacing w:after="0" w:line="240" w:lineRule="auto"/>
        <w:rPr>
          <w:b/>
          <w:bCs/>
          <w:sz w:val="24"/>
          <w:szCs w:val="24"/>
        </w:rPr>
      </w:pPr>
    </w:p>
    <w:tbl>
      <w:tblPr>
        <w:tblStyle w:val="TableGrid"/>
        <w:tblpPr w:leftFromText="180" w:rightFromText="180" w:vertAnchor="page" w:horzAnchor="margin" w:tblpXSpec="center" w:tblpY="1531"/>
        <w:tblW w:w="9445" w:type="dxa"/>
        <w:jc w:val="center"/>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hields PET-CT at &#10;Heywood Healthcare, LLC&#10;Applicant Address  700 Congress Street, Suite 204&#10;Quincy, MA 02169 &#10;Filing Date July 29, 2021&#10;Type of DoN Application Substantial Change in Service – &#10;DoN-Required Equipment&#10;Total Value $2,570,562.00 &#10;Project Number 21021213-HS&#10;Ten Taxpayer Group (TTG) None&#10;Community Health Initiative (CHI)  $128,528.10&#10;Staff Recommendation Approval &#10;Delegated Review Commissioner Approval&#10;Project Summary and Regulatory Review&#10;Shields PET-CT at Heywood Healthcare, LLC (Applicant) submitted a DoN Application for a Substantial Change in Service to establish a licensed clinic to provide magnetic &#10;resonance imaging (MRI) services at Heywood Hospital six days a week and mobile positron emission tomography-computed tomography (PET-CT) imaging services at Athol Hospital one day a week. The Applicant is a newly formed joint venture between Shields Health Care Group, Inc. and Heywood Healthcare, Inc. that replaces an existing contract with an imaging vendor for the same service. The existing contract with the imaging vendor is ending and the Applicant seeks to fulfill the need for MRI and PET-CT services. The capital expenditure for the Proposed Project is $2,570,562.00; the Community Health Initiatives (CHI) contribution is $128,528.10.&#10;&#10;This DoN application falls within the definition of Substantial Change in Servic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3685"/>
        <w:gridCol w:w="5760"/>
      </w:tblGrid>
      <w:tr w:rsidR="001626F0" w:rsidRPr="00AA0F82" w14:paraId="1A8FE388" w14:textId="77777777" w:rsidTr="003A5696">
        <w:trPr>
          <w:trHeight w:val="440"/>
          <w:tblHeader/>
          <w:jc w:val="center"/>
        </w:trPr>
        <w:tc>
          <w:tcPr>
            <w:tcW w:w="9445" w:type="dxa"/>
            <w:gridSpan w:val="2"/>
            <w:shd w:val="clear" w:color="auto" w:fill="E5FFFF"/>
            <w:vAlign w:val="center"/>
          </w:tcPr>
          <w:p w14:paraId="11DE6832" w14:textId="77777777" w:rsidR="001B5DC0" w:rsidRPr="00796AED" w:rsidRDefault="001B5DC0" w:rsidP="001B5DC0">
            <w:pPr>
              <w:pStyle w:val="NoSpacing"/>
              <w:ind w:right="540"/>
              <w:contextualSpacing/>
              <w:jc w:val="center"/>
              <w:rPr>
                <w:rFonts w:cstheme="minorHAnsi"/>
                <w:b/>
                <w:sz w:val="24"/>
                <w:szCs w:val="24"/>
              </w:rPr>
            </w:pPr>
            <w:r w:rsidRPr="00796AED">
              <w:rPr>
                <w:rFonts w:cstheme="minorHAnsi"/>
                <w:b/>
                <w:sz w:val="24"/>
                <w:szCs w:val="24"/>
              </w:rPr>
              <w:t>STAFF REPORT TO THE PUBLIC HEALTH COUNCIL</w:t>
            </w:r>
          </w:p>
          <w:p w14:paraId="25D94099" w14:textId="1C50052E" w:rsidR="001626F0" w:rsidRPr="00AA0F82" w:rsidRDefault="001B5DC0" w:rsidP="001B5DC0">
            <w:pPr>
              <w:pStyle w:val="Header"/>
              <w:ind w:right="540"/>
              <w:contextualSpacing/>
              <w:jc w:val="center"/>
              <w:rPr>
                <w:rFonts w:cstheme="minorHAnsi"/>
                <w:b/>
                <w:sz w:val="24"/>
                <w:szCs w:val="24"/>
                <w:highlight w:val="yellow"/>
              </w:rPr>
            </w:pPr>
            <w:r w:rsidRPr="00796AED">
              <w:rPr>
                <w:rFonts w:cstheme="minorHAnsi"/>
                <w:b/>
              </w:rPr>
              <w:t>FOR A DETERMINATION OF NEED</w:t>
            </w:r>
          </w:p>
        </w:tc>
      </w:tr>
      <w:tr w:rsidR="001626F0" w:rsidRPr="00AA0F82" w14:paraId="6303AF95" w14:textId="77777777" w:rsidTr="00E87941">
        <w:trPr>
          <w:trHeight w:val="413"/>
          <w:jc w:val="center"/>
        </w:trPr>
        <w:tc>
          <w:tcPr>
            <w:tcW w:w="3685" w:type="dxa"/>
            <w:shd w:val="clear" w:color="auto" w:fill="auto"/>
            <w:vAlign w:val="center"/>
          </w:tcPr>
          <w:p w14:paraId="1D18A9DB" w14:textId="77777777" w:rsidR="001626F0" w:rsidRPr="00873636" w:rsidRDefault="001626F0" w:rsidP="008A4468">
            <w:pPr>
              <w:ind w:right="540"/>
              <w:contextualSpacing/>
              <w:rPr>
                <w:rFonts w:cstheme="minorHAnsi"/>
                <w:sz w:val="24"/>
                <w:szCs w:val="24"/>
              </w:rPr>
            </w:pPr>
            <w:r w:rsidRPr="00873636">
              <w:rPr>
                <w:rFonts w:cstheme="minorHAnsi"/>
                <w:sz w:val="24"/>
                <w:szCs w:val="24"/>
              </w:rPr>
              <w:t xml:space="preserve">Applicant Name </w:t>
            </w:r>
          </w:p>
        </w:tc>
        <w:tc>
          <w:tcPr>
            <w:tcW w:w="5760" w:type="dxa"/>
            <w:shd w:val="clear" w:color="auto" w:fill="auto"/>
            <w:vAlign w:val="center"/>
          </w:tcPr>
          <w:p w14:paraId="5638FB0B" w14:textId="5648A7C5" w:rsidR="001626F0" w:rsidRPr="00873636" w:rsidRDefault="00873636" w:rsidP="008A4468">
            <w:pPr>
              <w:ind w:right="540"/>
              <w:contextualSpacing/>
              <w:rPr>
                <w:rFonts w:cstheme="minorHAnsi"/>
                <w:bCs/>
                <w:sz w:val="24"/>
                <w:szCs w:val="24"/>
              </w:rPr>
            </w:pPr>
            <w:r w:rsidRPr="00873636">
              <w:rPr>
                <w:rFonts w:cstheme="minorHAnsi"/>
                <w:bCs/>
                <w:sz w:val="24"/>
                <w:szCs w:val="24"/>
              </w:rPr>
              <w:t>Beth Israel Lahey Health, Inc.</w:t>
            </w:r>
          </w:p>
        </w:tc>
      </w:tr>
      <w:tr w:rsidR="001626F0" w:rsidRPr="00AA0F82" w14:paraId="6933F7CE" w14:textId="77777777" w:rsidTr="00E87941">
        <w:trPr>
          <w:trHeight w:val="357"/>
          <w:jc w:val="center"/>
        </w:trPr>
        <w:tc>
          <w:tcPr>
            <w:tcW w:w="3685" w:type="dxa"/>
            <w:shd w:val="clear" w:color="auto" w:fill="auto"/>
            <w:vAlign w:val="center"/>
          </w:tcPr>
          <w:p w14:paraId="1F73D820" w14:textId="77777777" w:rsidR="001626F0" w:rsidRPr="00796AED" w:rsidRDefault="001626F0" w:rsidP="008A4468">
            <w:pPr>
              <w:ind w:right="540"/>
              <w:contextualSpacing/>
              <w:rPr>
                <w:rFonts w:cstheme="minorHAnsi"/>
                <w:sz w:val="24"/>
                <w:szCs w:val="24"/>
              </w:rPr>
            </w:pPr>
            <w:r w:rsidRPr="00796AED">
              <w:rPr>
                <w:rFonts w:cstheme="minorHAnsi"/>
                <w:sz w:val="24"/>
                <w:szCs w:val="24"/>
              </w:rPr>
              <w:t xml:space="preserve">Applicant Address </w:t>
            </w:r>
          </w:p>
        </w:tc>
        <w:tc>
          <w:tcPr>
            <w:tcW w:w="5760" w:type="dxa"/>
            <w:shd w:val="clear" w:color="auto" w:fill="auto"/>
            <w:vAlign w:val="center"/>
          </w:tcPr>
          <w:p w14:paraId="3A36F3CE" w14:textId="12276FE4" w:rsidR="001626F0" w:rsidRPr="00AA0F82" w:rsidRDefault="004A46B3" w:rsidP="008A4468">
            <w:pPr>
              <w:ind w:right="540"/>
              <w:contextualSpacing/>
              <w:rPr>
                <w:rFonts w:cstheme="minorHAnsi"/>
                <w:sz w:val="24"/>
                <w:szCs w:val="24"/>
                <w:highlight w:val="yellow"/>
                <w:lang w:val="fr-FR"/>
              </w:rPr>
            </w:pPr>
            <w:r w:rsidRPr="000377DD">
              <w:rPr>
                <w:rFonts w:cstheme="minorHAnsi"/>
                <w:sz w:val="24"/>
                <w:szCs w:val="24"/>
              </w:rPr>
              <w:t>20 University Road, Suite 700</w:t>
            </w:r>
            <w:r w:rsidR="000377DD" w:rsidRPr="000377DD">
              <w:rPr>
                <w:rFonts w:cstheme="minorHAnsi"/>
                <w:sz w:val="24"/>
                <w:szCs w:val="24"/>
              </w:rPr>
              <w:t>, Cambridge, MA 02138</w:t>
            </w:r>
          </w:p>
        </w:tc>
      </w:tr>
      <w:tr w:rsidR="001626F0" w:rsidRPr="00AA0F82" w14:paraId="013A7CB1" w14:textId="77777777" w:rsidTr="00E87941">
        <w:trPr>
          <w:trHeight w:val="377"/>
          <w:jc w:val="center"/>
        </w:trPr>
        <w:tc>
          <w:tcPr>
            <w:tcW w:w="3685" w:type="dxa"/>
            <w:shd w:val="clear" w:color="auto" w:fill="auto"/>
            <w:vAlign w:val="center"/>
          </w:tcPr>
          <w:p w14:paraId="09B68F1A" w14:textId="77777777" w:rsidR="001626F0" w:rsidRPr="00796AED" w:rsidRDefault="001626F0" w:rsidP="008A4468">
            <w:pPr>
              <w:ind w:right="540"/>
              <w:contextualSpacing/>
              <w:rPr>
                <w:rFonts w:cstheme="minorHAnsi"/>
                <w:sz w:val="24"/>
                <w:szCs w:val="24"/>
              </w:rPr>
            </w:pPr>
            <w:r w:rsidRPr="00796AED">
              <w:rPr>
                <w:rFonts w:cstheme="minorHAnsi"/>
                <w:sz w:val="24"/>
                <w:szCs w:val="24"/>
              </w:rPr>
              <w:t>Filing Date</w:t>
            </w:r>
          </w:p>
        </w:tc>
        <w:tc>
          <w:tcPr>
            <w:tcW w:w="5760" w:type="dxa"/>
            <w:shd w:val="clear" w:color="auto" w:fill="auto"/>
            <w:vAlign w:val="center"/>
          </w:tcPr>
          <w:p w14:paraId="3B9C9630" w14:textId="0C9FF86F" w:rsidR="001626F0" w:rsidRPr="00AA0F82" w:rsidRDefault="0088016D" w:rsidP="008A4468">
            <w:pPr>
              <w:ind w:right="540"/>
              <w:contextualSpacing/>
              <w:rPr>
                <w:rFonts w:cstheme="minorHAnsi"/>
                <w:sz w:val="24"/>
                <w:szCs w:val="24"/>
                <w:highlight w:val="yellow"/>
              </w:rPr>
            </w:pPr>
            <w:r w:rsidRPr="0088016D">
              <w:rPr>
                <w:rFonts w:cstheme="minorHAnsi"/>
                <w:sz w:val="24"/>
                <w:szCs w:val="24"/>
              </w:rPr>
              <w:t>August 16, 2024</w:t>
            </w:r>
          </w:p>
        </w:tc>
      </w:tr>
      <w:tr w:rsidR="001626F0" w:rsidRPr="00AA0F82" w14:paraId="6701CB62" w14:textId="77777777" w:rsidTr="00E87941">
        <w:trPr>
          <w:trHeight w:val="350"/>
          <w:jc w:val="center"/>
        </w:trPr>
        <w:tc>
          <w:tcPr>
            <w:tcW w:w="3685" w:type="dxa"/>
            <w:shd w:val="clear" w:color="auto" w:fill="auto"/>
            <w:vAlign w:val="center"/>
          </w:tcPr>
          <w:p w14:paraId="3BCE5031" w14:textId="77777777" w:rsidR="001626F0" w:rsidRPr="000377DD" w:rsidRDefault="001626F0" w:rsidP="008A4468">
            <w:pPr>
              <w:ind w:right="540"/>
              <w:contextualSpacing/>
              <w:rPr>
                <w:rFonts w:cstheme="minorHAnsi"/>
                <w:sz w:val="24"/>
                <w:szCs w:val="24"/>
              </w:rPr>
            </w:pPr>
            <w:r w:rsidRPr="000377DD">
              <w:rPr>
                <w:rFonts w:cstheme="minorHAnsi"/>
                <w:sz w:val="24"/>
                <w:szCs w:val="24"/>
              </w:rPr>
              <w:t>Type of DoN Application</w:t>
            </w:r>
          </w:p>
        </w:tc>
        <w:tc>
          <w:tcPr>
            <w:tcW w:w="5760" w:type="dxa"/>
            <w:shd w:val="clear" w:color="auto" w:fill="auto"/>
            <w:vAlign w:val="center"/>
          </w:tcPr>
          <w:p w14:paraId="74E742FD" w14:textId="5CE2C7EF" w:rsidR="001626F0" w:rsidRPr="000377DD" w:rsidRDefault="00676117" w:rsidP="008A4468">
            <w:pPr>
              <w:ind w:right="-110"/>
              <w:contextualSpacing/>
              <w:rPr>
                <w:rFonts w:cstheme="minorHAnsi"/>
                <w:sz w:val="24"/>
                <w:szCs w:val="24"/>
              </w:rPr>
            </w:pPr>
            <w:r w:rsidRPr="000377DD">
              <w:rPr>
                <w:rFonts w:cstheme="minorHAnsi"/>
                <w:sz w:val="24"/>
                <w:szCs w:val="24"/>
              </w:rPr>
              <w:t>Substantial Capital Expenditure</w:t>
            </w:r>
          </w:p>
        </w:tc>
      </w:tr>
      <w:tr w:rsidR="001626F0" w:rsidRPr="00AA0F82" w14:paraId="613B5F25" w14:textId="77777777" w:rsidTr="00E87941">
        <w:trPr>
          <w:trHeight w:val="350"/>
          <w:jc w:val="center"/>
        </w:trPr>
        <w:tc>
          <w:tcPr>
            <w:tcW w:w="3685" w:type="dxa"/>
            <w:shd w:val="clear" w:color="auto" w:fill="auto"/>
            <w:vAlign w:val="center"/>
          </w:tcPr>
          <w:p w14:paraId="4AE468F6" w14:textId="77777777" w:rsidR="001626F0" w:rsidRPr="00F96DB9" w:rsidRDefault="001626F0" w:rsidP="008A4468">
            <w:pPr>
              <w:ind w:right="540"/>
              <w:contextualSpacing/>
              <w:rPr>
                <w:rFonts w:cstheme="minorHAnsi"/>
                <w:sz w:val="24"/>
                <w:szCs w:val="24"/>
              </w:rPr>
            </w:pPr>
            <w:r w:rsidRPr="00F96DB9">
              <w:rPr>
                <w:rFonts w:cstheme="minorHAnsi"/>
                <w:sz w:val="24"/>
                <w:szCs w:val="24"/>
              </w:rPr>
              <w:t>Total Value</w:t>
            </w:r>
          </w:p>
        </w:tc>
        <w:tc>
          <w:tcPr>
            <w:tcW w:w="5760" w:type="dxa"/>
            <w:shd w:val="clear" w:color="auto" w:fill="auto"/>
            <w:vAlign w:val="center"/>
          </w:tcPr>
          <w:p w14:paraId="379B7099" w14:textId="681F3432" w:rsidR="001626F0" w:rsidRPr="00F96DB9" w:rsidRDefault="00F96DB9" w:rsidP="008A4468">
            <w:pPr>
              <w:ind w:right="540"/>
              <w:contextualSpacing/>
              <w:rPr>
                <w:rFonts w:cstheme="minorHAnsi"/>
                <w:sz w:val="24"/>
                <w:szCs w:val="24"/>
              </w:rPr>
            </w:pPr>
            <w:r w:rsidRPr="00F96DB9">
              <w:rPr>
                <w:rFonts w:cstheme="minorHAnsi"/>
                <w:sz w:val="24"/>
                <w:szCs w:val="24"/>
              </w:rPr>
              <w:t>$50,237,091.00</w:t>
            </w:r>
          </w:p>
        </w:tc>
      </w:tr>
      <w:tr w:rsidR="001626F0" w:rsidRPr="00AA0F82" w14:paraId="03116F04" w14:textId="77777777" w:rsidTr="00E87941">
        <w:trPr>
          <w:trHeight w:val="350"/>
          <w:jc w:val="center"/>
        </w:trPr>
        <w:tc>
          <w:tcPr>
            <w:tcW w:w="3685" w:type="dxa"/>
            <w:shd w:val="clear" w:color="auto" w:fill="auto"/>
            <w:vAlign w:val="center"/>
          </w:tcPr>
          <w:p w14:paraId="3DBDE5CF" w14:textId="77777777" w:rsidR="001626F0" w:rsidRPr="00C441AC" w:rsidRDefault="001626F0" w:rsidP="008A4468">
            <w:pPr>
              <w:ind w:right="540"/>
              <w:contextualSpacing/>
              <w:rPr>
                <w:rFonts w:cstheme="minorHAnsi"/>
                <w:sz w:val="24"/>
                <w:szCs w:val="24"/>
              </w:rPr>
            </w:pPr>
            <w:r w:rsidRPr="00C441AC">
              <w:rPr>
                <w:rFonts w:cstheme="minorHAnsi"/>
                <w:sz w:val="24"/>
                <w:szCs w:val="24"/>
              </w:rPr>
              <w:t>Project Number</w:t>
            </w:r>
          </w:p>
        </w:tc>
        <w:tc>
          <w:tcPr>
            <w:tcW w:w="5760" w:type="dxa"/>
            <w:shd w:val="clear" w:color="auto" w:fill="auto"/>
            <w:vAlign w:val="center"/>
          </w:tcPr>
          <w:p w14:paraId="39260819" w14:textId="2439F7C9" w:rsidR="001626F0" w:rsidRPr="00C441AC" w:rsidRDefault="00C441AC" w:rsidP="008A4468">
            <w:pPr>
              <w:ind w:right="540"/>
              <w:contextualSpacing/>
              <w:rPr>
                <w:rFonts w:cstheme="minorHAnsi"/>
                <w:sz w:val="24"/>
                <w:szCs w:val="24"/>
              </w:rPr>
            </w:pPr>
            <w:r w:rsidRPr="00C441AC">
              <w:rPr>
                <w:sz w:val="24"/>
                <w:szCs w:val="24"/>
              </w:rPr>
              <w:t>BILH-23102414-HE</w:t>
            </w:r>
          </w:p>
        </w:tc>
      </w:tr>
      <w:tr w:rsidR="001626F0" w:rsidRPr="00AA0F82" w14:paraId="508256C0" w14:textId="77777777" w:rsidTr="00E87941">
        <w:trPr>
          <w:trHeight w:val="350"/>
          <w:jc w:val="center"/>
        </w:trPr>
        <w:tc>
          <w:tcPr>
            <w:tcW w:w="3685" w:type="dxa"/>
            <w:shd w:val="clear" w:color="auto" w:fill="auto"/>
            <w:vAlign w:val="center"/>
          </w:tcPr>
          <w:p w14:paraId="4EDCAE51" w14:textId="77777777" w:rsidR="001626F0" w:rsidRPr="0089599E" w:rsidRDefault="001626F0" w:rsidP="008A4468">
            <w:pPr>
              <w:ind w:right="-110"/>
              <w:contextualSpacing/>
              <w:rPr>
                <w:rFonts w:cstheme="minorHAnsi"/>
                <w:sz w:val="24"/>
                <w:szCs w:val="24"/>
              </w:rPr>
            </w:pPr>
            <w:r w:rsidRPr="0089599E">
              <w:rPr>
                <w:rFonts w:cstheme="minorHAnsi"/>
                <w:sz w:val="24"/>
                <w:szCs w:val="24"/>
              </w:rPr>
              <w:t>Ten Taxpayer Group</w:t>
            </w:r>
          </w:p>
        </w:tc>
        <w:tc>
          <w:tcPr>
            <w:tcW w:w="5760" w:type="dxa"/>
            <w:shd w:val="clear" w:color="auto" w:fill="auto"/>
            <w:vAlign w:val="center"/>
          </w:tcPr>
          <w:p w14:paraId="0318264F" w14:textId="12A97254" w:rsidR="001626F0" w:rsidRPr="0089599E" w:rsidRDefault="0089599E" w:rsidP="008A4468">
            <w:pPr>
              <w:ind w:right="540"/>
              <w:contextualSpacing/>
              <w:rPr>
                <w:rFonts w:cstheme="minorHAnsi"/>
                <w:sz w:val="24"/>
                <w:szCs w:val="24"/>
              </w:rPr>
            </w:pPr>
            <w:r w:rsidRPr="0089599E">
              <w:rPr>
                <w:rFonts w:cstheme="minorHAnsi"/>
                <w:sz w:val="24"/>
                <w:szCs w:val="24"/>
              </w:rPr>
              <w:t>None</w:t>
            </w:r>
          </w:p>
        </w:tc>
      </w:tr>
      <w:tr w:rsidR="001626F0" w:rsidRPr="00AA0F82" w14:paraId="4B7BA0EC" w14:textId="77777777" w:rsidTr="00E87941">
        <w:trPr>
          <w:trHeight w:val="350"/>
          <w:jc w:val="center"/>
        </w:trPr>
        <w:tc>
          <w:tcPr>
            <w:tcW w:w="3685" w:type="dxa"/>
            <w:shd w:val="clear" w:color="auto" w:fill="auto"/>
            <w:vAlign w:val="center"/>
          </w:tcPr>
          <w:p w14:paraId="3346EA7B" w14:textId="77777777" w:rsidR="001626F0" w:rsidRPr="00520A3B" w:rsidRDefault="001626F0" w:rsidP="008A4468">
            <w:pPr>
              <w:ind w:right="540"/>
              <w:contextualSpacing/>
              <w:rPr>
                <w:rFonts w:cstheme="minorHAnsi"/>
                <w:sz w:val="24"/>
                <w:szCs w:val="24"/>
              </w:rPr>
            </w:pPr>
            <w:r w:rsidRPr="00520A3B">
              <w:rPr>
                <w:rFonts w:cstheme="minorHAnsi"/>
                <w:sz w:val="24"/>
                <w:szCs w:val="24"/>
              </w:rPr>
              <w:t xml:space="preserve">Community Health Initiative </w:t>
            </w:r>
          </w:p>
        </w:tc>
        <w:tc>
          <w:tcPr>
            <w:tcW w:w="5760" w:type="dxa"/>
            <w:shd w:val="clear" w:color="auto" w:fill="auto"/>
            <w:vAlign w:val="center"/>
          </w:tcPr>
          <w:p w14:paraId="429E3C49" w14:textId="6E0C63A1" w:rsidR="001626F0" w:rsidRPr="00520A3B" w:rsidRDefault="00520A3B" w:rsidP="008A4468">
            <w:pPr>
              <w:ind w:right="540"/>
              <w:contextualSpacing/>
              <w:rPr>
                <w:rFonts w:cstheme="minorHAnsi"/>
                <w:sz w:val="24"/>
                <w:szCs w:val="24"/>
              </w:rPr>
            </w:pPr>
            <w:r w:rsidRPr="00520A3B">
              <w:rPr>
                <w:rFonts w:cstheme="minorHAnsi"/>
                <w:sz w:val="24"/>
                <w:szCs w:val="24"/>
              </w:rPr>
              <w:t>$2,511,854.55</w:t>
            </w:r>
          </w:p>
        </w:tc>
      </w:tr>
      <w:tr w:rsidR="001626F0" w:rsidRPr="00AA0F82" w14:paraId="6BEB37FC" w14:textId="77777777" w:rsidTr="00E87941">
        <w:trPr>
          <w:trHeight w:val="350"/>
          <w:jc w:val="center"/>
        </w:trPr>
        <w:tc>
          <w:tcPr>
            <w:tcW w:w="3685" w:type="dxa"/>
            <w:shd w:val="clear" w:color="auto" w:fill="auto"/>
            <w:vAlign w:val="center"/>
          </w:tcPr>
          <w:p w14:paraId="60D966DB" w14:textId="77777777" w:rsidR="001626F0" w:rsidRPr="00796AED" w:rsidRDefault="001626F0" w:rsidP="008A4468">
            <w:pPr>
              <w:ind w:right="540"/>
              <w:contextualSpacing/>
              <w:rPr>
                <w:rFonts w:cstheme="minorHAnsi"/>
                <w:sz w:val="24"/>
                <w:szCs w:val="24"/>
              </w:rPr>
            </w:pPr>
            <w:r w:rsidRPr="00796AED">
              <w:rPr>
                <w:rFonts w:cstheme="minorHAnsi"/>
                <w:sz w:val="24"/>
                <w:szCs w:val="24"/>
              </w:rPr>
              <w:t>Staff Recommendation</w:t>
            </w:r>
          </w:p>
        </w:tc>
        <w:tc>
          <w:tcPr>
            <w:tcW w:w="5760" w:type="dxa"/>
            <w:shd w:val="clear" w:color="auto" w:fill="auto"/>
            <w:vAlign w:val="center"/>
          </w:tcPr>
          <w:p w14:paraId="0F4BD9B2" w14:textId="77777777" w:rsidR="001626F0" w:rsidRPr="00AA0F82" w:rsidRDefault="001626F0" w:rsidP="008A4468">
            <w:pPr>
              <w:ind w:right="540"/>
              <w:contextualSpacing/>
              <w:rPr>
                <w:rFonts w:cstheme="minorHAnsi"/>
                <w:sz w:val="24"/>
                <w:szCs w:val="24"/>
                <w:highlight w:val="yellow"/>
              </w:rPr>
            </w:pPr>
            <w:r w:rsidRPr="00520A3B">
              <w:rPr>
                <w:rFonts w:cstheme="minorHAnsi"/>
                <w:sz w:val="24"/>
                <w:szCs w:val="24"/>
              </w:rPr>
              <w:t xml:space="preserve">Approval </w:t>
            </w:r>
          </w:p>
        </w:tc>
      </w:tr>
      <w:tr w:rsidR="001626F0" w:rsidRPr="00AA0F82" w14:paraId="2D494D03" w14:textId="77777777" w:rsidTr="00E87941">
        <w:trPr>
          <w:trHeight w:val="350"/>
          <w:jc w:val="center"/>
        </w:trPr>
        <w:tc>
          <w:tcPr>
            <w:tcW w:w="3685" w:type="dxa"/>
            <w:shd w:val="clear" w:color="auto" w:fill="auto"/>
            <w:vAlign w:val="center"/>
          </w:tcPr>
          <w:p w14:paraId="39CFB2D6" w14:textId="5BB07504" w:rsidR="001626F0" w:rsidRPr="00796AED" w:rsidRDefault="009E7FFA" w:rsidP="008A4468">
            <w:pPr>
              <w:ind w:right="540"/>
              <w:contextualSpacing/>
              <w:rPr>
                <w:rFonts w:cstheme="minorHAnsi"/>
                <w:sz w:val="24"/>
                <w:szCs w:val="24"/>
              </w:rPr>
            </w:pPr>
            <w:r w:rsidRPr="00796AED">
              <w:rPr>
                <w:rFonts w:cstheme="minorHAnsi"/>
                <w:sz w:val="24"/>
                <w:szCs w:val="24"/>
              </w:rPr>
              <w:t>Public Health Council</w:t>
            </w:r>
          </w:p>
        </w:tc>
        <w:tc>
          <w:tcPr>
            <w:tcW w:w="5760" w:type="dxa"/>
            <w:shd w:val="clear" w:color="auto" w:fill="auto"/>
            <w:vAlign w:val="center"/>
          </w:tcPr>
          <w:p w14:paraId="700C91FB" w14:textId="1459FFF6" w:rsidR="001626F0" w:rsidRPr="00AA0F82" w:rsidRDefault="0088016D" w:rsidP="008A4468">
            <w:pPr>
              <w:ind w:right="540"/>
              <w:contextualSpacing/>
              <w:rPr>
                <w:rFonts w:cstheme="minorHAnsi"/>
                <w:sz w:val="24"/>
                <w:szCs w:val="24"/>
                <w:highlight w:val="yellow"/>
              </w:rPr>
            </w:pPr>
            <w:r w:rsidRPr="0088016D">
              <w:rPr>
                <w:rFonts w:cstheme="minorHAnsi"/>
                <w:sz w:val="24"/>
                <w:szCs w:val="24"/>
              </w:rPr>
              <w:t>December 11, 2024</w:t>
            </w:r>
          </w:p>
        </w:tc>
      </w:tr>
      <w:tr w:rsidR="001626F0" w:rsidRPr="00AA0F82" w14:paraId="09748D86" w14:textId="77777777" w:rsidTr="008A4468">
        <w:trPr>
          <w:trHeight w:val="2436"/>
          <w:jc w:val="center"/>
        </w:trPr>
        <w:tc>
          <w:tcPr>
            <w:tcW w:w="9445" w:type="dxa"/>
            <w:gridSpan w:val="2"/>
            <w:shd w:val="clear" w:color="auto" w:fill="auto"/>
            <w:vAlign w:val="center"/>
          </w:tcPr>
          <w:p w14:paraId="701C2542" w14:textId="77777777" w:rsidR="001626F0" w:rsidRPr="00AA0F82" w:rsidRDefault="001626F0" w:rsidP="008A4468">
            <w:pPr>
              <w:pStyle w:val="NoSpacing"/>
              <w:ind w:right="540"/>
              <w:contextualSpacing/>
              <w:jc w:val="center"/>
              <w:rPr>
                <w:rFonts w:cstheme="minorHAnsi"/>
                <w:sz w:val="24"/>
                <w:szCs w:val="24"/>
                <w:highlight w:val="yellow"/>
                <w:u w:val="single"/>
              </w:rPr>
            </w:pPr>
          </w:p>
          <w:p w14:paraId="02CE4586" w14:textId="77777777" w:rsidR="001626F0" w:rsidRPr="00DF20AC" w:rsidRDefault="001626F0" w:rsidP="008A4468">
            <w:pPr>
              <w:pStyle w:val="NoSpacing"/>
              <w:ind w:right="540"/>
              <w:contextualSpacing/>
              <w:jc w:val="center"/>
              <w:rPr>
                <w:rFonts w:cstheme="minorHAnsi"/>
                <w:sz w:val="24"/>
                <w:szCs w:val="24"/>
                <w:u w:val="single"/>
              </w:rPr>
            </w:pPr>
            <w:r w:rsidRPr="00DF20AC">
              <w:rPr>
                <w:rFonts w:cstheme="minorHAnsi"/>
                <w:sz w:val="24"/>
                <w:szCs w:val="24"/>
                <w:u w:val="single"/>
              </w:rPr>
              <w:t>Project Summary and Regulatory Review</w:t>
            </w:r>
          </w:p>
          <w:p w14:paraId="3E4DD290" w14:textId="77777777" w:rsidR="001626F0" w:rsidRPr="00AA0F82" w:rsidRDefault="001626F0" w:rsidP="008A4468">
            <w:pPr>
              <w:pStyle w:val="NoSpacing"/>
              <w:ind w:right="540"/>
              <w:contextualSpacing/>
              <w:jc w:val="center"/>
              <w:rPr>
                <w:rFonts w:cstheme="minorHAnsi"/>
                <w:sz w:val="24"/>
                <w:szCs w:val="24"/>
                <w:highlight w:val="yellow"/>
              </w:rPr>
            </w:pPr>
          </w:p>
          <w:p w14:paraId="4A93B096" w14:textId="6B80EDA2" w:rsidR="001626F0" w:rsidRPr="00E83931" w:rsidRDefault="0030375C" w:rsidP="00DA034F">
            <w:pPr>
              <w:pStyle w:val="NoSpacing"/>
              <w:contextualSpacing/>
              <w:rPr>
                <w:rFonts w:cstheme="minorHAnsi"/>
                <w:sz w:val="24"/>
                <w:szCs w:val="24"/>
              </w:rPr>
            </w:pPr>
            <w:r w:rsidRPr="00873636">
              <w:rPr>
                <w:rFonts w:cstheme="minorHAnsi"/>
                <w:bCs/>
                <w:sz w:val="24"/>
                <w:szCs w:val="24"/>
              </w:rPr>
              <w:t>Beth Israel Lahey Health, Inc</w:t>
            </w:r>
            <w:r w:rsidRPr="0030375C">
              <w:rPr>
                <w:rFonts w:cstheme="minorHAnsi"/>
                <w:bCs/>
                <w:sz w:val="24"/>
                <w:szCs w:val="24"/>
              </w:rPr>
              <w:t>.</w:t>
            </w:r>
            <w:r w:rsidR="001626F0" w:rsidRPr="0030375C">
              <w:rPr>
                <w:rFonts w:cstheme="minorHAnsi"/>
                <w:sz w:val="24"/>
                <w:szCs w:val="24"/>
              </w:rPr>
              <w:t xml:space="preserve"> </w:t>
            </w:r>
            <w:r w:rsidR="00855AE7" w:rsidRPr="0030375C">
              <w:rPr>
                <w:rFonts w:cstheme="minorHAnsi"/>
                <w:sz w:val="24"/>
                <w:szCs w:val="24"/>
              </w:rPr>
              <w:t xml:space="preserve">is filing a Notice of Determination of Need with the </w:t>
            </w:r>
            <w:r w:rsidR="00855AE7" w:rsidRPr="000405FA">
              <w:rPr>
                <w:rFonts w:cstheme="minorHAnsi"/>
                <w:sz w:val="24"/>
                <w:szCs w:val="24"/>
              </w:rPr>
              <w:t>Department of Public Health</w:t>
            </w:r>
            <w:r w:rsidR="00DA034F" w:rsidRPr="000405FA">
              <w:rPr>
                <w:rFonts w:ascii="ArialMT" w:hAnsi="ArialMT" w:cs="ArialMT"/>
                <w:sz w:val="20"/>
                <w:szCs w:val="20"/>
              </w:rPr>
              <w:t xml:space="preserve"> </w:t>
            </w:r>
            <w:r w:rsidR="00DA034F" w:rsidRPr="000405FA">
              <w:rPr>
                <w:rFonts w:cstheme="minorHAnsi"/>
                <w:sz w:val="24"/>
                <w:szCs w:val="24"/>
              </w:rPr>
              <w:t>for the renovation and expansion of the Emergency</w:t>
            </w:r>
            <w:r w:rsidR="00E83931">
              <w:rPr>
                <w:rFonts w:cstheme="minorHAnsi"/>
                <w:sz w:val="24"/>
                <w:szCs w:val="24"/>
              </w:rPr>
              <w:t xml:space="preserve"> </w:t>
            </w:r>
            <w:r w:rsidR="00DA034F" w:rsidRPr="00DA034F">
              <w:rPr>
                <w:rFonts w:cstheme="minorHAnsi"/>
                <w:sz w:val="24"/>
                <w:szCs w:val="24"/>
              </w:rPr>
              <w:t>Department at Beth Israel Deaconess Hospital - Plymouth, located at</w:t>
            </w:r>
            <w:r w:rsidR="000405FA" w:rsidRPr="000405FA">
              <w:rPr>
                <w:rFonts w:cstheme="minorHAnsi"/>
                <w:sz w:val="24"/>
                <w:szCs w:val="24"/>
              </w:rPr>
              <w:t xml:space="preserve"> </w:t>
            </w:r>
            <w:r w:rsidR="00DA034F" w:rsidRPr="000405FA">
              <w:rPr>
                <w:rFonts w:cstheme="minorHAnsi"/>
                <w:sz w:val="24"/>
                <w:szCs w:val="24"/>
              </w:rPr>
              <w:t xml:space="preserve">275 Sandwich St, Plymouth, </w:t>
            </w:r>
            <w:r w:rsidR="00DA034F" w:rsidRPr="00E812C6">
              <w:rPr>
                <w:rFonts w:cstheme="minorHAnsi"/>
                <w:sz w:val="24"/>
                <w:szCs w:val="24"/>
              </w:rPr>
              <w:t>MA 02360</w:t>
            </w:r>
            <w:r w:rsidR="007F0E64" w:rsidRPr="00E812C6">
              <w:rPr>
                <w:rFonts w:cstheme="minorHAnsi"/>
                <w:sz w:val="24"/>
                <w:szCs w:val="24"/>
              </w:rPr>
              <w:t xml:space="preserve">. </w:t>
            </w:r>
            <w:r w:rsidR="001626F0" w:rsidRPr="00E812C6">
              <w:rPr>
                <w:rFonts w:cstheme="minorHAnsi"/>
                <w:sz w:val="24"/>
                <w:szCs w:val="24"/>
              </w:rPr>
              <w:t>The capital expenditure for the Proposed Project is</w:t>
            </w:r>
            <w:r w:rsidR="007F0E64" w:rsidRPr="00E812C6">
              <w:rPr>
                <w:rFonts w:cstheme="minorHAnsi"/>
                <w:sz w:val="24"/>
                <w:szCs w:val="24"/>
              </w:rPr>
              <w:t xml:space="preserve"> </w:t>
            </w:r>
            <w:r w:rsidR="00460D90" w:rsidRPr="00E812C6">
              <w:rPr>
                <w:rFonts w:cstheme="minorHAnsi"/>
                <w:sz w:val="24"/>
                <w:szCs w:val="24"/>
              </w:rPr>
              <w:t>$50,237,091.00</w:t>
            </w:r>
            <w:r w:rsidR="001626F0" w:rsidRPr="00E812C6">
              <w:rPr>
                <w:rFonts w:cstheme="minorHAnsi"/>
                <w:sz w:val="24"/>
                <w:szCs w:val="24"/>
              </w:rPr>
              <w:t>; the Community Health Initiatives (CHI) contribution is</w:t>
            </w:r>
            <w:r w:rsidR="00EF554F">
              <w:rPr>
                <w:rFonts w:cstheme="minorHAnsi"/>
                <w:sz w:val="24"/>
                <w:szCs w:val="24"/>
              </w:rPr>
              <w:t xml:space="preserve"> </w:t>
            </w:r>
            <w:r w:rsidR="00E812C6" w:rsidRPr="00E812C6">
              <w:rPr>
                <w:rFonts w:cstheme="minorHAnsi"/>
                <w:sz w:val="24"/>
                <w:szCs w:val="24"/>
              </w:rPr>
              <w:t>$2,511,854.55</w:t>
            </w:r>
            <w:r w:rsidR="008B1871" w:rsidRPr="00E812C6">
              <w:rPr>
                <w:rFonts w:cstheme="minorHAnsi"/>
                <w:sz w:val="24"/>
                <w:szCs w:val="24"/>
              </w:rPr>
              <w:t>.</w:t>
            </w:r>
          </w:p>
          <w:p w14:paraId="1EEA45E8" w14:textId="77777777" w:rsidR="001626F0" w:rsidRPr="00AA0F82" w:rsidRDefault="001626F0" w:rsidP="008A4468">
            <w:pPr>
              <w:pStyle w:val="NoSpacing"/>
              <w:contextualSpacing/>
              <w:rPr>
                <w:rFonts w:cstheme="minorHAnsi"/>
                <w:sz w:val="24"/>
                <w:szCs w:val="24"/>
                <w:highlight w:val="yellow"/>
              </w:rPr>
            </w:pPr>
          </w:p>
          <w:p w14:paraId="1C889FD6" w14:textId="56EA4F22" w:rsidR="001626F0" w:rsidRPr="00B27723" w:rsidRDefault="001626F0" w:rsidP="008A4468">
            <w:pPr>
              <w:pStyle w:val="NoSpacing"/>
              <w:contextualSpacing/>
              <w:rPr>
                <w:rFonts w:cstheme="minorHAnsi"/>
                <w:sz w:val="24"/>
                <w:szCs w:val="24"/>
              </w:rPr>
            </w:pPr>
            <w:r w:rsidRPr="00B27723">
              <w:rPr>
                <w:rFonts w:cstheme="minorHAnsi"/>
                <w:sz w:val="24"/>
                <w:szCs w:val="24"/>
              </w:rPr>
              <w:t>This DoN application falls within the definition of Substantial</w:t>
            </w:r>
            <w:r w:rsidR="007F0E64" w:rsidRPr="00B27723">
              <w:rPr>
                <w:rFonts w:cstheme="minorHAnsi"/>
                <w:sz w:val="24"/>
                <w:szCs w:val="24"/>
              </w:rPr>
              <w:t xml:space="preserve"> Capital Expenditure</w:t>
            </w:r>
            <w:r w:rsidRPr="00B27723">
              <w:rPr>
                <w:rFonts w:cstheme="minorHAnsi"/>
                <w:sz w:val="24"/>
                <w:szCs w:val="24"/>
              </w:rPr>
              <w:t>, which</w:t>
            </w:r>
            <w:r w:rsidR="007F0E64" w:rsidRPr="00B27723">
              <w:rPr>
                <w:rFonts w:cstheme="minorHAnsi"/>
                <w:sz w:val="24"/>
                <w:szCs w:val="24"/>
              </w:rPr>
              <w:t xml:space="preserve"> is</w:t>
            </w:r>
            <w:r w:rsidRPr="00B27723">
              <w:rPr>
                <w:rFonts w:cstheme="minorHAnsi"/>
                <w:sz w:val="24"/>
                <w:szCs w:val="24"/>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A20DF6" w:rsidRPr="00B27723">
              <w:rPr>
                <w:rFonts w:cstheme="minorHAnsi"/>
                <w:sz w:val="24"/>
                <w:szCs w:val="24"/>
              </w:rPr>
              <w:t xml:space="preserve"> </w:t>
            </w:r>
          </w:p>
          <w:p w14:paraId="4068A451" w14:textId="77777777" w:rsidR="001626F0" w:rsidRPr="00AA0F82" w:rsidRDefault="001626F0" w:rsidP="008A4468">
            <w:pPr>
              <w:pStyle w:val="NoSpacing"/>
              <w:contextualSpacing/>
              <w:rPr>
                <w:rFonts w:cstheme="minorHAnsi"/>
                <w:sz w:val="24"/>
                <w:szCs w:val="24"/>
                <w:highlight w:val="yellow"/>
              </w:rPr>
            </w:pPr>
          </w:p>
        </w:tc>
      </w:tr>
    </w:tbl>
    <w:p w14:paraId="7D2F9134" w14:textId="59B274CC" w:rsidR="001626F0" w:rsidRPr="00AA0F82" w:rsidRDefault="001626F0" w:rsidP="00C62459">
      <w:pPr>
        <w:spacing w:after="0" w:line="240" w:lineRule="auto"/>
        <w:rPr>
          <w:b/>
          <w:bCs/>
          <w:sz w:val="24"/>
          <w:szCs w:val="24"/>
          <w:highlight w:val="yellow"/>
        </w:rPr>
        <w:sectPr w:rsidR="001626F0" w:rsidRPr="00AA0F82">
          <w:footerReference w:type="default" r:id="rId8"/>
          <w:pgSz w:w="12240" w:h="15840"/>
          <w:pgMar w:top="1440" w:right="1440" w:bottom="1440" w:left="1440" w:header="720" w:footer="720" w:gutter="0"/>
          <w:cols w:space="720"/>
          <w:docGrid w:linePitch="360"/>
        </w:sectPr>
      </w:pPr>
    </w:p>
    <w:sdt>
      <w:sdtPr>
        <w:rPr>
          <w:rFonts w:eastAsiaTheme="minorEastAsia" w:cstheme="minorBidi"/>
          <w:b w:val="0"/>
          <w:color w:val="auto"/>
          <w:sz w:val="22"/>
          <w:szCs w:val="22"/>
          <w:highlight w:val="yellow"/>
          <w:shd w:val="clear" w:color="auto" w:fill="E6E6E6"/>
        </w:rPr>
        <w:id w:val="1753002011"/>
        <w:docPartObj>
          <w:docPartGallery w:val="Table of Contents"/>
          <w:docPartUnique/>
        </w:docPartObj>
      </w:sdtPr>
      <w:sdtEndPr>
        <w:rPr>
          <w:noProof/>
          <w:sz w:val="24"/>
          <w:szCs w:val="24"/>
        </w:rPr>
      </w:sdtEndPr>
      <w:sdtContent>
        <w:p w14:paraId="022950C1" w14:textId="45A3B408" w:rsidR="0098316A" w:rsidRPr="009A73B4" w:rsidRDefault="0098316A">
          <w:pPr>
            <w:pStyle w:val="TOCHeading"/>
          </w:pPr>
          <w:r w:rsidRPr="009A73B4">
            <w:t>Contents</w:t>
          </w:r>
        </w:p>
        <w:p w14:paraId="406196D6" w14:textId="211C65E6" w:rsidR="00607850" w:rsidRDefault="0098316A">
          <w:pPr>
            <w:pStyle w:val="TOC1"/>
            <w:tabs>
              <w:tab w:val="right" w:leader="dot" w:pos="9710"/>
            </w:tabs>
            <w:rPr>
              <w:rFonts w:eastAsiaTheme="minorEastAsia"/>
              <w:noProof/>
              <w:kern w:val="2"/>
              <w:sz w:val="24"/>
              <w:szCs w:val="24"/>
              <w14:ligatures w14:val="standardContextual"/>
            </w:rPr>
          </w:pPr>
          <w:r w:rsidRPr="00AA0F82">
            <w:rPr>
              <w:color w:val="2B579A"/>
              <w:sz w:val="24"/>
              <w:szCs w:val="24"/>
              <w:highlight w:val="yellow"/>
              <w:shd w:val="clear" w:color="auto" w:fill="E6E6E6"/>
            </w:rPr>
            <w:fldChar w:fldCharType="begin"/>
          </w:r>
          <w:r w:rsidRPr="00AA0F82">
            <w:rPr>
              <w:sz w:val="24"/>
              <w:szCs w:val="24"/>
              <w:highlight w:val="yellow"/>
            </w:rPr>
            <w:instrText xml:space="preserve"> TOC \o "1-3" \h \z \u </w:instrText>
          </w:r>
          <w:r w:rsidRPr="00AA0F82">
            <w:rPr>
              <w:color w:val="2B579A"/>
              <w:sz w:val="24"/>
              <w:szCs w:val="24"/>
              <w:highlight w:val="yellow"/>
              <w:shd w:val="clear" w:color="auto" w:fill="E6E6E6"/>
            </w:rPr>
            <w:fldChar w:fldCharType="separate"/>
          </w:r>
          <w:hyperlink w:anchor="_Toc181784899" w:history="1">
            <w:r w:rsidR="00607850" w:rsidRPr="001A303B">
              <w:rPr>
                <w:rStyle w:val="Hyperlink"/>
                <w:rFonts w:cstheme="minorHAnsi"/>
                <w:noProof/>
              </w:rPr>
              <w:t>Applicant Background and Application Overview</w:t>
            </w:r>
            <w:r w:rsidR="00607850">
              <w:rPr>
                <w:noProof/>
                <w:webHidden/>
              </w:rPr>
              <w:tab/>
            </w:r>
            <w:r w:rsidR="00607850">
              <w:rPr>
                <w:noProof/>
                <w:webHidden/>
              </w:rPr>
              <w:fldChar w:fldCharType="begin"/>
            </w:r>
            <w:r w:rsidR="00607850">
              <w:rPr>
                <w:noProof/>
                <w:webHidden/>
              </w:rPr>
              <w:instrText xml:space="preserve"> PAGEREF _Toc181784899 \h </w:instrText>
            </w:r>
            <w:r w:rsidR="00607850">
              <w:rPr>
                <w:noProof/>
                <w:webHidden/>
              </w:rPr>
            </w:r>
            <w:r w:rsidR="00607850">
              <w:rPr>
                <w:noProof/>
                <w:webHidden/>
              </w:rPr>
              <w:fldChar w:fldCharType="separate"/>
            </w:r>
            <w:r w:rsidR="00607850">
              <w:rPr>
                <w:noProof/>
                <w:webHidden/>
              </w:rPr>
              <w:t>3</w:t>
            </w:r>
            <w:r w:rsidR="00607850">
              <w:rPr>
                <w:noProof/>
                <w:webHidden/>
              </w:rPr>
              <w:fldChar w:fldCharType="end"/>
            </w:r>
          </w:hyperlink>
        </w:p>
        <w:p w14:paraId="7AE46947" w14:textId="30DC5B20" w:rsidR="00607850" w:rsidRDefault="00607850">
          <w:pPr>
            <w:pStyle w:val="TOC1"/>
            <w:tabs>
              <w:tab w:val="right" w:leader="dot" w:pos="9710"/>
            </w:tabs>
            <w:rPr>
              <w:rFonts w:eastAsiaTheme="minorEastAsia"/>
              <w:noProof/>
              <w:kern w:val="2"/>
              <w:sz w:val="24"/>
              <w:szCs w:val="24"/>
              <w14:ligatures w14:val="standardContextual"/>
            </w:rPr>
          </w:pPr>
          <w:hyperlink w:anchor="_Toc181784900" w:history="1">
            <w:r w:rsidRPr="001A303B">
              <w:rPr>
                <w:rStyle w:val="Hyperlink"/>
                <w:rFonts w:cstheme="minorHAnsi"/>
                <w:noProof/>
              </w:rPr>
              <w:t>Factor 1</w:t>
            </w:r>
            <w:r>
              <w:rPr>
                <w:noProof/>
                <w:webHidden/>
              </w:rPr>
              <w:tab/>
            </w:r>
            <w:r>
              <w:rPr>
                <w:noProof/>
                <w:webHidden/>
              </w:rPr>
              <w:fldChar w:fldCharType="begin"/>
            </w:r>
            <w:r>
              <w:rPr>
                <w:noProof/>
                <w:webHidden/>
              </w:rPr>
              <w:instrText xml:space="preserve"> PAGEREF _Toc181784900 \h </w:instrText>
            </w:r>
            <w:r>
              <w:rPr>
                <w:noProof/>
                <w:webHidden/>
              </w:rPr>
            </w:r>
            <w:r>
              <w:rPr>
                <w:noProof/>
                <w:webHidden/>
              </w:rPr>
              <w:fldChar w:fldCharType="separate"/>
            </w:r>
            <w:r>
              <w:rPr>
                <w:noProof/>
                <w:webHidden/>
              </w:rPr>
              <w:t>4</w:t>
            </w:r>
            <w:r>
              <w:rPr>
                <w:noProof/>
                <w:webHidden/>
              </w:rPr>
              <w:fldChar w:fldCharType="end"/>
            </w:r>
          </w:hyperlink>
        </w:p>
        <w:p w14:paraId="27A7CB52" w14:textId="4A129006" w:rsidR="00607850" w:rsidRDefault="00607850">
          <w:pPr>
            <w:pStyle w:val="TOC1"/>
            <w:tabs>
              <w:tab w:val="right" w:leader="dot" w:pos="9710"/>
            </w:tabs>
            <w:rPr>
              <w:rFonts w:eastAsiaTheme="minorEastAsia"/>
              <w:noProof/>
              <w:kern w:val="2"/>
              <w:sz w:val="24"/>
              <w:szCs w:val="24"/>
              <w14:ligatures w14:val="standardContextual"/>
            </w:rPr>
          </w:pPr>
          <w:hyperlink w:anchor="_Toc181784901" w:history="1">
            <w:r w:rsidRPr="001A303B">
              <w:rPr>
                <w:rStyle w:val="Hyperlink"/>
                <w:noProof/>
              </w:rPr>
              <w:t>Patient Panel</w:t>
            </w:r>
            <w:r>
              <w:rPr>
                <w:noProof/>
                <w:webHidden/>
              </w:rPr>
              <w:tab/>
            </w:r>
            <w:r>
              <w:rPr>
                <w:noProof/>
                <w:webHidden/>
              </w:rPr>
              <w:fldChar w:fldCharType="begin"/>
            </w:r>
            <w:r>
              <w:rPr>
                <w:noProof/>
                <w:webHidden/>
              </w:rPr>
              <w:instrText xml:space="preserve"> PAGEREF _Toc181784901 \h </w:instrText>
            </w:r>
            <w:r>
              <w:rPr>
                <w:noProof/>
                <w:webHidden/>
              </w:rPr>
            </w:r>
            <w:r>
              <w:rPr>
                <w:noProof/>
                <w:webHidden/>
              </w:rPr>
              <w:fldChar w:fldCharType="separate"/>
            </w:r>
            <w:r>
              <w:rPr>
                <w:noProof/>
                <w:webHidden/>
              </w:rPr>
              <w:t>5</w:t>
            </w:r>
            <w:r>
              <w:rPr>
                <w:noProof/>
                <w:webHidden/>
              </w:rPr>
              <w:fldChar w:fldCharType="end"/>
            </w:r>
          </w:hyperlink>
        </w:p>
        <w:p w14:paraId="6B2FCC72" w14:textId="5DAD383B" w:rsidR="00607850" w:rsidRDefault="00607850">
          <w:pPr>
            <w:pStyle w:val="TOC1"/>
            <w:tabs>
              <w:tab w:val="right" w:leader="dot" w:pos="9710"/>
            </w:tabs>
            <w:rPr>
              <w:rFonts w:eastAsiaTheme="minorEastAsia"/>
              <w:noProof/>
              <w:kern w:val="2"/>
              <w:sz w:val="24"/>
              <w:szCs w:val="24"/>
              <w14:ligatures w14:val="standardContextual"/>
            </w:rPr>
          </w:pPr>
          <w:hyperlink w:anchor="_Toc181784902" w:history="1">
            <w:r w:rsidRPr="001A303B">
              <w:rPr>
                <w:rStyle w:val="Hyperlink"/>
                <w:noProof/>
              </w:rPr>
              <w:t>Factor 1: a) Patient Panel Need</w:t>
            </w:r>
            <w:r>
              <w:rPr>
                <w:noProof/>
                <w:webHidden/>
              </w:rPr>
              <w:tab/>
            </w:r>
            <w:r>
              <w:rPr>
                <w:noProof/>
                <w:webHidden/>
              </w:rPr>
              <w:fldChar w:fldCharType="begin"/>
            </w:r>
            <w:r>
              <w:rPr>
                <w:noProof/>
                <w:webHidden/>
              </w:rPr>
              <w:instrText xml:space="preserve"> PAGEREF _Toc181784902 \h </w:instrText>
            </w:r>
            <w:r>
              <w:rPr>
                <w:noProof/>
                <w:webHidden/>
              </w:rPr>
            </w:r>
            <w:r>
              <w:rPr>
                <w:noProof/>
                <w:webHidden/>
              </w:rPr>
              <w:fldChar w:fldCharType="separate"/>
            </w:r>
            <w:r>
              <w:rPr>
                <w:noProof/>
                <w:webHidden/>
              </w:rPr>
              <w:t>7</w:t>
            </w:r>
            <w:r>
              <w:rPr>
                <w:noProof/>
                <w:webHidden/>
              </w:rPr>
              <w:fldChar w:fldCharType="end"/>
            </w:r>
          </w:hyperlink>
        </w:p>
        <w:p w14:paraId="23C33271" w14:textId="1695F5FC" w:rsidR="00607850" w:rsidRDefault="00607850">
          <w:pPr>
            <w:pStyle w:val="TOC1"/>
            <w:tabs>
              <w:tab w:val="right" w:leader="dot" w:pos="9710"/>
            </w:tabs>
            <w:rPr>
              <w:rFonts w:eastAsiaTheme="minorEastAsia"/>
              <w:noProof/>
              <w:kern w:val="2"/>
              <w:sz w:val="24"/>
              <w:szCs w:val="24"/>
              <w14:ligatures w14:val="standardContextual"/>
            </w:rPr>
          </w:pPr>
          <w:hyperlink w:anchor="_Toc181784903" w:history="1">
            <w:r w:rsidRPr="001A303B">
              <w:rPr>
                <w:rStyle w:val="Hyperlink"/>
                <w:noProof/>
              </w:rPr>
              <w:t>Factor 1: b) Public Health Value through Improved Health Outcomes and Quality Of Life; Assurances Of Health Equity</w:t>
            </w:r>
            <w:r>
              <w:rPr>
                <w:noProof/>
                <w:webHidden/>
              </w:rPr>
              <w:tab/>
            </w:r>
            <w:r>
              <w:rPr>
                <w:noProof/>
                <w:webHidden/>
              </w:rPr>
              <w:fldChar w:fldCharType="begin"/>
            </w:r>
            <w:r>
              <w:rPr>
                <w:noProof/>
                <w:webHidden/>
              </w:rPr>
              <w:instrText xml:space="preserve"> PAGEREF _Toc181784903 \h </w:instrText>
            </w:r>
            <w:r>
              <w:rPr>
                <w:noProof/>
                <w:webHidden/>
              </w:rPr>
            </w:r>
            <w:r>
              <w:rPr>
                <w:noProof/>
                <w:webHidden/>
              </w:rPr>
              <w:fldChar w:fldCharType="separate"/>
            </w:r>
            <w:r>
              <w:rPr>
                <w:noProof/>
                <w:webHidden/>
              </w:rPr>
              <w:t>11</w:t>
            </w:r>
            <w:r>
              <w:rPr>
                <w:noProof/>
                <w:webHidden/>
              </w:rPr>
              <w:fldChar w:fldCharType="end"/>
            </w:r>
          </w:hyperlink>
        </w:p>
        <w:p w14:paraId="1272EACD" w14:textId="391B9242" w:rsidR="00607850" w:rsidRDefault="00607850">
          <w:pPr>
            <w:pStyle w:val="TOC1"/>
            <w:tabs>
              <w:tab w:val="right" w:leader="dot" w:pos="9710"/>
            </w:tabs>
            <w:rPr>
              <w:rFonts w:eastAsiaTheme="minorEastAsia"/>
              <w:noProof/>
              <w:kern w:val="2"/>
              <w:sz w:val="24"/>
              <w:szCs w:val="24"/>
              <w14:ligatures w14:val="standardContextual"/>
            </w:rPr>
          </w:pPr>
          <w:hyperlink w:anchor="_Toc181784904" w:history="1">
            <w:r w:rsidRPr="001A303B">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_Toc181784904 \h </w:instrText>
            </w:r>
            <w:r>
              <w:rPr>
                <w:noProof/>
                <w:webHidden/>
              </w:rPr>
            </w:r>
            <w:r>
              <w:rPr>
                <w:noProof/>
                <w:webHidden/>
              </w:rPr>
              <w:fldChar w:fldCharType="separate"/>
            </w:r>
            <w:r>
              <w:rPr>
                <w:noProof/>
                <w:webHidden/>
              </w:rPr>
              <w:t>14</w:t>
            </w:r>
            <w:r>
              <w:rPr>
                <w:noProof/>
                <w:webHidden/>
              </w:rPr>
              <w:fldChar w:fldCharType="end"/>
            </w:r>
          </w:hyperlink>
        </w:p>
        <w:p w14:paraId="5DA67477" w14:textId="42444545" w:rsidR="00607850" w:rsidRDefault="00607850">
          <w:pPr>
            <w:pStyle w:val="TOC1"/>
            <w:tabs>
              <w:tab w:val="right" w:leader="dot" w:pos="9710"/>
            </w:tabs>
            <w:rPr>
              <w:rFonts w:eastAsiaTheme="minorEastAsia"/>
              <w:noProof/>
              <w:kern w:val="2"/>
              <w:sz w:val="24"/>
              <w:szCs w:val="24"/>
              <w14:ligatures w14:val="standardContextual"/>
            </w:rPr>
          </w:pPr>
          <w:hyperlink w:anchor="_Toc181784905" w:history="1">
            <w:r w:rsidRPr="001A303B">
              <w:rPr>
                <w:rStyle w:val="Hyperlink"/>
                <w:noProof/>
              </w:rPr>
              <w:t>Factor 1: d) Consultation</w:t>
            </w:r>
            <w:r>
              <w:rPr>
                <w:noProof/>
                <w:webHidden/>
              </w:rPr>
              <w:tab/>
            </w:r>
            <w:r>
              <w:rPr>
                <w:noProof/>
                <w:webHidden/>
              </w:rPr>
              <w:fldChar w:fldCharType="begin"/>
            </w:r>
            <w:r>
              <w:rPr>
                <w:noProof/>
                <w:webHidden/>
              </w:rPr>
              <w:instrText xml:space="preserve"> PAGEREF _Toc181784905 \h </w:instrText>
            </w:r>
            <w:r>
              <w:rPr>
                <w:noProof/>
                <w:webHidden/>
              </w:rPr>
            </w:r>
            <w:r>
              <w:rPr>
                <w:noProof/>
                <w:webHidden/>
              </w:rPr>
              <w:fldChar w:fldCharType="separate"/>
            </w:r>
            <w:r>
              <w:rPr>
                <w:noProof/>
                <w:webHidden/>
              </w:rPr>
              <w:t>16</w:t>
            </w:r>
            <w:r>
              <w:rPr>
                <w:noProof/>
                <w:webHidden/>
              </w:rPr>
              <w:fldChar w:fldCharType="end"/>
            </w:r>
          </w:hyperlink>
        </w:p>
        <w:p w14:paraId="55CEE9B2" w14:textId="7AB959DE" w:rsidR="00607850" w:rsidRDefault="00607850">
          <w:pPr>
            <w:pStyle w:val="TOC1"/>
            <w:tabs>
              <w:tab w:val="right" w:leader="dot" w:pos="9710"/>
            </w:tabs>
            <w:rPr>
              <w:rFonts w:eastAsiaTheme="minorEastAsia"/>
              <w:noProof/>
              <w:kern w:val="2"/>
              <w:sz w:val="24"/>
              <w:szCs w:val="24"/>
              <w14:ligatures w14:val="standardContextual"/>
            </w:rPr>
          </w:pPr>
          <w:hyperlink w:anchor="_Toc181784906" w:history="1">
            <w:r w:rsidRPr="001A303B">
              <w:rPr>
                <w:rStyle w:val="Hyperlink"/>
                <w:noProof/>
              </w:rPr>
              <w:t>Factor 1: e) Evidence of Sound Community Engagement</w:t>
            </w:r>
            <w:r>
              <w:rPr>
                <w:noProof/>
                <w:webHidden/>
              </w:rPr>
              <w:tab/>
            </w:r>
            <w:r>
              <w:rPr>
                <w:noProof/>
                <w:webHidden/>
              </w:rPr>
              <w:fldChar w:fldCharType="begin"/>
            </w:r>
            <w:r>
              <w:rPr>
                <w:noProof/>
                <w:webHidden/>
              </w:rPr>
              <w:instrText xml:space="preserve"> PAGEREF _Toc181784906 \h </w:instrText>
            </w:r>
            <w:r>
              <w:rPr>
                <w:noProof/>
                <w:webHidden/>
              </w:rPr>
            </w:r>
            <w:r>
              <w:rPr>
                <w:noProof/>
                <w:webHidden/>
              </w:rPr>
              <w:fldChar w:fldCharType="separate"/>
            </w:r>
            <w:r>
              <w:rPr>
                <w:noProof/>
                <w:webHidden/>
              </w:rPr>
              <w:t>16</w:t>
            </w:r>
            <w:r>
              <w:rPr>
                <w:noProof/>
                <w:webHidden/>
              </w:rPr>
              <w:fldChar w:fldCharType="end"/>
            </w:r>
          </w:hyperlink>
        </w:p>
        <w:p w14:paraId="7DE84427" w14:textId="753B92F2" w:rsidR="00607850" w:rsidRDefault="00607850">
          <w:pPr>
            <w:pStyle w:val="TOC1"/>
            <w:tabs>
              <w:tab w:val="right" w:leader="dot" w:pos="9710"/>
            </w:tabs>
            <w:rPr>
              <w:rFonts w:eastAsiaTheme="minorEastAsia"/>
              <w:noProof/>
              <w:kern w:val="2"/>
              <w:sz w:val="24"/>
              <w:szCs w:val="24"/>
              <w14:ligatures w14:val="standardContextual"/>
            </w:rPr>
          </w:pPr>
          <w:hyperlink w:anchor="_Toc181784907" w:history="1">
            <w:r w:rsidRPr="001A303B">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_Toc181784907 \h </w:instrText>
            </w:r>
            <w:r>
              <w:rPr>
                <w:noProof/>
                <w:webHidden/>
              </w:rPr>
            </w:r>
            <w:r>
              <w:rPr>
                <w:noProof/>
                <w:webHidden/>
              </w:rPr>
              <w:fldChar w:fldCharType="separate"/>
            </w:r>
            <w:r>
              <w:rPr>
                <w:noProof/>
                <w:webHidden/>
              </w:rPr>
              <w:t>17</w:t>
            </w:r>
            <w:r>
              <w:rPr>
                <w:noProof/>
                <w:webHidden/>
              </w:rPr>
              <w:fldChar w:fldCharType="end"/>
            </w:r>
          </w:hyperlink>
        </w:p>
        <w:p w14:paraId="528B7AFC" w14:textId="16028FEB" w:rsidR="00607850" w:rsidRDefault="00607850">
          <w:pPr>
            <w:pStyle w:val="TOC2"/>
            <w:rPr>
              <w:rFonts w:eastAsiaTheme="minorEastAsia" w:cstheme="minorBidi"/>
              <w:i w:val="0"/>
              <w:iCs w:val="0"/>
              <w:kern w:val="2"/>
              <w:sz w:val="24"/>
              <w:szCs w:val="24"/>
              <w14:ligatures w14:val="standardContextual"/>
            </w:rPr>
          </w:pPr>
          <w:hyperlink w:anchor="_Toc181784908" w:history="1">
            <w:r w:rsidRPr="001A303B">
              <w:rPr>
                <w:rStyle w:val="Hyperlink"/>
              </w:rPr>
              <w:t>Summary, FACTOR 1</w:t>
            </w:r>
            <w:r>
              <w:rPr>
                <w:webHidden/>
              </w:rPr>
              <w:tab/>
            </w:r>
            <w:r>
              <w:rPr>
                <w:webHidden/>
              </w:rPr>
              <w:fldChar w:fldCharType="begin"/>
            </w:r>
            <w:r>
              <w:rPr>
                <w:webHidden/>
              </w:rPr>
              <w:instrText xml:space="preserve"> PAGEREF _Toc181784908 \h </w:instrText>
            </w:r>
            <w:r>
              <w:rPr>
                <w:webHidden/>
              </w:rPr>
            </w:r>
            <w:r>
              <w:rPr>
                <w:webHidden/>
              </w:rPr>
              <w:fldChar w:fldCharType="separate"/>
            </w:r>
            <w:r>
              <w:rPr>
                <w:webHidden/>
              </w:rPr>
              <w:t>18</w:t>
            </w:r>
            <w:r>
              <w:rPr>
                <w:webHidden/>
              </w:rPr>
              <w:fldChar w:fldCharType="end"/>
            </w:r>
          </w:hyperlink>
        </w:p>
        <w:p w14:paraId="4BFA0843" w14:textId="462BB25B" w:rsidR="00607850" w:rsidRDefault="00607850">
          <w:pPr>
            <w:pStyle w:val="TOC1"/>
            <w:tabs>
              <w:tab w:val="right" w:leader="dot" w:pos="9710"/>
            </w:tabs>
            <w:rPr>
              <w:rFonts w:eastAsiaTheme="minorEastAsia"/>
              <w:noProof/>
              <w:kern w:val="2"/>
              <w:sz w:val="24"/>
              <w:szCs w:val="24"/>
              <w14:ligatures w14:val="standardContextual"/>
            </w:rPr>
          </w:pPr>
          <w:hyperlink w:anchor="_Toc181784909" w:history="1">
            <w:r w:rsidRPr="001A303B">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_Toc181784909 \h </w:instrText>
            </w:r>
            <w:r>
              <w:rPr>
                <w:noProof/>
                <w:webHidden/>
              </w:rPr>
            </w:r>
            <w:r>
              <w:rPr>
                <w:noProof/>
                <w:webHidden/>
              </w:rPr>
              <w:fldChar w:fldCharType="separate"/>
            </w:r>
            <w:r>
              <w:rPr>
                <w:noProof/>
                <w:webHidden/>
              </w:rPr>
              <w:t>18</w:t>
            </w:r>
            <w:r>
              <w:rPr>
                <w:noProof/>
                <w:webHidden/>
              </w:rPr>
              <w:fldChar w:fldCharType="end"/>
            </w:r>
          </w:hyperlink>
        </w:p>
        <w:p w14:paraId="521BCFB3" w14:textId="77A867C5" w:rsidR="00607850" w:rsidRDefault="00607850">
          <w:pPr>
            <w:pStyle w:val="TOC1"/>
            <w:tabs>
              <w:tab w:val="right" w:leader="dot" w:pos="9710"/>
            </w:tabs>
            <w:rPr>
              <w:rFonts w:eastAsiaTheme="minorEastAsia"/>
              <w:noProof/>
              <w:kern w:val="2"/>
              <w:sz w:val="24"/>
              <w:szCs w:val="24"/>
              <w14:ligatures w14:val="standardContextual"/>
            </w:rPr>
          </w:pPr>
          <w:hyperlink w:anchor="_Toc181784910" w:history="1">
            <w:r w:rsidRPr="001A303B">
              <w:rPr>
                <w:rStyle w:val="Hyperlink"/>
                <w:rFonts w:cstheme="minorHAnsi"/>
                <w:bCs/>
                <w:noProof/>
              </w:rPr>
              <w:t>Summary, FACTOR 2</w:t>
            </w:r>
            <w:r>
              <w:rPr>
                <w:noProof/>
                <w:webHidden/>
              </w:rPr>
              <w:tab/>
            </w:r>
            <w:r>
              <w:rPr>
                <w:noProof/>
                <w:webHidden/>
              </w:rPr>
              <w:fldChar w:fldCharType="begin"/>
            </w:r>
            <w:r>
              <w:rPr>
                <w:noProof/>
                <w:webHidden/>
              </w:rPr>
              <w:instrText xml:space="preserve"> PAGEREF _Toc181784910 \h </w:instrText>
            </w:r>
            <w:r>
              <w:rPr>
                <w:noProof/>
                <w:webHidden/>
              </w:rPr>
            </w:r>
            <w:r>
              <w:rPr>
                <w:noProof/>
                <w:webHidden/>
              </w:rPr>
              <w:fldChar w:fldCharType="separate"/>
            </w:r>
            <w:r>
              <w:rPr>
                <w:noProof/>
                <w:webHidden/>
              </w:rPr>
              <w:t>20</w:t>
            </w:r>
            <w:r>
              <w:rPr>
                <w:noProof/>
                <w:webHidden/>
              </w:rPr>
              <w:fldChar w:fldCharType="end"/>
            </w:r>
          </w:hyperlink>
        </w:p>
        <w:p w14:paraId="0FFBEC4F" w14:textId="3C987712" w:rsidR="00607850" w:rsidRDefault="00607850">
          <w:pPr>
            <w:pStyle w:val="TOC1"/>
            <w:tabs>
              <w:tab w:val="right" w:leader="dot" w:pos="9710"/>
            </w:tabs>
            <w:rPr>
              <w:rFonts w:eastAsiaTheme="minorEastAsia"/>
              <w:noProof/>
              <w:kern w:val="2"/>
              <w:sz w:val="24"/>
              <w:szCs w:val="24"/>
              <w14:ligatures w14:val="standardContextual"/>
            </w:rPr>
          </w:pPr>
          <w:hyperlink w:anchor="_Toc181784911" w:history="1">
            <w:r w:rsidRPr="001A303B">
              <w:rPr>
                <w:rStyle w:val="Hyperlink"/>
                <w:noProof/>
              </w:rPr>
              <w:t>Factor 3: Relevant Licensure/Oversight Compliance</w:t>
            </w:r>
            <w:r>
              <w:rPr>
                <w:noProof/>
                <w:webHidden/>
              </w:rPr>
              <w:tab/>
            </w:r>
            <w:r>
              <w:rPr>
                <w:noProof/>
                <w:webHidden/>
              </w:rPr>
              <w:fldChar w:fldCharType="begin"/>
            </w:r>
            <w:r>
              <w:rPr>
                <w:noProof/>
                <w:webHidden/>
              </w:rPr>
              <w:instrText xml:space="preserve"> PAGEREF _Toc181784911 \h </w:instrText>
            </w:r>
            <w:r>
              <w:rPr>
                <w:noProof/>
                <w:webHidden/>
              </w:rPr>
            </w:r>
            <w:r>
              <w:rPr>
                <w:noProof/>
                <w:webHidden/>
              </w:rPr>
              <w:fldChar w:fldCharType="separate"/>
            </w:r>
            <w:r>
              <w:rPr>
                <w:noProof/>
                <w:webHidden/>
              </w:rPr>
              <w:t>20</w:t>
            </w:r>
            <w:r>
              <w:rPr>
                <w:noProof/>
                <w:webHidden/>
              </w:rPr>
              <w:fldChar w:fldCharType="end"/>
            </w:r>
          </w:hyperlink>
        </w:p>
        <w:p w14:paraId="4EA543DA" w14:textId="437CCC57" w:rsidR="00607850" w:rsidRDefault="00607850">
          <w:pPr>
            <w:pStyle w:val="TOC1"/>
            <w:tabs>
              <w:tab w:val="right" w:leader="dot" w:pos="9710"/>
            </w:tabs>
            <w:rPr>
              <w:rFonts w:eastAsiaTheme="minorEastAsia"/>
              <w:noProof/>
              <w:kern w:val="2"/>
              <w:sz w:val="24"/>
              <w:szCs w:val="24"/>
              <w14:ligatures w14:val="standardContextual"/>
            </w:rPr>
          </w:pPr>
          <w:hyperlink w:anchor="_Toc181784912" w:history="1">
            <w:r w:rsidRPr="001A303B">
              <w:rPr>
                <w:rStyle w:val="Hyperlink"/>
                <w:noProof/>
              </w:rPr>
              <w:t>Factor 4: Financial Feasibility</w:t>
            </w:r>
            <w:r>
              <w:rPr>
                <w:noProof/>
                <w:webHidden/>
              </w:rPr>
              <w:tab/>
            </w:r>
            <w:r>
              <w:rPr>
                <w:noProof/>
                <w:webHidden/>
              </w:rPr>
              <w:fldChar w:fldCharType="begin"/>
            </w:r>
            <w:r>
              <w:rPr>
                <w:noProof/>
                <w:webHidden/>
              </w:rPr>
              <w:instrText xml:space="preserve"> PAGEREF _Toc181784912 \h </w:instrText>
            </w:r>
            <w:r>
              <w:rPr>
                <w:noProof/>
                <w:webHidden/>
              </w:rPr>
            </w:r>
            <w:r>
              <w:rPr>
                <w:noProof/>
                <w:webHidden/>
              </w:rPr>
              <w:fldChar w:fldCharType="separate"/>
            </w:r>
            <w:r>
              <w:rPr>
                <w:noProof/>
                <w:webHidden/>
              </w:rPr>
              <w:t>20</w:t>
            </w:r>
            <w:r>
              <w:rPr>
                <w:noProof/>
                <w:webHidden/>
              </w:rPr>
              <w:fldChar w:fldCharType="end"/>
            </w:r>
          </w:hyperlink>
        </w:p>
        <w:p w14:paraId="3528E208" w14:textId="676D2EE7" w:rsidR="00607850" w:rsidRDefault="00607850">
          <w:pPr>
            <w:pStyle w:val="TOC1"/>
            <w:tabs>
              <w:tab w:val="right" w:leader="dot" w:pos="9710"/>
            </w:tabs>
            <w:rPr>
              <w:rFonts w:eastAsiaTheme="minorEastAsia"/>
              <w:noProof/>
              <w:kern w:val="2"/>
              <w:sz w:val="24"/>
              <w:szCs w:val="24"/>
              <w14:ligatures w14:val="standardContextual"/>
            </w:rPr>
          </w:pPr>
          <w:hyperlink w:anchor="_Toc181784913" w:history="1">
            <w:r w:rsidRPr="001A303B">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_Toc181784913 \h </w:instrText>
            </w:r>
            <w:r>
              <w:rPr>
                <w:noProof/>
                <w:webHidden/>
              </w:rPr>
            </w:r>
            <w:r>
              <w:rPr>
                <w:noProof/>
                <w:webHidden/>
              </w:rPr>
              <w:fldChar w:fldCharType="separate"/>
            </w:r>
            <w:r>
              <w:rPr>
                <w:noProof/>
                <w:webHidden/>
              </w:rPr>
              <w:t>22</w:t>
            </w:r>
            <w:r>
              <w:rPr>
                <w:noProof/>
                <w:webHidden/>
              </w:rPr>
              <w:fldChar w:fldCharType="end"/>
            </w:r>
          </w:hyperlink>
        </w:p>
        <w:p w14:paraId="7C740C98" w14:textId="454954BB" w:rsidR="00607850" w:rsidRDefault="00607850">
          <w:pPr>
            <w:pStyle w:val="TOC1"/>
            <w:tabs>
              <w:tab w:val="right" w:leader="dot" w:pos="9710"/>
            </w:tabs>
            <w:rPr>
              <w:rFonts w:eastAsiaTheme="minorEastAsia"/>
              <w:noProof/>
              <w:kern w:val="2"/>
              <w:sz w:val="24"/>
              <w:szCs w:val="24"/>
              <w14:ligatures w14:val="standardContextual"/>
            </w:rPr>
          </w:pPr>
          <w:hyperlink w:anchor="_Toc181784914" w:history="1">
            <w:r w:rsidRPr="001A303B">
              <w:rPr>
                <w:rStyle w:val="Hyperlink"/>
                <w:noProof/>
              </w:rPr>
              <w:t>Factor 6: Fulfillment of DPH Community-based Health Initiatives</w:t>
            </w:r>
            <w:r>
              <w:rPr>
                <w:noProof/>
                <w:webHidden/>
              </w:rPr>
              <w:tab/>
            </w:r>
            <w:r>
              <w:rPr>
                <w:noProof/>
                <w:webHidden/>
              </w:rPr>
              <w:fldChar w:fldCharType="begin"/>
            </w:r>
            <w:r>
              <w:rPr>
                <w:noProof/>
                <w:webHidden/>
              </w:rPr>
              <w:instrText xml:space="preserve"> PAGEREF _Toc181784914 \h </w:instrText>
            </w:r>
            <w:r>
              <w:rPr>
                <w:noProof/>
                <w:webHidden/>
              </w:rPr>
            </w:r>
            <w:r>
              <w:rPr>
                <w:noProof/>
                <w:webHidden/>
              </w:rPr>
              <w:fldChar w:fldCharType="separate"/>
            </w:r>
            <w:r>
              <w:rPr>
                <w:noProof/>
                <w:webHidden/>
              </w:rPr>
              <w:t>23</w:t>
            </w:r>
            <w:r>
              <w:rPr>
                <w:noProof/>
                <w:webHidden/>
              </w:rPr>
              <w:fldChar w:fldCharType="end"/>
            </w:r>
          </w:hyperlink>
        </w:p>
        <w:p w14:paraId="0B140C32" w14:textId="18404EF5" w:rsidR="00607850" w:rsidRDefault="00607850">
          <w:pPr>
            <w:pStyle w:val="TOC1"/>
            <w:tabs>
              <w:tab w:val="right" w:leader="dot" w:pos="9710"/>
            </w:tabs>
            <w:rPr>
              <w:rFonts w:eastAsiaTheme="minorEastAsia"/>
              <w:noProof/>
              <w:kern w:val="2"/>
              <w:sz w:val="24"/>
              <w:szCs w:val="24"/>
              <w14:ligatures w14:val="standardContextual"/>
            </w:rPr>
          </w:pPr>
          <w:hyperlink w:anchor="_Toc181784915" w:history="1">
            <w:r w:rsidRPr="001A303B">
              <w:rPr>
                <w:rStyle w:val="Hyperlink"/>
                <w:noProof/>
              </w:rPr>
              <w:t>Overall Findings and Recommendations</w:t>
            </w:r>
            <w:r>
              <w:rPr>
                <w:noProof/>
                <w:webHidden/>
              </w:rPr>
              <w:tab/>
            </w:r>
            <w:r>
              <w:rPr>
                <w:noProof/>
                <w:webHidden/>
              </w:rPr>
              <w:fldChar w:fldCharType="begin"/>
            </w:r>
            <w:r>
              <w:rPr>
                <w:noProof/>
                <w:webHidden/>
              </w:rPr>
              <w:instrText xml:space="preserve"> PAGEREF _Toc181784915 \h </w:instrText>
            </w:r>
            <w:r>
              <w:rPr>
                <w:noProof/>
                <w:webHidden/>
              </w:rPr>
            </w:r>
            <w:r>
              <w:rPr>
                <w:noProof/>
                <w:webHidden/>
              </w:rPr>
              <w:fldChar w:fldCharType="separate"/>
            </w:r>
            <w:r>
              <w:rPr>
                <w:noProof/>
                <w:webHidden/>
              </w:rPr>
              <w:t>24</w:t>
            </w:r>
            <w:r>
              <w:rPr>
                <w:noProof/>
                <w:webHidden/>
              </w:rPr>
              <w:fldChar w:fldCharType="end"/>
            </w:r>
          </w:hyperlink>
        </w:p>
        <w:p w14:paraId="1B24A013" w14:textId="729A0398" w:rsidR="00607850" w:rsidRDefault="00607850">
          <w:pPr>
            <w:pStyle w:val="TOC1"/>
            <w:tabs>
              <w:tab w:val="right" w:leader="dot" w:pos="9710"/>
            </w:tabs>
            <w:rPr>
              <w:rFonts w:eastAsiaTheme="minorEastAsia"/>
              <w:noProof/>
              <w:kern w:val="2"/>
              <w:sz w:val="24"/>
              <w:szCs w:val="24"/>
              <w14:ligatures w14:val="standardContextual"/>
            </w:rPr>
          </w:pPr>
          <w:hyperlink w:anchor="_Toc181784916" w:history="1">
            <w:r w:rsidRPr="001A303B">
              <w:rPr>
                <w:rStyle w:val="Hyperlink"/>
                <w:noProof/>
              </w:rPr>
              <w:t>Conditions to the DoN</w:t>
            </w:r>
            <w:r>
              <w:rPr>
                <w:noProof/>
                <w:webHidden/>
              </w:rPr>
              <w:tab/>
            </w:r>
            <w:r>
              <w:rPr>
                <w:noProof/>
                <w:webHidden/>
              </w:rPr>
              <w:fldChar w:fldCharType="begin"/>
            </w:r>
            <w:r>
              <w:rPr>
                <w:noProof/>
                <w:webHidden/>
              </w:rPr>
              <w:instrText xml:space="preserve"> PAGEREF _Toc181784916 \h </w:instrText>
            </w:r>
            <w:r>
              <w:rPr>
                <w:noProof/>
                <w:webHidden/>
              </w:rPr>
            </w:r>
            <w:r>
              <w:rPr>
                <w:noProof/>
                <w:webHidden/>
              </w:rPr>
              <w:fldChar w:fldCharType="separate"/>
            </w:r>
            <w:r>
              <w:rPr>
                <w:noProof/>
                <w:webHidden/>
              </w:rPr>
              <w:t>25</w:t>
            </w:r>
            <w:r>
              <w:rPr>
                <w:noProof/>
                <w:webHidden/>
              </w:rPr>
              <w:fldChar w:fldCharType="end"/>
            </w:r>
          </w:hyperlink>
        </w:p>
        <w:p w14:paraId="671DBE6F" w14:textId="7F9D2102" w:rsidR="00607850" w:rsidRDefault="00607850">
          <w:pPr>
            <w:pStyle w:val="TOC1"/>
            <w:tabs>
              <w:tab w:val="right" w:leader="dot" w:pos="9710"/>
            </w:tabs>
            <w:rPr>
              <w:rFonts w:eastAsiaTheme="minorEastAsia"/>
              <w:noProof/>
              <w:kern w:val="2"/>
              <w:sz w:val="24"/>
              <w:szCs w:val="24"/>
              <w14:ligatures w14:val="standardContextual"/>
            </w:rPr>
          </w:pPr>
          <w:hyperlink w:anchor="_Toc181784917" w:history="1">
            <w:r w:rsidRPr="001A303B">
              <w:rPr>
                <w:rStyle w:val="Hyperlink"/>
                <w:noProof/>
              </w:rPr>
              <w:t>Appendix I</w:t>
            </w:r>
            <w:r>
              <w:rPr>
                <w:noProof/>
                <w:webHidden/>
              </w:rPr>
              <w:tab/>
            </w:r>
            <w:r>
              <w:rPr>
                <w:noProof/>
                <w:webHidden/>
              </w:rPr>
              <w:fldChar w:fldCharType="begin"/>
            </w:r>
            <w:r>
              <w:rPr>
                <w:noProof/>
                <w:webHidden/>
              </w:rPr>
              <w:instrText xml:space="preserve"> PAGEREF _Toc181784917 \h </w:instrText>
            </w:r>
            <w:r>
              <w:rPr>
                <w:noProof/>
                <w:webHidden/>
              </w:rPr>
            </w:r>
            <w:r>
              <w:rPr>
                <w:noProof/>
                <w:webHidden/>
              </w:rPr>
              <w:fldChar w:fldCharType="separate"/>
            </w:r>
            <w:r>
              <w:rPr>
                <w:noProof/>
                <w:webHidden/>
              </w:rPr>
              <w:t>25</w:t>
            </w:r>
            <w:r>
              <w:rPr>
                <w:noProof/>
                <w:webHidden/>
              </w:rPr>
              <w:fldChar w:fldCharType="end"/>
            </w:r>
          </w:hyperlink>
        </w:p>
        <w:p w14:paraId="7B1F97BD" w14:textId="6FA435A2" w:rsidR="00607850" w:rsidRDefault="00607850">
          <w:pPr>
            <w:pStyle w:val="TOC1"/>
            <w:tabs>
              <w:tab w:val="right" w:leader="dot" w:pos="9710"/>
            </w:tabs>
            <w:rPr>
              <w:rFonts w:eastAsiaTheme="minorEastAsia"/>
              <w:noProof/>
              <w:kern w:val="2"/>
              <w:sz w:val="24"/>
              <w:szCs w:val="24"/>
              <w14:ligatures w14:val="standardContextual"/>
            </w:rPr>
          </w:pPr>
          <w:hyperlink w:anchor="_Toc181784918" w:history="1">
            <w:r w:rsidRPr="001A303B">
              <w:rPr>
                <w:rStyle w:val="Hyperlink"/>
                <w:rFonts w:cstheme="minorHAnsi"/>
                <w:iCs/>
                <w:noProof/>
              </w:rPr>
              <w:t>REFERENCES</w:t>
            </w:r>
            <w:r>
              <w:rPr>
                <w:noProof/>
                <w:webHidden/>
              </w:rPr>
              <w:tab/>
            </w:r>
            <w:r>
              <w:rPr>
                <w:noProof/>
                <w:webHidden/>
              </w:rPr>
              <w:fldChar w:fldCharType="begin"/>
            </w:r>
            <w:r>
              <w:rPr>
                <w:noProof/>
                <w:webHidden/>
              </w:rPr>
              <w:instrText xml:space="preserve"> PAGEREF _Toc181784918 \h </w:instrText>
            </w:r>
            <w:r>
              <w:rPr>
                <w:noProof/>
                <w:webHidden/>
              </w:rPr>
            </w:r>
            <w:r>
              <w:rPr>
                <w:noProof/>
                <w:webHidden/>
              </w:rPr>
              <w:fldChar w:fldCharType="separate"/>
            </w:r>
            <w:r>
              <w:rPr>
                <w:noProof/>
                <w:webHidden/>
              </w:rPr>
              <w:t>27</w:t>
            </w:r>
            <w:r>
              <w:rPr>
                <w:noProof/>
                <w:webHidden/>
              </w:rPr>
              <w:fldChar w:fldCharType="end"/>
            </w:r>
          </w:hyperlink>
        </w:p>
        <w:p w14:paraId="060B9E96" w14:textId="060D31B0" w:rsidR="0098316A" w:rsidRPr="00AA0F82" w:rsidRDefault="0098316A">
          <w:pPr>
            <w:rPr>
              <w:sz w:val="24"/>
              <w:szCs w:val="24"/>
              <w:highlight w:val="yellow"/>
            </w:rPr>
          </w:pPr>
          <w:r w:rsidRPr="00AA0F82">
            <w:rPr>
              <w:b/>
              <w:bCs/>
              <w:noProof/>
              <w:color w:val="2B579A"/>
              <w:sz w:val="24"/>
              <w:szCs w:val="24"/>
              <w:highlight w:val="yellow"/>
              <w:shd w:val="clear" w:color="auto" w:fill="E6E6E6"/>
            </w:rPr>
            <w:fldChar w:fldCharType="end"/>
          </w:r>
        </w:p>
      </w:sdtContent>
    </w:sdt>
    <w:p w14:paraId="12C7C6A3" w14:textId="77777777" w:rsidR="00897353" w:rsidRPr="00AA0F82" w:rsidRDefault="00897353" w:rsidP="0093651C">
      <w:pPr>
        <w:pStyle w:val="Heading1"/>
        <w:rPr>
          <w:highlight w:val="yellow"/>
        </w:rPr>
      </w:pPr>
    </w:p>
    <w:p w14:paraId="6FEB13CA" w14:textId="77777777" w:rsidR="00897353" w:rsidRPr="00AA0F82" w:rsidRDefault="00897353">
      <w:pPr>
        <w:rPr>
          <w:b/>
          <w:bCs/>
          <w:highlight w:val="yellow"/>
        </w:rPr>
      </w:pPr>
    </w:p>
    <w:p w14:paraId="780EAF0C" w14:textId="20A6C8EE" w:rsidR="00897353" w:rsidRPr="00AA0F82" w:rsidRDefault="00897353" w:rsidP="00897353">
      <w:pPr>
        <w:spacing w:after="0" w:line="240" w:lineRule="auto"/>
        <w:contextualSpacing/>
        <w:jc w:val="center"/>
        <w:rPr>
          <w:rFonts w:ascii="Garamond" w:eastAsia="Calibri" w:hAnsi="Garamond" w:cs="Times New Roman"/>
          <w:highlight w:val="yellow"/>
        </w:rPr>
      </w:pPr>
    </w:p>
    <w:p w14:paraId="78017998" w14:textId="77777777" w:rsidR="00897353" w:rsidRPr="00AA0F82" w:rsidRDefault="00897353" w:rsidP="00897353">
      <w:pPr>
        <w:spacing w:after="0" w:line="240" w:lineRule="auto"/>
        <w:contextualSpacing/>
        <w:rPr>
          <w:rFonts w:ascii="Garamond" w:eastAsia="Calibri" w:hAnsi="Garamond" w:cs="Times New Roman"/>
          <w:highlight w:val="yellow"/>
        </w:rPr>
        <w:sectPr w:rsidR="00897353" w:rsidRPr="00AA0F82" w:rsidSect="0098316A">
          <w:endnotePr>
            <w:numFmt w:val="lowerLetter"/>
          </w:endnotePr>
          <w:pgSz w:w="12240" w:h="15840"/>
          <w:pgMar w:top="1440" w:right="1440" w:bottom="1440" w:left="1080" w:header="720" w:footer="720" w:gutter="0"/>
          <w:cols w:space="720"/>
          <w:docGrid w:linePitch="360"/>
        </w:sectPr>
      </w:pPr>
    </w:p>
    <w:p w14:paraId="0C41E10A" w14:textId="478C72C6" w:rsidR="00C375A0" w:rsidRPr="00AA0F82" w:rsidRDefault="00926528" w:rsidP="008150F1">
      <w:pPr>
        <w:pStyle w:val="Heading1"/>
        <w:spacing w:line="240" w:lineRule="auto"/>
        <w:rPr>
          <w:rFonts w:cstheme="minorHAnsi"/>
          <w:highlight w:val="yellow"/>
        </w:rPr>
      </w:pPr>
      <w:bookmarkStart w:id="0" w:name="_Toc144207765"/>
      <w:bookmarkStart w:id="1" w:name="_Toc181784899"/>
      <w:r w:rsidRPr="009A73B4">
        <w:rPr>
          <w:rFonts w:cstheme="minorHAnsi"/>
        </w:rPr>
        <w:lastRenderedPageBreak/>
        <w:t>Applicant Background and Application Overview</w:t>
      </w:r>
      <w:bookmarkEnd w:id="0"/>
      <w:bookmarkEnd w:id="1"/>
    </w:p>
    <w:p w14:paraId="02A0D8DA" w14:textId="77777777" w:rsidR="00CA398E" w:rsidRPr="00CA398E" w:rsidRDefault="00CA398E" w:rsidP="00CA398E">
      <w:pPr>
        <w:pStyle w:val="BodyText"/>
        <w:ind w:right="133"/>
        <w:rPr>
          <w:rFonts w:asciiTheme="minorHAnsi" w:hAnsiTheme="minorHAnsi" w:cstheme="minorHAnsi"/>
          <w:b/>
          <w:bCs/>
          <w:sz w:val="24"/>
          <w:szCs w:val="24"/>
        </w:rPr>
      </w:pPr>
      <w:r w:rsidRPr="00CA398E">
        <w:rPr>
          <w:rFonts w:asciiTheme="minorHAnsi" w:hAnsiTheme="minorHAnsi" w:cstheme="minorHAnsi"/>
          <w:b/>
          <w:bCs/>
          <w:sz w:val="24"/>
          <w:szCs w:val="24"/>
        </w:rPr>
        <w:t>Beth Israel Lahey Health, Inc.</w:t>
      </w:r>
    </w:p>
    <w:p w14:paraId="6FABCE47" w14:textId="7D04DC42" w:rsidR="00CA398E" w:rsidRPr="00CA398E" w:rsidRDefault="00CA398E" w:rsidP="00CA398E">
      <w:pPr>
        <w:pStyle w:val="BodyText"/>
        <w:ind w:right="130"/>
        <w:rPr>
          <w:rFonts w:asciiTheme="minorHAnsi" w:hAnsiTheme="minorHAnsi" w:cstheme="minorHAnsi"/>
          <w:sz w:val="24"/>
          <w:szCs w:val="24"/>
        </w:rPr>
      </w:pPr>
      <w:r w:rsidRPr="00CA398E">
        <w:rPr>
          <w:rFonts w:asciiTheme="minorHAnsi" w:hAnsiTheme="minorHAnsi" w:cstheme="minorHAnsi"/>
          <w:sz w:val="24"/>
          <w:szCs w:val="24"/>
        </w:rPr>
        <w:t>The Beth Israel Lahey Health, Inc (BILH or Applicant), is a Massachusetts, non-profit, tax-exempt corporation that oversees an integrated health care delivery system comprised of teaching and community hospitals, physician groups, behavioral health providers, post-acute care providers and other caregivers serving</w:t>
      </w:r>
      <w:r w:rsidRPr="00CA398E">
        <w:rPr>
          <w:rFonts w:asciiTheme="minorHAnsi" w:hAnsiTheme="minorHAnsi" w:cstheme="minorHAnsi"/>
          <w:spacing w:val="-3"/>
          <w:sz w:val="24"/>
          <w:szCs w:val="24"/>
        </w:rPr>
        <w:t xml:space="preserve"> </w:t>
      </w:r>
      <w:r w:rsidRPr="00CA398E">
        <w:rPr>
          <w:rFonts w:asciiTheme="minorHAnsi" w:hAnsiTheme="minorHAnsi" w:cstheme="minorHAnsi"/>
          <w:sz w:val="24"/>
          <w:szCs w:val="24"/>
        </w:rPr>
        <w:t>patients</w:t>
      </w:r>
      <w:r w:rsidRPr="00CA398E">
        <w:rPr>
          <w:rFonts w:asciiTheme="minorHAnsi" w:hAnsiTheme="minorHAnsi" w:cstheme="minorHAnsi"/>
          <w:spacing w:val="-5"/>
          <w:sz w:val="24"/>
          <w:szCs w:val="24"/>
        </w:rPr>
        <w:t xml:space="preserve"> </w:t>
      </w:r>
      <w:r w:rsidRPr="00CA398E">
        <w:rPr>
          <w:rFonts w:asciiTheme="minorHAnsi" w:hAnsiTheme="minorHAnsi" w:cstheme="minorHAnsi"/>
          <w:sz w:val="24"/>
          <w:szCs w:val="24"/>
        </w:rPr>
        <w:t>in</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Greater</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Boston</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and</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the</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surrounding</w:t>
      </w:r>
      <w:r w:rsidRPr="00CA398E">
        <w:rPr>
          <w:rFonts w:asciiTheme="minorHAnsi" w:hAnsiTheme="minorHAnsi" w:cstheme="minorHAnsi"/>
          <w:spacing w:val="-5"/>
          <w:sz w:val="24"/>
          <w:szCs w:val="24"/>
        </w:rPr>
        <w:t xml:space="preserve"> </w:t>
      </w:r>
      <w:r w:rsidRPr="00CA398E">
        <w:rPr>
          <w:rFonts w:asciiTheme="minorHAnsi" w:hAnsiTheme="minorHAnsi" w:cstheme="minorHAnsi"/>
          <w:sz w:val="24"/>
          <w:szCs w:val="24"/>
        </w:rPr>
        <w:t>communities</w:t>
      </w:r>
      <w:r w:rsidRPr="00CA398E">
        <w:rPr>
          <w:rFonts w:asciiTheme="minorHAnsi" w:hAnsiTheme="minorHAnsi" w:cstheme="minorHAnsi"/>
          <w:spacing w:val="-3"/>
          <w:sz w:val="24"/>
          <w:szCs w:val="24"/>
        </w:rPr>
        <w:t xml:space="preserve"> </w:t>
      </w:r>
      <w:r w:rsidRPr="00CA398E">
        <w:rPr>
          <w:rFonts w:asciiTheme="minorHAnsi" w:hAnsiTheme="minorHAnsi" w:cstheme="minorHAnsi"/>
          <w:sz w:val="24"/>
          <w:szCs w:val="24"/>
        </w:rPr>
        <w:t>in</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Eastern</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Massachusetts and South</w:t>
      </w:r>
      <w:r w:rsidR="00401EE1">
        <w:rPr>
          <w:rFonts w:asciiTheme="minorHAnsi" w:hAnsiTheme="minorHAnsi" w:cstheme="minorHAnsi"/>
          <w:sz w:val="24"/>
          <w:szCs w:val="24"/>
        </w:rPr>
        <w:t>e</w:t>
      </w:r>
      <w:r w:rsidRPr="00CA398E">
        <w:rPr>
          <w:rFonts w:asciiTheme="minorHAnsi" w:hAnsiTheme="minorHAnsi" w:cstheme="minorHAnsi"/>
          <w:sz w:val="24"/>
          <w:szCs w:val="24"/>
        </w:rPr>
        <w:t>astern New Hampshire.</w:t>
      </w:r>
      <w:r w:rsidRPr="00CA398E">
        <w:rPr>
          <w:rStyle w:val="FootnoteReference"/>
          <w:rFonts w:asciiTheme="minorHAnsi" w:hAnsiTheme="minorHAnsi" w:cstheme="minorHAnsi"/>
          <w:sz w:val="24"/>
          <w:szCs w:val="24"/>
        </w:rPr>
        <w:footnoteReference w:id="2"/>
      </w:r>
      <w:r w:rsidRPr="00CA398E">
        <w:rPr>
          <w:rFonts w:asciiTheme="minorHAnsi" w:hAnsiTheme="minorHAnsi" w:cstheme="minorHAnsi"/>
          <w:sz w:val="24"/>
          <w:szCs w:val="24"/>
        </w:rPr>
        <w:t xml:space="preserve"> </w:t>
      </w:r>
    </w:p>
    <w:p w14:paraId="2D1564A5" w14:textId="77777777" w:rsidR="00CA398E" w:rsidRPr="00CA398E" w:rsidRDefault="00CA398E" w:rsidP="00CA398E">
      <w:pPr>
        <w:pStyle w:val="BodyText"/>
        <w:spacing w:before="1"/>
        <w:rPr>
          <w:rFonts w:asciiTheme="minorHAnsi" w:hAnsiTheme="minorHAnsi" w:cstheme="minorHAnsi"/>
          <w:sz w:val="24"/>
          <w:szCs w:val="24"/>
        </w:rPr>
      </w:pPr>
    </w:p>
    <w:p w14:paraId="28C2D93F" w14:textId="77777777" w:rsidR="00CA398E" w:rsidRPr="00CA398E" w:rsidRDefault="00CA398E" w:rsidP="00CA398E">
      <w:pPr>
        <w:pStyle w:val="BodyText"/>
        <w:rPr>
          <w:rFonts w:asciiTheme="minorHAnsi" w:hAnsiTheme="minorHAnsi" w:cstheme="minorHAnsi"/>
          <w:sz w:val="24"/>
          <w:szCs w:val="24"/>
        </w:rPr>
      </w:pPr>
      <w:r w:rsidRPr="00CA398E">
        <w:rPr>
          <w:rFonts w:asciiTheme="minorHAnsi" w:hAnsiTheme="minorHAnsi" w:cstheme="minorHAnsi"/>
          <w:sz w:val="24"/>
          <w:szCs w:val="24"/>
        </w:rPr>
        <w:t>Collectively</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known as</w:t>
      </w:r>
      <w:r w:rsidRPr="00CA398E">
        <w:rPr>
          <w:rFonts w:asciiTheme="minorHAnsi" w:hAnsiTheme="minorHAnsi" w:cstheme="minorHAnsi"/>
          <w:spacing w:val="-3"/>
          <w:sz w:val="24"/>
          <w:szCs w:val="24"/>
        </w:rPr>
        <w:t xml:space="preserve"> </w:t>
      </w:r>
      <w:r w:rsidRPr="00CA398E">
        <w:rPr>
          <w:rFonts w:asciiTheme="minorHAnsi" w:hAnsiTheme="minorHAnsi" w:cstheme="minorHAnsi"/>
          <w:sz w:val="24"/>
          <w:szCs w:val="24"/>
        </w:rPr>
        <w:t>“BILH</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Hospitals,”</w:t>
      </w:r>
      <w:r w:rsidRPr="00CA398E">
        <w:rPr>
          <w:rFonts w:asciiTheme="minorHAnsi" w:hAnsiTheme="minorHAnsi" w:cstheme="minorHAnsi"/>
          <w:spacing w:val="-3"/>
          <w:sz w:val="24"/>
          <w:szCs w:val="24"/>
        </w:rPr>
        <w:t xml:space="preserve"> </w:t>
      </w:r>
      <w:r w:rsidRPr="00CA398E">
        <w:rPr>
          <w:rFonts w:asciiTheme="minorHAnsi" w:hAnsiTheme="minorHAnsi" w:cstheme="minorHAnsi"/>
          <w:sz w:val="24"/>
          <w:szCs w:val="24"/>
        </w:rPr>
        <w:t>BILH’s</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member</w:t>
      </w:r>
      <w:r w:rsidRPr="00CA398E">
        <w:rPr>
          <w:rFonts w:asciiTheme="minorHAnsi" w:hAnsiTheme="minorHAnsi" w:cstheme="minorHAnsi"/>
          <w:spacing w:val="-3"/>
          <w:sz w:val="24"/>
          <w:szCs w:val="24"/>
        </w:rPr>
        <w:t xml:space="preserve"> </w:t>
      </w:r>
      <w:r w:rsidRPr="00CA398E">
        <w:rPr>
          <w:rFonts w:asciiTheme="minorHAnsi" w:hAnsiTheme="minorHAnsi" w:cstheme="minorHAnsi"/>
          <w:sz w:val="24"/>
          <w:szCs w:val="24"/>
        </w:rPr>
        <w:t>hospitals</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include:</w:t>
      </w:r>
    </w:p>
    <w:p w14:paraId="56150E6B" w14:textId="77777777" w:rsidR="00CA398E" w:rsidRDefault="00CA398E" w:rsidP="00CA398E">
      <w:pPr>
        <w:pStyle w:val="BodyText"/>
        <w:spacing w:after="1"/>
        <w:rPr>
          <w:rFonts w:asciiTheme="minorHAnsi" w:hAnsiTheme="minorHAnsi" w:cstheme="minorHAnsi"/>
          <w:sz w:val="24"/>
          <w:szCs w:val="24"/>
        </w:rPr>
      </w:pPr>
    </w:p>
    <w:p w14:paraId="79FDFED4" w14:textId="7294080F" w:rsidR="001B0396" w:rsidRPr="001B0396" w:rsidRDefault="001B0396" w:rsidP="001B0396">
      <w:pPr>
        <w:pStyle w:val="BodyText"/>
        <w:spacing w:after="1"/>
        <w:jc w:val="center"/>
        <w:rPr>
          <w:rFonts w:asciiTheme="minorHAnsi" w:eastAsiaTheme="minorHAnsi" w:hAnsiTheme="minorHAnsi" w:cstheme="minorHAnsi"/>
          <w:b/>
          <w:bCs/>
          <w:color w:val="2F5496" w:themeColor="accent1" w:themeShade="BF"/>
          <w:sz w:val="24"/>
          <w:szCs w:val="24"/>
        </w:rPr>
      </w:pPr>
      <w:r w:rsidRPr="001B0396">
        <w:rPr>
          <w:rFonts w:asciiTheme="minorHAnsi" w:eastAsiaTheme="minorHAnsi" w:hAnsiTheme="minorHAnsi" w:cstheme="minorHAnsi"/>
          <w:b/>
          <w:bCs/>
          <w:color w:val="2F5496" w:themeColor="accent1" w:themeShade="BF"/>
          <w:sz w:val="24"/>
          <w:szCs w:val="24"/>
          <w:u w:val="single"/>
        </w:rPr>
        <w:t>Table 1:</w:t>
      </w:r>
      <w:r w:rsidRPr="001B0396">
        <w:rPr>
          <w:rFonts w:asciiTheme="minorHAnsi" w:eastAsiaTheme="minorHAnsi" w:hAnsiTheme="minorHAnsi" w:cstheme="minorHAnsi"/>
          <w:b/>
          <w:bCs/>
          <w:color w:val="2F5496" w:themeColor="accent1" w:themeShade="BF"/>
          <w:sz w:val="24"/>
          <w:szCs w:val="24"/>
        </w:rPr>
        <w:t xml:space="preserve"> BILH Hospitals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CA398E" w:rsidRPr="00CA398E" w14:paraId="69D1CB65" w14:textId="77777777" w:rsidTr="005F4522">
        <w:trPr>
          <w:cantSplit/>
          <w:trHeight w:val="292"/>
          <w:tblHeader/>
        </w:trPr>
        <w:tc>
          <w:tcPr>
            <w:tcW w:w="4675" w:type="dxa"/>
            <w:shd w:val="clear" w:color="auto" w:fill="F1F1F1"/>
          </w:tcPr>
          <w:p w14:paraId="00D6F21F" w14:textId="77777777" w:rsidR="00CA398E" w:rsidRPr="00CA398E" w:rsidRDefault="00CA398E">
            <w:pPr>
              <w:pStyle w:val="TableParagraph"/>
              <w:spacing w:line="272" w:lineRule="exact"/>
              <w:ind w:left="1562"/>
              <w:rPr>
                <w:rFonts w:asciiTheme="minorHAnsi" w:hAnsiTheme="minorHAnsi" w:cstheme="minorHAnsi"/>
                <w:b/>
                <w:sz w:val="24"/>
                <w:szCs w:val="24"/>
              </w:rPr>
            </w:pPr>
            <w:r w:rsidRPr="00CA398E">
              <w:rPr>
                <w:rFonts w:asciiTheme="minorHAnsi" w:hAnsiTheme="minorHAnsi" w:cstheme="minorHAnsi"/>
                <w:b/>
                <w:sz w:val="24"/>
                <w:szCs w:val="24"/>
              </w:rPr>
              <w:t xml:space="preserve">Acute </w:t>
            </w:r>
            <w:r w:rsidRPr="00CA398E">
              <w:rPr>
                <w:rFonts w:asciiTheme="minorHAnsi" w:hAnsiTheme="minorHAnsi" w:cstheme="minorHAnsi"/>
                <w:b/>
                <w:spacing w:val="-2"/>
                <w:sz w:val="24"/>
                <w:szCs w:val="24"/>
              </w:rPr>
              <w:t>Hospital</w:t>
            </w:r>
            <w:r w:rsidRPr="00CA398E">
              <w:rPr>
                <w:rStyle w:val="FootnoteReference"/>
                <w:rFonts w:asciiTheme="minorHAnsi" w:hAnsiTheme="minorHAnsi" w:cstheme="minorHAnsi"/>
                <w:b/>
                <w:spacing w:val="-2"/>
                <w:sz w:val="24"/>
                <w:szCs w:val="24"/>
              </w:rPr>
              <w:footnoteReference w:id="3"/>
            </w:r>
          </w:p>
        </w:tc>
        <w:tc>
          <w:tcPr>
            <w:tcW w:w="4675" w:type="dxa"/>
            <w:shd w:val="clear" w:color="auto" w:fill="F1F1F1"/>
          </w:tcPr>
          <w:p w14:paraId="51133B2B" w14:textId="77777777" w:rsidR="00CA398E" w:rsidRPr="00CA398E" w:rsidRDefault="00CA398E">
            <w:pPr>
              <w:pStyle w:val="TableParagraph"/>
              <w:spacing w:line="272" w:lineRule="exact"/>
              <w:ind w:left="996"/>
              <w:rPr>
                <w:rFonts w:asciiTheme="minorHAnsi" w:hAnsiTheme="minorHAnsi" w:cstheme="minorHAnsi"/>
                <w:b/>
                <w:sz w:val="24"/>
                <w:szCs w:val="24"/>
              </w:rPr>
            </w:pPr>
            <w:r w:rsidRPr="00CA398E">
              <w:rPr>
                <w:rFonts w:asciiTheme="minorHAnsi" w:hAnsiTheme="minorHAnsi" w:cstheme="minorHAnsi"/>
                <w:b/>
                <w:sz w:val="24"/>
                <w:szCs w:val="24"/>
              </w:rPr>
              <w:t>Type</w:t>
            </w:r>
            <w:r w:rsidRPr="00CA398E">
              <w:rPr>
                <w:rFonts w:asciiTheme="minorHAnsi" w:hAnsiTheme="minorHAnsi" w:cstheme="minorHAnsi"/>
                <w:b/>
                <w:spacing w:val="-2"/>
                <w:sz w:val="24"/>
                <w:szCs w:val="24"/>
              </w:rPr>
              <w:t xml:space="preserve"> </w:t>
            </w:r>
            <w:r w:rsidRPr="00CA398E">
              <w:rPr>
                <w:rFonts w:asciiTheme="minorHAnsi" w:hAnsiTheme="minorHAnsi" w:cstheme="minorHAnsi"/>
                <w:b/>
                <w:sz w:val="24"/>
                <w:szCs w:val="24"/>
              </w:rPr>
              <w:t>(Per</w:t>
            </w:r>
            <w:r w:rsidRPr="00CA398E">
              <w:rPr>
                <w:rFonts w:asciiTheme="minorHAnsi" w:hAnsiTheme="minorHAnsi" w:cstheme="minorHAnsi"/>
                <w:b/>
                <w:spacing w:val="1"/>
                <w:sz w:val="24"/>
                <w:szCs w:val="24"/>
              </w:rPr>
              <w:t xml:space="preserve"> </w:t>
            </w:r>
            <w:r w:rsidRPr="00CA398E">
              <w:rPr>
                <w:rFonts w:asciiTheme="minorHAnsi" w:hAnsiTheme="minorHAnsi" w:cstheme="minorHAnsi"/>
                <w:b/>
                <w:sz w:val="24"/>
                <w:szCs w:val="24"/>
              </w:rPr>
              <w:t>CHIA</w:t>
            </w:r>
            <w:r w:rsidRPr="00CA398E">
              <w:rPr>
                <w:rFonts w:asciiTheme="minorHAnsi" w:hAnsiTheme="minorHAnsi" w:cstheme="minorHAnsi"/>
                <w:b/>
                <w:spacing w:val="-2"/>
                <w:sz w:val="24"/>
                <w:szCs w:val="24"/>
              </w:rPr>
              <w:t xml:space="preserve"> Category </w:t>
            </w:r>
            <w:r w:rsidRPr="00CA398E">
              <w:rPr>
                <w:rStyle w:val="EndnoteReference"/>
                <w:rFonts w:asciiTheme="minorHAnsi" w:hAnsiTheme="minorHAnsi" w:cstheme="minorHAnsi"/>
                <w:b/>
                <w:spacing w:val="-2"/>
                <w:sz w:val="24"/>
                <w:szCs w:val="24"/>
              </w:rPr>
              <w:endnoteReference w:id="2"/>
            </w:r>
            <w:r w:rsidRPr="00CA398E">
              <w:rPr>
                <w:rStyle w:val="EndnoteReference"/>
                <w:rFonts w:asciiTheme="minorHAnsi" w:hAnsiTheme="minorHAnsi" w:cstheme="minorHAnsi"/>
                <w:sz w:val="24"/>
                <w:szCs w:val="24"/>
              </w:rPr>
              <w:t xml:space="preserve">, </w:t>
            </w:r>
            <w:r w:rsidRPr="00CA398E">
              <w:rPr>
                <w:rStyle w:val="EndnoteReference"/>
                <w:rFonts w:asciiTheme="minorHAnsi" w:hAnsiTheme="minorHAnsi" w:cstheme="minorHAnsi"/>
                <w:b/>
                <w:spacing w:val="-2"/>
                <w:sz w:val="24"/>
                <w:szCs w:val="24"/>
              </w:rPr>
              <w:endnoteReference w:id="3"/>
            </w:r>
            <w:r w:rsidRPr="00CA398E">
              <w:rPr>
                <w:rFonts w:asciiTheme="minorHAnsi" w:hAnsiTheme="minorHAnsi" w:cstheme="minorHAnsi"/>
                <w:b/>
                <w:sz w:val="24"/>
                <w:szCs w:val="24"/>
              </w:rPr>
              <w:t>)</w:t>
            </w:r>
          </w:p>
        </w:tc>
      </w:tr>
      <w:tr w:rsidR="00CA398E" w:rsidRPr="00CA398E" w14:paraId="49A82700" w14:textId="77777777" w:rsidTr="005F4522">
        <w:trPr>
          <w:cantSplit/>
          <w:trHeight w:val="294"/>
        </w:trPr>
        <w:tc>
          <w:tcPr>
            <w:tcW w:w="4675" w:type="dxa"/>
          </w:tcPr>
          <w:p w14:paraId="3074C0C7" w14:textId="77777777" w:rsidR="00CA398E" w:rsidRPr="00CA398E" w:rsidRDefault="00CA398E">
            <w:pPr>
              <w:pStyle w:val="TableParagraph"/>
              <w:spacing w:line="275" w:lineRule="exact"/>
              <w:ind w:left="107"/>
              <w:rPr>
                <w:rFonts w:asciiTheme="minorHAnsi" w:hAnsiTheme="minorHAnsi" w:cstheme="minorHAnsi"/>
                <w:sz w:val="24"/>
                <w:szCs w:val="24"/>
              </w:rPr>
            </w:pPr>
            <w:r w:rsidRPr="00CA398E">
              <w:rPr>
                <w:rFonts w:asciiTheme="minorHAnsi" w:hAnsiTheme="minorHAnsi" w:cstheme="minorHAnsi"/>
                <w:sz w:val="24"/>
                <w:szCs w:val="24"/>
              </w:rPr>
              <w:t>Anna</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Jaques</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c>
          <w:tcPr>
            <w:tcW w:w="4675" w:type="dxa"/>
          </w:tcPr>
          <w:p w14:paraId="0A145907" w14:textId="77777777" w:rsidR="00CA398E" w:rsidRPr="00CA398E" w:rsidRDefault="00CA398E">
            <w:pPr>
              <w:pStyle w:val="TableParagraph"/>
              <w:spacing w:line="275" w:lineRule="exact"/>
              <w:ind w:left="107"/>
              <w:rPr>
                <w:rFonts w:asciiTheme="minorHAnsi" w:hAnsiTheme="minorHAnsi" w:cstheme="minorHAnsi"/>
                <w:sz w:val="24"/>
                <w:szCs w:val="24"/>
              </w:rPr>
            </w:pPr>
            <w:r w:rsidRPr="00CA398E">
              <w:rPr>
                <w:rFonts w:asciiTheme="minorHAnsi" w:hAnsiTheme="minorHAnsi" w:cstheme="minorHAnsi"/>
                <w:sz w:val="24"/>
                <w:szCs w:val="24"/>
              </w:rPr>
              <w:t>Community</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r>
      <w:tr w:rsidR="00CA398E" w:rsidRPr="00CA398E" w14:paraId="3D8BBD5D" w14:textId="77777777" w:rsidTr="005F4522">
        <w:trPr>
          <w:cantSplit/>
          <w:trHeight w:val="292"/>
        </w:trPr>
        <w:tc>
          <w:tcPr>
            <w:tcW w:w="4675" w:type="dxa"/>
          </w:tcPr>
          <w:p w14:paraId="52ED1373"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Beth Israel</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Deaconess</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Hospital–Milton</w:t>
            </w:r>
          </w:p>
        </w:tc>
        <w:tc>
          <w:tcPr>
            <w:tcW w:w="4675" w:type="dxa"/>
          </w:tcPr>
          <w:p w14:paraId="6C10048E"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Community</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r>
      <w:tr w:rsidR="00CA398E" w:rsidRPr="00CA398E" w14:paraId="395E4ACE" w14:textId="77777777" w:rsidTr="005F4522">
        <w:trPr>
          <w:cantSplit/>
          <w:trHeight w:val="292"/>
        </w:trPr>
        <w:tc>
          <w:tcPr>
            <w:tcW w:w="4675" w:type="dxa"/>
          </w:tcPr>
          <w:p w14:paraId="34EC6357"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Beth Israel</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Deaconess</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Hospital–Needham</w:t>
            </w:r>
          </w:p>
        </w:tc>
        <w:tc>
          <w:tcPr>
            <w:tcW w:w="4675" w:type="dxa"/>
          </w:tcPr>
          <w:p w14:paraId="6BABD02D"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Community</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r>
      <w:tr w:rsidR="00CA398E" w:rsidRPr="00CA398E" w14:paraId="45F8AC1B" w14:textId="77777777" w:rsidTr="005F4522">
        <w:trPr>
          <w:cantSplit/>
          <w:trHeight w:val="292"/>
        </w:trPr>
        <w:tc>
          <w:tcPr>
            <w:tcW w:w="4675" w:type="dxa"/>
          </w:tcPr>
          <w:p w14:paraId="71688F6F"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Beth Israel</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Deaconess</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Hospital–Plymouth</w:t>
            </w:r>
          </w:p>
        </w:tc>
        <w:tc>
          <w:tcPr>
            <w:tcW w:w="4675" w:type="dxa"/>
          </w:tcPr>
          <w:p w14:paraId="535383EB"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Community-High</w:t>
            </w:r>
            <w:r w:rsidRPr="00CA398E">
              <w:rPr>
                <w:rFonts w:asciiTheme="minorHAnsi" w:hAnsiTheme="minorHAnsi" w:cstheme="minorHAnsi"/>
                <w:spacing w:val="-3"/>
                <w:sz w:val="24"/>
                <w:szCs w:val="24"/>
              </w:rPr>
              <w:t xml:space="preserve"> </w:t>
            </w:r>
            <w:r w:rsidRPr="00CA398E">
              <w:rPr>
                <w:rFonts w:asciiTheme="minorHAnsi" w:hAnsiTheme="minorHAnsi" w:cstheme="minorHAnsi"/>
                <w:sz w:val="24"/>
                <w:szCs w:val="24"/>
              </w:rPr>
              <w:t>Public</w:t>
            </w:r>
            <w:r w:rsidRPr="00CA398E">
              <w:rPr>
                <w:rFonts w:asciiTheme="minorHAnsi" w:hAnsiTheme="minorHAnsi" w:cstheme="minorHAnsi"/>
                <w:spacing w:val="-5"/>
                <w:sz w:val="24"/>
                <w:szCs w:val="24"/>
              </w:rPr>
              <w:t xml:space="preserve"> </w:t>
            </w:r>
            <w:r w:rsidRPr="00CA398E">
              <w:rPr>
                <w:rFonts w:asciiTheme="minorHAnsi" w:hAnsiTheme="minorHAnsi" w:cstheme="minorHAnsi"/>
                <w:sz w:val="24"/>
                <w:szCs w:val="24"/>
              </w:rPr>
              <w:t>Payer</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r>
      <w:tr w:rsidR="00CA398E" w:rsidRPr="00CA398E" w14:paraId="4F74FF46" w14:textId="77777777" w:rsidTr="005F4522">
        <w:trPr>
          <w:cantSplit/>
          <w:trHeight w:val="292"/>
        </w:trPr>
        <w:tc>
          <w:tcPr>
            <w:tcW w:w="4675" w:type="dxa"/>
          </w:tcPr>
          <w:p w14:paraId="6FEF6A90"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Beth Israel</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Deaconess</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 xml:space="preserve">Medical </w:t>
            </w:r>
            <w:r w:rsidRPr="00CA398E">
              <w:rPr>
                <w:rFonts w:asciiTheme="minorHAnsi" w:hAnsiTheme="minorHAnsi" w:cstheme="minorHAnsi"/>
                <w:spacing w:val="-2"/>
                <w:sz w:val="24"/>
                <w:szCs w:val="24"/>
              </w:rPr>
              <w:t>Center</w:t>
            </w:r>
          </w:p>
        </w:tc>
        <w:tc>
          <w:tcPr>
            <w:tcW w:w="4675" w:type="dxa"/>
          </w:tcPr>
          <w:p w14:paraId="4ED7FF96"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Academic</w:t>
            </w:r>
            <w:r w:rsidRPr="00CA398E">
              <w:rPr>
                <w:rFonts w:asciiTheme="minorHAnsi" w:hAnsiTheme="minorHAnsi" w:cstheme="minorHAnsi"/>
                <w:spacing w:val="-1"/>
                <w:sz w:val="24"/>
                <w:szCs w:val="24"/>
              </w:rPr>
              <w:t xml:space="preserve"> </w:t>
            </w:r>
            <w:r w:rsidRPr="00CA398E">
              <w:rPr>
                <w:rFonts w:asciiTheme="minorHAnsi" w:hAnsiTheme="minorHAnsi" w:cstheme="minorHAnsi"/>
                <w:sz w:val="24"/>
                <w:szCs w:val="24"/>
              </w:rPr>
              <w:t xml:space="preserve">Medical </w:t>
            </w:r>
            <w:r w:rsidRPr="00CA398E">
              <w:rPr>
                <w:rFonts w:asciiTheme="minorHAnsi" w:hAnsiTheme="minorHAnsi" w:cstheme="minorHAnsi"/>
                <w:spacing w:val="-2"/>
                <w:sz w:val="24"/>
                <w:szCs w:val="24"/>
              </w:rPr>
              <w:t>Center</w:t>
            </w:r>
          </w:p>
        </w:tc>
      </w:tr>
      <w:tr w:rsidR="00CA398E" w:rsidRPr="00CA398E" w14:paraId="7958ADC0" w14:textId="77777777" w:rsidTr="005F4522">
        <w:trPr>
          <w:cantSplit/>
          <w:trHeight w:val="294"/>
        </w:trPr>
        <w:tc>
          <w:tcPr>
            <w:tcW w:w="4675" w:type="dxa"/>
          </w:tcPr>
          <w:p w14:paraId="5671FBD7" w14:textId="77777777" w:rsidR="00CA398E" w:rsidRPr="00CA398E" w:rsidRDefault="00CA398E">
            <w:pPr>
              <w:pStyle w:val="TableParagraph"/>
              <w:spacing w:before="1" w:line="273" w:lineRule="exact"/>
              <w:ind w:left="107"/>
              <w:rPr>
                <w:rFonts w:asciiTheme="minorHAnsi" w:hAnsiTheme="minorHAnsi" w:cstheme="minorHAnsi"/>
                <w:sz w:val="24"/>
                <w:szCs w:val="24"/>
              </w:rPr>
            </w:pPr>
            <w:r w:rsidRPr="00CA398E">
              <w:rPr>
                <w:rFonts w:asciiTheme="minorHAnsi" w:hAnsiTheme="minorHAnsi" w:cstheme="minorHAnsi"/>
                <w:sz w:val="24"/>
                <w:szCs w:val="24"/>
              </w:rPr>
              <w:t>Lahey</w:t>
            </w:r>
            <w:r w:rsidRPr="00CA398E">
              <w:rPr>
                <w:rFonts w:asciiTheme="minorHAnsi" w:hAnsiTheme="minorHAnsi" w:cstheme="minorHAnsi"/>
                <w:spacing w:val="-1"/>
                <w:sz w:val="24"/>
                <w:szCs w:val="24"/>
              </w:rPr>
              <w:t xml:space="preserve"> </w:t>
            </w:r>
            <w:r w:rsidRPr="00CA398E">
              <w:rPr>
                <w:rFonts w:asciiTheme="minorHAnsi" w:hAnsiTheme="minorHAnsi" w:cstheme="minorHAnsi"/>
                <w:sz w:val="24"/>
                <w:szCs w:val="24"/>
              </w:rPr>
              <w:t>Hospital</w:t>
            </w:r>
            <w:r w:rsidRPr="00CA398E">
              <w:rPr>
                <w:rFonts w:asciiTheme="minorHAnsi" w:hAnsiTheme="minorHAnsi" w:cstheme="minorHAnsi"/>
                <w:spacing w:val="-1"/>
                <w:sz w:val="24"/>
                <w:szCs w:val="24"/>
              </w:rPr>
              <w:t xml:space="preserve"> </w:t>
            </w:r>
            <w:r w:rsidRPr="00CA398E">
              <w:rPr>
                <w:rFonts w:asciiTheme="minorHAnsi" w:hAnsiTheme="minorHAnsi" w:cstheme="minorHAnsi"/>
                <w:sz w:val="24"/>
                <w:szCs w:val="24"/>
              </w:rPr>
              <w:t>&amp;</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 xml:space="preserve">Medical </w:t>
            </w:r>
            <w:r w:rsidRPr="00CA398E">
              <w:rPr>
                <w:rFonts w:asciiTheme="minorHAnsi" w:hAnsiTheme="minorHAnsi" w:cstheme="minorHAnsi"/>
                <w:spacing w:val="-2"/>
                <w:sz w:val="24"/>
                <w:szCs w:val="24"/>
              </w:rPr>
              <w:t>Center</w:t>
            </w:r>
          </w:p>
        </w:tc>
        <w:tc>
          <w:tcPr>
            <w:tcW w:w="4675" w:type="dxa"/>
          </w:tcPr>
          <w:p w14:paraId="6DD75805" w14:textId="77777777" w:rsidR="00CA398E" w:rsidRPr="00CA398E" w:rsidRDefault="00CA398E">
            <w:pPr>
              <w:pStyle w:val="TableParagraph"/>
              <w:spacing w:before="1" w:line="273" w:lineRule="exact"/>
              <w:ind w:left="107"/>
              <w:rPr>
                <w:rFonts w:asciiTheme="minorHAnsi" w:hAnsiTheme="minorHAnsi" w:cstheme="minorHAnsi"/>
                <w:sz w:val="24"/>
                <w:szCs w:val="24"/>
              </w:rPr>
            </w:pPr>
            <w:r w:rsidRPr="00CA398E">
              <w:rPr>
                <w:rFonts w:asciiTheme="minorHAnsi" w:hAnsiTheme="minorHAnsi" w:cstheme="minorHAnsi"/>
                <w:sz w:val="24"/>
                <w:szCs w:val="24"/>
              </w:rPr>
              <w:t>Teaching</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r>
      <w:tr w:rsidR="00CA398E" w:rsidRPr="00CA398E" w14:paraId="05848393" w14:textId="77777777" w:rsidTr="005F4522">
        <w:trPr>
          <w:cantSplit/>
          <w:trHeight w:val="292"/>
        </w:trPr>
        <w:tc>
          <w:tcPr>
            <w:tcW w:w="4675" w:type="dxa"/>
          </w:tcPr>
          <w:p w14:paraId="5A0E9B5B"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Mount</w:t>
            </w:r>
            <w:r w:rsidRPr="00CA398E">
              <w:rPr>
                <w:rFonts w:asciiTheme="minorHAnsi" w:hAnsiTheme="minorHAnsi" w:cstheme="minorHAnsi"/>
                <w:spacing w:val="-3"/>
                <w:sz w:val="24"/>
                <w:szCs w:val="24"/>
              </w:rPr>
              <w:t xml:space="preserve"> </w:t>
            </w:r>
            <w:r w:rsidRPr="00CA398E">
              <w:rPr>
                <w:rFonts w:asciiTheme="minorHAnsi" w:hAnsiTheme="minorHAnsi" w:cstheme="minorHAnsi"/>
                <w:sz w:val="24"/>
                <w:szCs w:val="24"/>
              </w:rPr>
              <w:t>Auburn</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c>
          <w:tcPr>
            <w:tcW w:w="4675" w:type="dxa"/>
          </w:tcPr>
          <w:p w14:paraId="7D6ACE97"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Teaching</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r>
      <w:tr w:rsidR="00CA398E" w:rsidRPr="00CA398E" w14:paraId="47796C89" w14:textId="77777777" w:rsidTr="005F4522">
        <w:trPr>
          <w:cantSplit/>
          <w:trHeight w:val="292"/>
        </w:trPr>
        <w:tc>
          <w:tcPr>
            <w:tcW w:w="4675" w:type="dxa"/>
          </w:tcPr>
          <w:p w14:paraId="47B856AC"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New</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England</w:t>
            </w:r>
            <w:r w:rsidRPr="00CA398E">
              <w:rPr>
                <w:rFonts w:asciiTheme="minorHAnsi" w:hAnsiTheme="minorHAnsi" w:cstheme="minorHAnsi"/>
                <w:spacing w:val="-2"/>
                <w:sz w:val="24"/>
                <w:szCs w:val="24"/>
              </w:rPr>
              <w:t xml:space="preserve"> </w:t>
            </w:r>
            <w:r w:rsidRPr="00CA398E">
              <w:rPr>
                <w:rFonts w:asciiTheme="minorHAnsi" w:hAnsiTheme="minorHAnsi" w:cstheme="minorHAnsi"/>
                <w:sz w:val="24"/>
                <w:szCs w:val="24"/>
              </w:rPr>
              <w:t>Baptist</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c>
          <w:tcPr>
            <w:tcW w:w="4675" w:type="dxa"/>
          </w:tcPr>
          <w:p w14:paraId="05E1EE23"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Specialty</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r>
      <w:tr w:rsidR="00CA398E" w:rsidRPr="00CA398E" w14:paraId="009FB852" w14:textId="77777777" w:rsidTr="005F4522">
        <w:trPr>
          <w:cantSplit/>
          <w:trHeight w:val="292"/>
        </w:trPr>
        <w:tc>
          <w:tcPr>
            <w:tcW w:w="4675" w:type="dxa"/>
          </w:tcPr>
          <w:p w14:paraId="1845A9F9" w14:textId="77777777"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Northeast</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c>
          <w:tcPr>
            <w:tcW w:w="4675" w:type="dxa"/>
          </w:tcPr>
          <w:p w14:paraId="43968601" w14:textId="246E5352" w:rsidR="00CA398E" w:rsidRPr="00CA398E" w:rsidRDefault="00CA398E">
            <w:pPr>
              <w:pStyle w:val="TableParagraph"/>
              <w:spacing w:line="272" w:lineRule="exact"/>
              <w:ind w:left="107"/>
              <w:rPr>
                <w:rFonts w:asciiTheme="minorHAnsi" w:hAnsiTheme="minorHAnsi" w:cstheme="minorHAnsi"/>
                <w:sz w:val="24"/>
                <w:szCs w:val="24"/>
              </w:rPr>
            </w:pPr>
            <w:r w:rsidRPr="00CA398E">
              <w:rPr>
                <w:rFonts w:asciiTheme="minorHAnsi" w:hAnsiTheme="minorHAnsi" w:cstheme="minorHAnsi"/>
                <w:sz w:val="24"/>
                <w:szCs w:val="24"/>
              </w:rPr>
              <w:t>Community-High</w:t>
            </w:r>
            <w:r w:rsidRPr="00CA398E">
              <w:rPr>
                <w:rFonts w:asciiTheme="minorHAnsi" w:hAnsiTheme="minorHAnsi" w:cstheme="minorHAnsi"/>
                <w:spacing w:val="-4"/>
                <w:sz w:val="24"/>
                <w:szCs w:val="24"/>
              </w:rPr>
              <w:t xml:space="preserve"> </w:t>
            </w:r>
            <w:r w:rsidRPr="00CA398E">
              <w:rPr>
                <w:rFonts w:asciiTheme="minorHAnsi" w:hAnsiTheme="minorHAnsi" w:cstheme="minorHAnsi"/>
                <w:sz w:val="24"/>
                <w:szCs w:val="24"/>
              </w:rPr>
              <w:t>Public</w:t>
            </w:r>
            <w:r w:rsidRPr="00CA398E">
              <w:rPr>
                <w:rFonts w:asciiTheme="minorHAnsi" w:hAnsiTheme="minorHAnsi" w:cstheme="minorHAnsi"/>
                <w:spacing w:val="-5"/>
                <w:sz w:val="24"/>
                <w:szCs w:val="24"/>
              </w:rPr>
              <w:t xml:space="preserve"> </w:t>
            </w:r>
            <w:r w:rsidRPr="00CA398E">
              <w:rPr>
                <w:rFonts w:asciiTheme="minorHAnsi" w:hAnsiTheme="minorHAnsi" w:cstheme="minorHAnsi"/>
                <w:spacing w:val="-2"/>
                <w:sz w:val="24"/>
                <w:szCs w:val="24"/>
              </w:rPr>
              <w:t>Payer</w:t>
            </w:r>
            <w:r w:rsidR="00D9068B">
              <w:rPr>
                <w:rFonts w:asciiTheme="minorHAnsi" w:hAnsiTheme="minorHAnsi" w:cstheme="minorHAnsi"/>
                <w:spacing w:val="-2"/>
                <w:sz w:val="24"/>
                <w:szCs w:val="24"/>
              </w:rPr>
              <w:t xml:space="preserve"> Hospital</w:t>
            </w:r>
          </w:p>
        </w:tc>
      </w:tr>
      <w:tr w:rsidR="00CA398E" w:rsidRPr="00CA398E" w14:paraId="5B7E997D" w14:textId="77777777" w:rsidTr="005F4522">
        <w:trPr>
          <w:cantSplit/>
          <w:trHeight w:val="294"/>
        </w:trPr>
        <w:tc>
          <w:tcPr>
            <w:tcW w:w="4675" w:type="dxa"/>
          </w:tcPr>
          <w:p w14:paraId="0A6EE11B" w14:textId="77777777" w:rsidR="00CA398E" w:rsidRPr="00CA398E" w:rsidRDefault="00CA398E">
            <w:pPr>
              <w:pStyle w:val="TableParagraph"/>
              <w:spacing w:before="1" w:line="273" w:lineRule="exact"/>
              <w:ind w:left="107"/>
              <w:rPr>
                <w:rFonts w:asciiTheme="minorHAnsi" w:hAnsiTheme="minorHAnsi" w:cstheme="minorHAnsi"/>
                <w:sz w:val="24"/>
                <w:szCs w:val="24"/>
              </w:rPr>
            </w:pPr>
            <w:r w:rsidRPr="00CA398E">
              <w:rPr>
                <w:rFonts w:asciiTheme="minorHAnsi" w:hAnsiTheme="minorHAnsi" w:cstheme="minorHAnsi"/>
                <w:sz w:val="24"/>
                <w:szCs w:val="24"/>
              </w:rPr>
              <w:t>Winchester</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c>
          <w:tcPr>
            <w:tcW w:w="4675" w:type="dxa"/>
          </w:tcPr>
          <w:p w14:paraId="5ABE8EF1" w14:textId="77777777" w:rsidR="00CA398E" w:rsidRPr="00CA398E" w:rsidRDefault="00CA398E">
            <w:pPr>
              <w:pStyle w:val="TableParagraph"/>
              <w:spacing w:before="1" w:line="273" w:lineRule="exact"/>
              <w:ind w:left="107"/>
              <w:rPr>
                <w:rFonts w:asciiTheme="minorHAnsi" w:hAnsiTheme="minorHAnsi" w:cstheme="minorHAnsi"/>
                <w:sz w:val="24"/>
                <w:szCs w:val="24"/>
              </w:rPr>
            </w:pPr>
            <w:r w:rsidRPr="00CA398E">
              <w:rPr>
                <w:rFonts w:asciiTheme="minorHAnsi" w:hAnsiTheme="minorHAnsi" w:cstheme="minorHAnsi"/>
                <w:sz w:val="24"/>
                <w:szCs w:val="24"/>
              </w:rPr>
              <w:t>Community</w:t>
            </w:r>
            <w:r w:rsidRPr="00CA398E">
              <w:rPr>
                <w:rFonts w:asciiTheme="minorHAnsi" w:hAnsiTheme="minorHAnsi" w:cstheme="minorHAnsi"/>
                <w:spacing w:val="-1"/>
                <w:sz w:val="24"/>
                <w:szCs w:val="24"/>
              </w:rPr>
              <w:t xml:space="preserve"> </w:t>
            </w:r>
            <w:r w:rsidRPr="00CA398E">
              <w:rPr>
                <w:rFonts w:asciiTheme="minorHAnsi" w:hAnsiTheme="minorHAnsi" w:cstheme="minorHAnsi"/>
                <w:spacing w:val="-2"/>
                <w:sz w:val="24"/>
                <w:szCs w:val="24"/>
              </w:rPr>
              <w:t>Hospital</w:t>
            </w:r>
          </w:p>
        </w:tc>
      </w:tr>
    </w:tbl>
    <w:p w14:paraId="22D34227" w14:textId="77777777" w:rsidR="00CA398E" w:rsidRPr="00CA398E" w:rsidRDefault="00CA398E" w:rsidP="00CA398E">
      <w:pPr>
        <w:pStyle w:val="BodyText"/>
        <w:spacing w:before="4"/>
        <w:rPr>
          <w:rFonts w:asciiTheme="minorHAnsi" w:hAnsiTheme="minorHAnsi" w:cstheme="minorHAnsi"/>
          <w:sz w:val="24"/>
          <w:szCs w:val="24"/>
        </w:rPr>
      </w:pPr>
    </w:p>
    <w:p w14:paraId="2B24F05A" w14:textId="74D94BAD" w:rsidR="4E898A69" w:rsidRDefault="00CA398E" w:rsidP="000E55EB">
      <w:pPr>
        <w:pStyle w:val="BodyText"/>
        <w:spacing w:after="100" w:afterAutospacing="1"/>
        <w:ind w:right="130"/>
        <w:rPr>
          <w:rFonts w:asciiTheme="minorHAnsi" w:hAnsiTheme="minorHAnsi"/>
          <w:sz w:val="24"/>
          <w:szCs w:val="24"/>
        </w:rPr>
      </w:pPr>
      <w:r w:rsidRPr="4E898A69">
        <w:rPr>
          <w:rFonts w:asciiTheme="minorHAnsi" w:hAnsiTheme="minorHAnsi"/>
          <w:sz w:val="24"/>
          <w:szCs w:val="24"/>
        </w:rPr>
        <w:t>BILH operates Beth Israel Lahey Health Performance Network, LLC (BILHPN), a Massachusetts Health Policy Commission (HPC) certified Accountable Care Organization (ACO), which the Applicant states is a value-based physician and hospital network whose goal is to partner with other</w:t>
      </w:r>
      <w:r w:rsidRPr="4E898A69">
        <w:rPr>
          <w:rFonts w:asciiTheme="minorHAnsi" w:hAnsiTheme="minorHAnsi"/>
          <w:spacing w:val="-3"/>
          <w:sz w:val="24"/>
          <w:szCs w:val="24"/>
        </w:rPr>
        <w:t xml:space="preserve"> </w:t>
      </w:r>
      <w:r w:rsidRPr="4E898A69">
        <w:rPr>
          <w:rFonts w:asciiTheme="minorHAnsi" w:hAnsiTheme="minorHAnsi"/>
          <w:sz w:val="24"/>
          <w:szCs w:val="24"/>
        </w:rPr>
        <w:t>community</w:t>
      </w:r>
      <w:r w:rsidRPr="4E898A69">
        <w:rPr>
          <w:rFonts w:asciiTheme="minorHAnsi" w:hAnsiTheme="minorHAnsi"/>
          <w:spacing w:val="-3"/>
          <w:sz w:val="24"/>
          <w:szCs w:val="24"/>
        </w:rPr>
        <w:t xml:space="preserve"> </w:t>
      </w:r>
      <w:r w:rsidRPr="4E898A69">
        <w:rPr>
          <w:rFonts w:asciiTheme="minorHAnsi" w:hAnsiTheme="minorHAnsi"/>
          <w:sz w:val="24"/>
          <w:szCs w:val="24"/>
        </w:rPr>
        <w:t>hospitals</w:t>
      </w:r>
      <w:r w:rsidRPr="4E898A69">
        <w:rPr>
          <w:rFonts w:asciiTheme="minorHAnsi" w:hAnsiTheme="minorHAnsi"/>
          <w:spacing w:val="-3"/>
          <w:sz w:val="24"/>
          <w:szCs w:val="24"/>
        </w:rPr>
        <w:t xml:space="preserve"> </w:t>
      </w:r>
      <w:r w:rsidRPr="4E898A69">
        <w:rPr>
          <w:rFonts w:asciiTheme="minorHAnsi" w:hAnsiTheme="minorHAnsi"/>
          <w:sz w:val="24"/>
          <w:szCs w:val="24"/>
        </w:rPr>
        <w:t>and</w:t>
      </w:r>
      <w:r w:rsidRPr="4E898A69">
        <w:rPr>
          <w:rFonts w:asciiTheme="minorHAnsi" w:hAnsiTheme="minorHAnsi"/>
          <w:spacing w:val="-4"/>
          <w:sz w:val="24"/>
          <w:szCs w:val="24"/>
        </w:rPr>
        <w:t xml:space="preserve"> </w:t>
      </w:r>
      <w:r w:rsidRPr="4E898A69">
        <w:rPr>
          <w:rFonts w:asciiTheme="minorHAnsi" w:hAnsiTheme="minorHAnsi"/>
          <w:sz w:val="24"/>
          <w:szCs w:val="24"/>
        </w:rPr>
        <w:t>providers</w:t>
      </w:r>
      <w:r w:rsidRPr="4E898A69">
        <w:rPr>
          <w:rFonts w:asciiTheme="minorHAnsi" w:hAnsiTheme="minorHAnsi"/>
          <w:spacing w:val="-5"/>
          <w:sz w:val="24"/>
          <w:szCs w:val="24"/>
        </w:rPr>
        <w:t xml:space="preserve"> </w:t>
      </w:r>
      <w:r w:rsidRPr="4E898A69">
        <w:rPr>
          <w:rFonts w:asciiTheme="minorHAnsi" w:hAnsiTheme="minorHAnsi"/>
          <w:sz w:val="24"/>
          <w:szCs w:val="24"/>
        </w:rPr>
        <w:t>throughout</w:t>
      </w:r>
      <w:r w:rsidRPr="4E898A69">
        <w:rPr>
          <w:rFonts w:asciiTheme="minorHAnsi" w:hAnsiTheme="minorHAnsi"/>
          <w:spacing w:val="-2"/>
          <w:sz w:val="24"/>
          <w:szCs w:val="24"/>
        </w:rPr>
        <w:t xml:space="preserve"> </w:t>
      </w:r>
      <w:r w:rsidRPr="4E898A69">
        <w:rPr>
          <w:rFonts w:asciiTheme="minorHAnsi" w:hAnsiTheme="minorHAnsi"/>
          <w:sz w:val="24"/>
          <w:szCs w:val="24"/>
        </w:rPr>
        <w:t>Eastern</w:t>
      </w:r>
      <w:r w:rsidRPr="4E898A69">
        <w:rPr>
          <w:rFonts w:asciiTheme="minorHAnsi" w:hAnsiTheme="minorHAnsi"/>
          <w:spacing w:val="-3"/>
          <w:sz w:val="24"/>
          <w:szCs w:val="24"/>
        </w:rPr>
        <w:t xml:space="preserve"> </w:t>
      </w:r>
      <w:r w:rsidRPr="4E898A69">
        <w:rPr>
          <w:rFonts w:asciiTheme="minorHAnsi" w:hAnsiTheme="minorHAnsi"/>
          <w:sz w:val="24"/>
          <w:szCs w:val="24"/>
        </w:rPr>
        <w:t>Massachusetts</w:t>
      </w:r>
      <w:r w:rsidRPr="4E898A69">
        <w:rPr>
          <w:rFonts w:asciiTheme="minorHAnsi" w:hAnsiTheme="minorHAnsi"/>
          <w:spacing w:val="-4"/>
          <w:sz w:val="24"/>
          <w:szCs w:val="24"/>
        </w:rPr>
        <w:t xml:space="preserve"> </w:t>
      </w:r>
      <w:r w:rsidRPr="4E898A69">
        <w:rPr>
          <w:rFonts w:asciiTheme="minorHAnsi" w:hAnsiTheme="minorHAnsi"/>
          <w:sz w:val="24"/>
          <w:szCs w:val="24"/>
        </w:rPr>
        <w:t>to</w:t>
      </w:r>
      <w:r w:rsidRPr="4E898A69">
        <w:rPr>
          <w:rFonts w:asciiTheme="minorHAnsi" w:hAnsiTheme="minorHAnsi"/>
          <w:spacing w:val="-4"/>
          <w:sz w:val="24"/>
          <w:szCs w:val="24"/>
        </w:rPr>
        <w:t xml:space="preserve"> </w:t>
      </w:r>
      <w:r w:rsidRPr="4E898A69">
        <w:rPr>
          <w:rFonts w:asciiTheme="minorHAnsi" w:hAnsiTheme="minorHAnsi"/>
          <w:sz w:val="24"/>
          <w:szCs w:val="24"/>
        </w:rPr>
        <w:t>improve</w:t>
      </w:r>
      <w:r w:rsidRPr="4E898A69">
        <w:rPr>
          <w:rFonts w:asciiTheme="minorHAnsi" w:hAnsiTheme="minorHAnsi"/>
          <w:spacing w:val="-4"/>
          <w:sz w:val="24"/>
          <w:szCs w:val="24"/>
        </w:rPr>
        <w:t xml:space="preserve"> </w:t>
      </w:r>
      <w:r w:rsidRPr="4E898A69">
        <w:rPr>
          <w:rFonts w:asciiTheme="minorHAnsi" w:hAnsiTheme="minorHAnsi"/>
          <w:sz w:val="24"/>
          <w:szCs w:val="24"/>
        </w:rPr>
        <w:t>quality of care while managing medical costs.</w:t>
      </w:r>
    </w:p>
    <w:p w14:paraId="434FEC3F" w14:textId="77777777" w:rsidR="00CA398E" w:rsidRPr="00CA398E" w:rsidRDefault="00CA398E" w:rsidP="00CA398E">
      <w:pPr>
        <w:pStyle w:val="BodyText"/>
        <w:ind w:right="133"/>
        <w:rPr>
          <w:rFonts w:asciiTheme="minorHAnsi" w:hAnsiTheme="minorHAnsi" w:cstheme="minorHAnsi"/>
          <w:b/>
          <w:bCs/>
          <w:sz w:val="24"/>
          <w:szCs w:val="24"/>
        </w:rPr>
      </w:pPr>
      <w:r w:rsidRPr="00CA398E">
        <w:rPr>
          <w:rFonts w:asciiTheme="minorHAnsi" w:hAnsiTheme="minorHAnsi" w:cstheme="minorHAnsi"/>
          <w:b/>
          <w:bCs/>
          <w:sz w:val="24"/>
          <w:szCs w:val="24"/>
        </w:rPr>
        <w:t xml:space="preserve">Beth Israel Deaconess Hospital – Plymouth </w:t>
      </w:r>
    </w:p>
    <w:p w14:paraId="6C26FF88" w14:textId="2166332A" w:rsidR="00CA398E" w:rsidRPr="00CA398E" w:rsidRDefault="00CA398E" w:rsidP="00CA398E">
      <w:pPr>
        <w:rPr>
          <w:rFonts w:cstheme="minorHAnsi"/>
          <w:kern w:val="2"/>
          <w:sz w:val="24"/>
          <w:szCs w:val="24"/>
        </w:rPr>
      </w:pPr>
      <w:r w:rsidRPr="00CA398E">
        <w:rPr>
          <w:rFonts w:cstheme="minorHAnsi"/>
          <w:kern w:val="2"/>
          <w:sz w:val="24"/>
          <w:szCs w:val="24"/>
        </w:rPr>
        <w:t>Beth Israel Deaconess Hospital-Plymouth (BID-P or Hospital)</w:t>
      </w:r>
      <w:r w:rsidRPr="00CA398E">
        <w:rPr>
          <w:rFonts w:cstheme="minorHAnsi"/>
          <w:sz w:val="24"/>
          <w:szCs w:val="24"/>
        </w:rPr>
        <w:t>,</w:t>
      </w:r>
      <w:r w:rsidRPr="00CA398E">
        <w:rPr>
          <w:rFonts w:cstheme="minorHAnsi"/>
          <w:color w:val="000000" w:themeColor="text1"/>
          <w:kern w:val="2"/>
          <w:sz w:val="24"/>
          <w:szCs w:val="24"/>
        </w:rPr>
        <w:t xml:space="preserve"> </w:t>
      </w:r>
      <w:r w:rsidRPr="00CA398E">
        <w:rPr>
          <w:rFonts w:cstheme="minorHAnsi"/>
          <w:kern w:val="2"/>
          <w:sz w:val="24"/>
          <w:szCs w:val="24"/>
        </w:rPr>
        <w:t xml:space="preserve">is a 170-bed acute care hospital serving the communities of </w:t>
      </w:r>
      <w:r w:rsidRPr="00CA398E">
        <w:rPr>
          <w:rFonts w:cstheme="minorHAnsi"/>
          <w:sz w:val="24"/>
          <w:szCs w:val="24"/>
        </w:rPr>
        <w:t>Plymouth, Carver, Kingston, Middleboro, Duxbury, Marshfield, Bourne, Pembroke, Sandwich, Halifax, and Plympton</w:t>
      </w:r>
      <w:r w:rsidRPr="00CA398E">
        <w:rPr>
          <w:rFonts w:cstheme="minorHAnsi"/>
          <w:kern w:val="2"/>
          <w:sz w:val="24"/>
          <w:szCs w:val="24"/>
        </w:rPr>
        <w:t>. The Hospital provides a full range of comprehensive community hospital services including primary and preventative care, emergency services, inpatient acute care, inpatient psychiatric services, and specialty services. The Hospital joined Beth Israel Deaconess in 2014.</w:t>
      </w:r>
    </w:p>
    <w:p w14:paraId="42287A01" w14:textId="77777777" w:rsidR="004C25F6" w:rsidRPr="00AA0F82" w:rsidRDefault="004C25F6" w:rsidP="003227B8">
      <w:pPr>
        <w:spacing w:after="0"/>
        <w:rPr>
          <w:highlight w:val="yellow"/>
        </w:rPr>
      </w:pPr>
    </w:p>
    <w:p w14:paraId="3A682F02" w14:textId="5CAC82E9" w:rsidR="00FE0737" w:rsidRPr="002B3C57" w:rsidRDefault="0024289A" w:rsidP="0024289A">
      <w:pPr>
        <w:spacing w:after="0" w:line="240" w:lineRule="auto"/>
        <w:rPr>
          <w:b/>
          <w:bCs/>
          <w:sz w:val="24"/>
          <w:szCs w:val="24"/>
        </w:rPr>
      </w:pPr>
      <w:r w:rsidRPr="002B3C57">
        <w:rPr>
          <w:b/>
          <w:bCs/>
          <w:sz w:val="24"/>
          <w:szCs w:val="24"/>
        </w:rPr>
        <w:t>Proposed Project</w:t>
      </w:r>
    </w:p>
    <w:p w14:paraId="67DF9C50" w14:textId="34CCCA88" w:rsidR="009D423D" w:rsidRDefault="002B3C57" w:rsidP="00A0068E">
      <w:pPr>
        <w:spacing w:after="0" w:line="240" w:lineRule="auto"/>
        <w:rPr>
          <w:sz w:val="24"/>
          <w:szCs w:val="24"/>
        </w:rPr>
      </w:pPr>
      <w:r w:rsidRPr="4E898A69">
        <w:rPr>
          <w:sz w:val="24"/>
          <w:szCs w:val="24"/>
        </w:rPr>
        <w:t xml:space="preserve">The Proposed Project </w:t>
      </w:r>
      <w:r w:rsidR="00B84F53" w:rsidRPr="4E898A69">
        <w:rPr>
          <w:sz w:val="24"/>
          <w:szCs w:val="24"/>
        </w:rPr>
        <w:t>includes</w:t>
      </w:r>
      <w:r w:rsidRPr="4E898A69">
        <w:rPr>
          <w:sz w:val="24"/>
          <w:szCs w:val="24"/>
        </w:rPr>
        <w:t xml:space="preserve"> the renovation of the existing </w:t>
      </w:r>
      <w:r w:rsidR="000D76D5" w:rsidRPr="4E898A69">
        <w:rPr>
          <w:sz w:val="24"/>
          <w:szCs w:val="24"/>
        </w:rPr>
        <w:t>Emergency Department (</w:t>
      </w:r>
      <w:r w:rsidRPr="4E898A69">
        <w:rPr>
          <w:sz w:val="24"/>
          <w:szCs w:val="24"/>
        </w:rPr>
        <w:t>ED</w:t>
      </w:r>
      <w:r w:rsidR="000D76D5" w:rsidRPr="4E898A69">
        <w:rPr>
          <w:sz w:val="24"/>
          <w:szCs w:val="24"/>
        </w:rPr>
        <w:t>)</w:t>
      </w:r>
      <w:r w:rsidRPr="4E898A69">
        <w:rPr>
          <w:sz w:val="24"/>
          <w:szCs w:val="24"/>
        </w:rPr>
        <w:t xml:space="preserve"> and adjacent areas</w:t>
      </w:r>
      <w:r w:rsidR="00EB51D5" w:rsidRPr="4E898A69">
        <w:rPr>
          <w:sz w:val="24"/>
          <w:szCs w:val="24"/>
        </w:rPr>
        <w:t xml:space="preserve">, as well as </w:t>
      </w:r>
      <w:r w:rsidRPr="4E898A69">
        <w:rPr>
          <w:sz w:val="24"/>
          <w:szCs w:val="24"/>
        </w:rPr>
        <w:t>an 8,051-square-foot addition, resulting in a 29,060-square-foot department comprised of 37 private treatment rooms, a separate behavioral health unit comprised of 16 private behavioral health rooms, a</w:t>
      </w:r>
      <w:r w:rsidR="000A3592" w:rsidRPr="4E898A69">
        <w:rPr>
          <w:sz w:val="24"/>
          <w:szCs w:val="24"/>
        </w:rPr>
        <w:t>n</w:t>
      </w:r>
      <w:r w:rsidRPr="4E898A69">
        <w:rPr>
          <w:sz w:val="24"/>
          <w:szCs w:val="24"/>
        </w:rPr>
        <w:t xml:space="preserve"> 1</w:t>
      </w:r>
      <w:r w:rsidR="000A3592" w:rsidRPr="4E898A69">
        <w:rPr>
          <w:sz w:val="24"/>
          <w:szCs w:val="24"/>
        </w:rPr>
        <w:t xml:space="preserve">1 </w:t>
      </w:r>
      <w:r w:rsidRPr="4E898A69">
        <w:rPr>
          <w:sz w:val="24"/>
          <w:szCs w:val="24"/>
        </w:rPr>
        <w:t>bed vertical treatment unit,</w:t>
      </w:r>
      <w:r w:rsidR="00057F3D">
        <w:rPr>
          <w:rStyle w:val="FootnoteReference"/>
          <w:sz w:val="24"/>
          <w:szCs w:val="24"/>
        </w:rPr>
        <w:footnoteReference w:id="4"/>
      </w:r>
      <w:r w:rsidRPr="4E898A69">
        <w:rPr>
          <w:sz w:val="24"/>
          <w:szCs w:val="24"/>
        </w:rPr>
        <w:t xml:space="preserve"> two triage rooms, a two-position trauma room, administrative areas, and significantly enhanced clinical support spaces. </w:t>
      </w:r>
      <w:r w:rsidR="009F44A3">
        <w:rPr>
          <w:sz w:val="24"/>
          <w:szCs w:val="24"/>
        </w:rPr>
        <w:t xml:space="preserve">Table </w:t>
      </w:r>
      <w:r w:rsidR="001B0396">
        <w:rPr>
          <w:sz w:val="24"/>
          <w:szCs w:val="24"/>
        </w:rPr>
        <w:t>2</w:t>
      </w:r>
      <w:r w:rsidR="009F44A3">
        <w:rPr>
          <w:sz w:val="24"/>
          <w:szCs w:val="24"/>
        </w:rPr>
        <w:t xml:space="preserve"> provides an overview of the </w:t>
      </w:r>
      <w:r w:rsidR="0045475F">
        <w:rPr>
          <w:sz w:val="24"/>
          <w:szCs w:val="24"/>
        </w:rPr>
        <w:t>Proposed Project changes.</w:t>
      </w:r>
    </w:p>
    <w:p w14:paraId="2FB8DB6C" w14:textId="77777777" w:rsidR="009D423D" w:rsidRDefault="009D423D" w:rsidP="00A0068E">
      <w:pPr>
        <w:spacing w:after="0" w:line="240" w:lineRule="auto"/>
        <w:rPr>
          <w:sz w:val="24"/>
          <w:szCs w:val="24"/>
        </w:rPr>
      </w:pPr>
    </w:p>
    <w:p w14:paraId="644A77F2" w14:textId="2806C501" w:rsidR="009D423D" w:rsidRPr="00A41EB4" w:rsidRDefault="009D423D" w:rsidP="009D423D">
      <w:pPr>
        <w:pStyle w:val="Caption"/>
        <w:spacing w:after="0"/>
        <w:contextualSpacing/>
        <w:jc w:val="center"/>
        <w:rPr>
          <w:rFonts w:cstheme="minorHAnsi"/>
          <w:color w:val="2F5496" w:themeColor="accent1" w:themeShade="BF"/>
          <w:sz w:val="24"/>
          <w:szCs w:val="24"/>
        </w:rPr>
      </w:pPr>
      <w:r w:rsidRPr="00A41EB4">
        <w:rPr>
          <w:rFonts w:cstheme="minorHAnsi"/>
          <w:color w:val="2F5496" w:themeColor="accent1" w:themeShade="BF"/>
          <w:sz w:val="24"/>
          <w:szCs w:val="24"/>
          <w:u w:val="single"/>
        </w:rPr>
        <w:t xml:space="preserve">Table </w:t>
      </w:r>
      <w:r w:rsidR="001B0396">
        <w:rPr>
          <w:rFonts w:cstheme="minorHAnsi"/>
          <w:color w:val="2F5496" w:themeColor="accent1" w:themeShade="BF"/>
          <w:sz w:val="24"/>
          <w:szCs w:val="24"/>
          <w:u w:val="single"/>
        </w:rPr>
        <w:t>2</w:t>
      </w:r>
      <w:r w:rsidRPr="00A41EB4">
        <w:rPr>
          <w:rFonts w:cstheme="minorHAnsi"/>
          <w:color w:val="2F5496" w:themeColor="accent1" w:themeShade="BF"/>
          <w:sz w:val="24"/>
          <w:szCs w:val="24"/>
          <w:u w:val="single"/>
        </w:rPr>
        <w:t>:</w:t>
      </w:r>
      <w:r w:rsidRPr="00A41EB4">
        <w:rPr>
          <w:rFonts w:cstheme="minorHAnsi"/>
          <w:color w:val="2F5496" w:themeColor="accent1" w:themeShade="BF"/>
          <w:sz w:val="24"/>
          <w:szCs w:val="24"/>
        </w:rPr>
        <w:t xml:space="preserve"> BID-P’s ED Composition</w:t>
      </w:r>
      <w:r>
        <w:rPr>
          <w:rFonts w:cstheme="minorHAnsi"/>
          <w:color w:val="2F5496" w:themeColor="accent1" w:themeShade="BF"/>
          <w:sz w:val="24"/>
          <w:szCs w:val="24"/>
        </w:rPr>
        <w:t xml:space="preserve"> of Beds</w:t>
      </w:r>
    </w:p>
    <w:tbl>
      <w:tblPr>
        <w:tblW w:w="0" w:type="auto"/>
        <w:tblInd w:w="720" w:type="dxa"/>
        <w:tblCellMar>
          <w:left w:w="0" w:type="dxa"/>
          <w:right w:w="0" w:type="dxa"/>
        </w:tblCellMar>
        <w:tblLook w:val="04A0" w:firstRow="1" w:lastRow="0" w:firstColumn="1" w:lastColumn="0" w:noHBand="0" w:noVBand="1"/>
      </w:tblPr>
      <w:tblGrid>
        <w:gridCol w:w="3594"/>
        <w:gridCol w:w="1679"/>
        <w:gridCol w:w="1703"/>
        <w:gridCol w:w="1644"/>
      </w:tblGrid>
      <w:tr w:rsidR="009D423D" w14:paraId="3E9C1A27" w14:textId="77777777">
        <w:tc>
          <w:tcPr>
            <w:tcW w:w="3950" w:type="dxa"/>
            <w:tcBorders>
              <w:top w:val="single" w:sz="8" w:space="0" w:color="auto"/>
              <w:left w:val="single" w:sz="8" w:space="0" w:color="auto"/>
              <w:bottom w:val="single" w:sz="8" w:space="0" w:color="auto"/>
              <w:right w:val="single" w:sz="8" w:space="0" w:color="auto"/>
            </w:tcBorders>
            <w:shd w:val="clear" w:color="auto" w:fill="C1E4F5"/>
            <w:tcMar>
              <w:top w:w="0" w:type="dxa"/>
              <w:left w:w="108" w:type="dxa"/>
              <w:bottom w:w="0" w:type="dxa"/>
              <w:right w:w="108" w:type="dxa"/>
            </w:tcMar>
          </w:tcPr>
          <w:p w14:paraId="17E858E8" w14:textId="77777777" w:rsidR="009D423D" w:rsidRDefault="009D423D">
            <w:pPr>
              <w:spacing w:after="0" w:line="240" w:lineRule="auto"/>
            </w:pPr>
          </w:p>
        </w:tc>
        <w:tc>
          <w:tcPr>
            <w:tcW w:w="1796"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47A77587" w14:textId="77777777" w:rsidR="009D423D" w:rsidRDefault="009D423D">
            <w:pPr>
              <w:spacing w:after="0" w:line="240" w:lineRule="auto"/>
              <w:jc w:val="center"/>
              <w:rPr>
                <w:b/>
                <w:bCs/>
              </w:rPr>
            </w:pPr>
            <w:r>
              <w:rPr>
                <w:b/>
                <w:bCs/>
                <w:color w:val="000000"/>
              </w:rPr>
              <w:t>Current</w:t>
            </w:r>
          </w:p>
        </w:tc>
        <w:tc>
          <w:tcPr>
            <w:tcW w:w="1797"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7E548D30" w14:textId="77777777" w:rsidR="009D423D" w:rsidRDefault="009D423D">
            <w:pPr>
              <w:spacing w:after="0" w:line="240" w:lineRule="auto"/>
              <w:jc w:val="center"/>
              <w:rPr>
                <w:b/>
                <w:bCs/>
              </w:rPr>
            </w:pPr>
            <w:r>
              <w:rPr>
                <w:b/>
                <w:bCs/>
                <w:color w:val="000000"/>
              </w:rPr>
              <w:t>Proposed Project</w:t>
            </w:r>
          </w:p>
        </w:tc>
        <w:tc>
          <w:tcPr>
            <w:tcW w:w="1797"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hideMark/>
          </w:tcPr>
          <w:p w14:paraId="0CB95FC7" w14:textId="77777777" w:rsidR="009D423D" w:rsidRDefault="009D423D">
            <w:pPr>
              <w:spacing w:after="0" w:line="240" w:lineRule="auto"/>
              <w:jc w:val="center"/>
              <w:rPr>
                <w:b/>
                <w:bCs/>
              </w:rPr>
            </w:pPr>
            <w:r>
              <w:rPr>
                <w:b/>
                <w:bCs/>
                <w:color w:val="000000"/>
              </w:rPr>
              <w:t>Net New</w:t>
            </w:r>
          </w:p>
        </w:tc>
      </w:tr>
      <w:tr w:rsidR="009D423D" w14:paraId="01D361AF" w14:textId="77777777">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4213D" w14:textId="77777777" w:rsidR="009D423D" w:rsidRDefault="009D423D">
            <w:pPr>
              <w:spacing w:after="0" w:line="240" w:lineRule="auto"/>
              <w:rPr>
                <w:b/>
                <w:bCs/>
              </w:rPr>
            </w:pPr>
            <w:r>
              <w:rPr>
                <w:b/>
                <w:bCs/>
              </w:rPr>
              <w:t>Trauma</w:t>
            </w:r>
            <w:r>
              <w:rPr>
                <w:rStyle w:val="FootnoteReference"/>
                <w:b/>
                <w:bCs/>
              </w:rPr>
              <w:footnoteReference w:id="5"/>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049BD730" w14:textId="77777777" w:rsidR="009D423D" w:rsidRDefault="009D423D">
            <w:pPr>
              <w:spacing w:after="0" w:line="240" w:lineRule="auto"/>
              <w:jc w:val="center"/>
            </w:pPr>
            <w: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699AFE7D" w14:textId="77777777" w:rsidR="009D423D" w:rsidRDefault="009D423D">
            <w:pPr>
              <w:spacing w:after="0" w:line="240" w:lineRule="auto"/>
              <w:jc w:val="center"/>
            </w:pPr>
            <w: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7A21E822" w14:textId="77777777" w:rsidR="009D423D" w:rsidRDefault="009D423D">
            <w:pPr>
              <w:spacing w:after="0" w:line="240" w:lineRule="auto"/>
              <w:jc w:val="center"/>
            </w:pPr>
            <w:r>
              <w:t>0</w:t>
            </w:r>
          </w:p>
        </w:tc>
      </w:tr>
      <w:tr w:rsidR="009D423D" w14:paraId="0129373D" w14:textId="77777777">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71778" w14:textId="77777777" w:rsidR="009D423D" w:rsidRDefault="009D423D">
            <w:pPr>
              <w:spacing w:after="0" w:line="240" w:lineRule="auto"/>
              <w:rPr>
                <w:b/>
                <w:bCs/>
              </w:rPr>
            </w:pPr>
            <w:r>
              <w:rPr>
                <w:b/>
                <w:bCs/>
              </w:rPr>
              <w:t>Triage/Fast Track</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192C2679" w14:textId="77777777" w:rsidR="009D423D" w:rsidRDefault="009D423D">
            <w:pPr>
              <w:spacing w:after="0" w:line="240" w:lineRule="auto"/>
              <w:jc w:val="center"/>
            </w:pPr>
            <w: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4DCCAC33" w14:textId="77777777" w:rsidR="009D423D" w:rsidRDefault="009D423D">
            <w:pPr>
              <w:spacing w:after="0" w:line="240" w:lineRule="auto"/>
              <w:jc w:val="center"/>
            </w:pPr>
            <w:r>
              <w:t>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3FF6FBDE" w14:textId="77777777" w:rsidR="009D423D" w:rsidRDefault="009D423D">
            <w:pPr>
              <w:spacing w:after="0" w:line="240" w:lineRule="auto"/>
              <w:jc w:val="center"/>
            </w:pPr>
            <w:r>
              <w:t>0</w:t>
            </w:r>
          </w:p>
        </w:tc>
      </w:tr>
      <w:tr w:rsidR="009D423D" w14:paraId="4E0B5CBB" w14:textId="77777777">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8CC7E" w14:textId="77777777" w:rsidR="009D423D" w:rsidRDefault="009D423D">
            <w:pPr>
              <w:spacing w:after="0" w:line="240" w:lineRule="auto"/>
              <w:rPr>
                <w:b/>
                <w:bCs/>
              </w:rPr>
            </w:pPr>
            <w:r>
              <w:rPr>
                <w:b/>
                <w:bCs/>
              </w:rPr>
              <w:t>Behavioral Health</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0F09D37F" w14:textId="77777777" w:rsidR="009D423D" w:rsidRDefault="009D423D">
            <w:pPr>
              <w:spacing w:after="0" w:line="240" w:lineRule="auto"/>
              <w:jc w:val="center"/>
            </w:pPr>
            <w:r>
              <w:t>7</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07036653" w14:textId="77777777" w:rsidR="009D423D" w:rsidRDefault="009D423D">
            <w:pPr>
              <w:spacing w:after="0" w:line="240" w:lineRule="auto"/>
              <w:jc w:val="center"/>
            </w:pPr>
            <w:r>
              <w:t>16</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28793C4F" w14:textId="77777777" w:rsidR="009D423D" w:rsidRDefault="009D423D">
            <w:pPr>
              <w:spacing w:after="0" w:line="240" w:lineRule="auto"/>
              <w:jc w:val="center"/>
            </w:pPr>
            <w:r>
              <w:t>9</w:t>
            </w:r>
          </w:p>
        </w:tc>
      </w:tr>
      <w:tr w:rsidR="009D423D" w14:paraId="6E077EE0" w14:textId="77777777">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152B5" w14:textId="77777777" w:rsidR="009D423D" w:rsidRDefault="009D423D">
            <w:pPr>
              <w:spacing w:after="0" w:line="240" w:lineRule="auto"/>
              <w:rPr>
                <w:b/>
                <w:bCs/>
              </w:rPr>
            </w:pPr>
            <w:r>
              <w:rPr>
                <w:b/>
                <w:bCs/>
              </w:rPr>
              <w:t>Flex Space/ Vertical Treatment</w:t>
            </w:r>
            <w:r>
              <w:rPr>
                <w:rStyle w:val="FootnoteReference"/>
                <w:b/>
                <w:bCs/>
              </w:rPr>
              <w:footnoteReference w:id="6"/>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58FEA09A" w14:textId="77777777" w:rsidR="009D423D" w:rsidRDefault="009D423D">
            <w:pPr>
              <w:spacing w:after="0" w:line="240" w:lineRule="auto"/>
              <w:jc w:val="center"/>
            </w:pPr>
            <w:r>
              <w:t>11</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3B640C49" w14:textId="77777777" w:rsidR="009D423D" w:rsidRDefault="009D423D">
            <w:pPr>
              <w:spacing w:after="0" w:line="240" w:lineRule="auto"/>
              <w:jc w:val="center"/>
            </w:pPr>
            <w:r>
              <w:t>11</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08382C48" w14:textId="77777777" w:rsidR="009D423D" w:rsidRDefault="009D423D">
            <w:pPr>
              <w:spacing w:after="0" w:line="240" w:lineRule="auto"/>
              <w:jc w:val="center"/>
            </w:pPr>
            <w:r>
              <w:t>0</w:t>
            </w:r>
          </w:p>
        </w:tc>
      </w:tr>
      <w:tr w:rsidR="009D423D" w14:paraId="51ACD36E" w14:textId="77777777">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B4479" w14:textId="77777777" w:rsidR="009D423D" w:rsidRDefault="009D423D">
            <w:pPr>
              <w:spacing w:after="0" w:line="240" w:lineRule="auto"/>
              <w:rPr>
                <w:b/>
                <w:bCs/>
              </w:rPr>
            </w:pPr>
            <w:r>
              <w:rPr>
                <w:b/>
                <w:bCs/>
              </w:rPr>
              <w:t>Private Rooms</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4F9E9B6A" w14:textId="77777777" w:rsidR="009D423D" w:rsidRDefault="009D423D">
            <w:pPr>
              <w:spacing w:after="0" w:line="240" w:lineRule="auto"/>
              <w:jc w:val="center"/>
            </w:pPr>
            <w:r>
              <w:t>5</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12BD19F6" w14:textId="77777777" w:rsidR="009D423D" w:rsidRDefault="009D423D">
            <w:pPr>
              <w:spacing w:after="0" w:line="240" w:lineRule="auto"/>
              <w:jc w:val="center"/>
            </w:pPr>
            <w:r>
              <w:t>37</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7B99ADC8" w14:textId="77777777" w:rsidR="009D423D" w:rsidRDefault="009D423D">
            <w:pPr>
              <w:spacing w:after="0" w:line="240" w:lineRule="auto"/>
              <w:jc w:val="center"/>
            </w:pPr>
            <w:r>
              <w:t>32</w:t>
            </w:r>
          </w:p>
        </w:tc>
      </w:tr>
      <w:tr w:rsidR="009D423D" w14:paraId="30F2FE5E" w14:textId="77777777">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13E0" w14:textId="77777777" w:rsidR="009D423D" w:rsidRDefault="009D423D">
            <w:pPr>
              <w:spacing w:after="0" w:line="240" w:lineRule="auto"/>
              <w:rPr>
                <w:b/>
                <w:bCs/>
              </w:rPr>
            </w:pPr>
            <w:r>
              <w:rPr>
                <w:b/>
                <w:bCs/>
              </w:rPr>
              <w:t>Hallway Stretchers</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785F6E4F" w14:textId="77777777" w:rsidR="009D423D" w:rsidRDefault="009D423D">
            <w:pPr>
              <w:spacing w:after="0" w:line="240" w:lineRule="auto"/>
              <w:jc w:val="center"/>
            </w:pPr>
            <w:r>
              <w:t>15</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0017C94F" w14:textId="77777777" w:rsidR="009D423D" w:rsidRDefault="009D423D">
            <w:pPr>
              <w:spacing w:after="0" w:line="240" w:lineRule="auto"/>
              <w:jc w:val="center"/>
            </w:pPr>
            <w:r>
              <w:t>0</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2B9291E0" w14:textId="77777777" w:rsidR="009D423D" w:rsidRDefault="009D423D">
            <w:pPr>
              <w:spacing w:after="0" w:line="240" w:lineRule="auto"/>
              <w:jc w:val="center"/>
            </w:pPr>
            <w:r>
              <w:t>-15</w:t>
            </w:r>
          </w:p>
        </w:tc>
      </w:tr>
      <w:tr w:rsidR="009D423D" w14:paraId="21A98A24" w14:textId="77777777">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521E7" w14:textId="77777777" w:rsidR="009D423D" w:rsidRDefault="009D423D">
            <w:pPr>
              <w:spacing w:after="0" w:line="240" w:lineRule="auto"/>
              <w:rPr>
                <w:b/>
                <w:bCs/>
              </w:rPr>
            </w:pPr>
            <w:r>
              <w:rPr>
                <w:b/>
                <w:bCs/>
              </w:rPr>
              <w:t>Curtained Bays</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46C29F3E" w14:textId="77777777" w:rsidR="009D423D" w:rsidRDefault="009D423D">
            <w:pPr>
              <w:spacing w:after="0" w:line="240" w:lineRule="auto"/>
              <w:jc w:val="center"/>
            </w:pPr>
            <w:r>
              <w:t>12</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3363DEF9" w14:textId="77777777" w:rsidR="009D423D" w:rsidRDefault="009D423D">
            <w:pPr>
              <w:spacing w:after="0" w:line="240" w:lineRule="auto"/>
              <w:jc w:val="center"/>
            </w:pPr>
            <w:r>
              <w:t>0</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196DBAF2" w14:textId="77777777" w:rsidR="009D423D" w:rsidRDefault="009D423D">
            <w:pPr>
              <w:spacing w:after="0" w:line="240" w:lineRule="auto"/>
              <w:jc w:val="center"/>
            </w:pPr>
            <w:r>
              <w:t>-12</w:t>
            </w:r>
          </w:p>
        </w:tc>
      </w:tr>
      <w:tr w:rsidR="009D423D" w14:paraId="24541AD2" w14:textId="77777777">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551B6" w14:textId="77777777" w:rsidR="009D423D" w:rsidRDefault="009D423D">
            <w:pPr>
              <w:spacing w:after="0" w:line="240" w:lineRule="auto"/>
              <w:rPr>
                <w:b/>
                <w:bCs/>
              </w:rPr>
            </w:pPr>
            <w:r>
              <w:rPr>
                <w:b/>
                <w:bCs/>
              </w:rPr>
              <w:t>Cubicles</w:t>
            </w:r>
          </w:p>
        </w:tc>
        <w:tc>
          <w:tcPr>
            <w:tcW w:w="1796" w:type="dxa"/>
            <w:tcBorders>
              <w:top w:val="nil"/>
              <w:left w:val="nil"/>
              <w:bottom w:val="single" w:sz="8" w:space="0" w:color="auto"/>
              <w:right w:val="single" w:sz="8" w:space="0" w:color="auto"/>
            </w:tcBorders>
            <w:tcMar>
              <w:top w:w="0" w:type="dxa"/>
              <w:left w:w="108" w:type="dxa"/>
              <w:bottom w:w="0" w:type="dxa"/>
              <w:right w:w="108" w:type="dxa"/>
            </w:tcMar>
            <w:hideMark/>
          </w:tcPr>
          <w:p w14:paraId="32BC634C" w14:textId="77777777" w:rsidR="009D423D" w:rsidRDefault="009D423D">
            <w:pPr>
              <w:spacing w:after="0" w:line="240" w:lineRule="auto"/>
              <w:jc w:val="center"/>
            </w:pPr>
            <w:r>
              <w:t>4</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003A2C96" w14:textId="77777777" w:rsidR="009D423D" w:rsidRDefault="009D423D">
            <w:pPr>
              <w:spacing w:after="0" w:line="240" w:lineRule="auto"/>
              <w:jc w:val="center"/>
            </w:pPr>
            <w:r>
              <w:t>0</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14:paraId="52CD2D6A" w14:textId="77777777" w:rsidR="009D423D" w:rsidRDefault="009D423D">
            <w:pPr>
              <w:spacing w:after="0" w:line="240" w:lineRule="auto"/>
              <w:jc w:val="center"/>
            </w:pPr>
            <w:r>
              <w:t>-4</w:t>
            </w:r>
          </w:p>
        </w:tc>
      </w:tr>
      <w:tr w:rsidR="009D423D" w14:paraId="7829AF6A" w14:textId="77777777">
        <w:tc>
          <w:tcPr>
            <w:tcW w:w="3950" w:type="dxa"/>
            <w:tcBorders>
              <w:top w:val="nil"/>
              <w:left w:val="single" w:sz="8" w:space="0" w:color="auto"/>
              <w:bottom w:val="single" w:sz="8" w:space="0" w:color="auto"/>
              <w:right w:val="single" w:sz="8" w:space="0" w:color="auto"/>
            </w:tcBorders>
            <w:shd w:val="clear" w:color="auto" w:fill="C1E4F5"/>
            <w:tcMar>
              <w:top w:w="0" w:type="dxa"/>
              <w:left w:w="108" w:type="dxa"/>
              <w:bottom w:w="0" w:type="dxa"/>
              <w:right w:w="108" w:type="dxa"/>
            </w:tcMar>
            <w:hideMark/>
          </w:tcPr>
          <w:p w14:paraId="4995ADF3" w14:textId="77777777" w:rsidR="009D423D" w:rsidRPr="00041401" w:rsidRDefault="009D423D">
            <w:pPr>
              <w:spacing w:after="0" w:line="240" w:lineRule="auto"/>
              <w:rPr>
                <w:b/>
                <w:bCs/>
              </w:rPr>
            </w:pPr>
            <w:r w:rsidRPr="00041401">
              <w:rPr>
                <w:b/>
                <w:bCs/>
                <w:color w:val="000000"/>
              </w:rPr>
              <w:t>Total</w:t>
            </w:r>
          </w:p>
        </w:tc>
        <w:tc>
          <w:tcPr>
            <w:tcW w:w="1796"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0E3F1DF2" w14:textId="77777777" w:rsidR="009D423D" w:rsidRPr="00041401" w:rsidRDefault="009D423D">
            <w:pPr>
              <w:spacing w:after="0" w:line="240" w:lineRule="auto"/>
              <w:jc w:val="center"/>
              <w:rPr>
                <w:b/>
                <w:bCs/>
              </w:rPr>
            </w:pPr>
            <w:r w:rsidRPr="00041401">
              <w:rPr>
                <w:b/>
                <w:bCs/>
                <w:color w:val="000000"/>
              </w:rPr>
              <w:t>58</w:t>
            </w:r>
          </w:p>
        </w:tc>
        <w:tc>
          <w:tcPr>
            <w:tcW w:w="1797"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266C7826" w14:textId="77777777" w:rsidR="009D423D" w:rsidRPr="00041401" w:rsidRDefault="009D423D">
            <w:pPr>
              <w:spacing w:after="0" w:line="240" w:lineRule="auto"/>
              <w:jc w:val="center"/>
              <w:rPr>
                <w:b/>
                <w:bCs/>
              </w:rPr>
            </w:pPr>
            <w:r w:rsidRPr="00041401">
              <w:rPr>
                <w:b/>
                <w:bCs/>
                <w:color w:val="000000"/>
              </w:rPr>
              <w:t>68</w:t>
            </w:r>
          </w:p>
        </w:tc>
        <w:tc>
          <w:tcPr>
            <w:tcW w:w="1797" w:type="dxa"/>
            <w:tcBorders>
              <w:top w:val="nil"/>
              <w:left w:val="nil"/>
              <w:bottom w:val="single" w:sz="8" w:space="0" w:color="auto"/>
              <w:right w:val="single" w:sz="8" w:space="0" w:color="auto"/>
            </w:tcBorders>
            <w:shd w:val="clear" w:color="auto" w:fill="C1E4F5"/>
            <w:tcMar>
              <w:top w:w="0" w:type="dxa"/>
              <w:left w:w="108" w:type="dxa"/>
              <w:bottom w:w="0" w:type="dxa"/>
              <w:right w:w="108" w:type="dxa"/>
            </w:tcMar>
            <w:hideMark/>
          </w:tcPr>
          <w:p w14:paraId="2A4A1C3A" w14:textId="77777777" w:rsidR="009D423D" w:rsidRPr="00041401" w:rsidRDefault="009D423D">
            <w:pPr>
              <w:spacing w:after="0" w:line="240" w:lineRule="auto"/>
              <w:jc w:val="center"/>
              <w:rPr>
                <w:b/>
                <w:bCs/>
              </w:rPr>
            </w:pPr>
            <w:r w:rsidRPr="00041401">
              <w:rPr>
                <w:b/>
                <w:bCs/>
                <w:color w:val="000000"/>
              </w:rPr>
              <w:t>10</w:t>
            </w:r>
          </w:p>
        </w:tc>
      </w:tr>
    </w:tbl>
    <w:p w14:paraId="3F601676" w14:textId="77777777" w:rsidR="009D423D" w:rsidRDefault="009D423D" w:rsidP="00A0068E">
      <w:pPr>
        <w:spacing w:after="0" w:line="240" w:lineRule="auto"/>
        <w:rPr>
          <w:sz w:val="24"/>
          <w:szCs w:val="24"/>
        </w:rPr>
      </w:pPr>
    </w:p>
    <w:p w14:paraId="18B11A81" w14:textId="77777777" w:rsidR="009D423D" w:rsidRDefault="009D423D" w:rsidP="00A0068E">
      <w:pPr>
        <w:spacing w:after="0" w:line="240" w:lineRule="auto"/>
        <w:rPr>
          <w:sz w:val="24"/>
          <w:szCs w:val="24"/>
        </w:rPr>
      </w:pPr>
    </w:p>
    <w:p w14:paraId="73514358" w14:textId="75E021AC" w:rsidR="00A0068E" w:rsidRPr="00AA0F82" w:rsidRDefault="002B3C57" w:rsidP="00A0068E">
      <w:pPr>
        <w:spacing w:after="0" w:line="240" w:lineRule="auto"/>
        <w:rPr>
          <w:sz w:val="24"/>
          <w:szCs w:val="24"/>
          <w:highlight w:val="yellow"/>
        </w:rPr>
      </w:pPr>
      <w:r w:rsidRPr="546E1B61">
        <w:rPr>
          <w:sz w:val="24"/>
          <w:szCs w:val="24"/>
        </w:rPr>
        <w:t>In total, the ED will include 6</w:t>
      </w:r>
      <w:r w:rsidR="000A3592" w:rsidRPr="546E1B61">
        <w:rPr>
          <w:sz w:val="24"/>
          <w:szCs w:val="24"/>
        </w:rPr>
        <w:t>8</w:t>
      </w:r>
      <w:r w:rsidRPr="546E1B61">
        <w:rPr>
          <w:sz w:val="24"/>
          <w:szCs w:val="24"/>
        </w:rPr>
        <w:t xml:space="preserve"> treatment beds in private, walled spaces that include monitoring and treatment equipment. Existing imaging equipment</w:t>
      </w:r>
      <w:r w:rsidR="00481F90" w:rsidRPr="546E1B61">
        <w:rPr>
          <w:sz w:val="24"/>
          <w:szCs w:val="24"/>
        </w:rPr>
        <w:t xml:space="preserve"> embedded in the </w:t>
      </w:r>
      <w:r w:rsidR="0077520D" w:rsidRPr="546E1B61">
        <w:rPr>
          <w:sz w:val="24"/>
          <w:szCs w:val="24"/>
        </w:rPr>
        <w:t>ED</w:t>
      </w:r>
      <w:r w:rsidRPr="546E1B61">
        <w:rPr>
          <w:sz w:val="24"/>
          <w:szCs w:val="24"/>
        </w:rPr>
        <w:t xml:space="preserve">, including two X-ray machines and two computed tomography units, will not change. </w:t>
      </w:r>
      <w:r w:rsidR="000532F0" w:rsidRPr="546E1B61">
        <w:rPr>
          <w:sz w:val="24"/>
          <w:szCs w:val="24"/>
        </w:rPr>
        <w:t>The</w:t>
      </w:r>
      <w:r w:rsidR="0035233D" w:rsidRPr="546E1B61">
        <w:rPr>
          <w:sz w:val="24"/>
          <w:szCs w:val="24"/>
        </w:rPr>
        <w:t xml:space="preserve"> Applicant expects no significant changes to its Payer Mix </w:t>
      </w:r>
      <w:r w:rsidR="009C2CCF" w:rsidRPr="546E1B61">
        <w:rPr>
          <w:sz w:val="24"/>
          <w:szCs w:val="24"/>
        </w:rPr>
        <w:t>as a result of the Proposed Project</w:t>
      </w:r>
      <w:r w:rsidR="005F6939" w:rsidRPr="546E1B61">
        <w:rPr>
          <w:sz w:val="24"/>
          <w:szCs w:val="24"/>
        </w:rPr>
        <w:t>.</w:t>
      </w:r>
      <w:r w:rsidR="007E37D1" w:rsidRPr="546E1B61">
        <w:rPr>
          <w:sz w:val="24"/>
          <w:szCs w:val="24"/>
        </w:rPr>
        <w:t xml:space="preserve"> </w:t>
      </w:r>
      <w:r w:rsidR="003227B8" w:rsidRPr="546E1B61">
        <w:rPr>
          <w:sz w:val="24"/>
          <w:szCs w:val="24"/>
        </w:rPr>
        <w:t xml:space="preserve">The Applicant </w:t>
      </w:r>
      <w:r w:rsidR="006A01C2" w:rsidRPr="546E1B61">
        <w:rPr>
          <w:sz w:val="24"/>
          <w:szCs w:val="24"/>
        </w:rPr>
        <w:t xml:space="preserve">provides data, detailed in the next section, </w:t>
      </w:r>
      <w:r w:rsidR="00FB213E" w:rsidRPr="546E1B61">
        <w:rPr>
          <w:sz w:val="24"/>
          <w:szCs w:val="24"/>
        </w:rPr>
        <w:t>to support their assertion</w:t>
      </w:r>
      <w:r w:rsidR="003227B8" w:rsidRPr="546E1B61">
        <w:rPr>
          <w:sz w:val="24"/>
          <w:szCs w:val="24"/>
        </w:rPr>
        <w:t xml:space="preserve"> that</w:t>
      </w:r>
      <w:r w:rsidR="006A1E06" w:rsidRPr="546E1B61">
        <w:rPr>
          <w:rFonts w:ascii="Times New Roman" w:hAnsi="Times New Roman" w:cs="Times New Roman"/>
          <w:sz w:val="24"/>
          <w:szCs w:val="24"/>
        </w:rPr>
        <w:t xml:space="preserve"> t</w:t>
      </w:r>
      <w:r w:rsidR="006A1E06" w:rsidRPr="546E1B61">
        <w:rPr>
          <w:sz w:val="24"/>
          <w:szCs w:val="24"/>
        </w:rPr>
        <w:t xml:space="preserve">he Hospital </w:t>
      </w:r>
      <w:r w:rsidR="002D6269" w:rsidRPr="546E1B61">
        <w:rPr>
          <w:sz w:val="24"/>
          <w:szCs w:val="24"/>
        </w:rPr>
        <w:t xml:space="preserve">ED </w:t>
      </w:r>
      <w:r w:rsidR="006A1E06" w:rsidRPr="546E1B61">
        <w:rPr>
          <w:sz w:val="24"/>
          <w:szCs w:val="24"/>
        </w:rPr>
        <w:t xml:space="preserve">has been operating </w:t>
      </w:r>
      <w:r w:rsidR="002E0315" w:rsidRPr="546E1B61">
        <w:rPr>
          <w:sz w:val="24"/>
          <w:szCs w:val="24"/>
        </w:rPr>
        <w:t xml:space="preserve">over </w:t>
      </w:r>
      <w:r w:rsidR="006A1E06" w:rsidRPr="546E1B61">
        <w:rPr>
          <w:sz w:val="24"/>
          <w:szCs w:val="24"/>
        </w:rPr>
        <w:t>capacity</w:t>
      </w:r>
      <w:r w:rsidR="00785DF3" w:rsidRPr="546E1B61">
        <w:rPr>
          <w:sz w:val="24"/>
          <w:szCs w:val="24"/>
        </w:rPr>
        <w:t>,</w:t>
      </w:r>
      <w:r w:rsidR="006A1E06" w:rsidRPr="546E1B61">
        <w:rPr>
          <w:sz w:val="24"/>
          <w:szCs w:val="24"/>
        </w:rPr>
        <w:t xml:space="preserve"> and the service area </w:t>
      </w:r>
      <w:r w:rsidR="00785DF3" w:rsidRPr="546E1B61">
        <w:rPr>
          <w:sz w:val="24"/>
          <w:szCs w:val="24"/>
        </w:rPr>
        <w:t>would benefit from</w:t>
      </w:r>
      <w:r w:rsidR="006A1E06" w:rsidRPr="546E1B61">
        <w:rPr>
          <w:sz w:val="24"/>
          <w:szCs w:val="24"/>
        </w:rPr>
        <w:t xml:space="preserve"> access to </w:t>
      </w:r>
      <w:r w:rsidR="00D40631" w:rsidRPr="546E1B61">
        <w:rPr>
          <w:sz w:val="24"/>
          <w:szCs w:val="24"/>
        </w:rPr>
        <w:t>an expanded ED.</w:t>
      </w:r>
      <w:r w:rsidR="003227B8" w:rsidRPr="546E1B61">
        <w:rPr>
          <w:sz w:val="24"/>
          <w:szCs w:val="24"/>
        </w:rPr>
        <w:t xml:space="preserve"> </w:t>
      </w:r>
    </w:p>
    <w:p w14:paraId="101FEAA0" w14:textId="1835FCE1" w:rsidR="00A0068E" w:rsidRPr="00AA0F82" w:rsidRDefault="00A0068E" w:rsidP="00F6790E">
      <w:pPr>
        <w:spacing w:after="0" w:line="240" w:lineRule="auto"/>
        <w:rPr>
          <w:sz w:val="24"/>
          <w:szCs w:val="24"/>
          <w:highlight w:val="yellow"/>
        </w:rPr>
      </w:pPr>
    </w:p>
    <w:p w14:paraId="43D7C166" w14:textId="77777777" w:rsidR="006672D1" w:rsidRPr="00A34184" w:rsidRDefault="006672D1" w:rsidP="006672D1">
      <w:pPr>
        <w:pStyle w:val="Heading1"/>
        <w:spacing w:line="240" w:lineRule="auto"/>
        <w:rPr>
          <w:rFonts w:cstheme="minorHAnsi"/>
        </w:rPr>
      </w:pPr>
      <w:bookmarkStart w:id="2" w:name="_Toc144207766"/>
      <w:bookmarkStart w:id="3" w:name="_Toc181784900"/>
      <w:r w:rsidRPr="00A34184">
        <w:rPr>
          <w:rFonts w:cstheme="minorHAnsi"/>
        </w:rPr>
        <w:t>Factor 1</w:t>
      </w:r>
      <w:bookmarkEnd w:id="2"/>
      <w:bookmarkEnd w:id="3"/>
      <w:r w:rsidRPr="00A34184">
        <w:rPr>
          <w:rFonts w:cstheme="minorHAnsi"/>
        </w:rPr>
        <w:t xml:space="preserve"> </w:t>
      </w:r>
    </w:p>
    <w:p w14:paraId="4723352E" w14:textId="79035881" w:rsidR="006672D1" w:rsidRPr="00A34184" w:rsidRDefault="006672D1" w:rsidP="006672D1">
      <w:pPr>
        <w:pStyle w:val="NoSpacing"/>
        <w:contextualSpacing/>
        <w:rPr>
          <w:sz w:val="24"/>
          <w:szCs w:val="24"/>
        </w:rPr>
      </w:pPr>
      <w:r w:rsidRPr="00A34184">
        <w:rPr>
          <w:sz w:val="24"/>
          <w:szCs w:val="24"/>
        </w:rPr>
        <w:t xml:space="preserve">In this section, we assess if the Applicant has sufficiently addressed Patient Panel need, public health value, competitiveness and cost containment, as well as community engagement for the expansion of the </w:t>
      </w:r>
      <w:r w:rsidR="00A34184" w:rsidRPr="00A34184">
        <w:rPr>
          <w:sz w:val="24"/>
          <w:szCs w:val="24"/>
        </w:rPr>
        <w:t>ED</w:t>
      </w:r>
      <w:r w:rsidRPr="00A34184">
        <w:rPr>
          <w:sz w:val="24"/>
          <w:szCs w:val="24"/>
        </w:rPr>
        <w:t>.</w:t>
      </w:r>
    </w:p>
    <w:p w14:paraId="6A330F1D" w14:textId="77777777" w:rsidR="006672D1" w:rsidRPr="00AA0F82" w:rsidRDefault="006672D1" w:rsidP="00F6790E">
      <w:pPr>
        <w:spacing w:after="0" w:line="240" w:lineRule="auto"/>
        <w:rPr>
          <w:sz w:val="24"/>
          <w:szCs w:val="24"/>
          <w:highlight w:val="yellow"/>
        </w:rPr>
      </w:pPr>
    </w:p>
    <w:p w14:paraId="72606428" w14:textId="4CB0052C" w:rsidR="00513147" w:rsidRPr="00AE7CFE" w:rsidRDefault="00D57998" w:rsidP="002B05B4">
      <w:pPr>
        <w:pStyle w:val="Heading1"/>
      </w:pPr>
      <w:bookmarkStart w:id="4" w:name="_Toc181784901"/>
      <w:r w:rsidRPr="00AE7CFE">
        <w:lastRenderedPageBreak/>
        <w:t>Patient Panel</w:t>
      </w:r>
      <w:r w:rsidR="0017637D" w:rsidRPr="00AE7CFE">
        <w:rPr>
          <w:rStyle w:val="FootnoteReference"/>
        </w:rPr>
        <w:footnoteReference w:id="7"/>
      </w:r>
      <w:bookmarkEnd w:id="4"/>
      <w:r w:rsidRPr="00AE7CFE">
        <w:rPr>
          <w:vertAlign w:val="superscript"/>
        </w:rPr>
        <w:t xml:space="preserve"> </w:t>
      </w:r>
    </w:p>
    <w:p w14:paraId="2A6E4153" w14:textId="408FF79A" w:rsidR="00E76908" w:rsidRPr="004A43F8" w:rsidRDefault="00290E5C" w:rsidP="00290E5C">
      <w:pPr>
        <w:spacing w:after="0" w:line="240" w:lineRule="auto"/>
        <w:rPr>
          <w:sz w:val="24"/>
          <w:szCs w:val="24"/>
        </w:rPr>
      </w:pPr>
      <w:r w:rsidRPr="4E898A69">
        <w:rPr>
          <w:sz w:val="24"/>
          <w:szCs w:val="24"/>
        </w:rPr>
        <w:t xml:space="preserve">Table </w:t>
      </w:r>
      <w:r w:rsidR="001B0396">
        <w:rPr>
          <w:sz w:val="24"/>
          <w:szCs w:val="24"/>
        </w:rPr>
        <w:t>3</w:t>
      </w:r>
      <w:r w:rsidR="00E76908" w:rsidRPr="4E898A69">
        <w:rPr>
          <w:sz w:val="24"/>
          <w:szCs w:val="24"/>
        </w:rPr>
        <w:t xml:space="preserve"> </w:t>
      </w:r>
      <w:r w:rsidRPr="4E898A69">
        <w:rPr>
          <w:sz w:val="24"/>
          <w:szCs w:val="24"/>
        </w:rPr>
        <w:t xml:space="preserve">below shows the </w:t>
      </w:r>
      <w:r w:rsidR="009F0522" w:rsidRPr="4E898A69">
        <w:rPr>
          <w:sz w:val="24"/>
          <w:szCs w:val="24"/>
        </w:rPr>
        <w:t>Patient Panel</w:t>
      </w:r>
      <w:r w:rsidR="003D12BC" w:rsidRPr="4E898A69">
        <w:rPr>
          <w:sz w:val="24"/>
          <w:szCs w:val="24"/>
        </w:rPr>
        <w:t xml:space="preserve"> and patient populations</w:t>
      </w:r>
      <w:r w:rsidR="009F0522" w:rsidRPr="4E898A69">
        <w:rPr>
          <w:sz w:val="24"/>
          <w:szCs w:val="24"/>
        </w:rPr>
        <w:t xml:space="preserve"> </w:t>
      </w:r>
      <w:r w:rsidR="003C7B13" w:rsidRPr="4E898A69">
        <w:rPr>
          <w:sz w:val="24"/>
          <w:szCs w:val="24"/>
        </w:rPr>
        <w:t>from Fiscal</w:t>
      </w:r>
      <w:r w:rsidR="001C101D" w:rsidRPr="4E898A69">
        <w:rPr>
          <w:sz w:val="24"/>
          <w:szCs w:val="24"/>
        </w:rPr>
        <w:t xml:space="preserve"> </w:t>
      </w:r>
      <w:r w:rsidR="00096857" w:rsidRPr="4E898A69">
        <w:rPr>
          <w:sz w:val="24"/>
          <w:szCs w:val="24"/>
        </w:rPr>
        <w:t>Year</w:t>
      </w:r>
      <w:r w:rsidR="00CA4721" w:rsidRPr="4E898A69">
        <w:rPr>
          <w:sz w:val="24"/>
          <w:szCs w:val="24"/>
        </w:rPr>
        <w:t xml:space="preserve"> </w:t>
      </w:r>
      <w:r w:rsidR="00096857" w:rsidRPr="4E898A69">
        <w:rPr>
          <w:sz w:val="24"/>
          <w:szCs w:val="24"/>
        </w:rPr>
        <w:t>(</w:t>
      </w:r>
      <w:r w:rsidR="003C7B13" w:rsidRPr="4E898A69">
        <w:rPr>
          <w:sz w:val="24"/>
          <w:szCs w:val="24"/>
        </w:rPr>
        <w:t>F</w:t>
      </w:r>
      <w:r w:rsidR="00E76908" w:rsidRPr="4E898A69">
        <w:rPr>
          <w:sz w:val="24"/>
          <w:szCs w:val="24"/>
        </w:rPr>
        <w:t>Y</w:t>
      </w:r>
      <w:r w:rsidR="00096857" w:rsidRPr="4E898A69">
        <w:rPr>
          <w:sz w:val="24"/>
          <w:szCs w:val="24"/>
        </w:rPr>
        <w:t>)</w:t>
      </w:r>
      <w:r w:rsidR="00E76908" w:rsidRPr="4E898A69">
        <w:rPr>
          <w:sz w:val="24"/>
          <w:szCs w:val="24"/>
        </w:rPr>
        <w:t>20</w:t>
      </w:r>
      <w:r w:rsidR="00B06E7A">
        <w:rPr>
          <w:sz w:val="24"/>
          <w:szCs w:val="24"/>
        </w:rPr>
        <w:t>21</w:t>
      </w:r>
      <w:r w:rsidR="00E76908" w:rsidRPr="4E898A69">
        <w:rPr>
          <w:sz w:val="24"/>
          <w:szCs w:val="24"/>
        </w:rPr>
        <w:t xml:space="preserve"> through</w:t>
      </w:r>
      <w:r w:rsidR="00520C0E" w:rsidRPr="4E898A69">
        <w:rPr>
          <w:sz w:val="24"/>
          <w:szCs w:val="24"/>
        </w:rPr>
        <w:t xml:space="preserve"> </w:t>
      </w:r>
      <w:r w:rsidR="00AE7CFE" w:rsidRPr="4E898A69">
        <w:rPr>
          <w:sz w:val="24"/>
          <w:szCs w:val="24"/>
        </w:rPr>
        <w:t>F</w:t>
      </w:r>
      <w:r w:rsidR="0099746C" w:rsidRPr="4E898A69">
        <w:rPr>
          <w:sz w:val="24"/>
          <w:szCs w:val="24"/>
        </w:rPr>
        <w:t>Y202</w:t>
      </w:r>
      <w:r w:rsidR="00AE7CFE" w:rsidRPr="4E898A69">
        <w:rPr>
          <w:sz w:val="24"/>
          <w:szCs w:val="24"/>
        </w:rPr>
        <w:t>3</w:t>
      </w:r>
      <w:r w:rsidR="002C0C9D" w:rsidRPr="4E898A69">
        <w:rPr>
          <w:sz w:val="24"/>
          <w:szCs w:val="24"/>
        </w:rPr>
        <w:t xml:space="preserve">. </w:t>
      </w:r>
      <w:r w:rsidR="007C0E02" w:rsidRPr="4E898A69">
        <w:rPr>
          <w:sz w:val="24"/>
          <w:szCs w:val="24"/>
        </w:rPr>
        <w:t>During that timeframe, t</w:t>
      </w:r>
      <w:r w:rsidR="00E76908" w:rsidRPr="4E898A69">
        <w:rPr>
          <w:sz w:val="24"/>
          <w:szCs w:val="24"/>
        </w:rPr>
        <w:t xml:space="preserve">he number of </w:t>
      </w:r>
      <w:r w:rsidR="00C04D8D" w:rsidRPr="4E898A69">
        <w:rPr>
          <w:sz w:val="24"/>
          <w:szCs w:val="24"/>
        </w:rPr>
        <w:t>BID-P</w:t>
      </w:r>
      <w:r w:rsidR="001323AE" w:rsidRPr="4E898A69">
        <w:rPr>
          <w:sz w:val="24"/>
          <w:szCs w:val="24"/>
        </w:rPr>
        <w:t xml:space="preserve"> </w:t>
      </w:r>
      <w:r w:rsidR="00E76908" w:rsidRPr="4E898A69">
        <w:rPr>
          <w:sz w:val="24"/>
          <w:szCs w:val="24"/>
        </w:rPr>
        <w:t xml:space="preserve">patients </w:t>
      </w:r>
      <w:r w:rsidR="00C04D8D" w:rsidRPr="4E898A69">
        <w:rPr>
          <w:sz w:val="24"/>
          <w:szCs w:val="24"/>
        </w:rPr>
        <w:t>visiting the ED</w:t>
      </w:r>
      <w:r w:rsidR="00E76908" w:rsidRPr="4E898A69">
        <w:rPr>
          <w:sz w:val="24"/>
          <w:szCs w:val="24"/>
        </w:rPr>
        <w:t xml:space="preserve"> increased </w:t>
      </w:r>
      <w:r w:rsidR="00B62E48" w:rsidRPr="4E898A69">
        <w:rPr>
          <w:sz w:val="24"/>
          <w:szCs w:val="24"/>
        </w:rPr>
        <w:t>by 8</w:t>
      </w:r>
      <w:r w:rsidR="00ED699E" w:rsidRPr="4E898A69">
        <w:rPr>
          <w:sz w:val="24"/>
          <w:szCs w:val="24"/>
        </w:rPr>
        <w:t>%</w:t>
      </w:r>
      <w:r w:rsidR="00C60932" w:rsidRPr="4E898A69">
        <w:rPr>
          <w:sz w:val="24"/>
          <w:szCs w:val="24"/>
        </w:rPr>
        <w:t xml:space="preserve">, </w:t>
      </w:r>
      <w:r w:rsidR="00746531" w:rsidRPr="4E898A69">
        <w:rPr>
          <w:sz w:val="24"/>
          <w:szCs w:val="24"/>
        </w:rPr>
        <w:t xml:space="preserve">despite the </w:t>
      </w:r>
      <w:r w:rsidR="00B06E7A">
        <w:rPr>
          <w:sz w:val="24"/>
          <w:szCs w:val="24"/>
        </w:rPr>
        <w:t xml:space="preserve">COVID related </w:t>
      </w:r>
      <w:r w:rsidR="00746531" w:rsidRPr="4E898A69">
        <w:rPr>
          <w:sz w:val="24"/>
          <w:szCs w:val="24"/>
        </w:rPr>
        <w:t>decrease in both BILH and BID-P</w:t>
      </w:r>
      <w:r w:rsidR="004A43F8" w:rsidRPr="4E898A69">
        <w:rPr>
          <w:sz w:val="24"/>
          <w:szCs w:val="24"/>
        </w:rPr>
        <w:t xml:space="preserve"> patient volume.</w:t>
      </w:r>
      <w:r w:rsidR="00746531" w:rsidRPr="4E898A69">
        <w:rPr>
          <w:sz w:val="24"/>
          <w:szCs w:val="24"/>
        </w:rPr>
        <w:t xml:space="preserve"> </w:t>
      </w:r>
    </w:p>
    <w:p w14:paraId="0674B51F" w14:textId="77777777" w:rsidR="00E76908" w:rsidRPr="00AA0F82" w:rsidRDefault="00E76908" w:rsidP="00290E5C">
      <w:pPr>
        <w:spacing w:after="0" w:line="240" w:lineRule="auto"/>
        <w:rPr>
          <w:sz w:val="24"/>
          <w:szCs w:val="24"/>
          <w:highlight w:val="yellow"/>
        </w:rPr>
      </w:pPr>
    </w:p>
    <w:p w14:paraId="2DA7F862" w14:textId="111D296F" w:rsidR="00E76908" w:rsidRPr="001317C8" w:rsidRDefault="00E76908" w:rsidP="00006E50">
      <w:pPr>
        <w:pStyle w:val="Caption"/>
        <w:spacing w:after="0"/>
        <w:contextualSpacing/>
        <w:jc w:val="center"/>
        <w:rPr>
          <w:rFonts w:cstheme="minorHAnsi"/>
          <w:color w:val="2F5496" w:themeColor="accent1" w:themeShade="BF"/>
          <w:sz w:val="24"/>
          <w:szCs w:val="24"/>
        </w:rPr>
      </w:pPr>
      <w:r w:rsidRPr="001317C8">
        <w:rPr>
          <w:rFonts w:cstheme="minorHAnsi"/>
          <w:color w:val="2F5496" w:themeColor="accent1" w:themeShade="BF"/>
          <w:sz w:val="24"/>
          <w:szCs w:val="24"/>
          <w:u w:val="single"/>
        </w:rPr>
        <w:t xml:space="preserve">Table </w:t>
      </w:r>
      <w:r w:rsidR="001B0396">
        <w:rPr>
          <w:rFonts w:cstheme="minorHAnsi"/>
          <w:color w:val="2F5496" w:themeColor="accent1" w:themeShade="BF"/>
          <w:sz w:val="24"/>
          <w:szCs w:val="24"/>
          <w:u w:val="single"/>
        </w:rPr>
        <w:t>3</w:t>
      </w:r>
      <w:r w:rsidRPr="001317C8">
        <w:rPr>
          <w:rFonts w:cstheme="minorHAnsi"/>
          <w:color w:val="2F5496" w:themeColor="accent1" w:themeShade="BF"/>
          <w:sz w:val="24"/>
          <w:szCs w:val="24"/>
          <w:u w:val="single"/>
        </w:rPr>
        <w:t>:</w:t>
      </w:r>
      <w:r w:rsidRPr="001317C8">
        <w:rPr>
          <w:rFonts w:cstheme="minorHAnsi"/>
          <w:color w:val="2F5496" w:themeColor="accent1" w:themeShade="BF"/>
          <w:sz w:val="24"/>
          <w:szCs w:val="24"/>
        </w:rPr>
        <w:t xml:space="preserve"> </w:t>
      </w:r>
      <w:r w:rsidR="007455B7" w:rsidRPr="001317C8">
        <w:rPr>
          <w:rFonts w:cstheme="minorHAnsi"/>
          <w:color w:val="2F5496" w:themeColor="accent1" w:themeShade="BF"/>
          <w:sz w:val="24"/>
          <w:szCs w:val="24"/>
        </w:rPr>
        <w:t xml:space="preserve">Overview of </w:t>
      </w:r>
      <w:r w:rsidR="004D761C" w:rsidRPr="001317C8">
        <w:rPr>
          <w:rFonts w:cstheme="minorHAnsi"/>
          <w:color w:val="2F5496" w:themeColor="accent1" w:themeShade="BF"/>
          <w:sz w:val="24"/>
          <w:szCs w:val="24"/>
        </w:rPr>
        <w:t>BILH</w:t>
      </w:r>
      <w:r w:rsidR="00544D25" w:rsidRPr="001317C8">
        <w:rPr>
          <w:rFonts w:cstheme="minorHAnsi"/>
          <w:color w:val="2F5496" w:themeColor="accent1" w:themeShade="BF"/>
          <w:sz w:val="24"/>
          <w:szCs w:val="24"/>
        </w:rPr>
        <w:t xml:space="preserve"> </w:t>
      </w:r>
      <w:r w:rsidRPr="001317C8">
        <w:rPr>
          <w:rFonts w:cstheme="minorHAnsi"/>
          <w:color w:val="2F5496" w:themeColor="accent1" w:themeShade="BF"/>
          <w:sz w:val="24"/>
          <w:szCs w:val="24"/>
        </w:rPr>
        <w:t xml:space="preserve">Patient </w:t>
      </w:r>
      <w:r w:rsidR="00D24A16" w:rsidRPr="001317C8">
        <w:rPr>
          <w:rFonts w:cstheme="minorHAnsi"/>
          <w:color w:val="2F5496" w:themeColor="accent1" w:themeShade="BF"/>
          <w:sz w:val="24"/>
          <w:szCs w:val="24"/>
        </w:rPr>
        <w:t>Volume</w:t>
      </w:r>
    </w:p>
    <w:tbl>
      <w:tblPr>
        <w:tblStyle w:val="TableGrid"/>
        <w:tblW w:w="0" w:type="auto"/>
        <w:jc w:val="center"/>
        <w:tblLook w:val="04A0" w:firstRow="1" w:lastRow="0" w:firstColumn="1" w:lastColumn="0" w:noHBand="0" w:noVBand="1"/>
      </w:tblPr>
      <w:tblGrid>
        <w:gridCol w:w="2965"/>
        <w:gridCol w:w="1277"/>
        <w:gridCol w:w="1277"/>
        <w:gridCol w:w="1277"/>
      </w:tblGrid>
      <w:tr w:rsidR="00DA5B55" w:rsidRPr="001317C8" w14:paraId="7E606C2E" w14:textId="77777777" w:rsidTr="002C1EBB">
        <w:trPr>
          <w:cantSplit/>
          <w:tblHeader/>
          <w:jc w:val="center"/>
        </w:trPr>
        <w:tc>
          <w:tcPr>
            <w:tcW w:w="2965" w:type="dxa"/>
          </w:tcPr>
          <w:p w14:paraId="237AEDD1" w14:textId="4B83480E" w:rsidR="00DA5B55" w:rsidRPr="001317C8" w:rsidRDefault="00DA5B55" w:rsidP="001317C8">
            <w:pPr>
              <w:jc w:val="center"/>
              <w:rPr>
                <w:b/>
                <w:bCs/>
              </w:rPr>
            </w:pPr>
            <w:r w:rsidRPr="001317C8">
              <w:rPr>
                <w:b/>
                <w:bCs/>
              </w:rPr>
              <w:t>System/ Hospital</w:t>
            </w:r>
          </w:p>
        </w:tc>
        <w:tc>
          <w:tcPr>
            <w:tcW w:w="1277" w:type="dxa"/>
          </w:tcPr>
          <w:p w14:paraId="1C5D62F4" w14:textId="6FEF6E86" w:rsidR="00DA5B55" w:rsidRPr="001317C8" w:rsidRDefault="00DA5B55" w:rsidP="001317C8">
            <w:pPr>
              <w:jc w:val="center"/>
              <w:rPr>
                <w:b/>
                <w:bCs/>
              </w:rPr>
            </w:pPr>
            <w:r w:rsidRPr="001317C8">
              <w:rPr>
                <w:b/>
                <w:bCs/>
              </w:rPr>
              <w:t>FY2021</w:t>
            </w:r>
          </w:p>
        </w:tc>
        <w:tc>
          <w:tcPr>
            <w:tcW w:w="1277" w:type="dxa"/>
          </w:tcPr>
          <w:p w14:paraId="45A9E682" w14:textId="467A71A4" w:rsidR="00DA5B55" w:rsidRPr="001317C8" w:rsidRDefault="00DA5B55" w:rsidP="001317C8">
            <w:pPr>
              <w:jc w:val="center"/>
              <w:rPr>
                <w:b/>
                <w:bCs/>
              </w:rPr>
            </w:pPr>
            <w:r w:rsidRPr="001317C8">
              <w:rPr>
                <w:b/>
                <w:bCs/>
              </w:rPr>
              <w:t>FY2022</w:t>
            </w:r>
          </w:p>
        </w:tc>
        <w:tc>
          <w:tcPr>
            <w:tcW w:w="1277" w:type="dxa"/>
          </w:tcPr>
          <w:p w14:paraId="21FCE817" w14:textId="5B0DF550" w:rsidR="00DA5B55" w:rsidRPr="001317C8" w:rsidRDefault="00DA5B55" w:rsidP="001317C8">
            <w:pPr>
              <w:jc w:val="center"/>
              <w:rPr>
                <w:b/>
                <w:bCs/>
              </w:rPr>
            </w:pPr>
            <w:r w:rsidRPr="001317C8">
              <w:rPr>
                <w:b/>
                <w:bCs/>
              </w:rPr>
              <w:t>FY2023</w:t>
            </w:r>
          </w:p>
        </w:tc>
      </w:tr>
      <w:tr w:rsidR="00DA5B55" w14:paraId="1E3CB85A" w14:textId="77777777" w:rsidTr="002C1EBB">
        <w:trPr>
          <w:cantSplit/>
          <w:jc w:val="center"/>
        </w:trPr>
        <w:tc>
          <w:tcPr>
            <w:tcW w:w="2965" w:type="dxa"/>
          </w:tcPr>
          <w:p w14:paraId="509CFBAC" w14:textId="681DA078" w:rsidR="00DA5B55" w:rsidRPr="00EA0225" w:rsidRDefault="00DA5B55" w:rsidP="000D3356">
            <w:pPr>
              <w:rPr>
                <w:rFonts w:ascii="Calibri" w:hAnsi="Calibri" w:cs="Calibri"/>
                <w:sz w:val="24"/>
                <w:szCs w:val="24"/>
                <w:highlight w:val="yellow"/>
              </w:rPr>
            </w:pPr>
            <w:r w:rsidRPr="00EA0225">
              <w:rPr>
                <w:rFonts w:ascii="Calibri" w:hAnsi="Calibri" w:cs="Calibri"/>
                <w:sz w:val="24"/>
                <w:szCs w:val="24"/>
              </w:rPr>
              <w:t>BILH Overall Patient Panel</w:t>
            </w:r>
          </w:p>
        </w:tc>
        <w:tc>
          <w:tcPr>
            <w:tcW w:w="1277" w:type="dxa"/>
          </w:tcPr>
          <w:p w14:paraId="0E0AF599" w14:textId="138555C3" w:rsidR="00DA5B55" w:rsidRPr="00EA0225" w:rsidRDefault="00DA5B55" w:rsidP="00EA0225">
            <w:pPr>
              <w:jc w:val="center"/>
              <w:rPr>
                <w:rFonts w:ascii="Calibri" w:hAnsi="Calibri" w:cs="Calibri"/>
                <w:sz w:val="24"/>
                <w:szCs w:val="24"/>
                <w:highlight w:val="yellow"/>
              </w:rPr>
            </w:pPr>
            <w:r w:rsidRPr="00EA0225">
              <w:rPr>
                <w:rFonts w:ascii="Calibri" w:hAnsi="Calibri" w:cs="Calibri"/>
                <w:color w:val="000000"/>
                <w:sz w:val="24"/>
                <w:szCs w:val="24"/>
              </w:rPr>
              <w:t>1,434,603</w:t>
            </w:r>
          </w:p>
        </w:tc>
        <w:tc>
          <w:tcPr>
            <w:tcW w:w="1277" w:type="dxa"/>
          </w:tcPr>
          <w:p w14:paraId="557CB623" w14:textId="7D37D421" w:rsidR="00DA5B55" w:rsidRPr="00EA0225" w:rsidRDefault="00DA5B55" w:rsidP="00EA0225">
            <w:pPr>
              <w:jc w:val="center"/>
              <w:rPr>
                <w:rFonts w:ascii="Calibri" w:hAnsi="Calibri" w:cs="Calibri"/>
                <w:sz w:val="24"/>
                <w:szCs w:val="24"/>
                <w:highlight w:val="yellow"/>
              </w:rPr>
            </w:pPr>
            <w:r w:rsidRPr="00EA0225">
              <w:rPr>
                <w:rFonts w:ascii="Calibri" w:hAnsi="Calibri" w:cs="Calibri"/>
                <w:color w:val="000000"/>
                <w:sz w:val="24"/>
                <w:szCs w:val="24"/>
              </w:rPr>
              <w:t>1,389,264</w:t>
            </w:r>
          </w:p>
        </w:tc>
        <w:tc>
          <w:tcPr>
            <w:tcW w:w="1277" w:type="dxa"/>
          </w:tcPr>
          <w:p w14:paraId="2C644877" w14:textId="61D20254" w:rsidR="00DA5B55" w:rsidRPr="00EA0225" w:rsidRDefault="00DA5B55" w:rsidP="00EA0225">
            <w:pPr>
              <w:jc w:val="center"/>
              <w:rPr>
                <w:rFonts w:ascii="Calibri" w:hAnsi="Calibri" w:cs="Calibri"/>
                <w:sz w:val="24"/>
                <w:szCs w:val="24"/>
                <w:highlight w:val="yellow"/>
              </w:rPr>
            </w:pPr>
            <w:r w:rsidRPr="00EA0225">
              <w:rPr>
                <w:rFonts w:ascii="Calibri" w:hAnsi="Calibri" w:cs="Calibri"/>
                <w:color w:val="000000"/>
                <w:sz w:val="24"/>
                <w:szCs w:val="24"/>
              </w:rPr>
              <w:t>1,398,921</w:t>
            </w:r>
          </w:p>
        </w:tc>
      </w:tr>
      <w:tr w:rsidR="00DA5B55" w14:paraId="12265E46" w14:textId="77777777" w:rsidTr="002C1EBB">
        <w:trPr>
          <w:cantSplit/>
          <w:jc w:val="center"/>
        </w:trPr>
        <w:tc>
          <w:tcPr>
            <w:tcW w:w="2965" w:type="dxa"/>
          </w:tcPr>
          <w:p w14:paraId="3A6E0010" w14:textId="6F5CBD24" w:rsidR="00DA5B55" w:rsidRPr="00EA0225" w:rsidRDefault="00DA5B55" w:rsidP="000D3356">
            <w:pPr>
              <w:rPr>
                <w:rFonts w:ascii="Calibri" w:hAnsi="Calibri" w:cs="Calibri"/>
                <w:sz w:val="24"/>
                <w:szCs w:val="24"/>
              </w:rPr>
            </w:pPr>
            <w:r w:rsidRPr="00EA0225">
              <w:rPr>
                <w:rFonts w:ascii="Calibri" w:hAnsi="Calibri" w:cs="Calibri"/>
                <w:sz w:val="24"/>
                <w:szCs w:val="24"/>
              </w:rPr>
              <w:t>BID-Plymouth</w:t>
            </w:r>
          </w:p>
        </w:tc>
        <w:tc>
          <w:tcPr>
            <w:tcW w:w="1277" w:type="dxa"/>
          </w:tcPr>
          <w:p w14:paraId="47626DF5" w14:textId="0E853934" w:rsidR="00DA5B55" w:rsidRPr="00EA0225" w:rsidRDefault="00DA5B55" w:rsidP="00EA0225">
            <w:pPr>
              <w:jc w:val="center"/>
              <w:rPr>
                <w:rFonts w:ascii="Calibri" w:hAnsi="Calibri" w:cs="Calibri"/>
                <w:color w:val="000000"/>
                <w:sz w:val="24"/>
                <w:szCs w:val="24"/>
              </w:rPr>
            </w:pPr>
            <w:r w:rsidRPr="00EA0225">
              <w:rPr>
                <w:rFonts w:ascii="Calibri" w:hAnsi="Calibri" w:cs="Calibri"/>
                <w:color w:val="000000"/>
                <w:sz w:val="24"/>
                <w:szCs w:val="24"/>
              </w:rPr>
              <w:t>89,731</w:t>
            </w:r>
          </w:p>
        </w:tc>
        <w:tc>
          <w:tcPr>
            <w:tcW w:w="1277" w:type="dxa"/>
          </w:tcPr>
          <w:p w14:paraId="26213443" w14:textId="0079120F" w:rsidR="00DA5B55" w:rsidRPr="00EA0225" w:rsidRDefault="00DA5B55" w:rsidP="00EA0225">
            <w:pPr>
              <w:jc w:val="center"/>
              <w:rPr>
                <w:rFonts w:ascii="Calibri" w:hAnsi="Calibri" w:cs="Calibri"/>
                <w:color w:val="000000"/>
                <w:sz w:val="24"/>
                <w:szCs w:val="24"/>
              </w:rPr>
            </w:pPr>
            <w:r w:rsidRPr="00EA0225">
              <w:rPr>
                <w:rFonts w:ascii="Calibri" w:hAnsi="Calibri" w:cs="Calibri"/>
                <w:color w:val="000000"/>
                <w:sz w:val="24"/>
                <w:szCs w:val="24"/>
              </w:rPr>
              <w:t>83,796</w:t>
            </w:r>
          </w:p>
        </w:tc>
        <w:tc>
          <w:tcPr>
            <w:tcW w:w="1277" w:type="dxa"/>
          </w:tcPr>
          <w:p w14:paraId="62DEA32A" w14:textId="5F5D746F" w:rsidR="00DA5B55" w:rsidRPr="00EA0225" w:rsidRDefault="00DA5B55" w:rsidP="00EA0225">
            <w:pPr>
              <w:jc w:val="center"/>
              <w:rPr>
                <w:rFonts w:ascii="Calibri" w:hAnsi="Calibri" w:cs="Calibri"/>
                <w:color w:val="000000"/>
                <w:sz w:val="24"/>
                <w:szCs w:val="24"/>
              </w:rPr>
            </w:pPr>
            <w:r w:rsidRPr="00EA0225">
              <w:rPr>
                <w:rFonts w:ascii="Calibri" w:hAnsi="Calibri" w:cs="Calibri"/>
                <w:sz w:val="24"/>
                <w:szCs w:val="24"/>
              </w:rPr>
              <w:t>82,191</w:t>
            </w:r>
          </w:p>
        </w:tc>
      </w:tr>
      <w:tr w:rsidR="00DA5B55" w14:paraId="1B008178" w14:textId="77777777" w:rsidTr="002C1EBB">
        <w:trPr>
          <w:cantSplit/>
          <w:jc w:val="center"/>
        </w:trPr>
        <w:tc>
          <w:tcPr>
            <w:tcW w:w="2965" w:type="dxa"/>
          </w:tcPr>
          <w:p w14:paraId="6FC5EF4B" w14:textId="51EA1704" w:rsidR="00DA5B55" w:rsidRPr="00EA0225" w:rsidRDefault="00DA5B55" w:rsidP="000D3356">
            <w:pPr>
              <w:rPr>
                <w:rFonts w:ascii="Calibri" w:hAnsi="Calibri" w:cs="Calibri"/>
                <w:sz w:val="24"/>
                <w:szCs w:val="24"/>
              </w:rPr>
            </w:pPr>
            <w:r w:rsidRPr="00EA0225">
              <w:rPr>
                <w:rFonts w:ascii="Calibri" w:hAnsi="Calibri" w:cs="Calibri"/>
                <w:sz w:val="24"/>
                <w:szCs w:val="24"/>
              </w:rPr>
              <w:t>BID-P Emergency Department</w:t>
            </w:r>
          </w:p>
        </w:tc>
        <w:tc>
          <w:tcPr>
            <w:tcW w:w="1277" w:type="dxa"/>
          </w:tcPr>
          <w:p w14:paraId="1775AB7F" w14:textId="0E6B0F1E" w:rsidR="00DA5B55" w:rsidRPr="00EA0225" w:rsidRDefault="00DA5B55" w:rsidP="00EA0225">
            <w:pPr>
              <w:jc w:val="center"/>
              <w:rPr>
                <w:rFonts w:ascii="Calibri" w:hAnsi="Calibri" w:cs="Calibri"/>
                <w:color w:val="000000"/>
                <w:sz w:val="24"/>
                <w:szCs w:val="24"/>
              </w:rPr>
            </w:pPr>
            <w:r w:rsidRPr="00EA0225">
              <w:rPr>
                <w:rFonts w:ascii="Calibri" w:hAnsi="Calibri" w:cs="Calibri"/>
                <w:sz w:val="24"/>
                <w:szCs w:val="24"/>
              </w:rPr>
              <w:t>27,010</w:t>
            </w:r>
          </w:p>
        </w:tc>
        <w:tc>
          <w:tcPr>
            <w:tcW w:w="1277" w:type="dxa"/>
          </w:tcPr>
          <w:p w14:paraId="1840F1B1" w14:textId="62165C3B" w:rsidR="00DA5B55" w:rsidRPr="00EA0225" w:rsidRDefault="00DA5B55" w:rsidP="00EA0225">
            <w:pPr>
              <w:jc w:val="center"/>
              <w:rPr>
                <w:rFonts w:ascii="Calibri" w:hAnsi="Calibri" w:cs="Calibri"/>
                <w:color w:val="000000"/>
                <w:sz w:val="24"/>
                <w:szCs w:val="24"/>
              </w:rPr>
            </w:pPr>
            <w:r w:rsidRPr="00EA0225">
              <w:rPr>
                <w:rFonts w:ascii="Calibri" w:hAnsi="Calibri" w:cs="Calibri"/>
                <w:sz w:val="24"/>
                <w:szCs w:val="24"/>
              </w:rPr>
              <w:t>28,387</w:t>
            </w:r>
          </w:p>
        </w:tc>
        <w:tc>
          <w:tcPr>
            <w:tcW w:w="1277" w:type="dxa"/>
          </w:tcPr>
          <w:p w14:paraId="0E84E2E1" w14:textId="4E72F45D" w:rsidR="00DA5B55" w:rsidRPr="00EA0225" w:rsidRDefault="00DA5B55" w:rsidP="00EA0225">
            <w:pPr>
              <w:jc w:val="center"/>
              <w:rPr>
                <w:rFonts w:ascii="Calibri" w:hAnsi="Calibri" w:cs="Calibri"/>
                <w:sz w:val="24"/>
                <w:szCs w:val="24"/>
              </w:rPr>
            </w:pPr>
            <w:r w:rsidRPr="00EA0225">
              <w:rPr>
                <w:rFonts w:ascii="Calibri" w:hAnsi="Calibri" w:cs="Calibri"/>
                <w:sz w:val="24"/>
                <w:szCs w:val="24"/>
              </w:rPr>
              <w:t>29,253</w:t>
            </w:r>
          </w:p>
        </w:tc>
      </w:tr>
    </w:tbl>
    <w:p w14:paraId="44609371" w14:textId="3D95081C" w:rsidR="006C2ABB" w:rsidRPr="00AA0F82" w:rsidRDefault="006C2ABB" w:rsidP="00D24A16">
      <w:pPr>
        <w:spacing w:after="0" w:line="240" w:lineRule="auto"/>
        <w:rPr>
          <w:b/>
          <w:bCs/>
          <w:sz w:val="24"/>
          <w:szCs w:val="24"/>
          <w:highlight w:val="yellow"/>
        </w:rPr>
      </w:pPr>
    </w:p>
    <w:p w14:paraId="1A98193B" w14:textId="386EF4D2" w:rsidR="007C0E02" w:rsidRPr="004C13E8" w:rsidRDefault="00756477" w:rsidP="007C0E02">
      <w:pPr>
        <w:spacing w:after="0" w:line="240" w:lineRule="auto"/>
        <w:rPr>
          <w:sz w:val="24"/>
          <w:szCs w:val="24"/>
        </w:rPr>
      </w:pPr>
      <w:r w:rsidRPr="4E898A69">
        <w:rPr>
          <w:color w:val="191919"/>
          <w:sz w:val="24"/>
          <w:szCs w:val="24"/>
        </w:rPr>
        <w:t>The Applicant provided data showing that the top 1</w:t>
      </w:r>
      <w:r w:rsidR="005E1471">
        <w:rPr>
          <w:color w:val="191919"/>
          <w:sz w:val="24"/>
          <w:szCs w:val="24"/>
        </w:rPr>
        <w:t>5</w:t>
      </w:r>
      <w:r w:rsidRPr="4E898A69">
        <w:rPr>
          <w:color w:val="191919"/>
          <w:sz w:val="24"/>
          <w:szCs w:val="24"/>
        </w:rPr>
        <w:t xml:space="preserve"> patient origins of their </w:t>
      </w:r>
      <w:r w:rsidR="00E34295">
        <w:rPr>
          <w:color w:val="191919"/>
          <w:sz w:val="24"/>
          <w:szCs w:val="24"/>
        </w:rPr>
        <w:t xml:space="preserve">BILH </w:t>
      </w:r>
      <w:r w:rsidR="002E0315">
        <w:rPr>
          <w:color w:val="191919"/>
          <w:sz w:val="24"/>
          <w:szCs w:val="24"/>
        </w:rPr>
        <w:t>system</w:t>
      </w:r>
      <w:r w:rsidR="00E34295">
        <w:rPr>
          <w:color w:val="191919"/>
          <w:sz w:val="24"/>
          <w:szCs w:val="24"/>
        </w:rPr>
        <w:t>-</w:t>
      </w:r>
      <w:r w:rsidR="002E0315">
        <w:rPr>
          <w:color w:val="191919"/>
          <w:sz w:val="24"/>
          <w:szCs w:val="24"/>
        </w:rPr>
        <w:t xml:space="preserve">wide </w:t>
      </w:r>
      <w:r w:rsidRPr="4E898A69">
        <w:rPr>
          <w:color w:val="191919"/>
          <w:sz w:val="24"/>
          <w:szCs w:val="24"/>
        </w:rPr>
        <w:t>Patient Panel included Plymouth, Woburn, Beverly, Peabody, Gloucester, Quincy, Boston, Cambridge, Billerica, Burlington, Dorchester, Arlington, Danvers, Medford, and Wilmington</w:t>
      </w:r>
      <w:r w:rsidRPr="4E898A69">
        <w:rPr>
          <w:rStyle w:val="FootnoteReference"/>
          <w:color w:val="191919"/>
          <w:sz w:val="24"/>
          <w:szCs w:val="24"/>
        </w:rPr>
        <w:footnoteReference w:id="8"/>
      </w:r>
      <w:r w:rsidRPr="4E898A69">
        <w:rPr>
          <w:color w:val="191919"/>
          <w:sz w:val="24"/>
          <w:szCs w:val="24"/>
        </w:rPr>
        <w:t>.</w:t>
      </w:r>
      <w:r w:rsidRPr="4E898A69">
        <w:rPr>
          <w:color w:val="191919"/>
        </w:rPr>
        <w:t xml:space="preserve"> </w:t>
      </w:r>
      <w:r w:rsidR="005E1471" w:rsidRPr="004D4AD4">
        <w:rPr>
          <w:color w:val="191919"/>
          <w:sz w:val="24"/>
          <w:szCs w:val="24"/>
        </w:rPr>
        <w:t xml:space="preserve">BID-P’s top 10 patient origins included </w:t>
      </w:r>
      <w:r w:rsidR="007A0E44" w:rsidRPr="004D4AD4">
        <w:rPr>
          <w:color w:val="191919"/>
          <w:sz w:val="24"/>
          <w:szCs w:val="24"/>
        </w:rPr>
        <w:t xml:space="preserve">Plymouth, Carver, Kingston, </w:t>
      </w:r>
      <w:r w:rsidR="00CF7ED8" w:rsidRPr="004D4AD4">
        <w:rPr>
          <w:color w:val="191919"/>
          <w:sz w:val="24"/>
          <w:szCs w:val="24"/>
        </w:rPr>
        <w:t xml:space="preserve">Middleboro, Duxbury, Marshfield, </w:t>
      </w:r>
      <w:r w:rsidR="00C73193" w:rsidRPr="004D4AD4">
        <w:rPr>
          <w:color w:val="191919"/>
          <w:sz w:val="24"/>
          <w:szCs w:val="24"/>
        </w:rPr>
        <w:t xml:space="preserve">Buzzard’s Bay, </w:t>
      </w:r>
      <w:r w:rsidR="0022090C" w:rsidRPr="004D4AD4">
        <w:rPr>
          <w:color w:val="191919"/>
          <w:sz w:val="24"/>
          <w:szCs w:val="24"/>
        </w:rPr>
        <w:t xml:space="preserve">Pembroke, Sandwich, and </w:t>
      </w:r>
      <w:r w:rsidR="004D4AD4" w:rsidRPr="004D4AD4">
        <w:rPr>
          <w:color w:val="191919"/>
          <w:sz w:val="24"/>
          <w:szCs w:val="24"/>
        </w:rPr>
        <w:t>Halifax.</w:t>
      </w:r>
      <w:r w:rsidR="00A850FE">
        <w:rPr>
          <w:rStyle w:val="FootnoteReference"/>
          <w:color w:val="191919"/>
          <w:sz w:val="24"/>
          <w:szCs w:val="24"/>
        </w:rPr>
        <w:footnoteReference w:id="9"/>
      </w:r>
      <w:r w:rsidR="005E1471" w:rsidRPr="004D4AD4">
        <w:rPr>
          <w:color w:val="191919"/>
          <w:sz w:val="24"/>
          <w:szCs w:val="24"/>
        </w:rPr>
        <w:t xml:space="preserve"> </w:t>
      </w:r>
      <w:r w:rsidR="007C0E02" w:rsidRPr="004C13E8">
        <w:rPr>
          <w:sz w:val="24"/>
          <w:szCs w:val="24"/>
        </w:rPr>
        <w:t xml:space="preserve">Table </w:t>
      </w:r>
      <w:r w:rsidR="001B0396">
        <w:rPr>
          <w:sz w:val="24"/>
          <w:szCs w:val="24"/>
        </w:rPr>
        <w:t>4</w:t>
      </w:r>
      <w:r w:rsidR="007C0E02" w:rsidRPr="004C13E8">
        <w:rPr>
          <w:sz w:val="24"/>
          <w:szCs w:val="24"/>
        </w:rPr>
        <w:t xml:space="preserve"> shows the demographic characteristics of</w:t>
      </w:r>
      <w:r w:rsidR="00874FC5" w:rsidRPr="004C13E8">
        <w:rPr>
          <w:sz w:val="24"/>
          <w:szCs w:val="24"/>
        </w:rPr>
        <w:t xml:space="preserve"> </w:t>
      </w:r>
      <w:r w:rsidR="00814C19" w:rsidRPr="004C13E8">
        <w:rPr>
          <w:sz w:val="24"/>
          <w:szCs w:val="24"/>
        </w:rPr>
        <w:t xml:space="preserve">the </w:t>
      </w:r>
      <w:r w:rsidR="004C13E8" w:rsidRPr="004C13E8">
        <w:rPr>
          <w:sz w:val="24"/>
          <w:szCs w:val="24"/>
        </w:rPr>
        <w:t>BILH</w:t>
      </w:r>
      <w:r w:rsidR="00814C19" w:rsidRPr="004C13E8">
        <w:rPr>
          <w:sz w:val="24"/>
          <w:szCs w:val="24"/>
        </w:rPr>
        <w:t xml:space="preserve"> Patient Panel</w:t>
      </w:r>
      <w:r w:rsidR="00B62E48">
        <w:rPr>
          <w:sz w:val="24"/>
          <w:szCs w:val="24"/>
        </w:rPr>
        <w:t xml:space="preserve">, </w:t>
      </w:r>
      <w:r w:rsidR="004C13E8" w:rsidRPr="004C13E8">
        <w:rPr>
          <w:sz w:val="24"/>
          <w:szCs w:val="24"/>
        </w:rPr>
        <w:t>BID-P patient populations</w:t>
      </w:r>
      <w:r w:rsidR="00B62E48">
        <w:rPr>
          <w:sz w:val="24"/>
          <w:szCs w:val="24"/>
        </w:rPr>
        <w:t xml:space="preserve">, and the BID-P Emergency Department </w:t>
      </w:r>
      <w:r w:rsidR="00B73CC6">
        <w:rPr>
          <w:sz w:val="24"/>
          <w:szCs w:val="24"/>
        </w:rPr>
        <w:t>population</w:t>
      </w:r>
      <w:r w:rsidR="007C0E02" w:rsidRPr="004C13E8">
        <w:rPr>
          <w:sz w:val="24"/>
          <w:szCs w:val="24"/>
        </w:rPr>
        <w:t>. Staff notes the following observations:</w:t>
      </w:r>
    </w:p>
    <w:p w14:paraId="10059146" w14:textId="77777777" w:rsidR="00DE39E0" w:rsidRPr="00AA0F82" w:rsidRDefault="00DE39E0" w:rsidP="007C0E02">
      <w:pPr>
        <w:spacing w:after="0" w:line="240" w:lineRule="auto"/>
        <w:rPr>
          <w:sz w:val="24"/>
          <w:szCs w:val="24"/>
          <w:highlight w:val="yellow"/>
        </w:rPr>
      </w:pPr>
    </w:p>
    <w:p w14:paraId="580CAC32" w14:textId="08049E5E" w:rsidR="007C0E02" w:rsidRPr="007E07F7" w:rsidRDefault="006F4BC1" w:rsidP="006D54D3">
      <w:pPr>
        <w:pStyle w:val="ListParagraph"/>
        <w:numPr>
          <w:ilvl w:val="0"/>
          <w:numId w:val="1"/>
        </w:numPr>
        <w:spacing w:after="0" w:line="240" w:lineRule="auto"/>
        <w:rPr>
          <w:rFonts w:ascii="Times New Roman" w:hAnsi="Times New Roman" w:cs="Times New Roman"/>
          <w:sz w:val="24"/>
          <w:szCs w:val="24"/>
        </w:rPr>
      </w:pPr>
      <w:r w:rsidRPr="007E07F7">
        <w:rPr>
          <w:b/>
          <w:bCs/>
          <w:sz w:val="24"/>
          <w:szCs w:val="24"/>
        </w:rPr>
        <w:t>Age-</w:t>
      </w:r>
      <w:r w:rsidRPr="007E07F7">
        <w:rPr>
          <w:rFonts w:ascii="Times New Roman" w:hAnsi="Times New Roman" w:cs="Times New Roman"/>
          <w:sz w:val="24"/>
          <w:szCs w:val="24"/>
        </w:rPr>
        <w:t xml:space="preserve"> </w:t>
      </w:r>
      <w:r w:rsidR="00F04AA0" w:rsidRPr="007E07F7">
        <w:rPr>
          <w:rFonts w:cstheme="minorHAnsi"/>
          <w:sz w:val="24"/>
          <w:szCs w:val="24"/>
        </w:rPr>
        <w:t>Patients aged 65+ were the largest patient cohort</w:t>
      </w:r>
      <w:r w:rsidR="007E07F7" w:rsidRPr="007E07F7">
        <w:rPr>
          <w:rFonts w:cstheme="minorHAnsi"/>
          <w:sz w:val="24"/>
          <w:szCs w:val="24"/>
        </w:rPr>
        <w:t xml:space="preserve"> across all three populations at greater than</w:t>
      </w:r>
      <w:r w:rsidR="00F04AA0" w:rsidRPr="007E07F7">
        <w:rPr>
          <w:rFonts w:cstheme="minorHAnsi"/>
          <w:sz w:val="24"/>
          <w:szCs w:val="24"/>
        </w:rPr>
        <w:t xml:space="preserve"> 3</w:t>
      </w:r>
      <w:r w:rsidR="007E07F7" w:rsidRPr="007E07F7">
        <w:rPr>
          <w:rFonts w:cstheme="minorHAnsi"/>
          <w:sz w:val="24"/>
          <w:szCs w:val="24"/>
        </w:rPr>
        <w:t>0</w:t>
      </w:r>
      <w:r w:rsidR="00F04AA0" w:rsidRPr="007E07F7">
        <w:rPr>
          <w:rFonts w:cstheme="minorHAnsi"/>
          <w:sz w:val="24"/>
          <w:szCs w:val="24"/>
        </w:rPr>
        <w:t>% of unique patients.</w:t>
      </w:r>
    </w:p>
    <w:p w14:paraId="7936EA1B" w14:textId="77598792" w:rsidR="007C0E02" w:rsidRPr="00A17DAB" w:rsidRDefault="007C0E02" w:rsidP="007C0E02">
      <w:pPr>
        <w:numPr>
          <w:ilvl w:val="0"/>
          <w:numId w:val="1"/>
        </w:numPr>
        <w:spacing w:after="0" w:line="240" w:lineRule="auto"/>
        <w:rPr>
          <w:sz w:val="24"/>
          <w:szCs w:val="24"/>
        </w:rPr>
      </w:pPr>
      <w:r w:rsidRPr="00A17DAB">
        <w:rPr>
          <w:b/>
          <w:bCs/>
          <w:sz w:val="24"/>
          <w:szCs w:val="24"/>
        </w:rPr>
        <w:t>Race/Ethnicity-</w:t>
      </w:r>
      <w:r w:rsidRPr="00A17DAB">
        <w:rPr>
          <w:sz w:val="24"/>
          <w:szCs w:val="24"/>
        </w:rPr>
        <w:t xml:space="preserve"> </w:t>
      </w:r>
      <w:r w:rsidR="002A3FE0" w:rsidRPr="00A17DAB">
        <w:rPr>
          <w:sz w:val="24"/>
          <w:szCs w:val="24"/>
        </w:rPr>
        <w:t>T</w:t>
      </w:r>
      <w:r w:rsidR="00BD0D98" w:rsidRPr="00A17DAB">
        <w:rPr>
          <w:rFonts w:cstheme="minorHAnsi"/>
          <w:sz w:val="24"/>
          <w:szCs w:val="24"/>
        </w:rPr>
        <w:t xml:space="preserve">he </w:t>
      </w:r>
      <w:r w:rsidR="00A17DAB" w:rsidRPr="00A17DAB">
        <w:rPr>
          <w:rFonts w:cstheme="minorHAnsi"/>
          <w:sz w:val="24"/>
          <w:szCs w:val="24"/>
        </w:rPr>
        <w:t xml:space="preserve">vast </w:t>
      </w:r>
      <w:r w:rsidR="00BD0D98" w:rsidRPr="00A17DAB">
        <w:rPr>
          <w:rFonts w:cstheme="minorHAnsi"/>
          <w:sz w:val="24"/>
          <w:szCs w:val="24"/>
        </w:rPr>
        <w:t xml:space="preserve">majority </w:t>
      </w:r>
      <w:r w:rsidR="00A17DAB">
        <w:rPr>
          <w:rFonts w:cstheme="minorHAnsi"/>
          <w:sz w:val="24"/>
          <w:szCs w:val="24"/>
        </w:rPr>
        <w:t xml:space="preserve">(over 75%) </w:t>
      </w:r>
      <w:r w:rsidR="002A3FE0" w:rsidRPr="00A17DAB">
        <w:rPr>
          <w:rFonts w:cstheme="minorHAnsi"/>
          <w:sz w:val="24"/>
          <w:szCs w:val="24"/>
        </w:rPr>
        <w:t xml:space="preserve">of the </w:t>
      </w:r>
      <w:r w:rsidR="00A17DAB" w:rsidRPr="00A17DAB">
        <w:rPr>
          <w:rFonts w:cstheme="minorHAnsi"/>
          <w:sz w:val="24"/>
          <w:szCs w:val="24"/>
        </w:rPr>
        <w:t xml:space="preserve">patients across all three populations </w:t>
      </w:r>
      <w:r w:rsidR="002A3FE0" w:rsidRPr="00A17DAB">
        <w:rPr>
          <w:rFonts w:cstheme="minorHAnsi"/>
          <w:sz w:val="24"/>
          <w:szCs w:val="24"/>
        </w:rPr>
        <w:t>identif</w:t>
      </w:r>
      <w:r w:rsidR="00A17DAB" w:rsidRPr="00A17DAB">
        <w:rPr>
          <w:rFonts w:cstheme="minorHAnsi"/>
          <w:sz w:val="24"/>
          <w:szCs w:val="24"/>
        </w:rPr>
        <w:t>y</w:t>
      </w:r>
      <w:r w:rsidR="002A3FE0" w:rsidRPr="00A17DAB">
        <w:rPr>
          <w:rFonts w:cstheme="minorHAnsi"/>
          <w:sz w:val="24"/>
          <w:szCs w:val="24"/>
        </w:rPr>
        <w:t xml:space="preserve"> as </w:t>
      </w:r>
      <w:r w:rsidR="00BD0D98" w:rsidRPr="00A17DAB">
        <w:rPr>
          <w:rFonts w:cstheme="minorHAnsi"/>
          <w:sz w:val="24"/>
          <w:szCs w:val="24"/>
        </w:rPr>
        <w:t>white</w:t>
      </w:r>
      <w:r w:rsidR="00FD1F41">
        <w:rPr>
          <w:rFonts w:cstheme="minorHAnsi"/>
          <w:sz w:val="24"/>
          <w:szCs w:val="24"/>
        </w:rPr>
        <w:t>, and Not Hispanic</w:t>
      </w:r>
      <w:r w:rsidR="00BD14FA">
        <w:rPr>
          <w:rFonts w:cstheme="minorHAnsi"/>
          <w:sz w:val="24"/>
          <w:szCs w:val="24"/>
        </w:rPr>
        <w:t>/</w:t>
      </w:r>
      <w:r w:rsidR="00FD1F41">
        <w:rPr>
          <w:rFonts w:cstheme="minorHAnsi"/>
          <w:sz w:val="24"/>
          <w:szCs w:val="24"/>
        </w:rPr>
        <w:t>Latino</w:t>
      </w:r>
      <w:r w:rsidR="00BD0D98" w:rsidRPr="00A17DAB">
        <w:rPr>
          <w:rFonts w:cstheme="minorHAnsi"/>
          <w:sz w:val="24"/>
          <w:szCs w:val="24"/>
        </w:rPr>
        <w:t>.</w:t>
      </w:r>
      <w:r w:rsidR="0047202F">
        <w:rPr>
          <w:rFonts w:cstheme="minorHAnsi"/>
          <w:sz w:val="24"/>
          <w:szCs w:val="24"/>
        </w:rPr>
        <w:t xml:space="preserve"> </w:t>
      </w:r>
      <w:r w:rsidR="0047202F">
        <w:rPr>
          <w:rFonts w:cstheme="minorHAnsi"/>
          <w:color w:val="191919"/>
          <w:sz w:val="24"/>
          <w:szCs w:val="24"/>
        </w:rPr>
        <w:t>This is consistent with the demographics of Plymouth County, as reported by the 2022 US Census.</w:t>
      </w:r>
      <w:r w:rsidR="0047202F">
        <w:rPr>
          <w:rStyle w:val="EndnoteReference"/>
          <w:rFonts w:cstheme="minorHAnsi"/>
          <w:color w:val="191919"/>
          <w:sz w:val="24"/>
          <w:szCs w:val="24"/>
        </w:rPr>
        <w:endnoteReference w:id="4"/>
      </w:r>
    </w:p>
    <w:p w14:paraId="2020A7A0" w14:textId="4645E3BA" w:rsidR="008C4EFA" w:rsidRPr="00D312CB" w:rsidRDefault="008C4EFA" w:rsidP="008C4EFA">
      <w:pPr>
        <w:pStyle w:val="ListParagraph"/>
        <w:numPr>
          <w:ilvl w:val="0"/>
          <w:numId w:val="1"/>
        </w:numPr>
        <w:spacing w:after="0" w:line="240" w:lineRule="auto"/>
        <w:rPr>
          <w:sz w:val="24"/>
          <w:szCs w:val="24"/>
        </w:rPr>
      </w:pPr>
      <w:r w:rsidRPr="00D312CB">
        <w:rPr>
          <w:b/>
          <w:bCs/>
          <w:sz w:val="24"/>
          <w:szCs w:val="24"/>
        </w:rPr>
        <w:t xml:space="preserve">Payer Mix- </w:t>
      </w:r>
      <w:r w:rsidR="009D40FF" w:rsidRPr="00D312CB">
        <w:rPr>
          <w:rFonts w:cstheme="minorHAnsi"/>
          <w:sz w:val="24"/>
          <w:szCs w:val="24"/>
        </w:rPr>
        <w:t xml:space="preserve">The BID-P Emergency Department serves a larger percentage of Medicaid/ Medicare patients </w:t>
      </w:r>
      <w:r w:rsidR="004A5D40" w:rsidRPr="00D312CB">
        <w:rPr>
          <w:rFonts w:cstheme="minorHAnsi"/>
          <w:sz w:val="24"/>
          <w:szCs w:val="24"/>
        </w:rPr>
        <w:t xml:space="preserve">(59.4%) than the BILH Overall Patient Panel </w:t>
      </w:r>
      <w:r w:rsidR="003E785D" w:rsidRPr="00D312CB">
        <w:rPr>
          <w:rFonts w:cstheme="minorHAnsi"/>
          <w:sz w:val="24"/>
          <w:szCs w:val="24"/>
        </w:rPr>
        <w:t xml:space="preserve">(46.1%) </w:t>
      </w:r>
      <w:r w:rsidR="004A5D40" w:rsidRPr="00D312CB">
        <w:rPr>
          <w:rFonts w:cstheme="minorHAnsi"/>
          <w:sz w:val="24"/>
          <w:szCs w:val="24"/>
        </w:rPr>
        <w:t>and BID-P patient Population</w:t>
      </w:r>
      <w:r w:rsidR="00D312CB" w:rsidRPr="00D312CB">
        <w:rPr>
          <w:rFonts w:cstheme="minorHAnsi"/>
          <w:sz w:val="24"/>
          <w:szCs w:val="24"/>
        </w:rPr>
        <w:t xml:space="preserve"> (51.8%)</w:t>
      </w:r>
      <w:r w:rsidR="004A5D40" w:rsidRPr="00D312CB">
        <w:rPr>
          <w:rFonts w:cstheme="minorHAnsi"/>
          <w:sz w:val="24"/>
          <w:szCs w:val="24"/>
        </w:rPr>
        <w:t>.</w:t>
      </w:r>
    </w:p>
    <w:p w14:paraId="1ED3390F" w14:textId="77777777" w:rsidR="004A5F26" w:rsidRPr="00AA0F82" w:rsidRDefault="004A5F26" w:rsidP="003E5301">
      <w:pPr>
        <w:spacing w:after="0" w:line="240" w:lineRule="auto"/>
        <w:jc w:val="center"/>
        <w:rPr>
          <w:b/>
          <w:bCs/>
          <w:sz w:val="24"/>
          <w:szCs w:val="24"/>
          <w:highlight w:val="yellow"/>
        </w:rPr>
      </w:pPr>
    </w:p>
    <w:p w14:paraId="2A81CCF9" w14:textId="00BEAA0D" w:rsidR="0025244D" w:rsidRPr="00A911E9" w:rsidRDefault="0025244D" w:rsidP="0025244D">
      <w:pPr>
        <w:pStyle w:val="Caption"/>
        <w:spacing w:after="0"/>
        <w:contextualSpacing/>
        <w:jc w:val="center"/>
        <w:rPr>
          <w:rFonts w:cstheme="minorHAnsi"/>
          <w:color w:val="2F5496" w:themeColor="accent1" w:themeShade="BF"/>
          <w:sz w:val="24"/>
          <w:szCs w:val="24"/>
        </w:rPr>
      </w:pPr>
      <w:r w:rsidRPr="00A911E9">
        <w:rPr>
          <w:rFonts w:cstheme="minorHAnsi"/>
          <w:color w:val="2F5496" w:themeColor="accent1" w:themeShade="BF"/>
          <w:sz w:val="24"/>
          <w:szCs w:val="24"/>
          <w:u w:val="single"/>
        </w:rPr>
        <w:t xml:space="preserve">Table </w:t>
      </w:r>
      <w:r w:rsidR="001B0396">
        <w:rPr>
          <w:rFonts w:cstheme="minorHAnsi"/>
          <w:color w:val="2F5496" w:themeColor="accent1" w:themeShade="BF"/>
          <w:sz w:val="24"/>
          <w:szCs w:val="24"/>
          <w:u w:val="single"/>
        </w:rPr>
        <w:t>4</w:t>
      </w:r>
      <w:r w:rsidRPr="00A911E9">
        <w:rPr>
          <w:rFonts w:cstheme="minorHAnsi"/>
          <w:color w:val="2F5496" w:themeColor="accent1" w:themeShade="BF"/>
          <w:sz w:val="24"/>
          <w:szCs w:val="24"/>
        </w:rPr>
        <w:t xml:space="preserve">: </w:t>
      </w:r>
      <w:r w:rsidR="00A911E9" w:rsidRPr="00A911E9">
        <w:rPr>
          <w:rFonts w:cstheme="minorHAnsi"/>
          <w:color w:val="2F5496" w:themeColor="accent1" w:themeShade="BF"/>
          <w:sz w:val="24"/>
          <w:szCs w:val="24"/>
        </w:rPr>
        <w:t>BILH</w:t>
      </w:r>
      <w:r w:rsidR="00E414BC" w:rsidRPr="00A911E9">
        <w:rPr>
          <w:rFonts w:cstheme="minorHAnsi"/>
          <w:color w:val="2F5496" w:themeColor="accent1" w:themeShade="BF"/>
          <w:sz w:val="24"/>
          <w:szCs w:val="24"/>
        </w:rPr>
        <w:t xml:space="preserve"> </w:t>
      </w:r>
      <w:r w:rsidRPr="00A911E9">
        <w:rPr>
          <w:rFonts w:cstheme="minorHAnsi"/>
          <w:color w:val="2F5496" w:themeColor="accent1" w:themeShade="BF"/>
          <w:sz w:val="24"/>
          <w:szCs w:val="24"/>
        </w:rPr>
        <w:t xml:space="preserve">Patient Panel </w:t>
      </w:r>
      <w:r w:rsidR="00A911E9" w:rsidRPr="00A911E9">
        <w:rPr>
          <w:rFonts w:cstheme="minorHAnsi"/>
          <w:color w:val="2F5496" w:themeColor="accent1" w:themeShade="BF"/>
          <w:sz w:val="24"/>
          <w:szCs w:val="24"/>
        </w:rPr>
        <w:t xml:space="preserve">and BID-P Patient Population </w:t>
      </w:r>
      <w:r w:rsidRPr="00A911E9">
        <w:rPr>
          <w:rFonts w:cstheme="minorHAnsi"/>
          <w:color w:val="2F5496" w:themeColor="accent1" w:themeShade="BF"/>
          <w:sz w:val="24"/>
          <w:szCs w:val="24"/>
        </w:rPr>
        <w:t>Demographic Profile</w:t>
      </w:r>
      <w:r w:rsidR="00A911E9" w:rsidRPr="00A911E9">
        <w:rPr>
          <w:rFonts w:cstheme="minorHAnsi"/>
          <w:color w:val="2F5496" w:themeColor="accent1" w:themeShade="BF"/>
          <w:sz w:val="24"/>
          <w:szCs w:val="24"/>
        </w:rPr>
        <w:t>, FY2023</w:t>
      </w:r>
    </w:p>
    <w:tbl>
      <w:tblPr>
        <w:tblStyle w:val="TableGrid"/>
        <w:tblW w:w="0" w:type="auto"/>
        <w:jc w:val="center"/>
        <w:tblLook w:val="04A0" w:firstRow="1" w:lastRow="0" w:firstColumn="1" w:lastColumn="0" w:noHBand="0" w:noVBand="1"/>
      </w:tblPr>
      <w:tblGrid>
        <w:gridCol w:w="4432"/>
        <w:gridCol w:w="1639"/>
        <w:gridCol w:w="1639"/>
        <w:gridCol w:w="1640"/>
      </w:tblGrid>
      <w:tr w:rsidR="00A911E9" w:rsidRPr="00AA0F82" w14:paraId="032E63E4" w14:textId="647183BE" w:rsidTr="00A911E9">
        <w:trPr>
          <w:cantSplit/>
          <w:trHeight w:val="144"/>
          <w:tblHeader/>
          <w:jc w:val="center"/>
        </w:trPr>
        <w:tc>
          <w:tcPr>
            <w:tcW w:w="4432" w:type="dxa"/>
            <w:tcBorders>
              <w:bottom w:val="single" w:sz="4" w:space="0" w:color="auto"/>
            </w:tcBorders>
            <w:shd w:val="clear" w:color="auto" w:fill="D9E2F3" w:themeFill="accent1" w:themeFillTint="33"/>
          </w:tcPr>
          <w:p w14:paraId="782065BF" w14:textId="77777777" w:rsidR="00A911E9" w:rsidRPr="00AA0F82" w:rsidRDefault="00A911E9">
            <w:pPr>
              <w:rPr>
                <w:rFonts w:cstheme="minorHAnsi"/>
                <w:highlight w:val="yellow"/>
              </w:rPr>
            </w:pPr>
          </w:p>
        </w:tc>
        <w:tc>
          <w:tcPr>
            <w:tcW w:w="1639" w:type="dxa"/>
            <w:tcBorders>
              <w:bottom w:val="single" w:sz="4" w:space="0" w:color="auto"/>
            </w:tcBorders>
            <w:shd w:val="clear" w:color="auto" w:fill="D9E2F3" w:themeFill="accent1" w:themeFillTint="33"/>
          </w:tcPr>
          <w:p w14:paraId="0DEC3F0F" w14:textId="6C906D70" w:rsidR="00A911E9" w:rsidRPr="00A911E9" w:rsidRDefault="00A911E9">
            <w:pPr>
              <w:jc w:val="center"/>
              <w:rPr>
                <w:rFonts w:eastAsia="Calibri" w:cstheme="minorHAnsi"/>
                <w:b/>
              </w:rPr>
            </w:pPr>
            <w:r w:rsidRPr="00A911E9">
              <w:rPr>
                <w:rFonts w:eastAsia="Calibri" w:cstheme="minorHAnsi"/>
                <w:b/>
              </w:rPr>
              <w:t>BILH Overall Patient Panel</w:t>
            </w:r>
          </w:p>
        </w:tc>
        <w:tc>
          <w:tcPr>
            <w:tcW w:w="1639" w:type="dxa"/>
            <w:tcBorders>
              <w:bottom w:val="single" w:sz="4" w:space="0" w:color="auto"/>
            </w:tcBorders>
            <w:shd w:val="clear" w:color="auto" w:fill="D9E2F3" w:themeFill="accent1" w:themeFillTint="33"/>
          </w:tcPr>
          <w:p w14:paraId="7CD90768" w14:textId="353EB258" w:rsidR="00A911E9" w:rsidRPr="00A911E9" w:rsidRDefault="00A911E9">
            <w:pPr>
              <w:jc w:val="center"/>
              <w:rPr>
                <w:rFonts w:eastAsia="Calibri" w:cstheme="minorHAnsi"/>
                <w:b/>
              </w:rPr>
            </w:pPr>
            <w:r w:rsidRPr="00A911E9">
              <w:rPr>
                <w:rFonts w:eastAsia="Calibri" w:cstheme="minorHAnsi"/>
                <w:b/>
              </w:rPr>
              <w:t>BID-P Patient Population</w:t>
            </w:r>
          </w:p>
        </w:tc>
        <w:tc>
          <w:tcPr>
            <w:tcW w:w="1640" w:type="dxa"/>
            <w:tcBorders>
              <w:bottom w:val="single" w:sz="4" w:space="0" w:color="auto"/>
            </w:tcBorders>
            <w:shd w:val="clear" w:color="auto" w:fill="D9E2F3" w:themeFill="accent1" w:themeFillTint="33"/>
          </w:tcPr>
          <w:p w14:paraId="71D8086E" w14:textId="58248BE3" w:rsidR="00A911E9" w:rsidRPr="00A911E9" w:rsidRDefault="00A911E9">
            <w:pPr>
              <w:jc w:val="center"/>
              <w:rPr>
                <w:rFonts w:eastAsia="Calibri" w:cstheme="minorHAnsi"/>
                <w:b/>
              </w:rPr>
            </w:pPr>
            <w:r w:rsidRPr="00A911E9">
              <w:rPr>
                <w:rFonts w:eastAsia="Calibri" w:cstheme="minorHAnsi"/>
                <w:b/>
              </w:rPr>
              <w:t>BID-P</w:t>
            </w:r>
            <w:r w:rsidR="00D82CD0">
              <w:rPr>
                <w:rFonts w:eastAsia="Calibri" w:cstheme="minorHAnsi"/>
                <w:b/>
              </w:rPr>
              <w:t xml:space="preserve"> ED</w:t>
            </w:r>
            <w:r w:rsidRPr="00A911E9">
              <w:rPr>
                <w:rFonts w:eastAsia="Calibri" w:cstheme="minorHAnsi"/>
                <w:b/>
              </w:rPr>
              <w:t xml:space="preserve"> Patient Population</w:t>
            </w:r>
          </w:p>
        </w:tc>
      </w:tr>
      <w:tr w:rsidR="00A911E9" w:rsidRPr="00AA0F82" w14:paraId="06B5AE0E" w14:textId="1CE60764" w:rsidTr="00A911E9">
        <w:trPr>
          <w:cantSplit/>
          <w:trHeight w:val="144"/>
          <w:jc w:val="center"/>
        </w:trPr>
        <w:tc>
          <w:tcPr>
            <w:tcW w:w="4432" w:type="dxa"/>
            <w:tcBorders>
              <w:bottom w:val="single" w:sz="4" w:space="0" w:color="auto"/>
            </w:tcBorders>
          </w:tcPr>
          <w:p w14:paraId="25BAE0FF" w14:textId="77777777" w:rsidR="00A911E9" w:rsidRPr="00D82CD0" w:rsidRDefault="00A911E9">
            <w:pPr>
              <w:rPr>
                <w:rFonts w:cstheme="minorHAnsi"/>
              </w:rPr>
            </w:pPr>
            <w:r w:rsidRPr="00D82CD0">
              <w:rPr>
                <w:rFonts w:eastAsia="Calibri" w:cstheme="minorHAnsi"/>
                <w:b/>
              </w:rPr>
              <w:t>Total Unique Patients</w:t>
            </w:r>
          </w:p>
        </w:tc>
        <w:tc>
          <w:tcPr>
            <w:tcW w:w="1639" w:type="dxa"/>
            <w:tcBorders>
              <w:bottom w:val="single" w:sz="4" w:space="0" w:color="auto"/>
            </w:tcBorders>
          </w:tcPr>
          <w:p w14:paraId="0D564ED7" w14:textId="1210D8DB" w:rsidR="00A911E9" w:rsidRPr="00AA0F82" w:rsidRDefault="00D82CD0">
            <w:pPr>
              <w:ind w:left="720" w:hanging="557"/>
              <w:contextualSpacing/>
              <w:jc w:val="right"/>
              <w:rPr>
                <w:rFonts w:eastAsia="Calibri" w:cstheme="minorHAnsi"/>
                <w:bCs/>
                <w:highlight w:val="yellow"/>
              </w:rPr>
            </w:pPr>
            <w:r w:rsidRPr="00EA0225">
              <w:rPr>
                <w:rFonts w:ascii="Calibri" w:hAnsi="Calibri" w:cs="Calibri"/>
                <w:color w:val="000000"/>
                <w:sz w:val="24"/>
                <w:szCs w:val="24"/>
              </w:rPr>
              <w:t>1,398,921</w:t>
            </w:r>
          </w:p>
        </w:tc>
        <w:tc>
          <w:tcPr>
            <w:tcW w:w="1639" w:type="dxa"/>
            <w:tcBorders>
              <w:bottom w:val="single" w:sz="4" w:space="0" w:color="auto"/>
            </w:tcBorders>
          </w:tcPr>
          <w:p w14:paraId="14DB84D7" w14:textId="105500DA" w:rsidR="00A911E9" w:rsidRPr="00AA0F82" w:rsidRDefault="00D82CD0">
            <w:pPr>
              <w:ind w:left="720" w:hanging="557"/>
              <w:contextualSpacing/>
              <w:jc w:val="right"/>
              <w:rPr>
                <w:rFonts w:cstheme="minorHAnsi"/>
                <w:b/>
                <w:bCs/>
                <w:color w:val="000000"/>
                <w:highlight w:val="yellow"/>
              </w:rPr>
            </w:pPr>
            <w:r w:rsidRPr="00EA0225">
              <w:rPr>
                <w:rFonts w:ascii="Calibri" w:hAnsi="Calibri" w:cs="Calibri"/>
                <w:sz w:val="24"/>
                <w:szCs w:val="24"/>
              </w:rPr>
              <w:t>82,191</w:t>
            </w:r>
          </w:p>
        </w:tc>
        <w:tc>
          <w:tcPr>
            <w:tcW w:w="1640" w:type="dxa"/>
            <w:tcBorders>
              <w:bottom w:val="single" w:sz="4" w:space="0" w:color="auto"/>
            </w:tcBorders>
          </w:tcPr>
          <w:p w14:paraId="3FB63975" w14:textId="2BE6E7B3" w:rsidR="00A911E9" w:rsidRPr="00AA0F82" w:rsidRDefault="00D82CD0">
            <w:pPr>
              <w:ind w:left="720" w:hanging="557"/>
              <w:contextualSpacing/>
              <w:jc w:val="right"/>
              <w:rPr>
                <w:rFonts w:cstheme="minorHAnsi"/>
                <w:b/>
                <w:bCs/>
                <w:color w:val="000000"/>
                <w:highlight w:val="yellow"/>
              </w:rPr>
            </w:pPr>
            <w:r w:rsidRPr="00EA0225">
              <w:rPr>
                <w:rFonts w:ascii="Calibri" w:hAnsi="Calibri" w:cs="Calibri"/>
                <w:sz w:val="24"/>
                <w:szCs w:val="24"/>
              </w:rPr>
              <w:t>29,253</w:t>
            </w:r>
          </w:p>
        </w:tc>
      </w:tr>
      <w:tr w:rsidR="00A911E9" w:rsidRPr="00AA0F82" w14:paraId="4F467217" w14:textId="5719ADF9" w:rsidTr="00A911E9">
        <w:trPr>
          <w:cantSplit/>
          <w:trHeight w:val="144"/>
          <w:jc w:val="center"/>
        </w:trPr>
        <w:tc>
          <w:tcPr>
            <w:tcW w:w="4432" w:type="dxa"/>
            <w:tcBorders>
              <w:top w:val="single" w:sz="4" w:space="0" w:color="auto"/>
              <w:left w:val="single" w:sz="4" w:space="0" w:color="auto"/>
              <w:bottom w:val="nil"/>
              <w:right w:val="single" w:sz="4" w:space="0" w:color="auto"/>
            </w:tcBorders>
          </w:tcPr>
          <w:p w14:paraId="02E30F61" w14:textId="77777777" w:rsidR="00A911E9" w:rsidRPr="00D82CD0" w:rsidRDefault="00A911E9">
            <w:pPr>
              <w:contextualSpacing/>
              <w:rPr>
                <w:rFonts w:eastAsia="Calibri" w:cstheme="minorHAnsi"/>
                <w:bCs/>
              </w:rPr>
            </w:pPr>
            <w:r w:rsidRPr="00D82CD0">
              <w:rPr>
                <w:rFonts w:eastAsia="Calibri" w:cstheme="minorHAnsi"/>
                <w:b/>
              </w:rPr>
              <w:t>Gender</w:t>
            </w:r>
          </w:p>
        </w:tc>
        <w:tc>
          <w:tcPr>
            <w:tcW w:w="1639" w:type="dxa"/>
            <w:tcBorders>
              <w:top w:val="single" w:sz="4" w:space="0" w:color="auto"/>
              <w:left w:val="single" w:sz="4" w:space="0" w:color="auto"/>
              <w:bottom w:val="nil"/>
              <w:right w:val="single" w:sz="4" w:space="0" w:color="auto"/>
            </w:tcBorders>
          </w:tcPr>
          <w:p w14:paraId="5BD1A9DE" w14:textId="77777777" w:rsidR="00A911E9" w:rsidRPr="00AA0F82" w:rsidRDefault="00A911E9">
            <w:pPr>
              <w:contextualSpacing/>
              <w:rPr>
                <w:rFonts w:eastAsia="Calibri" w:cstheme="minorHAnsi"/>
                <w:bCs/>
                <w:highlight w:val="yellow"/>
              </w:rPr>
            </w:pPr>
          </w:p>
        </w:tc>
        <w:tc>
          <w:tcPr>
            <w:tcW w:w="1639" w:type="dxa"/>
            <w:tcBorders>
              <w:top w:val="single" w:sz="4" w:space="0" w:color="auto"/>
              <w:left w:val="single" w:sz="4" w:space="0" w:color="auto"/>
              <w:bottom w:val="nil"/>
              <w:right w:val="single" w:sz="4" w:space="0" w:color="auto"/>
            </w:tcBorders>
          </w:tcPr>
          <w:p w14:paraId="044209A9" w14:textId="77777777" w:rsidR="00A911E9" w:rsidRPr="00AA0F82" w:rsidRDefault="00A911E9">
            <w:pPr>
              <w:contextualSpacing/>
              <w:rPr>
                <w:rFonts w:eastAsia="Calibri" w:cstheme="minorHAnsi"/>
                <w:bCs/>
                <w:highlight w:val="yellow"/>
              </w:rPr>
            </w:pPr>
          </w:p>
        </w:tc>
        <w:tc>
          <w:tcPr>
            <w:tcW w:w="1640" w:type="dxa"/>
            <w:tcBorders>
              <w:top w:val="single" w:sz="4" w:space="0" w:color="auto"/>
              <w:left w:val="single" w:sz="4" w:space="0" w:color="auto"/>
              <w:bottom w:val="nil"/>
              <w:right w:val="single" w:sz="4" w:space="0" w:color="auto"/>
            </w:tcBorders>
          </w:tcPr>
          <w:p w14:paraId="0F340E3D" w14:textId="77777777" w:rsidR="00A911E9" w:rsidRPr="00AA0F82" w:rsidRDefault="00A911E9">
            <w:pPr>
              <w:contextualSpacing/>
              <w:rPr>
                <w:rFonts w:eastAsia="Calibri" w:cstheme="minorHAnsi"/>
                <w:bCs/>
                <w:highlight w:val="yellow"/>
              </w:rPr>
            </w:pPr>
          </w:p>
        </w:tc>
      </w:tr>
      <w:tr w:rsidR="00A911E9" w:rsidRPr="00AA0F82" w14:paraId="12B49B5B" w14:textId="6DEE69B0" w:rsidTr="00A911E9">
        <w:trPr>
          <w:cantSplit/>
          <w:trHeight w:val="144"/>
          <w:jc w:val="center"/>
        </w:trPr>
        <w:tc>
          <w:tcPr>
            <w:tcW w:w="4432" w:type="dxa"/>
            <w:tcBorders>
              <w:top w:val="nil"/>
              <w:left w:val="single" w:sz="4" w:space="0" w:color="auto"/>
              <w:bottom w:val="nil"/>
              <w:right w:val="single" w:sz="4" w:space="0" w:color="auto"/>
            </w:tcBorders>
          </w:tcPr>
          <w:p w14:paraId="5C93AAA7" w14:textId="77777777" w:rsidR="00A911E9" w:rsidRPr="00D82CD0" w:rsidRDefault="00A911E9">
            <w:pPr>
              <w:contextualSpacing/>
              <w:rPr>
                <w:rFonts w:eastAsia="Calibri" w:cstheme="minorHAnsi"/>
                <w:b/>
              </w:rPr>
            </w:pPr>
            <w:r w:rsidRPr="00D82CD0">
              <w:rPr>
                <w:rFonts w:eastAsia="Calibri" w:cstheme="minorHAnsi"/>
                <w:bCs/>
              </w:rPr>
              <w:t xml:space="preserve">   Female</w:t>
            </w:r>
          </w:p>
        </w:tc>
        <w:tc>
          <w:tcPr>
            <w:tcW w:w="1639" w:type="dxa"/>
            <w:tcBorders>
              <w:top w:val="nil"/>
              <w:left w:val="single" w:sz="4" w:space="0" w:color="auto"/>
              <w:bottom w:val="nil"/>
              <w:right w:val="single" w:sz="4" w:space="0" w:color="auto"/>
            </w:tcBorders>
          </w:tcPr>
          <w:p w14:paraId="2806C1C1" w14:textId="4EAA3DCB" w:rsidR="00A911E9" w:rsidRPr="00635926" w:rsidRDefault="00786C49">
            <w:pPr>
              <w:ind w:left="720" w:hanging="557"/>
              <w:contextualSpacing/>
              <w:jc w:val="right"/>
              <w:rPr>
                <w:rFonts w:eastAsia="Calibri" w:cstheme="minorHAnsi"/>
                <w:bCs/>
                <w:sz w:val="24"/>
                <w:szCs w:val="24"/>
                <w:highlight w:val="yellow"/>
              </w:rPr>
            </w:pPr>
            <w:r w:rsidRPr="00635926">
              <w:rPr>
                <w:rFonts w:cstheme="minorHAnsi"/>
                <w:color w:val="000000"/>
                <w:sz w:val="24"/>
                <w:szCs w:val="24"/>
              </w:rPr>
              <w:t>58.6%</w:t>
            </w:r>
          </w:p>
        </w:tc>
        <w:tc>
          <w:tcPr>
            <w:tcW w:w="1639" w:type="dxa"/>
            <w:tcBorders>
              <w:top w:val="nil"/>
              <w:left w:val="single" w:sz="4" w:space="0" w:color="auto"/>
              <w:bottom w:val="nil"/>
              <w:right w:val="single" w:sz="4" w:space="0" w:color="auto"/>
            </w:tcBorders>
          </w:tcPr>
          <w:p w14:paraId="78B53C08" w14:textId="03EC4339" w:rsidR="00A911E9" w:rsidRPr="007E1BD0" w:rsidRDefault="00EF20A7">
            <w:pPr>
              <w:ind w:left="720" w:hanging="557"/>
              <w:contextualSpacing/>
              <w:jc w:val="right"/>
              <w:rPr>
                <w:rFonts w:cstheme="minorHAnsi"/>
                <w:color w:val="000000"/>
                <w:sz w:val="24"/>
                <w:szCs w:val="24"/>
              </w:rPr>
            </w:pPr>
            <w:r w:rsidRPr="007E1BD0">
              <w:rPr>
                <w:rFonts w:cstheme="minorHAnsi"/>
                <w:color w:val="000000"/>
                <w:sz w:val="24"/>
                <w:szCs w:val="24"/>
              </w:rPr>
              <w:t>57.8%</w:t>
            </w:r>
          </w:p>
        </w:tc>
        <w:tc>
          <w:tcPr>
            <w:tcW w:w="1640" w:type="dxa"/>
            <w:tcBorders>
              <w:top w:val="nil"/>
              <w:left w:val="single" w:sz="4" w:space="0" w:color="auto"/>
              <w:bottom w:val="nil"/>
              <w:right w:val="single" w:sz="4" w:space="0" w:color="auto"/>
            </w:tcBorders>
          </w:tcPr>
          <w:p w14:paraId="6E59679E" w14:textId="5F05260D" w:rsidR="00A911E9" w:rsidRPr="00FD0A01" w:rsidRDefault="00FD0A01">
            <w:pPr>
              <w:ind w:left="720" w:hanging="557"/>
              <w:contextualSpacing/>
              <w:jc w:val="right"/>
              <w:rPr>
                <w:rFonts w:cstheme="minorHAnsi"/>
                <w:color w:val="000000"/>
                <w:sz w:val="24"/>
                <w:szCs w:val="24"/>
              </w:rPr>
            </w:pPr>
            <w:r w:rsidRPr="00FD0A01">
              <w:rPr>
                <w:rFonts w:cstheme="minorHAnsi"/>
                <w:color w:val="000000"/>
                <w:sz w:val="24"/>
                <w:szCs w:val="24"/>
              </w:rPr>
              <w:t>52.2%</w:t>
            </w:r>
          </w:p>
        </w:tc>
      </w:tr>
      <w:tr w:rsidR="00A911E9" w:rsidRPr="00AA0F82" w14:paraId="7AD98759" w14:textId="059D61CC" w:rsidTr="00A911E9">
        <w:trPr>
          <w:cantSplit/>
          <w:trHeight w:val="144"/>
          <w:jc w:val="center"/>
        </w:trPr>
        <w:tc>
          <w:tcPr>
            <w:tcW w:w="4432" w:type="dxa"/>
            <w:tcBorders>
              <w:top w:val="nil"/>
              <w:left w:val="single" w:sz="4" w:space="0" w:color="auto"/>
              <w:bottom w:val="nil"/>
              <w:right w:val="single" w:sz="4" w:space="0" w:color="auto"/>
            </w:tcBorders>
          </w:tcPr>
          <w:p w14:paraId="35B89CB2" w14:textId="77777777" w:rsidR="00A911E9" w:rsidRPr="00D82CD0" w:rsidRDefault="00A911E9">
            <w:pPr>
              <w:ind w:left="720" w:hanging="557"/>
              <w:contextualSpacing/>
              <w:rPr>
                <w:rFonts w:eastAsia="Calibri" w:cstheme="minorHAnsi"/>
                <w:bCs/>
              </w:rPr>
            </w:pPr>
            <w:r w:rsidRPr="00D82CD0">
              <w:rPr>
                <w:rFonts w:eastAsia="Calibri" w:cstheme="minorHAnsi"/>
                <w:bCs/>
              </w:rPr>
              <w:t>Male</w:t>
            </w:r>
          </w:p>
        </w:tc>
        <w:tc>
          <w:tcPr>
            <w:tcW w:w="1639" w:type="dxa"/>
            <w:tcBorders>
              <w:top w:val="nil"/>
              <w:left w:val="single" w:sz="4" w:space="0" w:color="auto"/>
              <w:bottom w:val="nil"/>
              <w:right w:val="single" w:sz="4" w:space="0" w:color="auto"/>
            </w:tcBorders>
          </w:tcPr>
          <w:p w14:paraId="066019B5" w14:textId="6AE34880" w:rsidR="00A911E9" w:rsidRPr="00635926" w:rsidRDefault="005C5FF6">
            <w:pPr>
              <w:ind w:left="720" w:hanging="557"/>
              <w:contextualSpacing/>
              <w:jc w:val="right"/>
              <w:rPr>
                <w:rFonts w:eastAsia="Calibri" w:cstheme="minorHAnsi"/>
                <w:bCs/>
                <w:sz w:val="24"/>
                <w:szCs w:val="24"/>
                <w:highlight w:val="yellow"/>
              </w:rPr>
            </w:pPr>
            <w:r w:rsidRPr="00635926">
              <w:rPr>
                <w:rFonts w:cstheme="minorHAnsi"/>
                <w:color w:val="000000"/>
                <w:sz w:val="24"/>
                <w:szCs w:val="24"/>
              </w:rPr>
              <w:t>41.0%</w:t>
            </w:r>
          </w:p>
        </w:tc>
        <w:tc>
          <w:tcPr>
            <w:tcW w:w="1639" w:type="dxa"/>
            <w:tcBorders>
              <w:top w:val="nil"/>
              <w:left w:val="single" w:sz="4" w:space="0" w:color="auto"/>
              <w:bottom w:val="nil"/>
              <w:right w:val="single" w:sz="4" w:space="0" w:color="auto"/>
            </w:tcBorders>
          </w:tcPr>
          <w:p w14:paraId="6BA1FFAE" w14:textId="377CEE84" w:rsidR="00A911E9" w:rsidRPr="007E1BD0" w:rsidRDefault="007E1BD0">
            <w:pPr>
              <w:ind w:left="720" w:hanging="557"/>
              <w:contextualSpacing/>
              <w:jc w:val="right"/>
              <w:rPr>
                <w:rFonts w:cstheme="minorHAnsi"/>
                <w:color w:val="000000"/>
                <w:sz w:val="24"/>
                <w:szCs w:val="24"/>
              </w:rPr>
            </w:pPr>
            <w:r w:rsidRPr="007E1BD0">
              <w:rPr>
                <w:rFonts w:cstheme="minorHAnsi"/>
                <w:color w:val="000000"/>
                <w:sz w:val="24"/>
                <w:szCs w:val="24"/>
              </w:rPr>
              <w:t>42.2%</w:t>
            </w:r>
          </w:p>
        </w:tc>
        <w:tc>
          <w:tcPr>
            <w:tcW w:w="1640" w:type="dxa"/>
            <w:tcBorders>
              <w:top w:val="nil"/>
              <w:left w:val="single" w:sz="4" w:space="0" w:color="auto"/>
              <w:bottom w:val="nil"/>
              <w:right w:val="single" w:sz="4" w:space="0" w:color="auto"/>
            </w:tcBorders>
          </w:tcPr>
          <w:p w14:paraId="01BD7DB8" w14:textId="2EB13A5B" w:rsidR="00A911E9" w:rsidRPr="00FD0A01" w:rsidRDefault="00F939B9">
            <w:pPr>
              <w:ind w:left="720" w:hanging="557"/>
              <w:contextualSpacing/>
              <w:jc w:val="right"/>
              <w:rPr>
                <w:rFonts w:cstheme="minorHAnsi"/>
                <w:color w:val="000000"/>
                <w:sz w:val="24"/>
                <w:szCs w:val="24"/>
              </w:rPr>
            </w:pPr>
            <w:r w:rsidRPr="00FD0A01">
              <w:rPr>
                <w:rFonts w:cstheme="minorHAnsi"/>
                <w:color w:val="000000"/>
                <w:sz w:val="24"/>
                <w:szCs w:val="24"/>
              </w:rPr>
              <w:t>47.8%</w:t>
            </w:r>
          </w:p>
        </w:tc>
      </w:tr>
      <w:tr w:rsidR="00F757A0" w:rsidRPr="00AA0F82" w14:paraId="0DCEE458" w14:textId="77777777" w:rsidTr="00A911E9">
        <w:trPr>
          <w:cantSplit/>
          <w:trHeight w:val="144"/>
          <w:jc w:val="center"/>
        </w:trPr>
        <w:tc>
          <w:tcPr>
            <w:tcW w:w="4432" w:type="dxa"/>
            <w:tcBorders>
              <w:top w:val="nil"/>
              <w:left w:val="single" w:sz="4" w:space="0" w:color="auto"/>
              <w:bottom w:val="single" w:sz="4" w:space="0" w:color="auto"/>
              <w:right w:val="single" w:sz="4" w:space="0" w:color="auto"/>
            </w:tcBorders>
          </w:tcPr>
          <w:p w14:paraId="171DEDC7" w14:textId="40A83EBD" w:rsidR="00F757A0" w:rsidRPr="005C5FF6" w:rsidRDefault="00F757A0" w:rsidP="00F757A0">
            <w:pPr>
              <w:contextualSpacing/>
              <w:rPr>
                <w:rFonts w:eastAsia="Calibri" w:cstheme="minorHAnsi"/>
                <w:bCs/>
              </w:rPr>
            </w:pPr>
            <w:r>
              <w:rPr>
                <w:rFonts w:eastAsia="Calibri" w:cstheme="minorHAnsi"/>
                <w:b/>
              </w:rPr>
              <w:lastRenderedPageBreak/>
              <w:t xml:space="preserve">   </w:t>
            </w:r>
            <w:r w:rsidRPr="005C5FF6">
              <w:rPr>
                <w:rFonts w:eastAsia="Calibri" w:cstheme="minorHAnsi"/>
                <w:bCs/>
              </w:rPr>
              <w:t>Other</w:t>
            </w:r>
            <w:r>
              <w:rPr>
                <w:rStyle w:val="FootnoteReference"/>
                <w:rFonts w:eastAsia="Calibri" w:cstheme="minorHAnsi"/>
                <w:bCs/>
              </w:rPr>
              <w:footnoteReference w:id="10"/>
            </w:r>
          </w:p>
        </w:tc>
        <w:tc>
          <w:tcPr>
            <w:tcW w:w="1639" w:type="dxa"/>
            <w:tcBorders>
              <w:top w:val="nil"/>
              <w:left w:val="single" w:sz="4" w:space="0" w:color="auto"/>
              <w:bottom w:val="single" w:sz="4" w:space="0" w:color="auto"/>
              <w:right w:val="single" w:sz="4" w:space="0" w:color="auto"/>
            </w:tcBorders>
          </w:tcPr>
          <w:p w14:paraId="7237A150" w14:textId="4F975BEF" w:rsidR="00F757A0" w:rsidRPr="00635926" w:rsidRDefault="00F757A0" w:rsidP="00F757A0">
            <w:pPr>
              <w:ind w:left="720" w:hanging="557"/>
              <w:contextualSpacing/>
              <w:jc w:val="right"/>
              <w:rPr>
                <w:rFonts w:eastAsia="Calibri" w:cstheme="minorHAnsi"/>
                <w:b/>
                <w:sz w:val="24"/>
                <w:szCs w:val="24"/>
                <w:highlight w:val="yellow"/>
              </w:rPr>
            </w:pPr>
            <w:r w:rsidRPr="00635926">
              <w:rPr>
                <w:rFonts w:cstheme="minorHAnsi"/>
                <w:color w:val="000000"/>
                <w:sz w:val="24"/>
                <w:szCs w:val="24"/>
              </w:rPr>
              <w:t>0.5%</w:t>
            </w:r>
          </w:p>
        </w:tc>
        <w:tc>
          <w:tcPr>
            <w:tcW w:w="1639" w:type="dxa"/>
            <w:tcBorders>
              <w:top w:val="nil"/>
              <w:left w:val="single" w:sz="4" w:space="0" w:color="auto"/>
              <w:bottom w:val="single" w:sz="4" w:space="0" w:color="auto"/>
              <w:right w:val="single" w:sz="4" w:space="0" w:color="auto"/>
            </w:tcBorders>
          </w:tcPr>
          <w:p w14:paraId="5B3478D7" w14:textId="64F0BFD9" w:rsidR="00F757A0" w:rsidRPr="00AA0F82" w:rsidRDefault="00F757A0" w:rsidP="00F757A0">
            <w:pPr>
              <w:ind w:left="720" w:hanging="557"/>
              <w:contextualSpacing/>
              <w:jc w:val="right"/>
              <w:rPr>
                <w:rFonts w:eastAsia="Calibri" w:cstheme="minorHAnsi"/>
                <w:b/>
                <w:highlight w:val="yellow"/>
              </w:rPr>
            </w:pPr>
            <w:r w:rsidRPr="00AD64A5">
              <w:rPr>
                <w:rFonts w:cstheme="minorHAnsi"/>
                <w:color w:val="000000"/>
                <w:sz w:val="24"/>
                <w:szCs w:val="24"/>
              </w:rPr>
              <w:t>0.</w:t>
            </w:r>
            <w:r>
              <w:rPr>
                <w:rFonts w:cstheme="minorHAnsi"/>
                <w:color w:val="000000"/>
                <w:sz w:val="24"/>
                <w:szCs w:val="24"/>
              </w:rPr>
              <w:t>0</w:t>
            </w:r>
            <w:r w:rsidRPr="00AD64A5">
              <w:rPr>
                <w:rFonts w:cstheme="minorHAnsi"/>
                <w:color w:val="000000"/>
                <w:sz w:val="24"/>
                <w:szCs w:val="24"/>
              </w:rPr>
              <w:t>%</w:t>
            </w:r>
          </w:p>
        </w:tc>
        <w:tc>
          <w:tcPr>
            <w:tcW w:w="1640" w:type="dxa"/>
            <w:tcBorders>
              <w:top w:val="nil"/>
              <w:left w:val="single" w:sz="4" w:space="0" w:color="auto"/>
              <w:bottom w:val="single" w:sz="4" w:space="0" w:color="auto"/>
              <w:right w:val="single" w:sz="4" w:space="0" w:color="auto"/>
            </w:tcBorders>
          </w:tcPr>
          <w:p w14:paraId="070CB6D6" w14:textId="0188708D" w:rsidR="00F757A0" w:rsidRPr="00FD0A01" w:rsidRDefault="00FD0A01" w:rsidP="00F757A0">
            <w:pPr>
              <w:ind w:left="720" w:hanging="557"/>
              <w:contextualSpacing/>
              <w:jc w:val="right"/>
              <w:rPr>
                <w:rFonts w:cstheme="minorHAnsi"/>
                <w:color w:val="000000"/>
                <w:sz w:val="24"/>
                <w:szCs w:val="24"/>
              </w:rPr>
            </w:pPr>
            <w:r w:rsidRPr="00FD0A01">
              <w:rPr>
                <w:rFonts w:cstheme="minorHAnsi"/>
                <w:color w:val="000000"/>
                <w:sz w:val="24"/>
                <w:szCs w:val="24"/>
              </w:rPr>
              <w:t>0.0%</w:t>
            </w:r>
          </w:p>
        </w:tc>
      </w:tr>
      <w:tr w:rsidR="00A911E9" w:rsidRPr="00AA0F82" w14:paraId="47B7BD9C" w14:textId="4027B25A" w:rsidTr="00A911E9">
        <w:trPr>
          <w:cantSplit/>
          <w:trHeight w:val="144"/>
          <w:jc w:val="center"/>
        </w:trPr>
        <w:tc>
          <w:tcPr>
            <w:tcW w:w="4432" w:type="dxa"/>
            <w:tcBorders>
              <w:top w:val="nil"/>
              <w:left w:val="single" w:sz="4" w:space="0" w:color="auto"/>
              <w:bottom w:val="single" w:sz="4" w:space="0" w:color="auto"/>
              <w:right w:val="single" w:sz="4" w:space="0" w:color="auto"/>
            </w:tcBorders>
          </w:tcPr>
          <w:p w14:paraId="062A4D02" w14:textId="01F4E1C1" w:rsidR="00A911E9" w:rsidRPr="00D82CD0" w:rsidRDefault="00A911E9">
            <w:pPr>
              <w:contextualSpacing/>
              <w:rPr>
                <w:rFonts w:eastAsia="Calibri" w:cstheme="minorHAnsi"/>
                <w:bCs/>
              </w:rPr>
            </w:pPr>
            <w:r w:rsidRPr="00D82CD0">
              <w:rPr>
                <w:rFonts w:eastAsia="Calibri" w:cstheme="minorHAnsi"/>
                <w:b/>
              </w:rPr>
              <w:t xml:space="preserve">   Total</w:t>
            </w:r>
          </w:p>
        </w:tc>
        <w:tc>
          <w:tcPr>
            <w:tcW w:w="1639" w:type="dxa"/>
            <w:tcBorders>
              <w:top w:val="nil"/>
              <w:left w:val="single" w:sz="4" w:space="0" w:color="auto"/>
              <w:bottom w:val="single" w:sz="4" w:space="0" w:color="auto"/>
              <w:right w:val="single" w:sz="4" w:space="0" w:color="auto"/>
            </w:tcBorders>
          </w:tcPr>
          <w:p w14:paraId="1FD8F9F4" w14:textId="6DEFE4A0" w:rsidR="00A911E9" w:rsidRPr="00AA0F82" w:rsidRDefault="00A911E9">
            <w:pPr>
              <w:ind w:left="720" w:hanging="557"/>
              <w:contextualSpacing/>
              <w:jc w:val="right"/>
              <w:rPr>
                <w:rFonts w:eastAsia="Calibri" w:cstheme="minorHAnsi"/>
                <w:b/>
                <w:highlight w:val="yellow"/>
              </w:rPr>
            </w:pPr>
            <w:r w:rsidRPr="00635926">
              <w:rPr>
                <w:rFonts w:eastAsia="Calibri" w:cstheme="minorHAnsi"/>
                <w:b/>
              </w:rPr>
              <w:t>100.0%</w:t>
            </w:r>
          </w:p>
        </w:tc>
        <w:tc>
          <w:tcPr>
            <w:tcW w:w="1639" w:type="dxa"/>
            <w:tcBorders>
              <w:top w:val="nil"/>
              <w:left w:val="single" w:sz="4" w:space="0" w:color="auto"/>
              <w:bottom w:val="single" w:sz="4" w:space="0" w:color="auto"/>
              <w:right w:val="single" w:sz="4" w:space="0" w:color="auto"/>
            </w:tcBorders>
          </w:tcPr>
          <w:p w14:paraId="28E37A66" w14:textId="5C90DCF0" w:rsidR="00A911E9" w:rsidRPr="00FD0A01" w:rsidRDefault="00FD0A01">
            <w:pPr>
              <w:ind w:left="720" w:hanging="557"/>
              <w:contextualSpacing/>
              <w:jc w:val="right"/>
              <w:rPr>
                <w:rFonts w:eastAsia="Calibri" w:cstheme="minorHAnsi"/>
                <w:b/>
              </w:rPr>
            </w:pPr>
            <w:r w:rsidRPr="00FD0A01">
              <w:rPr>
                <w:rFonts w:eastAsia="Calibri" w:cstheme="minorHAnsi"/>
                <w:b/>
              </w:rPr>
              <w:t>100.0%</w:t>
            </w:r>
          </w:p>
        </w:tc>
        <w:tc>
          <w:tcPr>
            <w:tcW w:w="1640" w:type="dxa"/>
            <w:tcBorders>
              <w:top w:val="nil"/>
              <w:left w:val="single" w:sz="4" w:space="0" w:color="auto"/>
              <w:bottom w:val="single" w:sz="4" w:space="0" w:color="auto"/>
              <w:right w:val="single" w:sz="4" w:space="0" w:color="auto"/>
            </w:tcBorders>
          </w:tcPr>
          <w:p w14:paraId="4DF20E9F" w14:textId="46C833D3" w:rsidR="00A911E9" w:rsidRPr="00FD0A01" w:rsidRDefault="00FD0A01">
            <w:pPr>
              <w:ind w:left="720" w:hanging="557"/>
              <w:contextualSpacing/>
              <w:jc w:val="right"/>
              <w:rPr>
                <w:rFonts w:eastAsia="Calibri" w:cstheme="minorHAnsi"/>
                <w:b/>
              </w:rPr>
            </w:pPr>
            <w:r w:rsidRPr="00FD0A01">
              <w:rPr>
                <w:rFonts w:eastAsia="Calibri" w:cstheme="minorHAnsi"/>
                <w:b/>
              </w:rPr>
              <w:t>100.0%</w:t>
            </w:r>
          </w:p>
        </w:tc>
      </w:tr>
      <w:tr w:rsidR="00A911E9" w:rsidRPr="00AA0F82" w14:paraId="4953FFBD" w14:textId="35482C66" w:rsidTr="00A911E9">
        <w:trPr>
          <w:cantSplit/>
          <w:trHeight w:val="144"/>
          <w:jc w:val="center"/>
        </w:trPr>
        <w:tc>
          <w:tcPr>
            <w:tcW w:w="4432" w:type="dxa"/>
            <w:tcBorders>
              <w:top w:val="single" w:sz="4" w:space="0" w:color="auto"/>
              <w:left w:val="single" w:sz="4" w:space="0" w:color="auto"/>
              <w:bottom w:val="nil"/>
              <w:right w:val="single" w:sz="4" w:space="0" w:color="auto"/>
            </w:tcBorders>
          </w:tcPr>
          <w:p w14:paraId="6EF1DBA4" w14:textId="7BCE2DE6" w:rsidR="00A911E9" w:rsidRPr="00D82CD0" w:rsidRDefault="00A911E9">
            <w:pPr>
              <w:ind w:left="520" w:hanging="557"/>
              <w:contextualSpacing/>
              <w:rPr>
                <w:rFonts w:eastAsia="Calibri" w:cstheme="minorHAnsi"/>
                <w:b/>
              </w:rPr>
            </w:pPr>
            <w:r w:rsidRPr="00D82CD0">
              <w:rPr>
                <w:rFonts w:eastAsia="Calibri" w:cstheme="minorHAnsi"/>
                <w:b/>
              </w:rPr>
              <w:t>Age</w:t>
            </w:r>
          </w:p>
        </w:tc>
        <w:tc>
          <w:tcPr>
            <w:tcW w:w="1639" w:type="dxa"/>
            <w:tcBorders>
              <w:top w:val="single" w:sz="4" w:space="0" w:color="auto"/>
              <w:left w:val="single" w:sz="4" w:space="0" w:color="auto"/>
              <w:bottom w:val="nil"/>
              <w:right w:val="single" w:sz="4" w:space="0" w:color="auto"/>
            </w:tcBorders>
          </w:tcPr>
          <w:p w14:paraId="4F8417D7" w14:textId="2FC3C764" w:rsidR="00A911E9" w:rsidRPr="00AA0F82" w:rsidRDefault="00A911E9">
            <w:pPr>
              <w:ind w:left="520" w:hanging="557"/>
              <w:contextualSpacing/>
              <w:jc w:val="right"/>
              <w:rPr>
                <w:rFonts w:eastAsia="Calibri" w:cstheme="minorHAnsi"/>
                <w:b/>
                <w:highlight w:val="yellow"/>
              </w:rPr>
            </w:pPr>
          </w:p>
        </w:tc>
        <w:tc>
          <w:tcPr>
            <w:tcW w:w="1639" w:type="dxa"/>
            <w:tcBorders>
              <w:top w:val="single" w:sz="4" w:space="0" w:color="auto"/>
              <w:left w:val="single" w:sz="4" w:space="0" w:color="auto"/>
              <w:bottom w:val="nil"/>
              <w:right w:val="single" w:sz="4" w:space="0" w:color="auto"/>
            </w:tcBorders>
          </w:tcPr>
          <w:p w14:paraId="194AB5CA" w14:textId="77777777" w:rsidR="00A911E9" w:rsidRPr="00AA0F82" w:rsidRDefault="00A911E9">
            <w:pPr>
              <w:ind w:left="520" w:hanging="557"/>
              <w:contextualSpacing/>
              <w:jc w:val="right"/>
              <w:rPr>
                <w:rFonts w:eastAsia="Calibri" w:cstheme="minorHAnsi"/>
                <w:b/>
                <w:highlight w:val="yellow"/>
              </w:rPr>
            </w:pPr>
          </w:p>
        </w:tc>
        <w:tc>
          <w:tcPr>
            <w:tcW w:w="1640" w:type="dxa"/>
            <w:tcBorders>
              <w:top w:val="single" w:sz="4" w:space="0" w:color="auto"/>
              <w:left w:val="single" w:sz="4" w:space="0" w:color="auto"/>
              <w:bottom w:val="nil"/>
              <w:right w:val="single" w:sz="4" w:space="0" w:color="auto"/>
            </w:tcBorders>
          </w:tcPr>
          <w:p w14:paraId="2CDC06EB" w14:textId="77777777" w:rsidR="00A911E9" w:rsidRPr="00AA0F82" w:rsidRDefault="00A911E9">
            <w:pPr>
              <w:ind w:left="520" w:hanging="557"/>
              <w:contextualSpacing/>
              <w:jc w:val="right"/>
              <w:rPr>
                <w:rFonts w:eastAsia="Calibri" w:cstheme="minorHAnsi"/>
                <w:b/>
                <w:highlight w:val="yellow"/>
              </w:rPr>
            </w:pPr>
          </w:p>
        </w:tc>
      </w:tr>
      <w:tr w:rsidR="00EA025B" w:rsidRPr="00AA0F82" w14:paraId="54759A35" w14:textId="41F77D30">
        <w:trPr>
          <w:cantSplit/>
          <w:trHeight w:val="144"/>
          <w:jc w:val="center"/>
        </w:trPr>
        <w:tc>
          <w:tcPr>
            <w:tcW w:w="4432" w:type="dxa"/>
            <w:tcBorders>
              <w:top w:val="nil"/>
              <w:left w:val="single" w:sz="4" w:space="0" w:color="auto"/>
              <w:bottom w:val="nil"/>
              <w:right w:val="single" w:sz="4" w:space="0" w:color="auto"/>
            </w:tcBorders>
          </w:tcPr>
          <w:p w14:paraId="3686D5CB" w14:textId="4852F322" w:rsidR="00EA025B" w:rsidRPr="00D82CD0" w:rsidRDefault="00EA025B" w:rsidP="00EA025B">
            <w:pPr>
              <w:contextualSpacing/>
              <w:rPr>
                <w:rFonts w:eastAsia="Calibri" w:cstheme="minorHAnsi"/>
                <w:bCs/>
              </w:rPr>
            </w:pPr>
            <w:r w:rsidRPr="00D82CD0">
              <w:rPr>
                <w:rFonts w:eastAsia="Calibri" w:cstheme="minorHAnsi"/>
                <w:bCs/>
              </w:rPr>
              <w:t xml:space="preserve">    </w:t>
            </w:r>
            <w:r>
              <w:rPr>
                <w:rFonts w:cstheme="minorHAnsi"/>
              </w:rPr>
              <w:t>0 to 17</w:t>
            </w:r>
          </w:p>
        </w:tc>
        <w:tc>
          <w:tcPr>
            <w:tcW w:w="1639" w:type="dxa"/>
            <w:tcBorders>
              <w:top w:val="nil"/>
              <w:left w:val="single" w:sz="4" w:space="0" w:color="auto"/>
              <w:bottom w:val="nil"/>
              <w:right w:val="single" w:sz="4" w:space="0" w:color="auto"/>
            </w:tcBorders>
          </w:tcPr>
          <w:p w14:paraId="6DC4A84E" w14:textId="16078856" w:rsidR="00EA025B" w:rsidRPr="00744250" w:rsidRDefault="00EA025B" w:rsidP="00EA025B">
            <w:pPr>
              <w:ind w:left="720" w:hanging="557"/>
              <w:contextualSpacing/>
              <w:jc w:val="right"/>
              <w:rPr>
                <w:rFonts w:cstheme="minorHAnsi"/>
              </w:rPr>
            </w:pPr>
            <w:r w:rsidRPr="00335511">
              <w:rPr>
                <w:rFonts w:ascii="Calibri" w:hAnsi="Calibri" w:cs="Calibri"/>
              </w:rPr>
              <w:t>7.0%</w:t>
            </w:r>
          </w:p>
        </w:tc>
        <w:tc>
          <w:tcPr>
            <w:tcW w:w="1639" w:type="dxa"/>
            <w:tcBorders>
              <w:top w:val="nil"/>
              <w:left w:val="single" w:sz="4" w:space="0" w:color="auto"/>
              <w:bottom w:val="nil"/>
              <w:right w:val="single" w:sz="4" w:space="0" w:color="auto"/>
            </w:tcBorders>
          </w:tcPr>
          <w:p w14:paraId="5A9D7EB9" w14:textId="0AB55B31" w:rsidR="00EA025B" w:rsidRPr="00744250" w:rsidRDefault="00EA025B" w:rsidP="00EA025B">
            <w:pPr>
              <w:ind w:left="720" w:hanging="557"/>
              <w:contextualSpacing/>
              <w:jc w:val="right"/>
              <w:rPr>
                <w:rFonts w:cstheme="minorHAnsi"/>
                <w:color w:val="000000"/>
                <w:sz w:val="24"/>
                <w:szCs w:val="24"/>
              </w:rPr>
            </w:pPr>
            <w:r w:rsidRPr="00744250">
              <w:rPr>
                <w:rFonts w:cstheme="minorHAnsi"/>
                <w:color w:val="000000"/>
                <w:sz w:val="24"/>
                <w:szCs w:val="24"/>
              </w:rPr>
              <w:t>8.2%</w:t>
            </w:r>
          </w:p>
        </w:tc>
        <w:tc>
          <w:tcPr>
            <w:tcW w:w="1640" w:type="dxa"/>
            <w:tcBorders>
              <w:top w:val="nil"/>
              <w:left w:val="single" w:sz="4" w:space="0" w:color="auto"/>
              <w:bottom w:val="nil"/>
              <w:right w:val="single" w:sz="4" w:space="0" w:color="auto"/>
            </w:tcBorders>
            <w:vAlign w:val="center"/>
          </w:tcPr>
          <w:p w14:paraId="4E8A7493" w14:textId="7EAB1543" w:rsidR="00EA025B" w:rsidRPr="00744250" w:rsidRDefault="00EA025B" w:rsidP="00EA025B">
            <w:pPr>
              <w:ind w:left="720" w:hanging="557"/>
              <w:contextualSpacing/>
              <w:jc w:val="right"/>
              <w:rPr>
                <w:rFonts w:cstheme="minorHAnsi"/>
                <w:color w:val="000000"/>
                <w:sz w:val="24"/>
                <w:szCs w:val="24"/>
              </w:rPr>
            </w:pPr>
            <w:r w:rsidRPr="00744250">
              <w:rPr>
                <w:rFonts w:cstheme="minorHAnsi"/>
                <w:bCs/>
                <w:sz w:val="24"/>
                <w:szCs w:val="24"/>
              </w:rPr>
              <w:t>10.5%</w:t>
            </w:r>
          </w:p>
        </w:tc>
      </w:tr>
      <w:tr w:rsidR="00EA025B" w:rsidRPr="00AA0F82" w14:paraId="54CD47D1" w14:textId="416F39CC">
        <w:trPr>
          <w:cantSplit/>
          <w:trHeight w:val="144"/>
          <w:jc w:val="center"/>
        </w:trPr>
        <w:tc>
          <w:tcPr>
            <w:tcW w:w="4432" w:type="dxa"/>
            <w:tcBorders>
              <w:top w:val="nil"/>
              <w:left w:val="single" w:sz="4" w:space="0" w:color="auto"/>
              <w:bottom w:val="nil"/>
              <w:right w:val="single" w:sz="4" w:space="0" w:color="auto"/>
            </w:tcBorders>
          </w:tcPr>
          <w:p w14:paraId="3EA9C111" w14:textId="10F5860E" w:rsidR="00EA025B" w:rsidRPr="00D82CD0" w:rsidRDefault="00EA025B" w:rsidP="00EA025B">
            <w:pPr>
              <w:contextualSpacing/>
              <w:rPr>
                <w:rFonts w:eastAsia="Calibri" w:cstheme="minorHAnsi"/>
                <w:b/>
              </w:rPr>
            </w:pPr>
            <w:r w:rsidRPr="00D82CD0">
              <w:rPr>
                <w:rFonts w:cstheme="minorHAnsi"/>
              </w:rPr>
              <w:t xml:space="preserve">   </w:t>
            </w:r>
            <w:r>
              <w:rPr>
                <w:rFonts w:cstheme="minorHAnsi"/>
              </w:rPr>
              <w:t>18 to 25</w:t>
            </w:r>
          </w:p>
        </w:tc>
        <w:tc>
          <w:tcPr>
            <w:tcW w:w="1639" w:type="dxa"/>
            <w:tcBorders>
              <w:top w:val="nil"/>
              <w:left w:val="single" w:sz="4" w:space="0" w:color="auto"/>
              <w:bottom w:val="nil"/>
              <w:right w:val="single" w:sz="4" w:space="0" w:color="auto"/>
            </w:tcBorders>
          </w:tcPr>
          <w:p w14:paraId="11606C8A" w14:textId="3A0601DE" w:rsidR="00EA025B" w:rsidRPr="00744250" w:rsidRDefault="00EA025B" w:rsidP="00EA025B">
            <w:pPr>
              <w:ind w:left="720" w:hanging="557"/>
              <w:contextualSpacing/>
              <w:jc w:val="right"/>
              <w:rPr>
                <w:rFonts w:cstheme="minorHAnsi"/>
              </w:rPr>
            </w:pPr>
            <w:r w:rsidRPr="00335511">
              <w:rPr>
                <w:rFonts w:ascii="Calibri" w:hAnsi="Calibri" w:cs="Calibri"/>
              </w:rPr>
              <w:t>12.1%</w:t>
            </w:r>
          </w:p>
        </w:tc>
        <w:tc>
          <w:tcPr>
            <w:tcW w:w="1639" w:type="dxa"/>
            <w:tcBorders>
              <w:top w:val="nil"/>
              <w:left w:val="single" w:sz="4" w:space="0" w:color="auto"/>
              <w:bottom w:val="nil"/>
              <w:right w:val="single" w:sz="4" w:space="0" w:color="auto"/>
            </w:tcBorders>
          </w:tcPr>
          <w:p w14:paraId="4584CDA1" w14:textId="6A7817BA" w:rsidR="00EA025B" w:rsidRPr="00744250" w:rsidRDefault="00EA025B" w:rsidP="00EA025B">
            <w:pPr>
              <w:ind w:left="720" w:hanging="557"/>
              <w:contextualSpacing/>
              <w:jc w:val="right"/>
              <w:rPr>
                <w:rFonts w:cstheme="minorHAnsi"/>
                <w:color w:val="000000"/>
                <w:sz w:val="24"/>
                <w:szCs w:val="24"/>
              </w:rPr>
            </w:pPr>
            <w:r w:rsidRPr="00744250">
              <w:rPr>
                <w:rFonts w:cstheme="minorHAnsi"/>
                <w:color w:val="000000"/>
                <w:sz w:val="24"/>
                <w:szCs w:val="24"/>
              </w:rPr>
              <w:t>5.9%</w:t>
            </w:r>
          </w:p>
        </w:tc>
        <w:tc>
          <w:tcPr>
            <w:tcW w:w="1640" w:type="dxa"/>
            <w:tcBorders>
              <w:top w:val="nil"/>
              <w:left w:val="single" w:sz="4" w:space="0" w:color="auto"/>
              <w:bottom w:val="nil"/>
              <w:right w:val="single" w:sz="4" w:space="0" w:color="auto"/>
            </w:tcBorders>
            <w:vAlign w:val="center"/>
          </w:tcPr>
          <w:p w14:paraId="63092B23" w14:textId="045BAF25" w:rsidR="00EA025B" w:rsidRPr="00744250" w:rsidRDefault="00EA025B" w:rsidP="00EA025B">
            <w:pPr>
              <w:ind w:left="720" w:hanging="557"/>
              <w:contextualSpacing/>
              <w:jc w:val="right"/>
              <w:rPr>
                <w:rFonts w:cstheme="minorHAnsi"/>
                <w:color w:val="000000"/>
                <w:sz w:val="24"/>
                <w:szCs w:val="24"/>
              </w:rPr>
            </w:pPr>
            <w:r w:rsidRPr="00744250">
              <w:rPr>
                <w:rFonts w:cstheme="minorHAnsi"/>
                <w:bCs/>
                <w:sz w:val="24"/>
                <w:szCs w:val="24"/>
              </w:rPr>
              <w:t>7.6%</w:t>
            </w:r>
          </w:p>
        </w:tc>
      </w:tr>
      <w:tr w:rsidR="00EA025B" w:rsidRPr="00AA0F82" w14:paraId="4D75E54C" w14:textId="33EC5400">
        <w:trPr>
          <w:cantSplit/>
          <w:trHeight w:val="144"/>
          <w:jc w:val="center"/>
        </w:trPr>
        <w:tc>
          <w:tcPr>
            <w:tcW w:w="4432" w:type="dxa"/>
            <w:tcBorders>
              <w:top w:val="nil"/>
              <w:left w:val="single" w:sz="4" w:space="0" w:color="auto"/>
              <w:bottom w:val="nil"/>
              <w:right w:val="single" w:sz="4" w:space="0" w:color="auto"/>
            </w:tcBorders>
          </w:tcPr>
          <w:p w14:paraId="6248EDD9" w14:textId="37707D97" w:rsidR="00EA025B" w:rsidRPr="00D82CD0" w:rsidRDefault="00EA025B" w:rsidP="00EA025B">
            <w:pPr>
              <w:ind w:left="720" w:hanging="557"/>
              <w:contextualSpacing/>
              <w:rPr>
                <w:rFonts w:eastAsia="Calibri" w:cstheme="minorHAnsi"/>
                <w:bCs/>
              </w:rPr>
            </w:pPr>
            <w:r>
              <w:rPr>
                <w:rFonts w:eastAsia="Calibri" w:cstheme="minorHAnsi"/>
                <w:bCs/>
              </w:rPr>
              <w:t>26 to 45</w:t>
            </w:r>
          </w:p>
        </w:tc>
        <w:tc>
          <w:tcPr>
            <w:tcW w:w="1639" w:type="dxa"/>
            <w:tcBorders>
              <w:top w:val="nil"/>
              <w:left w:val="single" w:sz="4" w:space="0" w:color="auto"/>
              <w:bottom w:val="nil"/>
              <w:right w:val="single" w:sz="4" w:space="0" w:color="auto"/>
            </w:tcBorders>
          </w:tcPr>
          <w:p w14:paraId="22D97E44" w14:textId="13826516" w:rsidR="00EA025B" w:rsidRPr="00744250" w:rsidRDefault="00EA025B" w:rsidP="00EA025B">
            <w:pPr>
              <w:ind w:left="720" w:hanging="557"/>
              <w:contextualSpacing/>
              <w:jc w:val="right"/>
              <w:rPr>
                <w:rFonts w:cstheme="minorHAnsi"/>
              </w:rPr>
            </w:pPr>
            <w:r w:rsidRPr="00335511">
              <w:rPr>
                <w:rFonts w:ascii="Calibri" w:hAnsi="Calibri" w:cs="Calibri"/>
              </w:rPr>
              <w:t>30.2%</w:t>
            </w:r>
          </w:p>
        </w:tc>
        <w:tc>
          <w:tcPr>
            <w:tcW w:w="1639" w:type="dxa"/>
            <w:tcBorders>
              <w:top w:val="nil"/>
              <w:left w:val="single" w:sz="4" w:space="0" w:color="auto"/>
              <w:bottom w:val="nil"/>
              <w:right w:val="single" w:sz="4" w:space="0" w:color="auto"/>
            </w:tcBorders>
          </w:tcPr>
          <w:p w14:paraId="7B8DA6C3" w14:textId="1C332BDD" w:rsidR="00EA025B" w:rsidRPr="00744250" w:rsidRDefault="00EA025B" w:rsidP="00EA025B">
            <w:pPr>
              <w:ind w:left="720" w:hanging="557"/>
              <w:contextualSpacing/>
              <w:jc w:val="right"/>
              <w:rPr>
                <w:rFonts w:cstheme="minorHAnsi"/>
                <w:color w:val="000000"/>
                <w:sz w:val="24"/>
                <w:szCs w:val="24"/>
              </w:rPr>
            </w:pPr>
            <w:r w:rsidRPr="00744250">
              <w:rPr>
                <w:rFonts w:cstheme="minorHAnsi"/>
                <w:color w:val="000000"/>
                <w:sz w:val="24"/>
                <w:szCs w:val="24"/>
              </w:rPr>
              <w:t>20.3%</w:t>
            </w:r>
          </w:p>
        </w:tc>
        <w:tc>
          <w:tcPr>
            <w:tcW w:w="1640" w:type="dxa"/>
            <w:tcBorders>
              <w:top w:val="nil"/>
              <w:left w:val="single" w:sz="4" w:space="0" w:color="auto"/>
              <w:bottom w:val="nil"/>
              <w:right w:val="single" w:sz="4" w:space="0" w:color="auto"/>
            </w:tcBorders>
            <w:vAlign w:val="center"/>
          </w:tcPr>
          <w:p w14:paraId="0C5F4424" w14:textId="4C5ABF09" w:rsidR="00EA025B" w:rsidRPr="00744250" w:rsidRDefault="00EA025B" w:rsidP="00EA025B">
            <w:pPr>
              <w:ind w:left="720" w:hanging="557"/>
              <w:contextualSpacing/>
              <w:jc w:val="right"/>
              <w:rPr>
                <w:rFonts w:cstheme="minorHAnsi"/>
                <w:color w:val="000000"/>
                <w:sz w:val="24"/>
                <w:szCs w:val="24"/>
              </w:rPr>
            </w:pPr>
            <w:r w:rsidRPr="00744250">
              <w:rPr>
                <w:rFonts w:cstheme="minorHAnsi"/>
                <w:bCs/>
                <w:sz w:val="24"/>
                <w:szCs w:val="24"/>
              </w:rPr>
              <w:t>22.5%</w:t>
            </w:r>
          </w:p>
        </w:tc>
      </w:tr>
      <w:tr w:rsidR="00EA025B" w:rsidRPr="00AA0F82" w14:paraId="12C93847" w14:textId="164F9341">
        <w:trPr>
          <w:cantSplit/>
          <w:trHeight w:val="144"/>
          <w:jc w:val="center"/>
        </w:trPr>
        <w:tc>
          <w:tcPr>
            <w:tcW w:w="4432" w:type="dxa"/>
            <w:tcBorders>
              <w:top w:val="nil"/>
              <w:left w:val="single" w:sz="4" w:space="0" w:color="auto"/>
              <w:bottom w:val="nil"/>
              <w:right w:val="single" w:sz="4" w:space="0" w:color="auto"/>
            </w:tcBorders>
          </w:tcPr>
          <w:p w14:paraId="7184B1A0" w14:textId="43A99EAA" w:rsidR="00EA025B" w:rsidRPr="00D82CD0" w:rsidRDefault="00EA025B" w:rsidP="00EA025B">
            <w:pPr>
              <w:ind w:left="720" w:hanging="557"/>
              <w:contextualSpacing/>
              <w:rPr>
                <w:rFonts w:eastAsia="Calibri" w:cstheme="minorHAnsi"/>
                <w:bCs/>
              </w:rPr>
            </w:pPr>
            <w:r>
              <w:rPr>
                <w:rFonts w:cstheme="minorHAnsi"/>
              </w:rPr>
              <w:t>46 to 64</w:t>
            </w:r>
          </w:p>
        </w:tc>
        <w:tc>
          <w:tcPr>
            <w:tcW w:w="1639" w:type="dxa"/>
            <w:tcBorders>
              <w:top w:val="nil"/>
              <w:left w:val="single" w:sz="4" w:space="0" w:color="auto"/>
              <w:bottom w:val="nil"/>
              <w:right w:val="single" w:sz="4" w:space="0" w:color="auto"/>
            </w:tcBorders>
          </w:tcPr>
          <w:p w14:paraId="0A9F3952" w14:textId="0C6CC2C1" w:rsidR="00EA025B" w:rsidRPr="00744250" w:rsidRDefault="00EA025B" w:rsidP="00EA025B">
            <w:pPr>
              <w:ind w:left="720" w:hanging="557"/>
              <w:contextualSpacing/>
              <w:jc w:val="right"/>
              <w:rPr>
                <w:rFonts w:cstheme="minorHAnsi"/>
              </w:rPr>
            </w:pPr>
            <w:r w:rsidRPr="00335511">
              <w:rPr>
                <w:rFonts w:ascii="Calibri" w:hAnsi="Calibri" w:cs="Calibri"/>
              </w:rPr>
              <w:t>18.3%</w:t>
            </w:r>
          </w:p>
        </w:tc>
        <w:tc>
          <w:tcPr>
            <w:tcW w:w="1639" w:type="dxa"/>
            <w:tcBorders>
              <w:top w:val="nil"/>
              <w:left w:val="single" w:sz="4" w:space="0" w:color="auto"/>
              <w:bottom w:val="nil"/>
              <w:right w:val="single" w:sz="4" w:space="0" w:color="auto"/>
            </w:tcBorders>
          </w:tcPr>
          <w:p w14:paraId="3B0E5260" w14:textId="72268956" w:rsidR="00EA025B" w:rsidRPr="00744250" w:rsidRDefault="00EA025B" w:rsidP="00EA025B">
            <w:pPr>
              <w:ind w:left="720" w:hanging="557"/>
              <w:contextualSpacing/>
              <w:jc w:val="right"/>
              <w:rPr>
                <w:rFonts w:cstheme="minorHAnsi"/>
                <w:color w:val="000000"/>
                <w:sz w:val="24"/>
                <w:szCs w:val="24"/>
              </w:rPr>
            </w:pPr>
            <w:r w:rsidRPr="00744250">
              <w:rPr>
                <w:rFonts w:cstheme="minorHAnsi"/>
                <w:color w:val="000000"/>
                <w:sz w:val="24"/>
                <w:szCs w:val="24"/>
              </w:rPr>
              <w:t>28.8%</w:t>
            </w:r>
          </w:p>
        </w:tc>
        <w:tc>
          <w:tcPr>
            <w:tcW w:w="1640" w:type="dxa"/>
            <w:tcBorders>
              <w:top w:val="nil"/>
              <w:left w:val="single" w:sz="4" w:space="0" w:color="auto"/>
              <w:bottom w:val="nil"/>
              <w:right w:val="single" w:sz="4" w:space="0" w:color="auto"/>
            </w:tcBorders>
            <w:vAlign w:val="center"/>
          </w:tcPr>
          <w:p w14:paraId="05D0DCBD" w14:textId="505F96A2" w:rsidR="00EA025B" w:rsidRPr="00744250" w:rsidRDefault="00EA025B" w:rsidP="00EA025B">
            <w:pPr>
              <w:ind w:left="720" w:hanging="557"/>
              <w:contextualSpacing/>
              <w:jc w:val="right"/>
              <w:rPr>
                <w:rFonts w:cstheme="minorHAnsi"/>
                <w:color w:val="000000"/>
                <w:sz w:val="24"/>
                <w:szCs w:val="24"/>
              </w:rPr>
            </w:pPr>
            <w:r w:rsidRPr="00744250">
              <w:rPr>
                <w:rFonts w:cstheme="minorHAnsi"/>
                <w:bCs/>
                <w:sz w:val="24"/>
                <w:szCs w:val="24"/>
              </w:rPr>
              <w:t>24.2%</w:t>
            </w:r>
          </w:p>
        </w:tc>
      </w:tr>
      <w:tr w:rsidR="00EA025B" w:rsidRPr="00AA0F82" w14:paraId="742F494D" w14:textId="1783D8A0">
        <w:trPr>
          <w:cantSplit/>
          <w:trHeight w:val="144"/>
          <w:jc w:val="center"/>
        </w:trPr>
        <w:tc>
          <w:tcPr>
            <w:tcW w:w="4432" w:type="dxa"/>
            <w:tcBorders>
              <w:top w:val="nil"/>
              <w:left w:val="single" w:sz="4" w:space="0" w:color="auto"/>
              <w:bottom w:val="nil"/>
              <w:right w:val="single" w:sz="4" w:space="0" w:color="auto"/>
            </w:tcBorders>
          </w:tcPr>
          <w:p w14:paraId="5565C210" w14:textId="2B71452D" w:rsidR="00EA025B" w:rsidRPr="00D82CD0" w:rsidRDefault="00EA025B" w:rsidP="00EA025B">
            <w:pPr>
              <w:ind w:left="720" w:hanging="557"/>
              <w:contextualSpacing/>
              <w:rPr>
                <w:rFonts w:eastAsia="Calibri" w:cstheme="minorHAnsi"/>
                <w:bCs/>
              </w:rPr>
            </w:pPr>
            <w:r>
              <w:rPr>
                <w:rFonts w:cstheme="minorHAnsi"/>
              </w:rPr>
              <w:t>65 and Older</w:t>
            </w:r>
          </w:p>
        </w:tc>
        <w:tc>
          <w:tcPr>
            <w:tcW w:w="1639" w:type="dxa"/>
            <w:tcBorders>
              <w:top w:val="nil"/>
              <w:left w:val="single" w:sz="4" w:space="0" w:color="auto"/>
              <w:bottom w:val="nil"/>
              <w:right w:val="single" w:sz="4" w:space="0" w:color="auto"/>
            </w:tcBorders>
          </w:tcPr>
          <w:p w14:paraId="3BD2D00E" w14:textId="43781DB6" w:rsidR="00EA025B" w:rsidRPr="00744250" w:rsidRDefault="00EA025B" w:rsidP="00EA025B">
            <w:pPr>
              <w:ind w:left="720" w:hanging="557"/>
              <w:contextualSpacing/>
              <w:jc w:val="right"/>
              <w:rPr>
                <w:rFonts w:cstheme="minorHAnsi"/>
              </w:rPr>
            </w:pPr>
            <w:r w:rsidRPr="00335511">
              <w:rPr>
                <w:rFonts w:ascii="Calibri" w:hAnsi="Calibri" w:cs="Calibri"/>
              </w:rPr>
              <w:t>32.4%</w:t>
            </w:r>
          </w:p>
        </w:tc>
        <w:tc>
          <w:tcPr>
            <w:tcW w:w="1639" w:type="dxa"/>
            <w:tcBorders>
              <w:top w:val="nil"/>
              <w:left w:val="single" w:sz="4" w:space="0" w:color="auto"/>
              <w:bottom w:val="nil"/>
              <w:right w:val="single" w:sz="4" w:space="0" w:color="auto"/>
            </w:tcBorders>
          </w:tcPr>
          <w:p w14:paraId="092426EE" w14:textId="4B6F9018" w:rsidR="00EA025B" w:rsidRPr="00744250" w:rsidRDefault="00EA025B" w:rsidP="00EA025B">
            <w:pPr>
              <w:ind w:left="720" w:hanging="557"/>
              <w:contextualSpacing/>
              <w:jc w:val="right"/>
              <w:rPr>
                <w:rFonts w:cstheme="minorHAnsi"/>
                <w:color w:val="000000"/>
                <w:sz w:val="24"/>
                <w:szCs w:val="24"/>
              </w:rPr>
            </w:pPr>
            <w:r w:rsidRPr="00744250">
              <w:rPr>
                <w:rFonts w:cstheme="minorHAnsi"/>
                <w:color w:val="000000"/>
                <w:sz w:val="24"/>
                <w:szCs w:val="24"/>
              </w:rPr>
              <w:t>36.9%</w:t>
            </w:r>
          </w:p>
        </w:tc>
        <w:tc>
          <w:tcPr>
            <w:tcW w:w="1640" w:type="dxa"/>
            <w:tcBorders>
              <w:top w:val="nil"/>
              <w:left w:val="single" w:sz="4" w:space="0" w:color="auto"/>
              <w:bottom w:val="nil"/>
              <w:right w:val="single" w:sz="4" w:space="0" w:color="auto"/>
            </w:tcBorders>
            <w:vAlign w:val="center"/>
          </w:tcPr>
          <w:p w14:paraId="381A2381" w14:textId="7E22A0EF" w:rsidR="00EA025B" w:rsidRPr="00744250" w:rsidRDefault="00EA025B" w:rsidP="00EA025B">
            <w:pPr>
              <w:ind w:left="720" w:hanging="557"/>
              <w:contextualSpacing/>
              <w:jc w:val="right"/>
              <w:rPr>
                <w:rFonts w:cstheme="minorHAnsi"/>
                <w:color w:val="000000"/>
                <w:sz w:val="24"/>
                <w:szCs w:val="24"/>
              </w:rPr>
            </w:pPr>
            <w:r w:rsidRPr="00744250">
              <w:rPr>
                <w:rFonts w:cstheme="minorHAnsi"/>
                <w:bCs/>
                <w:sz w:val="24"/>
                <w:szCs w:val="24"/>
              </w:rPr>
              <w:t>35.1%</w:t>
            </w:r>
          </w:p>
        </w:tc>
      </w:tr>
      <w:tr w:rsidR="00EA025B" w:rsidRPr="00AA0F82" w14:paraId="4FC985A2" w14:textId="46F8DF31" w:rsidTr="00A911E9">
        <w:trPr>
          <w:cantSplit/>
          <w:trHeight w:val="144"/>
          <w:jc w:val="center"/>
        </w:trPr>
        <w:tc>
          <w:tcPr>
            <w:tcW w:w="4432" w:type="dxa"/>
            <w:tcBorders>
              <w:top w:val="nil"/>
              <w:left w:val="single" w:sz="4" w:space="0" w:color="auto"/>
              <w:bottom w:val="single" w:sz="4" w:space="0" w:color="auto"/>
              <w:right w:val="single" w:sz="4" w:space="0" w:color="auto"/>
            </w:tcBorders>
          </w:tcPr>
          <w:p w14:paraId="3EEA83CE" w14:textId="5A1D99AD" w:rsidR="00EA025B" w:rsidRPr="00D82CD0" w:rsidRDefault="00EA025B" w:rsidP="00EA025B">
            <w:pPr>
              <w:ind w:left="720" w:hanging="557"/>
              <w:contextualSpacing/>
              <w:rPr>
                <w:rFonts w:eastAsia="Calibri" w:cstheme="minorHAnsi"/>
                <w:bCs/>
              </w:rPr>
            </w:pPr>
            <w:r w:rsidRPr="00D82CD0">
              <w:rPr>
                <w:rFonts w:eastAsia="Calibri" w:cstheme="minorHAnsi"/>
                <w:b/>
              </w:rPr>
              <w:t xml:space="preserve"> Total</w:t>
            </w:r>
          </w:p>
        </w:tc>
        <w:tc>
          <w:tcPr>
            <w:tcW w:w="1639" w:type="dxa"/>
            <w:tcBorders>
              <w:top w:val="nil"/>
              <w:left w:val="single" w:sz="4" w:space="0" w:color="auto"/>
              <w:bottom w:val="single" w:sz="4" w:space="0" w:color="auto"/>
              <w:right w:val="single" w:sz="4" w:space="0" w:color="auto"/>
            </w:tcBorders>
          </w:tcPr>
          <w:p w14:paraId="45CF3E97" w14:textId="7A2A82AD" w:rsidR="00EA025B" w:rsidRPr="00AA0F82" w:rsidRDefault="00EA025B" w:rsidP="00EA025B">
            <w:pPr>
              <w:ind w:left="720" w:hanging="557"/>
              <w:contextualSpacing/>
              <w:jc w:val="right"/>
              <w:rPr>
                <w:rFonts w:cstheme="minorHAnsi"/>
                <w:highlight w:val="yellow"/>
              </w:rPr>
            </w:pPr>
            <w:r w:rsidRPr="000D67F2">
              <w:rPr>
                <w:rFonts w:eastAsia="Calibri" w:cstheme="minorHAnsi"/>
                <w:b/>
              </w:rPr>
              <w:t>100.0%</w:t>
            </w:r>
          </w:p>
        </w:tc>
        <w:tc>
          <w:tcPr>
            <w:tcW w:w="1639" w:type="dxa"/>
            <w:tcBorders>
              <w:top w:val="nil"/>
              <w:left w:val="single" w:sz="4" w:space="0" w:color="auto"/>
              <w:bottom w:val="single" w:sz="4" w:space="0" w:color="auto"/>
              <w:right w:val="single" w:sz="4" w:space="0" w:color="auto"/>
            </w:tcBorders>
          </w:tcPr>
          <w:p w14:paraId="082BFCAE" w14:textId="0278C80E" w:rsidR="00EA025B" w:rsidRPr="00744250" w:rsidRDefault="00EA025B" w:rsidP="00EA025B">
            <w:pPr>
              <w:ind w:left="720" w:hanging="557"/>
              <w:contextualSpacing/>
              <w:jc w:val="right"/>
              <w:rPr>
                <w:rFonts w:eastAsia="Calibri" w:cstheme="minorHAnsi"/>
                <w:b/>
              </w:rPr>
            </w:pPr>
            <w:r w:rsidRPr="00744250">
              <w:rPr>
                <w:rFonts w:eastAsia="Calibri" w:cstheme="minorHAnsi"/>
                <w:b/>
              </w:rPr>
              <w:t>100.0%</w:t>
            </w:r>
          </w:p>
        </w:tc>
        <w:tc>
          <w:tcPr>
            <w:tcW w:w="1640" w:type="dxa"/>
            <w:tcBorders>
              <w:top w:val="nil"/>
              <w:left w:val="single" w:sz="4" w:space="0" w:color="auto"/>
              <w:bottom w:val="single" w:sz="4" w:space="0" w:color="auto"/>
              <w:right w:val="single" w:sz="4" w:space="0" w:color="auto"/>
            </w:tcBorders>
          </w:tcPr>
          <w:p w14:paraId="549737F0" w14:textId="16778B12" w:rsidR="00EA025B" w:rsidRPr="00744250" w:rsidRDefault="00EA025B" w:rsidP="00EA025B">
            <w:pPr>
              <w:ind w:left="720" w:hanging="557"/>
              <w:contextualSpacing/>
              <w:jc w:val="right"/>
              <w:rPr>
                <w:rFonts w:eastAsia="Calibri" w:cstheme="minorHAnsi"/>
                <w:b/>
              </w:rPr>
            </w:pPr>
            <w:r w:rsidRPr="00744250">
              <w:rPr>
                <w:rFonts w:eastAsia="Calibri" w:cstheme="minorHAnsi"/>
                <w:b/>
              </w:rPr>
              <w:t>100.0%</w:t>
            </w:r>
          </w:p>
        </w:tc>
      </w:tr>
      <w:tr w:rsidR="00EA025B" w:rsidRPr="00AA0F82" w14:paraId="1034486E" w14:textId="428B2BBA" w:rsidTr="00A911E9">
        <w:trPr>
          <w:cantSplit/>
          <w:trHeight w:val="144"/>
          <w:jc w:val="center"/>
        </w:trPr>
        <w:tc>
          <w:tcPr>
            <w:tcW w:w="4432" w:type="dxa"/>
            <w:tcBorders>
              <w:top w:val="single" w:sz="4" w:space="0" w:color="auto"/>
              <w:left w:val="single" w:sz="4" w:space="0" w:color="auto"/>
              <w:bottom w:val="nil"/>
              <w:right w:val="single" w:sz="4" w:space="0" w:color="auto"/>
            </w:tcBorders>
          </w:tcPr>
          <w:p w14:paraId="011883C1" w14:textId="5D7332DD" w:rsidR="00EA025B" w:rsidRPr="00D82CD0" w:rsidRDefault="00EA025B" w:rsidP="00EA025B">
            <w:pPr>
              <w:ind w:left="520" w:hanging="557"/>
              <w:contextualSpacing/>
              <w:rPr>
                <w:rFonts w:eastAsia="Calibri" w:cstheme="minorHAnsi"/>
                <w:b/>
              </w:rPr>
            </w:pPr>
            <w:r w:rsidRPr="00D82CD0">
              <w:rPr>
                <w:rFonts w:eastAsia="Calibri" w:cstheme="minorHAnsi"/>
                <w:b/>
              </w:rPr>
              <w:t>Race</w:t>
            </w:r>
          </w:p>
        </w:tc>
        <w:tc>
          <w:tcPr>
            <w:tcW w:w="1639" w:type="dxa"/>
            <w:tcBorders>
              <w:top w:val="single" w:sz="4" w:space="0" w:color="auto"/>
              <w:left w:val="single" w:sz="4" w:space="0" w:color="auto"/>
              <w:bottom w:val="nil"/>
              <w:right w:val="single" w:sz="4" w:space="0" w:color="auto"/>
            </w:tcBorders>
          </w:tcPr>
          <w:p w14:paraId="248325CF" w14:textId="3A5B010D" w:rsidR="00EA025B" w:rsidRPr="00AA0F82" w:rsidRDefault="00EA025B" w:rsidP="00EA025B">
            <w:pPr>
              <w:ind w:left="720" w:hanging="557"/>
              <w:contextualSpacing/>
              <w:jc w:val="right"/>
              <w:rPr>
                <w:rFonts w:eastAsia="Calibri" w:cstheme="minorHAnsi"/>
                <w:b/>
                <w:highlight w:val="yellow"/>
              </w:rPr>
            </w:pPr>
          </w:p>
        </w:tc>
        <w:tc>
          <w:tcPr>
            <w:tcW w:w="1639" w:type="dxa"/>
            <w:tcBorders>
              <w:top w:val="single" w:sz="4" w:space="0" w:color="auto"/>
              <w:left w:val="single" w:sz="4" w:space="0" w:color="auto"/>
              <w:bottom w:val="nil"/>
              <w:right w:val="single" w:sz="4" w:space="0" w:color="auto"/>
            </w:tcBorders>
          </w:tcPr>
          <w:p w14:paraId="3FEA9431" w14:textId="77777777" w:rsidR="00EA025B" w:rsidRPr="00AA0F82" w:rsidRDefault="00EA025B" w:rsidP="00EA025B">
            <w:pPr>
              <w:ind w:left="720" w:hanging="557"/>
              <w:contextualSpacing/>
              <w:jc w:val="right"/>
              <w:rPr>
                <w:rFonts w:eastAsia="Calibri" w:cstheme="minorHAnsi"/>
                <w:b/>
                <w:highlight w:val="yellow"/>
              </w:rPr>
            </w:pPr>
          </w:p>
        </w:tc>
        <w:tc>
          <w:tcPr>
            <w:tcW w:w="1640" w:type="dxa"/>
            <w:tcBorders>
              <w:top w:val="single" w:sz="4" w:space="0" w:color="auto"/>
              <w:left w:val="single" w:sz="4" w:space="0" w:color="auto"/>
              <w:bottom w:val="nil"/>
              <w:right w:val="single" w:sz="4" w:space="0" w:color="auto"/>
            </w:tcBorders>
          </w:tcPr>
          <w:p w14:paraId="701948D2" w14:textId="77777777" w:rsidR="00EA025B" w:rsidRPr="00AA0F82" w:rsidRDefault="00EA025B" w:rsidP="00EA025B">
            <w:pPr>
              <w:ind w:left="720" w:hanging="557"/>
              <w:contextualSpacing/>
              <w:jc w:val="right"/>
              <w:rPr>
                <w:rFonts w:eastAsia="Calibri" w:cstheme="minorHAnsi"/>
                <w:b/>
                <w:highlight w:val="yellow"/>
              </w:rPr>
            </w:pPr>
          </w:p>
        </w:tc>
      </w:tr>
      <w:tr w:rsidR="00EA025B" w:rsidRPr="00AA0F82" w14:paraId="126035A3" w14:textId="704D9337">
        <w:trPr>
          <w:cantSplit/>
          <w:trHeight w:val="144"/>
          <w:jc w:val="center"/>
        </w:trPr>
        <w:tc>
          <w:tcPr>
            <w:tcW w:w="4432" w:type="dxa"/>
            <w:tcBorders>
              <w:top w:val="nil"/>
              <w:left w:val="single" w:sz="4" w:space="0" w:color="auto"/>
              <w:bottom w:val="nil"/>
              <w:right w:val="single" w:sz="4" w:space="0" w:color="auto"/>
            </w:tcBorders>
            <w:vAlign w:val="center"/>
          </w:tcPr>
          <w:p w14:paraId="40CB5351" w14:textId="72025727" w:rsidR="00EA025B" w:rsidRPr="006405DF" w:rsidRDefault="00EA025B" w:rsidP="00EA025B">
            <w:pPr>
              <w:contextualSpacing/>
              <w:rPr>
                <w:rFonts w:eastAsia="Calibri" w:cstheme="minorHAnsi"/>
                <w:b/>
                <w:sz w:val="24"/>
                <w:szCs w:val="24"/>
              </w:rPr>
            </w:pPr>
            <w:r w:rsidRPr="006405DF">
              <w:rPr>
                <w:rFonts w:ascii="Calibri" w:hAnsi="Calibri" w:cs="Calibri"/>
                <w:color w:val="000000"/>
                <w:sz w:val="24"/>
                <w:szCs w:val="24"/>
              </w:rPr>
              <w:t xml:space="preserve">   White</w:t>
            </w:r>
          </w:p>
        </w:tc>
        <w:tc>
          <w:tcPr>
            <w:tcW w:w="1639" w:type="dxa"/>
            <w:tcBorders>
              <w:top w:val="nil"/>
              <w:left w:val="single" w:sz="4" w:space="0" w:color="auto"/>
              <w:bottom w:val="nil"/>
              <w:right w:val="single" w:sz="4" w:space="0" w:color="auto"/>
            </w:tcBorders>
          </w:tcPr>
          <w:p w14:paraId="53481C79" w14:textId="7BE82B83" w:rsidR="00EA025B" w:rsidRPr="002B4156" w:rsidRDefault="00EA025B" w:rsidP="00EA025B">
            <w:pPr>
              <w:ind w:left="720" w:hanging="557"/>
              <w:contextualSpacing/>
              <w:jc w:val="right"/>
              <w:rPr>
                <w:rFonts w:cstheme="minorHAnsi"/>
                <w:b/>
                <w:bCs/>
                <w:color w:val="000000"/>
                <w:sz w:val="24"/>
                <w:szCs w:val="24"/>
                <w:highlight w:val="yellow"/>
              </w:rPr>
            </w:pPr>
            <w:r w:rsidRPr="002B4156">
              <w:rPr>
                <w:rFonts w:cstheme="minorHAnsi"/>
                <w:color w:val="000000"/>
                <w:sz w:val="24"/>
                <w:szCs w:val="24"/>
              </w:rPr>
              <w:t>75.6%</w:t>
            </w:r>
          </w:p>
        </w:tc>
        <w:tc>
          <w:tcPr>
            <w:tcW w:w="1639" w:type="dxa"/>
            <w:tcBorders>
              <w:top w:val="nil"/>
              <w:left w:val="single" w:sz="4" w:space="0" w:color="auto"/>
              <w:bottom w:val="nil"/>
              <w:right w:val="single" w:sz="4" w:space="0" w:color="auto"/>
            </w:tcBorders>
          </w:tcPr>
          <w:p w14:paraId="10166C9E" w14:textId="59DD6C29" w:rsidR="00EA025B" w:rsidRPr="00FE787C" w:rsidRDefault="00EA025B" w:rsidP="00EA025B">
            <w:pPr>
              <w:ind w:left="720" w:hanging="557"/>
              <w:contextualSpacing/>
              <w:jc w:val="right"/>
              <w:rPr>
                <w:rFonts w:cstheme="minorHAnsi"/>
                <w:color w:val="000000"/>
                <w:sz w:val="24"/>
                <w:szCs w:val="24"/>
              </w:rPr>
            </w:pPr>
            <w:r w:rsidRPr="00FE787C">
              <w:rPr>
                <w:rFonts w:cstheme="minorHAnsi"/>
                <w:color w:val="000000"/>
                <w:sz w:val="24"/>
                <w:szCs w:val="24"/>
              </w:rPr>
              <w:t>88.5%</w:t>
            </w:r>
          </w:p>
        </w:tc>
        <w:tc>
          <w:tcPr>
            <w:tcW w:w="1640" w:type="dxa"/>
            <w:tcBorders>
              <w:top w:val="nil"/>
              <w:left w:val="single" w:sz="4" w:space="0" w:color="auto"/>
              <w:bottom w:val="nil"/>
              <w:right w:val="single" w:sz="4" w:space="0" w:color="auto"/>
            </w:tcBorders>
            <w:vAlign w:val="center"/>
          </w:tcPr>
          <w:p w14:paraId="6B159299" w14:textId="24E54BE0" w:rsidR="00EA025B" w:rsidRPr="002F30F0" w:rsidRDefault="00EA025B" w:rsidP="00EA025B">
            <w:pPr>
              <w:ind w:left="720" w:hanging="557"/>
              <w:contextualSpacing/>
              <w:jc w:val="right"/>
              <w:rPr>
                <w:rFonts w:cstheme="minorHAnsi"/>
                <w:color w:val="000000"/>
                <w:sz w:val="24"/>
                <w:szCs w:val="24"/>
                <w:highlight w:val="yellow"/>
              </w:rPr>
            </w:pPr>
            <w:r w:rsidRPr="002F30F0">
              <w:rPr>
                <w:rFonts w:eastAsia="Times New Roman" w:cstheme="minorHAnsi"/>
                <w:color w:val="000000"/>
                <w:sz w:val="24"/>
                <w:szCs w:val="24"/>
              </w:rPr>
              <w:t>92.1%</w:t>
            </w:r>
          </w:p>
        </w:tc>
      </w:tr>
      <w:tr w:rsidR="00EA025B" w:rsidRPr="00AA0F82" w14:paraId="723BC2F8" w14:textId="6CBEC4FE">
        <w:trPr>
          <w:cantSplit/>
          <w:trHeight w:val="144"/>
          <w:jc w:val="center"/>
        </w:trPr>
        <w:tc>
          <w:tcPr>
            <w:tcW w:w="4432" w:type="dxa"/>
            <w:tcBorders>
              <w:top w:val="nil"/>
              <w:left w:val="single" w:sz="4" w:space="0" w:color="auto"/>
              <w:bottom w:val="nil"/>
              <w:right w:val="single" w:sz="4" w:space="0" w:color="auto"/>
            </w:tcBorders>
            <w:vAlign w:val="center"/>
          </w:tcPr>
          <w:p w14:paraId="0FF67BD8" w14:textId="41E5CB2D" w:rsidR="00EA025B" w:rsidRPr="006405DF" w:rsidRDefault="00EA025B" w:rsidP="00EA025B">
            <w:pPr>
              <w:ind w:left="720" w:hanging="557"/>
              <w:contextualSpacing/>
              <w:rPr>
                <w:rFonts w:cstheme="minorHAnsi"/>
                <w:spacing w:val="-2"/>
                <w:sz w:val="24"/>
                <w:szCs w:val="24"/>
              </w:rPr>
            </w:pPr>
            <w:r w:rsidRPr="006405DF">
              <w:rPr>
                <w:rFonts w:ascii="Calibri" w:hAnsi="Calibri" w:cs="Calibri"/>
                <w:color w:val="000000"/>
                <w:sz w:val="24"/>
                <w:szCs w:val="24"/>
              </w:rPr>
              <w:t>Black or African American</w:t>
            </w:r>
          </w:p>
        </w:tc>
        <w:tc>
          <w:tcPr>
            <w:tcW w:w="1639" w:type="dxa"/>
            <w:tcBorders>
              <w:top w:val="nil"/>
              <w:left w:val="single" w:sz="4" w:space="0" w:color="auto"/>
              <w:bottom w:val="nil"/>
              <w:right w:val="single" w:sz="4" w:space="0" w:color="auto"/>
            </w:tcBorders>
          </w:tcPr>
          <w:p w14:paraId="7DF9C7D6" w14:textId="119318EA" w:rsidR="00EA025B" w:rsidRPr="002B4156" w:rsidRDefault="00EA025B" w:rsidP="00EA025B">
            <w:pPr>
              <w:ind w:left="720" w:hanging="557"/>
              <w:contextualSpacing/>
              <w:jc w:val="right"/>
              <w:rPr>
                <w:rFonts w:cstheme="minorHAnsi"/>
                <w:sz w:val="24"/>
                <w:szCs w:val="24"/>
                <w:highlight w:val="yellow"/>
              </w:rPr>
            </w:pPr>
            <w:r w:rsidRPr="002B4156">
              <w:rPr>
                <w:rFonts w:cstheme="minorHAnsi"/>
                <w:color w:val="000000"/>
                <w:sz w:val="24"/>
                <w:szCs w:val="24"/>
              </w:rPr>
              <w:t>5.6%</w:t>
            </w:r>
          </w:p>
        </w:tc>
        <w:tc>
          <w:tcPr>
            <w:tcW w:w="1639" w:type="dxa"/>
            <w:tcBorders>
              <w:top w:val="nil"/>
              <w:left w:val="single" w:sz="4" w:space="0" w:color="auto"/>
              <w:bottom w:val="nil"/>
              <w:right w:val="single" w:sz="4" w:space="0" w:color="auto"/>
            </w:tcBorders>
          </w:tcPr>
          <w:p w14:paraId="06925F72" w14:textId="1E8B43A7" w:rsidR="00EA025B" w:rsidRPr="00FE787C" w:rsidRDefault="00EA025B" w:rsidP="00EA025B">
            <w:pPr>
              <w:ind w:left="720" w:hanging="557"/>
              <w:contextualSpacing/>
              <w:jc w:val="right"/>
              <w:rPr>
                <w:rFonts w:cstheme="minorHAnsi"/>
                <w:color w:val="000000"/>
                <w:sz w:val="24"/>
                <w:szCs w:val="24"/>
              </w:rPr>
            </w:pPr>
            <w:r w:rsidRPr="00FE787C">
              <w:rPr>
                <w:rFonts w:cstheme="minorHAnsi"/>
                <w:color w:val="000000"/>
                <w:sz w:val="24"/>
                <w:szCs w:val="24"/>
              </w:rPr>
              <w:t>2.3%</w:t>
            </w:r>
          </w:p>
        </w:tc>
        <w:tc>
          <w:tcPr>
            <w:tcW w:w="1640" w:type="dxa"/>
            <w:tcBorders>
              <w:top w:val="nil"/>
              <w:left w:val="single" w:sz="4" w:space="0" w:color="auto"/>
              <w:bottom w:val="nil"/>
              <w:right w:val="single" w:sz="4" w:space="0" w:color="auto"/>
            </w:tcBorders>
            <w:vAlign w:val="center"/>
          </w:tcPr>
          <w:p w14:paraId="6D9829A6" w14:textId="0B9C971C" w:rsidR="00EA025B" w:rsidRPr="002F30F0" w:rsidRDefault="00EA025B" w:rsidP="00EA025B">
            <w:pPr>
              <w:ind w:left="720" w:hanging="557"/>
              <w:contextualSpacing/>
              <w:jc w:val="right"/>
              <w:rPr>
                <w:rFonts w:cstheme="minorHAnsi"/>
                <w:color w:val="000000"/>
                <w:sz w:val="24"/>
                <w:szCs w:val="24"/>
                <w:highlight w:val="yellow"/>
              </w:rPr>
            </w:pPr>
            <w:r w:rsidRPr="002F30F0">
              <w:rPr>
                <w:rFonts w:eastAsia="Times New Roman" w:cstheme="minorHAnsi"/>
                <w:color w:val="000000"/>
                <w:sz w:val="24"/>
                <w:szCs w:val="24"/>
              </w:rPr>
              <w:t>3.7%</w:t>
            </w:r>
          </w:p>
        </w:tc>
      </w:tr>
      <w:tr w:rsidR="00EA025B" w:rsidRPr="00AA0F82" w14:paraId="3601D6DE" w14:textId="69C50327">
        <w:trPr>
          <w:cantSplit/>
          <w:trHeight w:val="144"/>
          <w:jc w:val="center"/>
        </w:trPr>
        <w:tc>
          <w:tcPr>
            <w:tcW w:w="4432" w:type="dxa"/>
            <w:tcBorders>
              <w:top w:val="nil"/>
              <w:left w:val="single" w:sz="4" w:space="0" w:color="auto"/>
              <w:bottom w:val="nil"/>
              <w:right w:val="single" w:sz="4" w:space="0" w:color="auto"/>
            </w:tcBorders>
            <w:vAlign w:val="center"/>
          </w:tcPr>
          <w:p w14:paraId="79B3A2CB" w14:textId="6BC2A05D" w:rsidR="00EA025B" w:rsidRPr="006405DF" w:rsidRDefault="00EA025B" w:rsidP="00EA025B">
            <w:pPr>
              <w:ind w:left="720" w:hanging="557"/>
              <w:contextualSpacing/>
              <w:rPr>
                <w:rFonts w:cstheme="minorHAnsi"/>
                <w:color w:val="000000"/>
                <w:sz w:val="24"/>
                <w:szCs w:val="24"/>
              </w:rPr>
            </w:pPr>
            <w:r w:rsidRPr="006405DF">
              <w:rPr>
                <w:rFonts w:ascii="Calibri" w:hAnsi="Calibri" w:cs="Calibri"/>
                <w:color w:val="000000"/>
                <w:sz w:val="24"/>
                <w:szCs w:val="24"/>
              </w:rPr>
              <w:t>American Indian or Alaska Native</w:t>
            </w:r>
          </w:p>
        </w:tc>
        <w:tc>
          <w:tcPr>
            <w:tcW w:w="1639" w:type="dxa"/>
            <w:tcBorders>
              <w:top w:val="nil"/>
              <w:left w:val="single" w:sz="4" w:space="0" w:color="auto"/>
              <w:bottom w:val="nil"/>
              <w:right w:val="single" w:sz="4" w:space="0" w:color="auto"/>
            </w:tcBorders>
          </w:tcPr>
          <w:p w14:paraId="7B794BF0" w14:textId="5F741678" w:rsidR="00EA025B" w:rsidRPr="002B4156" w:rsidRDefault="00EA025B" w:rsidP="00EA025B">
            <w:pPr>
              <w:ind w:left="720" w:hanging="557"/>
              <w:contextualSpacing/>
              <w:jc w:val="right"/>
              <w:rPr>
                <w:rFonts w:cstheme="minorHAnsi"/>
                <w:sz w:val="24"/>
                <w:szCs w:val="24"/>
                <w:highlight w:val="yellow"/>
              </w:rPr>
            </w:pPr>
            <w:r w:rsidRPr="002B4156">
              <w:rPr>
                <w:rFonts w:cstheme="minorHAnsi"/>
                <w:color w:val="000000"/>
                <w:sz w:val="24"/>
                <w:szCs w:val="24"/>
              </w:rPr>
              <w:t>0.1%</w:t>
            </w:r>
          </w:p>
        </w:tc>
        <w:tc>
          <w:tcPr>
            <w:tcW w:w="1639" w:type="dxa"/>
            <w:tcBorders>
              <w:top w:val="nil"/>
              <w:left w:val="single" w:sz="4" w:space="0" w:color="auto"/>
              <w:bottom w:val="nil"/>
              <w:right w:val="single" w:sz="4" w:space="0" w:color="auto"/>
            </w:tcBorders>
          </w:tcPr>
          <w:p w14:paraId="58EC0479" w14:textId="5FAF2094" w:rsidR="00EA025B" w:rsidRPr="00FE787C" w:rsidRDefault="00EA025B" w:rsidP="00EA025B">
            <w:pPr>
              <w:ind w:left="720" w:hanging="557"/>
              <w:contextualSpacing/>
              <w:jc w:val="right"/>
              <w:rPr>
                <w:rFonts w:cstheme="minorHAnsi"/>
                <w:color w:val="000000"/>
                <w:sz w:val="24"/>
                <w:szCs w:val="24"/>
              </w:rPr>
            </w:pPr>
            <w:r w:rsidRPr="00FE787C">
              <w:rPr>
                <w:rFonts w:cstheme="minorHAnsi"/>
                <w:color w:val="000000"/>
                <w:sz w:val="24"/>
                <w:szCs w:val="24"/>
              </w:rPr>
              <w:t>0.1%</w:t>
            </w:r>
          </w:p>
        </w:tc>
        <w:tc>
          <w:tcPr>
            <w:tcW w:w="1640" w:type="dxa"/>
            <w:tcBorders>
              <w:top w:val="nil"/>
              <w:left w:val="single" w:sz="4" w:space="0" w:color="auto"/>
              <w:bottom w:val="nil"/>
              <w:right w:val="single" w:sz="4" w:space="0" w:color="auto"/>
            </w:tcBorders>
            <w:vAlign w:val="center"/>
          </w:tcPr>
          <w:p w14:paraId="4616E3CB" w14:textId="115DD2A2" w:rsidR="00EA025B" w:rsidRPr="002F30F0" w:rsidRDefault="00EA025B" w:rsidP="00EA025B">
            <w:pPr>
              <w:ind w:left="720" w:hanging="557"/>
              <w:contextualSpacing/>
              <w:jc w:val="right"/>
              <w:rPr>
                <w:rFonts w:cstheme="minorHAnsi"/>
                <w:color w:val="000000"/>
                <w:sz w:val="24"/>
                <w:szCs w:val="24"/>
                <w:highlight w:val="yellow"/>
              </w:rPr>
            </w:pPr>
            <w:r w:rsidRPr="002F30F0">
              <w:rPr>
                <w:rFonts w:eastAsia="Times New Roman" w:cstheme="minorHAnsi"/>
                <w:color w:val="000000"/>
                <w:sz w:val="24"/>
                <w:szCs w:val="24"/>
              </w:rPr>
              <w:t>0.1%</w:t>
            </w:r>
          </w:p>
        </w:tc>
      </w:tr>
      <w:tr w:rsidR="00EA025B" w:rsidRPr="00AA0F82" w14:paraId="0794838E" w14:textId="5883EE26">
        <w:trPr>
          <w:cantSplit/>
          <w:trHeight w:val="144"/>
          <w:jc w:val="center"/>
        </w:trPr>
        <w:tc>
          <w:tcPr>
            <w:tcW w:w="4432" w:type="dxa"/>
            <w:tcBorders>
              <w:top w:val="nil"/>
              <w:left w:val="single" w:sz="4" w:space="0" w:color="auto"/>
              <w:bottom w:val="nil"/>
              <w:right w:val="single" w:sz="4" w:space="0" w:color="auto"/>
            </w:tcBorders>
            <w:vAlign w:val="center"/>
          </w:tcPr>
          <w:p w14:paraId="7F9CCB66" w14:textId="3660F745" w:rsidR="00EA025B" w:rsidRPr="006405DF" w:rsidRDefault="00EA025B" w:rsidP="00EA025B">
            <w:pPr>
              <w:ind w:left="720" w:hanging="557"/>
              <w:contextualSpacing/>
              <w:rPr>
                <w:rFonts w:cstheme="minorHAnsi"/>
                <w:color w:val="000000"/>
                <w:sz w:val="24"/>
                <w:szCs w:val="24"/>
              </w:rPr>
            </w:pPr>
            <w:r w:rsidRPr="006405DF">
              <w:rPr>
                <w:rFonts w:ascii="Calibri" w:hAnsi="Calibri" w:cs="Calibri"/>
                <w:color w:val="000000"/>
                <w:sz w:val="24"/>
                <w:szCs w:val="24"/>
              </w:rPr>
              <w:t>Asian</w:t>
            </w:r>
          </w:p>
        </w:tc>
        <w:tc>
          <w:tcPr>
            <w:tcW w:w="1639" w:type="dxa"/>
            <w:tcBorders>
              <w:top w:val="nil"/>
              <w:left w:val="single" w:sz="4" w:space="0" w:color="auto"/>
              <w:bottom w:val="nil"/>
              <w:right w:val="single" w:sz="4" w:space="0" w:color="auto"/>
            </w:tcBorders>
          </w:tcPr>
          <w:p w14:paraId="3D341692" w14:textId="19EA7425" w:rsidR="00EA025B" w:rsidRPr="002B4156" w:rsidRDefault="00EA025B" w:rsidP="00EA025B">
            <w:pPr>
              <w:ind w:left="720" w:hanging="557"/>
              <w:contextualSpacing/>
              <w:jc w:val="right"/>
              <w:rPr>
                <w:rFonts w:cstheme="minorHAnsi"/>
                <w:sz w:val="24"/>
                <w:szCs w:val="24"/>
                <w:highlight w:val="yellow"/>
              </w:rPr>
            </w:pPr>
            <w:r w:rsidRPr="002B4156">
              <w:rPr>
                <w:rFonts w:cstheme="minorHAnsi"/>
                <w:color w:val="000000"/>
                <w:sz w:val="24"/>
                <w:szCs w:val="24"/>
              </w:rPr>
              <w:t>6.8%</w:t>
            </w:r>
          </w:p>
        </w:tc>
        <w:tc>
          <w:tcPr>
            <w:tcW w:w="1639" w:type="dxa"/>
            <w:tcBorders>
              <w:top w:val="nil"/>
              <w:left w:val="single" w:sz="4" w:space="0" w:color="auto"/>
              <w:bottom w:val="nil"/>
              <w:right w:val="single" w:sz="4" w:space="0" w:color="auto"/>
            </w:tcBorders>
          </w:tcPr>
          <w:p w14:paraId="7097556C" w14:textId="5C81AF78" w:rsidR="00EA025B" w:rsidRPr="00FE787C" w:rsidRDefault="00EA025B" w:rsidP="00EA025B">
            <w:pPr>
              <w:ind w:left="720" w:hanging="557"/>
              <w:contextualSpacing/>
              <w:jc w:val="right"/>
              <w:rPr>
                <w:rFonts w:cstheme="minorHAnsi"/>
                <w:color w:val="000000"/>
                <w:sz w:val="24"/>
                <w:szCs w:val="24"/>
              </w:rPr>
            </w:pPr>
            <w:r w:rsidRPr="00FE787C">
              <w:rPr>
                <w:rFonts w:cstheme="minorHAnsi"/>
                <w:color w:val="000000"/>
                <w:sz w:val="24"/>
                <w:szCs w:val="24"/>
              </w:rPr>
              <w:t>0.6%</w:t>
            </w:r>
          </w:p>
        </w:tc>
        <w:tc>
          <w:tcPr>
            <w:tcW w:w="1640" w:type="dxa"/>
            <w:tcBorders>
              <w:top w:val="nil"/>
              <w:left w:val="single" w:sz="4" w:space="0" w:color="auto"/>
              <w:bottom w:val="nil"/>
              <w:right w:val="single" w:sz="4" w:space="0" w:color="auto"/>
            </w:tcBorders>
            <w:vAlign w:val="center"/>
          </w:tcPr>
          <w:p w14:paraId="585401B8" w14:textId="576652F0" w:rsidR="00EA025B" w:rsidRPr="002F30F0" w:rsidRDefault="00EA025B" w:rsidP="00EA025B">
            <w:pPr>
              <w:ind w:left="720" w:hanging="557"/>
              <w:contextualSpacing/>
              <w:jc w:val="right"/>
              <w:rPr>
                <w:rFonts w:cstheme="minorHAnsi"/>
                <w:color w:val="000000"/>
                <w:sz w:val="24"/>
                <w:szCs w:val="24"/>
                <w:highlight w:val="yellow"/>
              </w:rPr>
            </w:pPr>
            <w:r w:rsidRPr="002F30F0">
              <w:rPr>
                <w:rFonts w:eastAsia="Times New Roman" w:cstheme="minorHAnsi"/>
                <w:color w:val="000000"/>
                <w:sz w:val="24"/>
                <w:szCs w:val="24"/>
              </w:rPr>
              <w:t>0.5%</w:t>
            </w:r>
          </w:p>
        </w:tc>
      </w:tr>
      <w:tr w:rsidR="00EA025B" w:rsidRPr="00AA0F82" w14:paraId="342F5A02" w14:textId="4B657C06">
        <w:trPr>
          <w:cantSplit/>
          <w:trHeight w:val="144"/>
          <w:jc w:val="center"/>
        </w:trPr>
        <w:tc>
          <w:tcPr>
            <w:tcW w:w="4432" w:type="dxa"/>
            <w:tcBorders>
              <w:top w:val="nil"/>
              <w:left w:val="single" w:sz="4" w:space="0" w:color="auto"/>
              <w:bottom w:val="nil"/>
              <w:right w:val="single" w:sz="4" w:space="0" w:color="auto"/>
            </w:tcBorders>
            <w:vAlign w:val="center"/>
          </w:tcPr>
          <w:p w14:paraId="67879F66" w14:textId="2609BAB1" w:rsidR="00EA025B" w:rsidRPr="006405DF" w:rsidRDefault="00EA025B" w:rsidP="00EA025B">
            <w:pPr>
              <w:ind w:left="720" w:hanging="557"/>
              <w:contextualSpacing/>
              <w:rPr>
                <w:rFonts w:cstheme="minorHAnsi"/>
                <w:color w:val="000000"/>
                <w:sz w:val="24"/>
                <w:szCs w:val="24"/>
              </w:rPr>
            </w:pPr>
            <w:r w:rsidRPr="006405DF">
              <w:rPr>
                <w:rFonts w:ascii="Calibri" w:hAnsi="Calibri" w:cs="Calibri"/>
                <w:color w:val="000000"/>
                <w:sz w:val="24"/>
                <w:szCs w:val="24"/>
              </w:rPr>
              <w:t>Native Hawaiian or Other Pacific Islander</w:t>
            </w:r>
          </w:p>
        </w:tc>
        <w:tc>
          <w:tcPr>
            <w:tcW w:w="1639" w:type="dxa"/>
            <w:tcBorders>
              <w:top w:val="nil"/>
              <w:left w:val="single" w:sz="4" w:space="0" w:color="auto"/>
              <w:bottom w:val="nil"/>
              <w:right w:val="single" w:sz="4" w:space="0" w:color="auto"/>
            </w:tcBorders>
          </w:tcPr>
          <w:p w14:paraId="58FAEA77" w14:textId="246FAF84" w:rsidR="00EA025B" w:rsidRPr="002B4156" w:rsidRDefault="00EA025B" w:rsidP="00EA025B">
            <w:pPr>
              <w:ind w:left="720" w:hanging="557"/>
              <w:contextualSpacing/>
              <w:jc w:val="right"/>
              <w:rPr>
                <w:rFonts w:cstheme="minorHAnsi"/>
                <w:sz w:val="24"/>
                <w:szCs w:val="24"/>
                <w:highlight w:val="yellow"/>
              </w:rPr>
            </w:pPr>
            <w:r w:rsidRPr="002B4156">
              <w:rPr>
                <w:rFonts w:cstheme="minorHAnsi"/>
                <w:color w:val="000000"/>
                <w:sz w:val="24"/>
                <w:szCs w:val="24"/>
              </w:rPr>
              <w:t>0.1%</w:t>
            </w:r>
          </w:p>
        </w:tc>
        <w:tc>
          <w:tcPr>
            <w:tcW w:w="1639" w:type="dxa"/>
            <w:tcBorders>
              <w:top w:val="nil"/>
              <w:left w:val="single" w:sz="4" w:space="0" w:color="auto"/>
              <w:bottom w:val="nil"/>
              <w:right w:val="single" w:sz="4" w:space="0" w:color="auto"/>
            </w:tcBorders>
          </w:tcPr>
          <w:p w14:paraId="5ED1B094" w14:textId="76358966" w:rsidR="00EA025B" w:rsidRPr="00FE787C" w:rsidRDefault="00EA025B" w:rsidP="00EA025B">
            <w:pPr>
              <w:ind w:left="720" w:hanging="557"/>
              <w:contextualSpacing/>
              <w:jc w:val="right"/>
              <w:rPr>
                <w:rFonts w:cstheme="minorHAnsi"/>
                <w:color w:val="000000"/>
                <w:sz w:val="24"/>
                <w:szCs w:val="24"/>
              </w:rPr>
            </w:pPr>
            <w:r w:rsidRPr="00FE787C">
              <w:rPr>
                <w:rFonts w:cstheme="minorHAnsi"/>
                <w:color w:val="000000"/>
                <w:sz w:val="24"/>
                <w:szCs w:val="24"/>
              </w:rPr>
              <w:t>0.0%</w:t>
            </w:r>
          </w:p>
        </w:tc>
        <w:tc>
          <w:tcPr>
            <w:tcW w:w="1640" w:type="dxa"/>
            <w:tcBorders>
              <w:top w:val="nil"/>
              <w:left w:val="single" w:sz="4" w:space="0" w:color="auto"/>
              <w:bottom w:val="nil"/>
              <w:right w:val="single" w:sz="4" w:space="0" w:color="auto"/>
            </w:tcBorders>
            <w:vAlign w:val="center"/>
          </w:tcPr>
          <w:p w14:paraId="0F53E0C7" w14:textId="0B88A2F9" w:rsidR="00EA025B" w:rsidRPr="002F30F0" w:rsidRDefault="00EA025B" w:rsidP="00EA025B">
            <w:pPr>
              <w:ind w:left="720" w:hanging="557"/>
              <w:contextualSpacing/>
              <w:jc w:val="right"/>
              <w:rPr>
                <w:rFonts w:cstheme="minorHAnsi"/>
                <w:color w:val="000000"/>
                <w:sz w:val="24"/>
                <w:szCs w:val="24"/>
                <w:highlight w:val="yellow"/>
              </w:rPr>
            </w:pPr>
            <w:r w:rsidRPr="002F30F0">
              <w:rPr>
                <w:rFonts w:eastAsia="Times New Roman" w:cstheme="minorHAnsi"/>
                <w:color w:val="000000"/>
                <w:sz w:val="24"/>
                <w:szCs w:val="24"/>
              </w:rPr>
              <w:t>0.1%</w:t>
            </w:r>
          </w:p>
        </w:tc>
      </w:tr>
      <w:tr w:rsidR="00EA025B" w:rsidRPr="00AA0F82" w14:paraId="3B7E9E89" w14:textId="77777777">
        <w:trPr>
          <w:cantSplit/>
          <w:trHeight w:val="144"/>
          <w:jc w:val="center"/>
        </w:trPr>
        <w:tc>
          <w:tcPr>
            <w:tcW w:w="4432" w:type="dxa"/>
            <w:tcBorders>
              <w:top w:val="nil"/>
              <w:left w:val="single" w:sz="4" w:space="0" w:color="auto"/>
              <w:bottom w:val="nil"/>
              <w:right w:val="single" w:sz="4" w:space="0" w:color="auto"/>
            </w:tcBorders>
            <w:vAlign w:val="center"/>
          </w:tcPr>
          <w:p w14:paraId="1D892E90" w14:textId="0E6C7083" w:rsidR="00EA025B" w:rsidRPr="006405DF" w:rsidRDefault="00EA025B" w:rsidP="00EA025B">
            <w:pPr>
              <w:ind w:left="720" w:hanging="557"/>
              <w:contextualSpacing/>
              <w:rPr>
                <w:rFonts w:cstheme="minorHAnsi"/>
                <w:color w:val="000000"/>
                <w:sz w:val="24"/>
                <w:szCs w:val="24"/>
              </w:rPr>
            </w:pPr>
            <w:r w:rsidRPr="006405DF">
              <w:rPr>
                <w:rFonts w:ascii="Calibri" w:hAnsi="Calibri" w:cs="Calibri"/>
                <w:color w:val="000000"/>
                <w:sz w:val="24"/>
                <w:szCs w:val="24"/>
              </w:rPr>
              <w:t>Other</w:t>
            </w:r>
            <w:r>
              <w:rPr>
                <w:rStyle w:val="FootnoteReference"/>
                <w:rFonts w:ascii="Calibri" w:hAnsi="Calibri" w:cs="Calibri"/>
                <w:color w:val="000000"/>
                <w:sz w:val="24"/>
                <w:szCs w:val="24"/>
              </w:rPr>
              <w:footnoteReference w:id="11"/>
            </w:r>
          </w:p>
        </w:tc>
        <w:tc>
          <w:tcPr>
            <w:tcW w:w="1639" w:type="dxa"/>
            <w:tcBorders>
              <w:top w:val="nil"/>
              <w:left w:val="single" w:sz="4" w:space="0" w:color="auto"/>
              <w:bottom w:val="nil"/>
              <w:right w:val="single" w:sz="4" w:space="0" w:color="auto"/>
            </w:tcBorders>
          </w:tcPr>
          <w:p w14:paraId="32CC02F6" w14:textId="6BAD2BE0" w:rsidR="00EA025B" w:rsidRPr="002B4156" w:rsidRDefault="00EA025B" w:rsidP="00EA025B">
            <w:pPr>
              <w:ind w:left="720" w:hanging="557"/>
              <w:contextualSpacing/>
              <w:jc w:val="right"/>
              <w:rPr>
                <w:rFonts w:cstheme="minorHAnsi"/>
                <w:color w:val="000000"/>
                <w:sz w:val="24"/>
                <w:szCs w:val="24"/>
                <w:highlight w:val="yellow"/>
              </w:rPr>
            </w:pPr>
            <w:r w:rsidRPr="002B4156">
              <w:rPr>
                <w:rFonts w:cstheme="minorHAnsi"/>
                <w:color w:val="000000"/>
                <w:sz w:val="24"/>
                <w:szCs w:val="24"/>
              </w:rPr>
              <w:t>4.8%</w:t>
            </w:r>
          </w:p>
        </w:tc>
        <w:tc>
          <w:tcPr>
            <w:tcW w:w="1639" w:type="dxa"/>
            <w:tcBorders>
              <w:top w:val="nil"/>
              <w:left w:val="single" w:sz="4" w:space="0" w:color="auto"/>
              <w:bottom w:val="nil"/>
              <w:right w:val="single" w:sz="4" w:space="0" w:color="auto"/>
            </w:tcBorders>
          </w:tcPr>
          <w:p w14:paraId="579A5721" w14:textId="7EE50317" w:rsidR="00EA025B" w:rsidRPr="00FE787C" w:rsidRDefault="00EA025B" w:rsidP="00EA025B">
            <w:pPr>
              <w:ind w:left="720" w:hanging="557"/>
              <w:contextualSpacing/>
              <w:jc w:val="right"/>
              <w:rPr>
                <w:rFonts w:cstheme="minorHAnsi"/>
                <w:color w:val="000000"/>
                <w:sz w:val="24"/>
                <w:szCs w:val="24"/>
              </w:rPr>
            </w:pPr>
            <w:r w:rsidRPr="00FE787C">
              <w:rPr>
                <w:rFonts w:cstheme="minorHAnsi"/>
                <w:color w:val="000000"/>
                <w:sz w:val="24"/>
                <w:szCs w:val="24"/>
              </w:rPr>
              <w:t>1.7%</w:t>
            </w:r>
          </w:p>
        </w:tc>
        <w:tc>
          <w:tcPr>
            <w:tcW w:w="1640" w:type="dxa"/>
            <w:tcBorders>
              <w:top w:val="nil"/>
              <w:left w:val="single" w:sz="4" w:space="0" w:color="auto"/>
              <w:bottom w:val="nil"/>
              <w:right w:val="single" w:sz="4" w:space="0" w:color="auto"/>
            </w:tcBorders>
            <w:vAlign w:val="center"/>
          </w:tcPr>
          <w:p w14:paraId="570D7CEE" w14:textId="13E0DF82" w:rsidR="00EA025B" w:rsidRPr="002F30F0" w:rsidRDefault="00EA025B" w:rsidP="00EA025B">
            <w:pPr>
              <w:ind w:left="720" w:hanging="557"/>
              <w:contextualSpacing/>
              <w:jc w:val="right"/>
              <w:rPr>
                <w:rFonts w:cstheme="minorHAnsi"/>
                <w:color w:val="000000"/>
                <w:sz w:val="24"/>
                <w:szCs w:val="24"/>
                <w:highlight w:val="yellow"/>
              </w:rPr>
            </w:pPr>
            <w:r w:rsidRPr="002F30F0">
              <w:rPr>
                <w:rFonts w:eastAsia="Times New Roman" w:cstheme="minorHAnsi"/>
                <w:color w:val="000000"/>
                <w:sz w:val="24"/>
                <w:szCs w:val="24"/>
              </w:rPr>
              <w:t>2.8%</w:t>
            </w:r>
          </w:p>
        </w:tc>
      </w:tr>
      <w:tr w:rsidR="00EA025B" w:rsidRPr="00AA0F82" w14:paraId="371C557B" w14:textId="77777777">
        <w:trPr>
          <w:cantSplit/>
          <w:trHeight w:val="144"/>
          <w:jc w:val="center"/>
        </w:trPr>
        <w:tc>
          <w:tcPr>
            <w:tcW w:w="4432" w:type="dxa"/>
            <w:tcBorders>
              <w:top w:val="nil"/>
              <w:left w:val="single" w:sz="4" w:space="0" w:color="auto"/>
              <w:bottom w:val="nil"/>
              <w:right w:val="single" w:sz="4" w:space="0" w:color="auto"/>
            </w:tcBorders>
            <w:vAlign w:val="center"/>
          </w:tcPr>
          <w:p w14:paraId="1D76DD2A" w14:textId="30C36094" w:rsidR="00EA025B" w:rsidRPr="006405DF" w:rsidRDefault="00EA025B" w:rsidP="00EA025B">
            <w:pPr>
              <w:ind w:left="720" w:hanging="557"/>
              <w:contextualSpacing/>
              <w:rPr>
                <w:rFonts w:cstheme="minorHAnsi"/>
                <w:color w:val="000000"/>
                <w:sz w:val="24"/>
                <w:szCs w:val="24"/>
              </w:rPr>
            </w:pPr>
            <w:r w:rsidRPr="006405DF">
              <w:rPr>
                <w:rFonts w:ascii="Calibri" w:hAnsi="Calibri" w:cs="Calibri"/>
                <w:color w:val="000000"/>
                <w:sz w:val="24"/>
                <w:szCs w:val="24"/>
              </w:rPr>
              <w:t>Unknown</w:t>
            </w:r>
          </w:p>
        </w:tc>
        <w:tc>
          <w:tcPr>
            <w:tcW w:w="1639" w:type="dxa"/>
            <w:tcBorders>
              <w:top w:val="nil"/>
              <w:left w:val="single" w:sz="4" w:space="0" w:color="auto"/>
              <w:bottom w:val="nil"/>
              <w:right w:val="single" w:sz="4" w:space="0" w:color="auto"/>
            </w:tcBorders>
          </w:tcPr>
          <w:p w14:paraId="740F4EEC" w14:textId="6D7910CE" w:rsidR="00EA025B" w:rsidRPr="002B4156" w:rsidRDefault="00EA025B" w:rsidP="00EA025B">
            <w:pPr>
              <w:ind w:left="720" w:hanging="557"/>
              <w:contextualSpacing/>
              <w:jc w:val="right"/>
              <w:rPr>
                <w:rFonts w:cstheme="minorHAnsi"/>
                <w:color w:val="000000"/>
                <w:sz w:val="24"/>
                <w:szCs w:val="24"/>
                <w:highlight w:val="yellow"/>
              </w:rPr>
            </w:pPr>
            <w:r w:rsidRPr="002B4156">
              <w:rPr>
                <w:rFonts w:cstheme="minorHAnsi"/>
                <w:color w:val="000000"/>
                <w:sz w:val="24"/>
                <w:szCs w:val="24"/>
              </w:rPr>
              <w:t>5.6%</w:t>
            </w:r>
          </w:p>
        </w:tc>
        <w:tc>
          <w:tcPr>
            <w:tcW w:w="1639" w:type="dxa"/>
            <w:tcBorders>
              <w:top w:val="nil"/>
              <w:left w:val="single" w:sz="4" w:space="0" w:color="auto"/>
              <w:bottom w:val="nil"/>
              <w:right w:val="single" w:sz="4" w:space="0" w:color="auto"/>
            </w:tcBorders>
          </w:tcPr>
          <w:p w14:paraId="0A53BC8F" w14:textId="3E91EC64" w:rsidR="00EA025B" w:rsidRPr="00FE787C" w:rsidRDefault="00EA025B" w:rsidP="00EA025B">
            <w:pPr>
              <w:ind w:left="720" w:hanging="557"/>
              <w:contextualSpacing/>
              <w:jc w:val="right"/>
              <w:rPr>
                <w:rFonts w:cstheme="minorHAnsi"/>
                <w:color w:val="000000"/>
                <w:sz w:val="24"/>
                <w:szCs w:val="24"/>
              </w:rPr>
            </w:pPr>
            <w:r w:rsidRPr="00FE787C">
              <w:rPr>
                <w:rFonts w:cstheme="minorHAnsi"/>
                <w:color w:val="000000"/>
                <w:sz w:val="24"/>
                <w:szCs w:val="24"/>
              </w:rPr>
              <w:t>0.0%</w:t>
            </w:r>
          </w:p>
        </w:tc>
        <w:tc>
          <w:tcPr>
            <w:tcW w:w="1640" w:type="dxa"/>
            <w:tcBorders>
              <w:top w:val="nil"/>
              <w:left w:val="single" w:sz="4" w:space="0" w:color="auto"/>
              <w:bottom w:val="nil"/>
              <w:right w:val="single" w:sz="4" w:space="0" w:color="auto"/>
            </w:tcBorders>
            <w:vAlign w:val="center"/>
          </w:tcPr>
          <w:p w14:paraId="49756123" w14:textId="67538BA7" w:rsidR="00EA025B" w:rsidRPr="002F30F0" w:rsidRDefault="00EA025B" w:rsidP="00EA025B">
            <w:pPr>
              <w:ind w:left="720" w:hanging="557"/>
              <w:contextualSpacing/>
              <w:jc w:val="right"/>
              <w:rPr>
                <w:rFonts w:cstheme="minorHAnsi"/>
                <w:color w:val="000000"/>
                <w:sz w:val="24"/>
                <w:szCs w:val="24"/>
                <w:highlight w:val="yellow"/>
              </w:rPr>
            </w:pPr>
            <w:r w:rsidRPr="002F30F0">
              <w:rPr>
                <w:rFonts w:cstheme="minorHAnsi"/>
                <w:color w:val="000000"/>
                <w:sz w:val="24"/>
                <w:szCs w:val="24"/>
              </w:rPr>
              <w:t>0.0%</w:t>
            </w:r>
          </w:p>
        </w:tc>
      </w:tr>
      <w:tr w:rsidR="00EA025B" w:rsidRPr="00AA0F82" w14:paraId="7708551A" w14:textId="0FE5E7DE">
        <w:trPr>
          <w:cantSplit/>
          <w:trHeight w:val="144"/>
          <w:jc w:val="center"/>
        </w:trPr>
        <w:tc>
          <w:tcPr>
            <w:tcW w:w="4432" w:type="dxa"/>
            <w:tcBorders>
              <w:top w:val="nil"/>
              <w:left w:val="single" w:sz="4" w:space="0" w:color="auto"/>
              <w:bottom w:val="nil"/>
              <w:right w:val="single" w:sz="4" w:space="0" w:color="auto"/>
            </w:tcBorders>
            <w:vAlign w:val="center"/>
          </w:tcPr>
          <w:p w14:paraId="179CBD72" w14:textId="07CD8209" w:rsidR="00EA025B" w:rsidRPr="006405DF" w:rsidRDefault="00EA025B" w:rsidP="00EA025B">
            <w:pPr>
              <w:ind w:left="720" w:hanging="557"/>
              <w:contextualSpacing/>
              <w:rPr>
                <w:rFonts w:cstheme="minorHAnsi"/>
                <w:color w:val="000000"/>
                <w:sz w:val="24"/>
                <w:szCs w:val="24"/>
              </w:rPr>
            </w:pPr>
            <w:r w:rsidRPr="006405DF">
              <w:rPr>
                <w:rFonts w:ascii="Calibri" w:hAnsi="Calibri" w:cs="Calibri"/>
                <w:color w:val="000000"/>
                <w:sz w:val="24"/>
                <w:szCs w:val="24"/>
              </w:rPr>
              <w:t>Patient Declined</w:t>
            </w:r>
          </w:p>
        </w:tc>
        <w:tc>
          <w:tcPr>
            <w:tcW w:w="1639" w:type="dxa"/>
            <w:tcBorders>
              <w:top w:val="nil"/>
              <w:left w:val="single" w:sz="4" w:space="0" w:color="auto"/>
              <w:bottom w:val="nil"/>
              <w:right w:val="single" w:sz="4" w:space="0" w:color="auto"/>
            </w:tcBorders>
            <w:vAlign w:val="bottom"/>
          </w:tcPr>
          <w:p w14:paraId="731C7329" w14:textId="5D8B3258" w:rsidR="00EA025B" w:rsidRPr="00F000A9" w:rsidRDefault="00EA025B" w:rsidP="00EA025B">
            <w:pPr>
              <w:ind w:left="720" w:hanging="557"/>
              <w:contextualSpacing/>
              <w:jc w:val="right"/>
              <w:rPr>
                <w:rFonts w:cstheme="minorHAnsi"/>
                <w:sz w:val="24"/>
                <w:szCs w:val="24"/>
                <w:highlight w:val="yellow"/>
              </w:rPr>
            </w:pPr>
            <w:r w:rsidRPr="00F000A9">
              <w:rPr>
                <w:rFonts w:cstheme="minorHAnsi"/>
                <w:color w:val="000000"/>
                <w:sz w:val="24"/>
                <w:szCs w:val="24"/>
              </w:rPr>
              <w:t>1.4%</w:t>
            </w:r>
          </w:p>
        </w:tc>
        <w:tc>
          <w:tcPr>
            <w:tcW w:w="1639" w:type="dxa"/>
            <w:tcBorders>
              <w:top w:val="nil"/>
              <w:left w:val="single" w:sz="4" w:space="0" w:color="auto"/>
              <w:bottom w:val="nil"/>
              <w:right w:val="single" w:sz="4" w:space="0" w:color="auto"/>
            </w:tcBorders>
          </w:tcPr>
          <w:p w14:paraId="6CE9AE91" w14:textId="0F80E8B1" w:rsidR="00EA025B" w:rsidRPr="00FE787C" w:rsidRDefault="00EA025B" w:rsidP="00EA025B">
            <w:pPr>
              <w:ind w:left="720" w:hanging="557"/>
              <w:contextualSpacing/>
              <w:jc w:val="right"/>
              <w:rPr>
                <w:rFonts w:cstheme="minorHAnsi"/>
                <w:color w:val="000000"/>
                <w:sz w:val="24"/>
                <w:szCs w:val="24"/>
              </w:rPr>
            </w:pPr>
            <w:r w:rsidRPr="00FE787C">
              <w:rPr>
                <w:rFonts w:cstheme="minorHAnsi"/>
                <w:color w:val="000000"/>
                <w:sz w:val="24"/>
                <w:szCs w:val="24"/>
              </w:rPr>
              <w:t>6.7%</w:t>
            </w:r>
          </w:p>
        </w:tc>
        <w:tc>
          <w:tcPr>
            <w:tcW w:w="1640" w:type="dxa"/>
            <w:tcBorders>
              <w:top w:val="nil"/>
              <w:left w:val="single" w:sz="4" w:space="0" w:color="auto"/>
              <w:bottom w:val="nil"/>
              <w:right w:val="single" w:sz="4" w:space="0" w:color="auto"/>
            </w:tcBorders>
          </w:tcPr>
          <w:p w14:paraId="01FCEAFF" w14:textId="30A62217" w:rsidR="00EA025B" w:rsidRPr="002F30F0" w:rsidRDefault="00EA025B" w:rsidP="00EA025B">
            <w:pPr>
              <w:ind w:left="720" w:hanging="557"/>
              <w:contextualSpacing/>
              <w:jc w:val="right"/>
              <w:rPr>
                <w:rFonts w:cstheme="minorHAnsi"/>
                <w:color w:val="000000"/>
                <w:sz w:val="24"/>
                <w:szCs w:val="24"/>
                <w:highlight w:val="yellow"/>
              </w:rPr>
            </w:pPr>
            <w:r w:rsidRPr="002F30F0">
              <w:rPr>
                <w:rFonts w:eastAsia="Times New Roman" w:cstheme="minorHAnsi"/>
                <w:color w:val="000000"/>
                <w:sz w:val="24"/>
                <w:szCs w:val="24"/>
              </w:rPr>
              <w:t>0.8%</w:t>
            </w:r>
          </w:p>
        </w:tc>
      </w:tr>
      <w:tr w:rsidR="00EA025B" w:rsidRPr="00AA0F82" w14:paraId="7125D56F" w14:textId="7F3BA784" w:rsidTr="009025EC">
        <w:trPr>
          <w:cantSplit/>
          <w:trHeight w:val="144"/>
          <w:jc w:val="center"/>
        </w:trPr>
        <w:tc>
          <w:tcPr>
            <w:tcW w:w="4432" w:type="dxa"/>
            <w:tcBorders>
              <w:top w:val="nil"/>
              <w:left w:val="single" w:sz="4" w:space="0" w:color="auto"/>
              <w:bottom w:val="single" w:sz="4" w:space="0" w:color="auto"/>
              <w:right w:val="single" w:sz="4" w:space="0" w:color="auto"/>
            </w:tcBorders>
            <w:vAlign w:val="center"/>
          </w:tcPr>
          <w:p w14:paraId="15B5C860" w14:textId="156DA69A" w:rsidR="00EA025B" w:rsidRPr="00D82CD0" w:rsidRDefault="00EA025B" w:rsidP="00EA025B">
            <w:pPr>
              <w:ind w:left="720" w:hanging="557"/>
              <w:contextualSpacing/>
              <w:rPr>
                <w:rFonts w:cstheme="minorHAnsi"/>
                <w:color w:val="000000"/>
              </w:rPr>
            </w:pPr>
            <w:r w:rsidRPr="00D82CD0">
              <w:rPr>
                <w:rFonts w:cstheme="minorHAnsi"/>
                <w:b/>
                <w:bCs/>
                <w:color w:val="000000"/>
              </w:rPr>
              <w:t>Total</w:t>
            </w:r>
          </w:p>
        </w:tc>
        <w:tc>
          <w:tcPr>
            <w:tcW w:w="1639" w:type="dxa"/>
            <w:tcBorders>
              <w:top w:val="nil"/>
              <w:left w:val="single" w:sz="4" w:space="0" w:color="auto"/>
              <w:bottom w:val="single" w:sz="4" w:space="0" w:color="auto"/>
              <w:right w:val="single" w:sz="4" w:space="0" w:color="auto"/>
            </w:tcBorders>
            <w:vAlign w:val="center"/>
          </w:tcPr>
          <w:p w14:paraId="79D4BD26" w14:textId="76585C5B" w:rsidR="00EA025B" w:rsidRPr="00AA0F82" w:rsidRDefault="00EA025B" w:rsidP="00EA025B">
            <w:pPr>
              <w:ind w:left="720" w:hanging="557"/>
              <w:contextualSpacing/>
              <w:jc w:val="right"/>
              <w:rPr>
                <w:rFonts w:cstheme="minorHAnsi"/>
                <w:highlight w:val="yellow"/>
              </w:rPr>
            </w:pPr>
            <w:r w:rsidRPr="00F000A9">
              <w:rPr>
                <w:rFonts w:cstheme="minorHAnsi"/>
                <w:b/>
                <w:bCs/>
                <w:color w:val="000000"/>
              </w:rPr>
              <w:t>100.0%</w:t>
            </w:r>
          </w:p>
        </w:tc>
        <w:tc>
          <w:tcPr>
            <w:tcW w:w="1639" w:type="dxa"/>
            <w:tcBorders>
              <w:top w:val="nil"/>
              <w:left w:val="single" w:sz="4" w:space="0" w:color="auto"/>
              <w:bottom w:val="single" w:sz="4" w:space="0" w:color="auto"/>
              <w:right w:val="single" w:sz="4" w:space="0" w:color="auto"/>
            </w:tcBorders>
          </w:tcPr>
          <w:p w14:paraId="61206604" w14:textId="36DC134F" w:rsidR="00EA025B" w:rsidRPr="00AA0F82" w:rsidRDefault="00EA025B" w:rsidP="00EA025B">
            <w:pPr>
              <w:ind w:left="720" w:hanging="557"/>
              <w:contextualSpacing/>
              <w:jc w:val="right"/>
              <w:rPr>
                <w:rFonts w:cstheme="minorHAnsi"/>
                <w:b/>
                <w:bCs/>
                <w:color w:val="000000"/>
                <w:highlight w:val="yellow"/>
              </w:rPr>
            </w:pPr>
            <w:r w:rsidRPr="00F000A9">
              <w:rPr>
                <w:rFonts w:cstheme="minorHAnsi"/>
                <w:b/>
                <w:bCs/>
                <w:color w:val="000000"/>
              </w:rPr>
              <w:t>100.0%</w:t>
            </w:r>
          </w:p>
        </w:tc>
        <w:tc>
          <w:tcPr>
            <w:tcW w:w="1640" w:type="dxa"/>
            <w:tcBorders>
              <w:top w:val="nil"/>
              <w:left w:val="single" w:sz="4" w:space="0" w:color="auto"/>
              <w:bottom w:val="single" w:sz="4" w:space="0" w:color="auto"/>
              <w:right w:val="single" w:sz="4" w:space="0" w:color="auto"/>
            </w:tcBorders>
          </w:tcPr>
          <w:p w14:paraId="2E9669DE" w14:textId="33DD881B" w:rsidR="00EA025B" w:rsidRPr="00AA0F82" w:rsidRDefault="00EA025B" w:rsidP="00EA025B">
            <w:pPr>
              <w:ind w:left="720" w:hanging="557"/>
              <w:contextualSpacing/>
              <w:jc w:val="right"/>
              <w:rPr>
                <w:rFonts w:cstheme="minorHAnsi"/>
                <w:b/>
                <w:bCs/>
                <w:color w:val="000000"/>
                <w:highlight w:val="yellow"/>
              </w:rPr>
            </w:pPr>
            <w:r w:rsidRPr="00F000A9">
              <w:rPr>
                <w:rFonts w:cstheme="minorHAnsi"/>
                <w:b/>
                <w:bCs/>
                <w:color w:val="000000"/>
              </w:rPr>
              <w:t>100.0%</w:t>
            </w:r>
          </w:p>
        </w:tc>
      </w:tr>
      <w:tr w:rsidR="00EA025B" w:rsidRPr="00AA0F82" w14:paraId="063F0844" w14:textId="77777777" w:rsidTr="009025EC">
        <w:trPr>
          <w:cantSplit/>
          <w:trHeight w:val="144"/>
          <w:jc w:val="center"/>
        </w:trPr>
        <w:tc>
          <w:tcPr>
            <w:tcW w:w="4432" w:type="dxa"/>
            <w:tcBorders>
              <w:top w:val="single" w:sz="4" w:space="0" w:color="auto"/>
              <w:left w:val="single" w:sz="4" w:space="0" w:color="auto"/>
              <w:bottom w:val="nil"/>
              <w:right w:val="single" w:sz="4" w:space="0" w:color="auto"/>
            </w:tcBorders>
            <w:shd w:val="clear" w:color="auto" w:fill="auto"/>
          </w:tcPr>
          <w:p w14:paraId="0BD088F5" w14:textId="533CD3DB" w:rsidR="00EA025B" w:rsidRPr="00D82CD0" w:rsidRDefault="00EA025B" w:rsidP="00EA025B">
            <w:pPr>
              <w:contextualSpacing/>
              <w:rPr>
                <w:rFonts w:eastAsia="Calibri" w:cstheme="minorHAnsi"/>
                <w:b/>
              </w:rPr>
            </w:pPr>
            <w:r>
              <w:rPr>
                <w:rFonts w:eastAsia="Calibri" w:cstheme="minorHAnsi"/>
                <w:b/>
              </w:rPr>
              <w:t>Ethnicity</w:t>
            </w:r>
          </w:p>
        </w:tc>
        <w:tc>
          <w:tcPr>
            <w:tcW w:w="1639" w:type="dxa"/>
            <w:tcBorders>
              <w:top w:val="single" w:sz="4" w:space="0" w:color="auto"/>
              <w:left w:val="single" w:sz="4" w:space="0" w:color="auto"/>
              <w:bottom w:val="nil"/>
              <w:right w:val="single" w:sz="4" w:space="0" w:color="auto"/>
            </w:tcBorders>
          </w:tcPr>
          <w:p w14:paraId="5A22C3CB" w14:textId="77777777" w:rsidR="00EA025B" w:rsidRPr="00AA0F82" w:rsidRDefault="00EA025B" w:rsidP="00EA025B">
            <w:pPr>
              <w:ind w:left="720" w:hanging="557"/>
              <w:contextualSpacing/>
              <w:jc w:val="right"/>
              <w:rPr>
                <w:rFonts w:cstheme="minorHAnsi"/>
                <w:highlight w:val="yellow"/>
              </w:rPr>
            </w:pPr>
          </w:p>
        </w:tc>
        <w:tc>
          <w:tcPr>
            <w:tcW w:w="1639" w:type="dxa"/>
            <w:tcBorders>
              <w:top w:val="single" w:sz="4" w:space="0" w:color="auto"/>
              <w:left w:val="single" w:sz="4" w:space="0" w:color="auto"/>
              <w:bottom w:val="nil"/>
              <w:right w:val="single" w:sz="4" w:space="0" w:color="auto"/>
            </w:tcBorders>
          </w:tcPr>
          <w:p w14:paraId="02BE23B5" w14:textId="77777777" w:rsidR="00EA025B" w:rsidRPr="00AA0F82" w:rsidRDefault="00EA025B" w:rsidP="00EA025B">
            <w:pPr>
              <w:ind w:left="720" w:hanging="557"/>
              <w:contextualSpacing/>
              <w:jc w:val="right"/>
              <w:rPr>
                <w:rFonts w:cstheme="minorHAnsi"/>
                <w:highlight w:val="yellow"/>
              </w:rPr>
            </w:pPr>
          </w:p>
        </w:tc>
        <w:tc>
          <w:tcPr>
            <w:tcW w:w="1640" w:type="dxa"/>
            <w:tcBorders>
              <w:top w:val="single" w:sz="4" w:space="0" w:color="auto"/>
              <w:left w:val="single" w:sz="4" w:space="0" w:color="auto"/>
              <w:bottom w:val="nil"/>
              <w:right w:val="single" w:sz="4" w:space="0" w:color="auto"/>
            </w:tcBorders>
          </w:tcPr>
          <w:p w14:paraId="536C8BE1" w14:textId="77777777" w:rsidR="00EA025B" w:rsidRPr="00AA0F82" w:rsidRDefault="00EA025B" w:rsidP="00EA025B">
            <w:pPr>
              <w:ind w:left="720" w:hanging="557"/>
              <w:contextualSpacing/>
              <w:jc w:val="right"/>
              <w:rPr>
                <w:rFonts w:cstheme="minorHAnsi"/>
                <w:highlight w:val="yellow"/>
              </w:rPr>
            </w:pPr>
          </w:p>
        </w:tc>
      </w:tr>
      <w:tr w:rsidR="00EA025B" w:rsidRPr="00AA0F82" w14:paraId="7137381A" w14:textId="77777777">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5D0E41B0" w14:textId="2A926CF6" w:rsidR="00EA025B" w:rsidRPr="008326C8" w:rsidRDefault="00EA025B" w:rsidP="00EA025B">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Hispanic or Latino</w:t>
            </w:r>
          </w:p>
        </w:tc>
        <w:tc>
          <w:tcPr>
            <w:tcW w:w="1639" w:type="dxa"/>
            <w:tcBorders>
              <w:top w:val="nil"/>
              <w:left w:val="single" w:sz="4" w:space="0" w:color="auto"/>
              <w:bottom w:val="nil"/>
              <w:right w:val="single" w:sz="4" w:space="0" w:color="auto"/>
            </w:tcBorders>
          </w:tcPr>
          <w:p w14:paraId="06FAD1D6" w14:textId="5EEEE40A" w:rsidR="00EA025B" w:rsidRPr="006D3F8D" w:rsidRDefault="00EA025B" w:rsidP="00EA025B">
            <w:pPr>
              <w:ind w:left="720" w:hanging="557"/>
              <w:contextualSpacing/>
              <w:jc w:val="right"/>
              <w:rPr>
                <w:rFonts w:cstheme="minorHAnsi"/>
                <w:sz w:val="24"/>
                <w:szCs w:val="24"/>
                <w:highlight w:val="yellow"/>
              </w:rPr>
            </w:pPr>
            <w:r w:rsidRPr="006D3F8D">
              <w:rPr>
                <w:rFonts w:cstheme="minorHAnsi"/>
                <w:color w:val="000000"/>
                <w:sz w:val="24"/>
                <w:szCs w:val="24"/>
              </w:rPr>
              <w:t>3.8%</w:t>
            </w:r>
          </w:p>
        </w:tc>
        <w:tc>
          <w:tcPr>
            <w:tcW w:w="1639" w:type="dxa"/>
            <w:tcBorders>
              <w:top w:val="nil"/>
              <w:left w:val="single" w:sz="4" w:space="0" w:color="auto"/>
              <w:bottom w:val="nil"/>
              <w:right w:val="single" w:sz="4" w:space="0" w:color="auto"/>
            </w:tcBorders>
          </w:tcPr>
          <w:p w14:paraId="5F50AA80" w14:textId="21889ED6" w:rsidR="00EA025B" w:rsidRPr="00C54DC6" w:rsidRDefault="00EA025B" w:rsidP="00EA025B">
            <w:pPr>
              <w:ind w:left="720" w:hanging="557"/>
              <w:contextualSpacing/>
              <w:jc w:val="right"/>
              <w:rPr>
                <w:rFonts w:cstheme="minorHAnsi"/>
                <w:sz w:val="24"/>
                <w:szCs w:val="24"/>
              </w:rPr>
            </w:pPr>
            <w:r w:rsidRPr="00C54DC6">
              <w:rPr>
                <w:rFonts w:cstheme="minorHAnsi"/>
                <w:color w:val="000000"/>
                <w:sz w:val="24"/>
                <w:szCs w:val="24"/>
              </w:rPr>
              <w:t>1.88%</w:t>
            </w:r>
          </w:p>
        </w:tc>
        <w:tc>
          <w:tcPr>
            <w:tcW w:w="1640" w:type="dxa"/>
            <w:tcBorders>
              <w:top w:val="nil"/>
              <w:left w:val="single" w:sz="4" w:space="0" w:color="auto"/>
              <w:bottom w:val="nil"/>
              <w:right w:val="single" w:sz="4" w:space="0" w:color="auto"/>
            </w:tcBorders>
            <w:vAlign w:val="center"/>
          </w:tcPr>
          <w:p w14:paraId="34A9CD56" w14:textId="36DF90E0" w:rsidR="00EA025B" w:rsidRPr="00E51013" w:rsidRDefault="00EA025B" w:rsidP="00EA025B">
            <w:pPr>
              <w:ind w:left="720" w:hanging="557"/>
              <w:contextualSpacing/>
              <w:jc w:val="right"/>
              <w:rPr>
                <w:rFonts w:cstheme="minorHAnsi"/>
                <w:sz w:val="24"/>
                <w:szCs w:val="24"/>
              </w:rPr>
            </w:pPr>
            <w:r w:rsidRPr="00E51013">
              <w:rPr>
                <w:rFonts w:eastAsia="Times New Roman" w:cstheme="minorHAnsi"/>
                <w:color w:val="000000"/>
                <w:sz w:val="24"/>
                <w:szCs w:val="24"/>
              </w:rPr>
              <w:t>3.54%</w:t>
            </w:r>
          </w:p>
        </w:tc>
      </w:tr>
      <w:tr w:rsidR="00EA025B" w:rsidRPr="00AA0F82" w14:paraId="5C2D12B6" w14:textId="77777777">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64D23B03" w14:textId="2BACC691" w:rsidR="00EA025B" w:rsidRPr="008326C8" w:rsidRDefault="00EA025B" w:rsidP="00EA025B">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Not Hispanic or Latino</w:t>
            </w:r>
          </w:p>
        </w:tc>
        <w:tc>
          <w:tcPr>
            <w:tcW w:w="1639" w:type="dxa"/>
            <w:tcBorders>
              <w:top w:val="nil"/>
              <w:left w:val="single" w:sz="4" w:space="0" w:color="auto"/>
              <w:bottom w:val="nil"/>
              <w:right w:val="single" w:sz="4" w:space="0" w:color="auto"/>
            </w:tcBorders>
          </w:tcPr>
          <w:p w14:paraId="702ECC09" w14:textId="0DAF35CB" w:rsidR="00EA025B" w:rsidRPr="006D3F8D" w:rsidRDefault="00EA025B" w:rsidP="00EA025B">
            <w:pPr>
              <w:ind w:left="720" w:hanging="557"/>
              <w:contextualSpacing/>
              <w:jc w:val="right"/>
              <w:rPr>
                <w:rFonts w:cstheme="minorHAnsi"/>
                <w:sz w:val="24"/>
                <w:szCs w:val="24"/>
                <w:highlight w:val="yellow"/>
              </w:rPr>
            </w:pPr>
            <w:r w:rsidRPr="006D3F8D">
              <w:rPr>
                <w:rFonts w:cstheme="minorHAnsi"/>
                <w:color w:val="000000"/>
                <w:sz w:val="24"/>
                <w:szCs w:val="24"/>
              </w:rPr>
              <w:t>88.8%</w:t>
            </w:r>
          </w:p>
        </w:tc>
        <w:tc>
          <w:tcPr>
            <w:tcW w:w="1639" w:type="dxa"/>
            <w:tcBorders>
              <w:top w:val="nil"/>
              <w:left w:val="single" w:sz="4" w:space="0" w:color="auto"/>
              <w:bottom w:val="nil"/>
              <w:right w:val="single" w:sz="4" w:space="0" w:color="auto"/>
            </w:tcBorders>
          </w:tcPr>
          <w:p w14:paraId="4E566F54" w14:textId="11424E4A" w:rsidR="00EA025B" w:rsidRPr="00C54DC6" w:rsidRDefault="00EA025B" w:rsidP="00EA025B">
            <w:pPr>
              <w:ind w:left="720" w:hanging="557"/>
              <w:contextualSpacing/>
              <w:jc w:val="right"/>
              <w:rPr>
                <w:rFonts w:cstheme="minorHAnsi"/>
                <w:sz w:val="24"/>
                <w:szCs w:val="24"/>
              </w:rPr>
            </w:pPr>
            <w:r w:rsidRPr="00C54DC6">
              <w:rPr>
                <w:rFonts w:cstheme="minorHAnsi"/>
                <w:color w:val="000000"/>
                <w:sz w:val="24"/>
                <w:szCs w:val="24"/>
              </w:rPr>
              <w:t>87.10%</w:t>
            </w:r>
          </w:p>
        </w:tc>
        <w:tc>
          <w:tcPr>
            <w:tcW w:w="1640" w:type="dxa"/>
            <w:tcBorders>
              <w:top w:val="nil"/>
              <w:left w:val="single" w:sz="4" w:space="0" w:color="auto"/>
              <w:bottom w:val="nil"/>
              <w:right w:val="single" w:sz="4" w:space="0" w:color="auto"/>
            </w:tcBorders>
            <w:vAlign w:val="center"/>
          </w:tcPr>
          <w:p w14:paraId="64F9BF4E" w14:textId="39C5BC44" w:rsidR="00EA025B" w:rsidRPr="00E51013" w:rsidRDefault="00EA025B" w:rsidP="00EA025B">
            <w:pPr>
              <w:ind w:left="720" w:hanging="557"/>
              <w:contextualSpacing/>
              <w:jc w:val="right"/>
              <w:rPr>
                <w:rFonts w:cstheme="minorHAnsi"/>
                <w:sz w:val="24"/>
                <w:szCs w:val="24"/>
              </w:rPr>
            </w:pPr>
            <w:r w:rsidRPr="00E51013">
              <w:rPr>
                <w:rFonts w:cstheme="minorHAnsi"/>
                <w:color w:val="000000"/>
                <w:sz w:val="24"/>
                <w:szCs w:val="24"/>
              </w:rPr>
              <w:t>91.42%</w:t>
            </w:r>
          </w:p>
        </w:tc>
      </w:tr>
      <w:tr w:rsidR="00EA025B" w:rsidRPr="00AA0F82" w14:paraId="2FD4E417" w14:textId="77777777">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1FFACF28" w14:textId="40F5E5A1" w:rsidR="00EA025B" w:rsidRPr="008326C8" w:rsidRDefault="00EA025B" w:rsidP="00EA025B">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Other</w:t>
            </w:r>
          </w:p>
        </w:tc>
        <w:tc>
          <w:tcPr>
            <w:tcW w:w="1639" w:type="dxa"/>
            <w:tcBorders>
              <w:top w:val="nil"/>
              <w:left w:val="single" w:sz="4" w:space="0" w:color="auto"/>
              <w:bottom w:val="nil"/>
              <w:right w:val="single" w:sz="4" w:space="0" w:color="auto"/>
            </w:tcBorders>
          </w:tcPr>
          <w:p w14:paraId="73E9F0B1" w14:textId="15AF5E47" w:rsidR="00EA025B" w:rsidRPr="006D3F8D" w:rsidRDefault="00EA025B" w:rsidP="00EA025B">
            <w:pPr>
              <w:ind w:left="720" w:hanging="557"/>
              <w:contextualSpacing/>
              <w:jc w:val="right"/>
              <w:rPr>
                <w:rFonts w:cstheme="minorHAnsi"/>
                <w:sz w:val="24"/>
                <w:szCs w:val="24"/>
                <w:highlight w:val="yellow"/>
              </w:rPr>
            </w:pPr>
            <w:r w:rsidRPr="006D3F8D">
              <w:rPr>
                <w:rFonts w:cstheme="minorHAnsi"/>
                <w:color w:val="000000"/>
                <w:sz w:val="24"/>
                <w:szCs w:val="24"/>
              </w:rPr>
              <w:t>2.2%</w:t>
            </w:r>
          </w:p>
        </w:tc>
        <w:tc>
          <w:tcPr>
            <w:tcW w:w="1639" w:type="dxa"/>
            <w:tcBorders>
              <w:top w:val="nil"/>
              <w:left w:val="single" w:sz="4" w:space="0" w:color="auto"/>
              <w:bottom w:val="nil"/>
              <w:right w:val="single" w:sz="4" w:space="0" w:color="auto"/>
            </w:tcBorders>
          </w:tcPr>
          <w:p w14:paraId="70C3BB39" w14:textId="66FB9F8F" w:rsidR="00EA025B" w:rsidRPr="00C54DC6" w:rsidRDefault="00EA025B" w:rsidP="00EA025B">
            <w:pPr>
              <w:ind w:left="720" w:hanging="557"/>
              <w:contextualSpacing/>
              <w:jc w:val="right"/>
              <w:rPr>
                <w:rFonts w:cstheme="minorHAnsi"/>
                <w:sz w:val="24"/>
                <w:szCs w:val="24"/>
              </w:rPr>
            </w:pPr>
            <w:r w:rsidRPr="00C54DC6">
              <w:rPr>
                <w:rFonts w:cstheme="minorHAnsi"/>
                <w:sz w:val="24"/>
                <w:szCs w:val="24"/>
              </w:rPr>
              <w:t>0.0%</w:t>
            </w:r>
          </w:p>
        </w:tc>
        <w:tc>
          <w:tcPr>
            <w:tcW w:w="1640" w:type="dxa"/>
            <w:tcBorders>
              <w:top w:val="nil"/>
              <w:left w:val="single" w:sz="4" w:space="0" w:color="auto"/>
              <w:bottom w:val="nil"/>
              <w:right w:val="single" w:sz="4" w:space="0" w:color="auto"/>
            </w:tcBorders>
            <w:vAlign w:val="center"/>
          </w:tcPr>
          <w:p w14:paraId="1FF25C8A" w14:textId="1F198A1F" w:rsidR="00EA025B" w:rsidRPr="00E51013" w:rsidRDefault="00EA025B" w:rsidP="00EA025B">
            <w:pPr>
              <w:ind w:left="720" w:hanging="557"/>
              <w:contextualSpacing/>
              <w:jc w:val="right"/>
              <w:rPr>
                <w:rFonts w:cstheme="minorHAnsi"/>
                <w:sz w:val="24"/>
                <w:szCs w:val="24"/>
              </w:rPr>
            </w:pPr>
            <w:r w:rsidRPr="00E51013">
              <w:rPr>
                <w:rFonts w:cstheme="minorHAnsi"/>
                <w:sz w:val="24"/>
                <w:szCs w:val="24"/>
              </w:rPr>
              <w:t>0.0%</w:t>
            </w:r>
          </w:p>
        </w:tc>
      </w:tr>
      <w:tr w:rsidR="00EA025B" w:rsidRPr="00AA0F82" w14:paraId="57A34499" w14:textId="77777777">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048CC592" w14:textId="36D6E869" w:rsidR="00EA025B" w:rsidRPr="008326C8" w:rsidRDefault="00EA025B" w:rsidP="00EA025B">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Unknown</w:t>
            </w:r>
          </w:p>
        </w:tc>
        <w:tc>
          <w:tcPr>
            <w:tcW w:w="1639" w:type="dxa"/>
            <w:tcBorders>
              <w:top w:val="nil"/>
              <w:left w:val="single" w:sz="4" w:space="0" w:color="auto"/>
              <w:bottom w:val="nil"/>
              <w:right w:val="single" w:sz="4" w:space="0" w:color="auto"/>
            </w:tcBorders>
          </w:tcPr>
          <w:p w14:paraId="2784364D" w14:textId="03C07FBF" w:rsidR="00EA025B" w:rsidRPr="006D3F8D" w:rsidRDefault="00EA025B" w:rsidP="00EA025B">
            <w:pPr>
              <w:ind w:left="720" w:hanging="557"/>
              <w:contextualSpacing/>
              <w:jc w:val="right"/>
              <w:rPr>
                <w:rFonts w:cstheme="minorHAnsi"/>
                <w:sz w:val="24"/>
                <w:szCs w:val="24"/>
                <w:highlight w:val="yellow"/>
              </w:rPr>
            </w:pPr>
            <w:r w:rsidRPr="006D3F8D">
              <w:rPr>
                <w:rFonts w:cstheme="minorHAnsi"/>
                <w:color w:val="000000"/>
                <w:sz w:val="24"/>
                <w:szCs w:val="24"/>
              </w:rPr>
              <w:t>4.8%</w:t>
            </w:r>
          </w:p>
        </w:tc>
        <w:tc>
          <w:tcPr>
            <w:tcW w:w="1639" w:type="dxa"/>
            <w:tcBorders>
              <w:top w:val="nil"/>
              <w:left w:val="single" w:sz="4" w:space="0" w:color="auto"/>
              <w:bottom w:val="nil"/>
              <w:right w:val="single" w:sz="4" w:space="0" w:color="auto"/>
            </w:tcBorders>
          </w:tcPr>
          <w:p w14:paraId="1623EDA9" w14:textId="0DD1410D" w:rsidR="00EA025B" w:rsidRPr="00C54DC6" w:rsidRDefault="00EA025B" w:rsidP="00EA025B">
            <w:pPr>
              <w:ind w:left="720" w:hanging="557"/>
              <w:contextualSpacing/>
              <w:jc w:val="right"/>
              <w:rPr>
                <w:rFonts w:cstheme="minorHAnsi"/>
                <w:sz w:val="24"/>
                <w:szCs w:val="24"/>
              </w:rPr>
            </w:pPr>
            <w:r w:rsidRPr="00C54DC6">
              <w:rPr>
                <w:rFonts w:cstheme="minorHAnsi"/>
                <w:color w:val="000000"/>
                <w:sz w:val="24"/>
                <w:szCs w:val="24"/>
              </w:rPr>
              <w:t>11.02%</w:t>
            </w:r>
          </w:p>
        </w:tc>
        <w:tc>
          <w:tcPr>
            <w:tcW w:w="1640" w:type="dxa"/>
            <w:tcBorders>
              <w:top w:val="nil"/>
              <w:left w:val="single" w:sz="4" w:space="0" w:color="auto"/>
              <w:bottom w:val="nil"/>
              <w:right w:val="single" w:sz="4" w:space="0" w:color="auto"/>
            </w:tcBorders>
            <w:vAlign w:val="center"/>
          </w:tcPr>
          <w:p w14:paraId="7B611D05" w14:textId="3B2921AB" w:rsidR="00EA025B" w:rsidRPr="00E51013" w:rsidRDefault="00EA025B" w:rsidP="00EA025B">
            <w:pPr>
              <w:ind w:left="720" w:hanging="557"/>
              <w:contextualSpacing/>
              <w:jc w:val="right"/>
              <w:rPr>
                <w:rFonts w:cstheme="minorHAnsi"/>
                <w:sz w:val="24"/>
                <w:szCs w:val="24"/>
              </w:rPr>
            </w:pPr>
            <w:r w:rsidRPr="00E51013">
              <w:rPr>
                <w:rFonts w:cstheme="minorHAnsi"/>
                <w:color w:val="000000"/>
                <w:sz w:val="24"/>
                <w:szCs w:val="24"/>
              </w:rPr>
              <w:t>5.04%</w:t>
            </w:r>
          </w:p>
        </w:tc>
      </w:tr>
      <w:tr w:rsidR="00EA025B" w:rsidRPr="00AA0F82" w14:paraId="00A8E845" w14:textId="77777777">
        <w:trPr>
          <w:cantSplit/>
          <w:trHeight w:val="144"/>
          <w:jc w:val="center"/>
        </w:trPr>
        <w:tc>
          <w:tcPr>
            <w:tcW w:w="4432" w:type="dxa"/>
            <w:tcBorders>
              <w:top w:val="nil"/>
              <w:left w:val="single" w:sz="4" w:space="0" w:color="auto"/>
              <w:bottom w:val="nil"/>
              <w:right w:val="single" w:sz="4" w:space="0" w:color="auto"/>
            </w:tcBorders>
            <w:shd w:val="clear" w:color="auto" w:fill="auto"/>
            <w:vAlign w:val="bottom"/>
          </w:tcPr>
          <w:p w14:paraId="5FB9A76A" w14:textId="1AEB9B95" w:rsidR="00EA025B" w:rsidRPr="008326C8" w:rsidRDefault="00EA025B" w:rsidP="00EA025B">
            <w:pPr>
              <w:contextualSpacing/>
              <w:rPr>
                <w:rFonts w:eastAsia="Calibri" w:cstheme="minorHAnsi"/>
                <w:b/>
                <w:sz w:val="24"/>
                <w:szCs w:val="24"/>
              </w:rPr>
            </w:pPr>
            <w:r>
              <w:rPr>
                <w:rFonts w:cstheme="minorHAnsi"/>
                <w:color w:val="000000"/>
                <w:sz w:val="24"/>
                <w:szCs w:val="24"/>
              </w:rPr>
              <w:t xml:space="preserve">   </w:t>
            </w:r>
            <w:r w:rsidRPr="008326C8">
              <w:rPr>
                <w:rFonts w:cstheme="minorHAnsi"/>
                <w:color w:val="000000"/>
                <w:sz w:val="24"/>
                <w:szCs w:val="24"/>
              </w:rPr>
              <w:t>Patient Declined</w:t>
            </w:r>
          </w:p>
        </w:tc>
        <w:tc>
          <w:tcPr>
            <w:tcW w:w="1639" w:type="dxa"/>
            <w:tcBorders>
              <w:top w:val="nil"/>
              <w:left w:val="single" w:sz="4" w:space="0" w:color="auto"/>
              <w:bottom w:val="nil"/>
              <w:right w:val="single" w:sz="4" w:space="0" w:color="auto"/>
            </w:tcBorders>
          </w:tcPr>
          <w:p w14:paraId="7058791A" w14:textId="0AF16D79" w:rsidR="00EA025B" w:rsidRPr="006D3F8D" w:rsidRDefault="00EA025B" w:rsidP="00EA025B">
            <w:pPr>
              <w:ind w:left="720" w:hanging="557"/>
              <w:contextualSpacing/>
              <w:jc w:val="right"/>
              <w:rPr>
                <w:rFonts w:cstheme="minorHAnsi"/>
                <w:sz w:val="24"/>
                <w:szCs w:val="24"/>
                <w:highlight w:val="yellow"/>
              </w:rPr>
            </w:pPr>
            <w:r w:rsidRPr="006D3F8D">
              <w:rPr>
                <w:rFonts w:cstheme="minorHAnsi"/>
                <w:color w:val="000000"/>
                <w:sz w:val="24"/>
                <w:szCs w:val="24"/>
              </w:rPr>
              <w:t>0.4%</w:t>
            </w:r>
          </w:p>
        </w:tc>
        <w:tc>
          <w:tcPr>
            <w:tcW w:w="1639" w:type="dxa"/>
            <w:tcBorders>
              <w:top w:val="nil"/>
              <w:left w:val="single" w:sz="4" w:space="0" w:color="auto"/>
              <w:bottom w:val="nil"/>
              <w:right w:val="single" w:sz="4" w:space="0" w:color="auto"/>
            </w:tcBorders>
          </w:tcPr>
          <w:p w14:paraId="0D2AD45B" w14:textId="37858C2A" w:rsidR="00EA025B" w:rsidRPr="00C54DC6" w:rsidRDefault="00EA025B" w:rsidP="00EA025B">
            <w:pPr>
              <w:ind w:left="720" w:hanging="557"/>
              <w:contextualSpacing/>
              <w:jc w:val="right"/>
              <w:rPr>
                <w:rFonts w:cstheme="minorHAnsi"/>
                <w:sz w:val="24"/>
                <w:szCs w:val="24"/>
              </w:rPr>
            </w:pPr>
            <w:r w:rsidRPr="00C54DC6">
              <w:rPr>
                <w:rFonts w:cstheme="minorHAnsi"/>
                <w:sz w:val="24"/>
                <w:szCs w:val="24"/>
              </w:rPr>
              <w:t>0.0%</w:t>
            </w:r>
          </w:p>
        </w:tc>
        <w:tc>
          <w:tcPr>
            <w:tcW w:w="1640" w:type="dxa"/>
            <w:tcBorders>
              <w:top w:val="nil"/>
              <w:left w:val="single" w:sz="4" w:space="0" w:color="auto"/>
              <w:bottom w:val="nil"/>
              <w:right w:val="single" w:sz="4" w:space="0" w:color="auto"/>
            </w:tcBorders>
          </w:tcPr>
          <w:p w14:paraId="3F216EEA" w14:textId="7F87EA99" w:rsidR="00EA025B" w:rsidRPr="00E51013" w:rsidRDefault="00EA025B" w:rsidP="00EA025B">
            <w:pPr>
              <w:ind w:left="720" w:hanging="557"/>
              <w:contextualSpacing/>
              <w:jc w:val="right"/>
              <w:rPr>
                <w:rFonts w:cstheme="minorHAnsi"/>
                <w:sz w:val="24"/>
                <w:szCs w:val="24"/>
              </w:rPr>
            </w:pPr>
            <w:r w:rsidRPr="00E51013">
              <w:rPr>
                <w:rFonts w:cstheme="minorHAnsi"/>
                <w:sz w:val="24"/>
                <w:szCs w:val="24"/>
              </w:rPr>
              <w:t>0.0%</w:t>
            </w:r>
          </w:p>
        </w:tc>
      </w:tr>
      <w:tr w:rsidR="00EA025B" w:rsidRPr="00AA0F82" w14:paraId="4BA3A17C" w14:textId="77777777">
        <w:trPr>
          <w:cantSplit/>
          <w:trHeight w:val="144"/>
          <w:jc w:val="center"/>
        </w:trPr>
        <w:tc>
          <w:tcPr>
            <w:tcW w:w="4432" w:type="dxa"/>
            <w:tcBorders>
              <w:top w:val="nil"/>
              <w:left w:val="single" w:sz="4" w:space="0" w:color="auto"/>
              <w:bottom w:val="single" w:sz="4" w:space="0" w:color="auto"/>
              <w:right w:val="single" w:sz="4" w:space="0" w:color="auto"/>
            </w:tcBorders>
            <w:shd w:val="clear" w:color="auto" w:fill="auto"/>
          </w:tcPr>
          <w:p w14:paraId="41390CCD" w14:textId="2A5B75E7" w:rsidR="00EA025B" w:rsidRPr="00D82CD0" w:rsidRDefault="00EA025B" w:rsidP="00EA025B">
            <w:pPr>
              <w:contextualSpacing/>
              <w:rPr>
                <w:rFonts w:eastAsia="Calibri" w:cstheme="minorHAnsi"/>
                <w:b/>
              </w:rPr>
            </w:pPr>
            <w:r>
              <w:rPr>
                <w:rFonts w:eastAsia="Calibri" w:cstheme="minorHAnsi"/>
                <w:b/>
              </w:rPr>
              <w:t xml:space="preserve">   Total</w:t>
            </w:r>
          </w:p>
        </w:tc>
        <w:tc>
          <w:tcPr>
            <w:tcW w:w="1639" w:type="dxa"/>
            <w:tcBorders>
              <w:top w:val="nil"/>
              <w:left w:val="single" w:sz="4" w:space="0" w:color="auto"/>
              <w:bottom w:val="single" w:sz="4" w:space="0" w:color="auto"/>
              <w:right w:val="single" w:sz="4" w:space="0" w:color="auto"/>
            </w:tcBorders>
            <w:vAlign w:val="center"/>
          </w:tcPr>
          <w:p w14:paraId="44ACDBF4" w14:textId="2BD0733D" w:rsidR="00EA025B" w:rsidRPr="00AA0F82" w:rsidRDefault="00EA025B" w:rsidP="00EA025B">
            <w:pPr>
              <w:ind w:left="720" w:hanging="557"/>
              <w:contextualSpacing/>
              <w:jc w:val="right"/>
              <w:rPr>
                <w:rFonts w:cstheme="minorHAnsi"/>
                <w:highlight w:val="yellow"/>
              </w:rPr>
            </w:pPr>
            <w:r w:rsidRPr="00F000A9">
              <w:rPr>
                <w:rFonts w:cstheme="minorHAnsi"/>
                <w:b/>
                <w:bCs/>
                <w:color w:val="000000"/>
              </w:rPr>
              <w:t>100.0%</w:t>
            </w:r>
          </w:p>
        </w:tc>
        <w:tc>
          <w:tcPr>
            <w:tcW w:w="1639" w:type="dxa"/>
            <w:tcBorders>
              <w:top w:val="nil"/>
              <w:left w:val="single" w:sz="4" w:space="0" w:color="auto"/>
              <w:bottom w:val="single" w:sz="4" w:space="0" w:color="auto"/>
              <w:right w:val="single" w:sz="4" w:space="0" w:color="auto"/>
            </w:tcBorders>
          </w:tcPr>
          <w:p w14:paraId="367F046C" w14:textId="76E1A3CE" w:rsidR="00EA025B" w:rsidRPr="00AA0F82" w:rsidRDefault="00EA025B" w:rsidP="00EA025B">
            <w:pPr>
              <w:ind w:left="720" w:hanging="557"/>
              <w:contextualSpacing/>
              <w:jc w:val="right"/>
              <w:rPr>
                <w:rFonts w:cstheme="minorHAnsi"/>
                <w:highlight w:val="yellow"/>
              </w:rPr>
            </w:pPr>
            <w:r w:rsidRPr="00F000A9">
              <w:rPr>
                <w:rFonts w:cstheme="minorHAnsi"/>
                <w:b/>
                <w:bCs/>
                <w:color w:val="000000"/>
              </w:rPr>
              <w:t>100.0%</w:t>
            </w:r>
          </w:p>
        </w:tc>
        <w:tc>
          <w:tcPr>
            <w:tcW w:w="1640" w:type="dxa"/>
            <w:tcBorders>
              <w:top w:val="nil"/>
              <w:left w:val="single" w:sz="4" w:space="0" w:color="auto"/>
              <w:bottom w:val="single" w:sz="4" w:space="0" w:color="auto"/>
              <w:right w:val="single" w:sz="4" w:space="0" w:color="auto"/>
            </w:tcBorders>
          </w:tcPr>
          <w:p w14:paraId="41D96279" w14:textId="4955FBF7" w:rsidR="00EA025B" w:rsidRPr="00AA0F82" w:rsidRDefault="00EA025B" w:rsidP="00EA025B">
            <w:pPr>
              <w:ind w:left="720" w:hanging="557"/>
              <w:contextualSpacing/>
              <w:jc w:val="right"/>
              <w:rPr>
                <w:rFonts w:cstheme="minorHAnsi"/>
                <w:highlight w:val="yellow"/>
              </w:rPr>
            </w:pPr>
            <w:r w:rsidRPr="00F000A9">
              <w:rPr>
                <w:rFonts w:cstheme="minorHAnsi"/>
                <w:b/>
                <w:bCs/>
                <w:color w:val="000000"/>
              </w:rPr>
              <w:t>100.0%</w:t>
            </w:r>
          </w:p>
        </w:tc>
      </w:tr>
      <w:tr w:rsidR="00EA025B" w:rsidRPr="00AA0F82" w14:paraId="568D2565" w14:textId="685C4C20" w:rsidTr="009025EC">
        <w:trPr>
          <w:cantSplit/>
          <w:trHeight w:val="144"/>
          <w:jc w:val="center"/>
        </w:trPr>
        <w:tc>
          <w:tcPr>
            <w:tcW w:w="4432" w:type="dxa"/>
            <w:tcBorders>
              <w:top w:val="single" w:sz="4" w:space="0" w:color="auto"/>
              <w:left w:val="single" w:sz="4" w:space="0" w:color="auto"/>
              <w:bottom w:val="nil"/>
              <w:right w:val="single" w:sz="4" w:space="0" w:color="auto"/>
            </w:tcBorders>
            <w:shd w:val="clear" w:color="auto" w:fill="auto"/>
          </w:tcPr>
          <w:p w14:paraId="5379FFEE" w14:textId="1A89054D" w:rsidR="00EA025B" w:rsidRPr="00D82CD0" w:rsidRDefault="00EA025B" w:rsidP="00EA025B">
            <w:pPr>
              <w:contextualSpacing/>
              <w:rPr>
                <w:rFonts w:cstheme="minorHAnsi"/>
                <w:color w:val="000000"/>
              </w:rPr>
            </w:pPr>
            <w:r w:rsidRPr="00D82CD0">
              <w:rPr>
                <w:rFonts w:eastAsia="Calibri" w:cstheme="minorHAnsi"/>
                <w:b/>
              </w:rPr>
              <w:t>Payer Mix</w:t>
            </w:r>
          </w:p>
        </w:tc>
        <w:tc>
          <w:tcPr>
            <w:tcW w:w="1639" w:type="dxa"/>
            <w:tcBorders>
              <w:top w:val="single" w:sz="4" w:space="0" w:color="auto"/>
              <w:left w:val="single" w:sz="4" w:space="0" w:color="auto"/>
              <w:bottom w:val="nil"/>
              <w:right w:val="single" w:sz="4" w:space="0" w:color="auto"/>
            </w:tcBorders>
          </w:tcPr>
          <w:p w14:paraId="0A5C2A00" w14:textId="0FD63CC1" w:rsidR="00EA025B" w:rsidRPr="00AA0F82" w:rsidRDefault="00EA025B" w:rsidP="00EA025B">
            <w:pPr>
              <w:ind w:left="720" w:hanging="557"/>
              <w:contextualSpacing/>
              <w:jc w:val="right"/>
              <w:rPr>
                <w:rFonts w:cstheme="minorHAnsi"/>
                <w:highlight w:val="yellow"/>
              </w:rPr>
            </w:pPr>
          </w:p>
        </w:tc>
        <w:tc>
          <w:tcPr>
            <w:tcW w:w="1639" w:type="dxa"/>
            <w:tcBorders>
              <w:top w:val="single" w:sz="4" w:space="0" w:color="auto"/>
              <w:left w:val="single" w:sz="4" w:space="0" w:color="auto"/>
              <w:bottom w:val="nil"/>
              <w:right w:val="single" w:sz="4" w:space="0" w:color="auto"/>
            </w:tcBorders>
          </w:tcPr>
          <w:p w14:paraId="2AF1DC85" w14:textId="77777777" w:rsidR="00EA025B" w:rsidRPr="00AA0F82" w:rsidRDefault="00EA025B" w:rsidP="00EA025B">
            <w:pPr>
              <w:ind w:left="720" w:hanging="557"/>
              <w:contextualSpacing/>
              <w:jc w:val="right"/>
              <w:rPr>
                <w:rFonts w:cstheme="minorHAnsi"/>
                <w:highlight w:val="yellow"/>
              </w:rPr>
            </w:pPr>
          </w:p>
        </w:tc>
        <w:tc>
          <w:tcPr>
            <w:tcW w:w="1640" w:type="dxa"/>
            <w:tcBorders>
              <w:top w:val="single" w:sz="4" w:space="0" w:color="auto"/>
              <w:left w:val="single" w:sz="4" w:space="0" w:color="auto"/>
              <w:bottom w:val="nil"/>
              <w:right w:val="single" w:sz="4" w:space="0" w:color="auto"/>
            </w:tcBorders>
          </w:tcPr>
          <w:p w14:paraId="37E168CD" w14:textId="77777777" w:rsidR="00EA025B" w:rsidRPr="00AA0F82" w:rsidRDefault="00EA025B" w:rsidP="00EA025B">
            <w:pPr>
              <w:ind w:left="720" w:hanging="557"/>
              <w:contextualSpacing/>
              <w:jc w:val="right"/>
              <w:rPr>
                <w:rFonts w:cstheme="minorHAnsi"/>
                <w:highlight w:val="yellow"/>
              </w:rPr>
            </w:pPr>
          </w:p>
        </w:tc>
      </w:tr>
      <w:tr w:rsidR="00EA025B" w:rsidRPr="00AA0F82" w14:paraId="24B05433" w14:textId="354DF561">
        <w:trPr>
          <w:cantSplit/>
          <w:trHeight w:val="144"/>
          <w:jc w:val="center"/>
        </w:trPr>
        <w:tc>
          <w:tcPr>
            <w:tcW w:w="4432" w:type="dxa"/>
            <w:tcBorders>
              <w:top w:val="nil"/>
              <w:left w:val="single" w:sz="4" w:space="0" w:color="auto"/>
              <w:bottom w:val="nil"/>
              <w:right w:val="single" w:sz="4" w:space="0" w:color="auto"/>
            </w:tcBorders>
            <w:shd w:val="clear" w:color="auto" w:fill="auto"/>
            <w:vAlign w:val="center"/>
          </w:tcPr>
          <w:p w14:paraId="7FE06F66" w14:textId="6D38FF1C" w:rsidR="00EA025B" w:rsidRPr="00BC0E2E" w:rsidRDefault="00EA025B" w:rsidP="00EA025B">
            <w:pPr>
              <w:ind w:left="720" w:hanging="557"/>
              <w:contextualSpacing/>
              <w:rPr>
                <w:rFonts w:cstheme="minorHAnsi"/>
                <w:color w:val="000000"/>
                <w:sz w:val="24"/>
                <w:szCs w:val="24"/>
              </w:rPr>
            </w:pPr>
            <w:r w:rsidRPr="00BC0E2E">
              <w:rPr>
                <w:rFonts w:eastAsia="Times New Roman" w:cstheme="minorHAnsi"/>
                <w:color w:val="000000"/>
                <w:sz w:val="24"/>
                <w:szCs w:val="24"/>
              </w:rPr>
              <w:t>Commercial</w:t>
            </w:r>
          </w:p>
        </w:tc>
        <w:tc>
          <w:tcPr>
            <w:tcW w:w="1639" w:type="dxa"/>
            <w:tcBorders>
              <w:top w:val="nil"/>
              <w:left w:val="single" w:sz="4" w:space="0" w:color="auto"/>
              <w:bottom w:val="nil"/>
              <w:right w:val="single" w:sz="4" w:space="0" w:color="auto"/>
            </w:tcBorders>
          </w:tcPr>
          <w:p w14:paraId="601EA8D8" w14:textId="7D584A63" w:rsidR="00EA025B" w:rsidRPr="000772F2" w:rsidRDefault="00EA025B" w:rsidP="00EA025B">
            <w:pPr>
              <w:ind w:left="720" w:hanging="557"/>
              <w:contextualSpacing/>
              <w:jc w:val="right"/>
              <w:rPr>
                <w:rFonts w:cstheme="minorHAnsi"/>
                <w:sz w:val="24"/>
                <w:szCs w:val="24"/>
                <w:highlight w:val="yellow"/>
              </w:rPr>
            </w:pPr>
            <w:r w:rsidRPr="000772F2">
              <w:rPr>
                <w:rFonts w:cstheme="minorHAnsi"/>
                <w:color w:val="000000"/>
                <w:sz w:val="24"/>
                <w:szCs w:val="24"/>
              </w:rPr>
              <w:t>50.5%</w:t>
            </w:r>
          </w:p>
        </w:tc>
        <w:tc>
          <w:tcPr>
            <w:tcW w:w="1639" w:type="dxa"/>
            <w:tcBorders>
              <w:top w:val="nil"/>
              <w:left w:val="single" w:sz="4" w:space="0" w:color="auto"/>
              <w:bottom w:val="nil"/>
              <w:right w:val="single" w:sz="4" w:space="0" w:color="auto"/>
            </w:tcBorders>
          </w:tcPr>
          <w:p w14:paraId="746DB5C3" w14:textId="427EA6CA" w:rsidR="00EA025B" w:rsidRPr="00B04C4C" w:rsidRDefault="00EA025B" w:rsidP="00EA025B">
            <w:pPr>
              <w:ind w:left="720" w:hanging="557"/>
              <w:contextualSpacing/>
              <w:jc w:val="right"/>
              <w:rPr>
                <w:rFonts w:eastAsia="Times New Roman" w:cstheme="minorHAnsi"/>
                <w:color w:val="000000"/>
                <w:sz w:val="24"/>
                <w:szCs w:val="24"/>
                <w:highlight w:val="yellow"/>
              </w:rPr>
            </w:pPr>
            <w:r w:rsidRPr="00B04C4C">
              <w:rPr>
                <w:rFonts w:cstheme="minorHAnsi"/>
                <w:color w:val="000000"/>
                <w:sz w:val="24"/>
                <w:szCs w:val="24"/>
              </w:rPr>
              <w:t>40.3%</w:t>
            </w:r>
          </w:p>
        </w:tc>
        <w:tc>
          <w:tcPr>
            <w:tcW w:w="1640" w:type="dxa"/>
            <w:tcBorders>
              <w:top w:val="nil"/>
              <w:left w:val="single" w:sz="4" w:space="0" w:color="auto"/>
              <w:bottom w:val="nil"/>
              <w:right w:val="single" w:sz="4" w:space="0" w:color="auto"/>
            </w:tcBorders>
          </w:tcPr>
          <w:p w14:paraId="0ACB4E94" w14:textId="390BA26A" w:rsidR="00EA025B" w:rsidRPr="00EE3A0D" w:rsidRDefault="00EA025B" w:rsidP="00EA025B">
            <w:pPr>
              <w:ind w:left="720" w:hanging="557"/>
              <w:contextualSpacing/>
              <w:jc w:val="right"/>
              <w:rPr>
                <w:rFonts w:eastAsia="Times New Roman" w:cstheme="minorHAnsi"/>
                <w:color w:val="000000"/>
                <w:sz w:val="24"/>
                <w:szCs w:val="24"/>
                <w:highlight w:val="yellow"/>
              </w:rPr>
            </w:pPr>
            <w:r w:rsidRPr="00EE3A0D">
              <w:rPr>
                <w:rFonts w:cstheme="minorHAnsi"/>
                <w:color w:val="000000"/>
                <w:sz w:val="24"/>
                <w:szCs w:val="24"/>
              </w:rPr>
              <w:t>34.0%</w:t>
            </w:r>
          </w:p>
        </w:tc>
      </w:tr>
      <w:tr w:rsidR="00EA025B" w:rsidRPr="00AA0F82" w14:paraId="4214478C" w14:textId="2C43E5CC">
        <w:trPr>
          <w:cantSplit/>
          <w:trHeight w:val="144"/>
          <w:jc w:val="center"/>
        </w:trPr>
        <w:tc>
          <w:tcPr>
            <w:tcW w:w="4432" w:type="dxa"/>
            <w:tcBorders>
              <w:top w:val="nil"/>
              <w:left w:val="single" w:sz="4" w:space="0" w:color="auto"/>
              <w:bottom w:val="nil"/>
              <w:right w:val="single" w:sz="4" w:space="0" w:color="auto"/>
            </w:tcBorders>
            <w:shd w:val="clear" w:color="auto" w:fill="auto"/>
            <w:vAlign w:val="center"/>
          </w:tcPr>
          <w:p w14:paraId="1B9AE4D9" w14:textId="6BABFAB8" w:rsidR="00EA025B" w:rsidRPr="00BC0E2E" w:rsidRDefault="00EA025B" w:rsidP="00EA025B">
            <w:pPr>
              <w:ind w:left="720" w:hanging="557"/>
              <w:contextualSpacing/>
              <w:rPr>
                <w:rFonts w:cstheme="minorHAnsi"/>
                <w:b/>
                <w:bCs/>
                <w:sz w:val="24"/>
                <w:szCs w:val="24"/>
              </w:rPr>
            </w:pPr>
            <w:r w:rsidRPr="00BC0E2E">
              <w:rPr>
                <w:rFonts w:eastAsia="Times New Roman" w:cstheme="minorHAnsi"/>
                <w:color w:val="000000"/>
                <w:sz w:val="24"/>
                <w:szCs w:val="24"/>
              </w:rPr>
              <w:t>Medicaid</w:t>
            </w:r>
          </w:p>
        </w:tc>
        <w:tc>
          <w:tcPr>
            <w:tcW w:w="1639" w:type="dxa"/>
            <w:tcBorders>
              <w:top w:val="nil"/>
              <w:left w:val="single" w:sz="4" w:space="0" w:color="auto"/>
              <w:bottom w:val="nil"/>
              <w:right w:val="single" w:sz="4" w:space="0" w:color="auto"/>
            </w:tcBorders>
          </w:tcPr>
          <w:p w14:paraId="204A14C7" w14:textId="5B0D811F" w:rsidR="00EA025B" w:rsidRPr="000772F2" w:rsidRDefault="00EA025B" w:rsidP="00EA025B">
            <w:pPr>
              <w:jc w:val="right"/>
              <w:rPr>
                <w:rFonts w:cstheme="minorHAnsi"/>
                <w:b/>
                <w:bCs/>
                <w:color w:val="000000"/>
                <w:sz w:val="24"/>
                <w:szCs w:val="24"/>
                <w:highlight w:val="yellow"/>
              </w:rPr>
            </w:pPr>
            <w:r w:rsidRPr="000772F2">
              <w:rPr>
                <w:rFonts w:cstheme="minorHAnsi"/>
                <w:color w:val="000000"/>
                <w:sz w:val="24"/>
                <w:szCs w:val="24"/>
              </w:rPr>
              <w:t>16.1%</w:t>
            </w:r>
          </w:p>
        </w:tc>
        <w:tc>
          <w:tcPr>
            <w:tcW w:w="1639" w:type="dxa"/>
            <w:tcBorders>
              <w:top w:val="nil"/>
              <w:left w:val="single" w:sz="4" w:space="0" w:color="auto"/>
              <w:bottom w:val="nil"/>
              <w:right w:val="single" w:sz="4" w:space="0" w:color="auto"/>
            </w:tcBorders>
          </w:tcPr>
          <w:p w14:paraId="44DE22E0" w14:textId="0FD159BE" w:rsidR="00EA025B" w:rsidRPr="00B04C4C" w:rsidRDefault="00EA025B" w:rsidP="00EA025B">
            <w:pPr>
              <w:jc w:val="right"/>
              <w:rPr>
                <w:rFonts w:eastAsia="Times New Roman" w:cstheme="minorHAnsi"/>
                <w:color w:val="000000"/>
                <w:sz w:val="24"/>
                <w:szCs w:val="24"/>
                <w:highlight w:val="yellow"/>
              </w:rPr>
            </w:pPr>
            <w:r w:rsidRPr="00B04C4C">
              <w:rPr>
                <w:rFonts w:cstheme="minorHAnsi"/>
                <w:color w:val="000000"/>
                <w:sz w:val="24"/>
                <w:szCs w:val="24"/>
              </w:rPr>
              <w:t>17.7%</w:t>
            </w:r>
          </w:p>
        </w:tc>
        <w:tc>
          <w:tcPr>
            <w:tcW w:w="1640" w:type="dxa"/>
            <w:tcBorders>
              <w:top w:val="nil"/>
              <w:left w:val="single" w:sz="4" w:space="0" w:color="auto"/>
              <w:bottom w:val="nil"/>
              <w:right w:val="single" w:sz="4" w:space="0" w:color="auto"/>
            </w:tcBorders>
          </w:tcPr>
          <w:p w14:paraId="43D39C20" w14:textId="0E629E71" w:rsidR="00EA025B" w:rsidRPr="00EE3A0D" w:rsidRDefault="00EA025B" w:rsidP="00EA025B">
            <w:pPr>
              <w:jc w:val="right"/>
              <w:rPr>
                <w:rFonts w:eastAsia="Times New Roman" w:cstheme="minorHAnsi"/>
                <w:color w:val="000000"/>
                <w:sz w:val="24"/>
                <w:szCs w:val="24"/>
                <w:highlight w:val="yellow"/>
              </w:rPr>
            </w:pPr>
            <w:r w:rsidRPr="00EE3A0D">
              <w:rPr>
                <w:rFonts w:cstheme="minorHAnsi"/>
                <w:sz w:val="24"/>
                <w:szCs w:val="24"/>
              </w:rPr>
              <w:t>23.4%</w:t>
            </w:r>
          </w:p>
        </w:tc>
      </w:tr>
      <w:tr w:rsidR="00EA025B" w:rsidRPr="00AA0F82" w14:paraId="2A423D6A" w14:textId="17EEB21E">
        <w:trPr>
          <w:cantSplit/>
          <w:trHeight w:val="144"/>
          <w:jc w:val="center"/>
        </w:trPr>
        <w:tc>
          <w:tcPr>
            <w:tcW w:w="4432" w:type="dxa"/>
            <w:tcBorders>
              <w:top w:val="nil"/>
              <w:left w:val="single" w:sz="4" w:space="0" w:color="auto"/>
              <w:bottom w:val="nil"/>
              <w:right w:val="single" w:sz="4" w:space="0" w:color="auto"/>
            </w:tcBorders>
            <w:shd w:val="clear" w:color="auto" w:fill="auto"/>
            <w:vAlign w:val="center"/>
          </w:tcPr>
          <w:p w14:paraId="1F09980F" w14:textId="6A38DFC8" w:rsidR="00EA025B" w:rsidRPr="00BC0E2E" w:rsidRDefault="00EA025B" w:rsidP="00EA025B">
            <w:pPr>
              <w:contextualSpacing/>
              <w:rPr>
                <w:rFonts w:eastAsia="Calibri" w:cstheme="minorHAnsi"/>
                <w:b/>
                <w:sz w:val="24"/>
                <w:szCs w:val="24"/>
              </w:rPr>
            </w:pPr>
            <w:r>
              <w:rPr>
                <w:rFonts w:eastAsia="Times New Roman" w:cstheme="minorHAnsi"/>
                <w:color w:val="000000"/>
                <w:sz w:val="24"/>
                <w:szCs w:val="24"/>
              </w:rPr>
              <w:t xml:space="preserve">   </w:t>
            </w:r>
            <w:r w:rsidRPr="00BC0E2E">
              <w:rPr>
                <w:rFonts w:eastAsia="Times New Roman" w:cstheme="minorHAnsi"/>
                <w:color w:val="000000"/>
                <w:sz w:val="24"/>
                <w:szCs w:val="24"/>
              </w:rPr>
              <w:t>Medicare</w:t>
            </w:r>
          </w:p>
        </w:tc>
        <w:tc>
          <w:tcPr>
            <w:tcW w:w="1639" w:type="dxa"/>
            <w:tcBorders>
              <w:top w:val="nil"/>
              <w:left w:val="single" w:sz="4" w:space="0" w:color="auto"/>
              <w:bottom w:val="nil"/>
              <w:right w:val="single" w:sz="4" w:space="0" w:color="auto"/>
            </w:tcBorders>
          </w:tcPr>
          <w:p w14:paraId="4E1B34E4" w14:textId="75305A84" w:rsidR="00EA025B" w:rsidRPr="000772F2" w:rsidRDefault="00EA025B" w:rsidP="00EA025B">
            <w:pPr>
              <w:jc w:val="right"/>
              <w:rPr>
                <w:rFonts w:eastAsia="Calibri" w:cstheme="minorHAnsi"/>
                <w:bCs/>
                <w:sz w:val="24"/>
                <w:szCs w:val="24"/>
                <w:highlight w:val="yellow"/>
              </w:rPr>
            </w:pPr>
            <w:r w:rsidRPr="000772F2">
              <w:rPr>
                <w:rFonts w:cstheme="minorHAnsi"/>
                <w:color w:val="000000"/>
                <w:sz w:val="24"/>
                <w:szCs w:val="24"/>
              </w:rPr>
              <w:t>30.0%</w:t>
            </w:r>
          </w:p>
        </w:tc>
        <w:tc>
          <w:tcPr>
            <w:tcW w:w="1639" w:type="dxa"/>
            <w:tcBorders>
              <w:top w:val="nil"/>
              <w:left w:val="single" w:sz="4" w:space="0" w:color="auto"/>
              <w:bottom w:val="nil"/>
              <w:right w:val="single" w:sz="4" w:space="0" w:color="auto"/>
            </w:tcBorders>
          </w:tcPr>
          <w:p w14:paraId="1FEE3089" w14:textId="6D6C9700" w:rsidR="00EA025B" w:rsidRPr="00B04C4C" w:rsidRDefault="00EA025B" w:rsidP="00EA025B">
            <w:pPr>
              <w:jc w:val="right"/>
              <w:rPr>
                <w:rFonts w:eastAsia="Times New Roman" w:cstheme="minorHAnsi"/>
                <w:color w:val="000000"/>
                <w:sz w:val="24"/>
                <w:szCs w:val="24"/>
                <w:highlight w:val="yellow"/>
              </w:rPr>
            </w:pPr>
            <w:r w:rsidRPr="00B04C4C">
              <w:rPr>
                <w:rFonts w:cstheme="minorHAnsi"/>
                <w:color w:val="000000"/>
                <w:sz w:val="24"/>
                <w:szCs w:val="24"/>
              </w:rPr>
              <w:t>34.1%</w:t>
            </w:r>
          </w:p>
        </w:tc>
        <w:tc>
          <w:tcPr>
            <w:tcW w:w="1640" w:type="dxa"/>
            <w:tcBorders>
              <w:top w:val="nil"/>
              <w:left w:val="single" w:sz="4" w:space="0" w:color="auto"/>
              <w:bottom w:val="nil"/>
              <w:right w:val="single" w:sz="4" w:space="0" w:color="auto"/>
            </w:tcBorders>
          </w:tcPr>
          <w:p w14:paraId="3B33F51A" w14:textId="78651809" w:rsidR="00EA025B" w:rsidRPr="00EE3A0D" w:rsidRDefault="00EA025B" w:rsidP="00EA025B">
            <w:pPr>
              <w:jc w:val="right"/>
              <w:rPr>
                <w:rFonts w:eastAsia="Times New Roman" w:cstheme="minorHAnsi"/>
                <w:color w:val="000000"/>
                <w:sz w:val="24"/>
                <w:szCs w:val="24"/>
                <w:highlight w:val="yellow"/>
              </w:rPr>
            </w:pPr>
            <w:r w:rsidRPr="00EE3A0D">
              <w:rPr>
                <w:rFonts w:cstheme="minorHAnsi"/>
                <w:sz w:val="24"/>
                <w:szCs w:val="24"/>
              </w:rPr>
              <w:t>36.0%</w:t>
            </w:r>
          </w:p>
        </w:tc>
      </w:tr>
      <w:tr w:rsidR="00EA025B" w:rsidRPr="00AA0F82" w14:paraId="7A439DEE" w14:textId="65DAEC63">
        <w:trPr>
          <w:cantSplit/>
          <w:trHeight w:val="144"/>
          <w:jc w:val="center"/>
        </w:trPr>
        <w:tc>
          <w:tcPr>
            <w:tcW w:w="4432" w:type="dxa"/>
            <w:tcBorders>
              <w:top w:val="nil"/>
              <w:left w:val="single" w:sz="4" w:space="0" w:color="auto"/>
              <w:bottom w:val="nil"/>
              <w:right w:val="single" w:sz="4" w:space="0" w:color="auto"/>
            </w:tcBorders>
            <w:shd w:val="clear" w:color="auto" w:fill="auto"/>
            <w:vAlign w:val="center"/>
          </w:tcPr>
          <w:p w14:paraId="4A3AE532" w14:textId="09BA2B45" w:rsidR="00EA025B" w:rsidRPr="00BC0E2E" w:rsidRDefault="00EA025B" w:rsidP="00EA025B">
            <w:pPr>
              <w:contextualSpacing/>
              <w:rPr>
                <w:rFonts w:eastAsia="Calibri" w:cstheme="minorHAnsi"/>
                <w:b/>
                <w:sz w:val="24"/>
                <w:szCs w:val="24"/>
              </w:rPr>
            </w:pPr>
            <w:r>
              <w:rPr>
                <w:rFonts w:eastAsia="Times New Roman" w:cstheme="minorHAnsi"/>
                <w:color w:val="000000"/>
                <w:sz w:val="24"/>
                <w:szCs w:val="24"/>
              </w:rPr>
              <w:t xml:space="preserve">   </w:t>
            </w:r>
            <w:r w:rsidRPr="00BC0E2E">
              <w:rPr>
                <w:rFonts w:eastAsia="Times New Roman" w:cstheme="minorHAnsi"/>
                <w:color w:val="000000"/>
                <w:sz w:val="24"/>
                <w:szCs w:val="24"/>
              </w:rPr>
              <w:t>Other</w:t>
            </w:r>
            <w:r w:rsidRPr="00BC0E2E">
              <w:rPr>
                <w:rStyle w:val="FootnoteReference"/>
                <w:rFonts w:eastAsia="Times New Roman" w:cstheme="minorHAnsi"/>
                <w:color w:val="000000"/>
                <w:sz w:val="24"/>
                <w:szCs w:val="24"/>
              </w:rPr>
              <w:footnoteReference w:id="12"/>
            </w:r>
          </w:p>
        </w:tc>
        <w:tc>
          <w:tcPr>
            <w:tcW w:w="1639" w:type="dxa"/>
            <w:tcBorders>
              <w:top w:val="nil"/>
              <w:left w:val="single" w:sz="4" w:space="0" w:color="auto"/>
              <w:bottom w:val="nil"/>
              <w:right w:val="single" w:sz="4" w:space="0" w:color="auto"/>
            </w:tcBorders>
          </w:tcPr>
          <w:p w14:paraId="50779943" w14:textId="712F83B7" w:rsidR="00EA025B" w:rsidRPr="000772F2" w:rsidRDefault="00EA025B" w:rsidP="00EA025B">
            <w:pPr>
              <w:ind w:left="720" w:hanging="557"/>
              <w:contextualSpacing/>
              <w:jc w:val="right"/>
              <w:rPr>
                <w:rFonts w:cstheme="minorHAnsi"/>
                <w:sz w:val="24"/>
                <w:szCs w:val="24"/>
                <w:highlight w:val="yellow"/>
              </w:rPr>
            </w:pPr>
            <w:r w:rsidRPr="000772F2">
              <w:rPr>
                <w:rFonts w:cstheme="minorHAnsi"/>
                <w:color w:val="000000"/>
                <w:sz w:val="24"/>
                <w:szCs w:val="24"/>
              </w:rPr>
              <w:t>3.3%</w:t>
            </w:r>
          </w:p>
        </w:tc>
        <w:tc>
          <w:tcPr>
            <w:tcW w:w="1639" w:type="dxa"/>
            <w:tcBorders>
              <w:top w:val="nil"/>
              <w:left w:val="single" w:sz="4" w:space="0" w:color="auto"/>
              <w:bottom w:val="nil"/>
              <w:right w:val="single" w:sz="4" w:space="0" w:color="auto"/>
            </w:tcBorders>
          </w:tcPr>
          <w:p w14:paraId="28B675F8" w14:textId="79E9D80D" w:rsidR="00EA025B" w:rsidRPr="00B04C4C" w:rsidRDefault="00EA025B" w:rsidP="00EA025B">
            <w:pPr>
              <w:ind w:left="720" w:hanging="557"/>
              <w:contextualSpacing/>
              <w:jc w:val="right"/>
              <w:rPr>
                <w:rFonts w:eastAsia="Times New Roman" w:cstheme="minorHAnsi"/>
                <w:color w:val="000000"/>
                <w:sz w:val="24"/>
                <w:szCs w:val="24"/>
                <w:highlight w:val="yellow"/>
              </w:rPr>
            </w:pPr>
            <w:r w:rsidRPr="00B04C4C">
              <w:rPr>
                <w:rFonts w:cstheme="minorHAnsi"/>
                <w:color w:val="000000"/>
                <w:sz w:val="24"/>
                <w:szCs w:val="24"/>
              </w:rPr>
              <w:t>7.9%</w:t>
            </w:r>
          </w:p>
        </w:tc>
        <w:tc>
          <w:tcPr>
            <w:tcW w:w="1640" w:type="dxa"/>
            <w:tcBorders>
              <w:top w:val="nil"/>
              <w:left w:val="single" w:sz="4" w:space="0" w:color="auto"/>
              <w:bottom w:val="nil"/>
              <w:right w:val="single" w:sz="4" w:space="0" w:color="auto"/>
            </w:tcBorders>
          </w:tcPr>
          <w:p w14:paraId="1AAB78D8" w14:textId="5957F9F1" w:rsidR="00EA025B" w:rsidRPr="00EE3A0D" w:rsidRDefault="00EA025B" w:rsidP="00EA025B">
            <w:pPr>
              <w:ind w:left="720" w:hanging="557"/>
              <w:contextualSpacing/>
              <w:jc w:val="right"/>
              <w:rPr>
                <w:rFonts w:eastAsia="Times New Roman" w:cstheme="minorHAnsi"/>
                <w:color w:val="000000"/>
                <w:sz w:val="24"/>
                <w:szCs w:val="24"/>
                <w:highlight w:val="yellow"/>
              </w:rPr>
            </w:pPr>
            <w:r w:rsidRPr="00EE3A0D">
              <w:rPr>
                <w:rFonts w:cstheme="minorHAnsi"/>
                <w:sz w:val="24"/>
                <w:szCs w:val="24"/>
              </w:rPr>
              <w:t>6.6%</w:t>
            </w:r>
          </w:p>
        </w:tc>
      </w:tr>
      <w:tr w:rsidR="00EA025B" w:rsidRPr="00AA0F82" w14:paraId="633284C0" w14:textId="0867C9E9">
        <w:trPr>
          <w:cantSplit/>
          <w:trHeight w:val="144"/>
          <w:jc w:val="center"/>
        </w:trPr>
        <w:tc>
          <w:tcPr>
            <w:tcW w:w="4432" w:type="dxa"/>
            <w:tcBorders>
              <w:top w:val="nil"/>
              <w:left w:val="single" w:sz="4" w:space="0" w:color="auto"/>
              <w:bottom w:val="nil"/>
              <w:right w:val="single" w:sz="4" w:space="0" w:color="auto"/>
            </w:tcBorders>
            <w:shd w:val="clear" w:color="auto" w:fill="auto"/>
            <w:vAlign w:val="center"/>
          </w:tcPr>
          <w:p w14:paraId="0F0EACA0" w14:textId="77A41656" w:rsidR="00EA025B" w:rsidRPr="00BC0E2E" w:rsidRDefault="00EA025B" w:rsidP="00EA025B">
            <w:pPr>
              <w:contextualSpacing/>
              <w:rPr>
                <w:rFonts w:eastAsia="Calibri" w:cstheme="minorHAnsi"/>
                <w:b/>
                <w:sz w:val="24"/>
                <w:szCs w:val="24"/>
              </w:rPr>
            </w:pPr>
            <w:r>
              <w:rPr>
                <w:rFonts w:eastAsia="Times New Roman" w:cstheme="minorHAnsi"/>
                <w:color w:val="000000"/>
                <w:sz w:val="24"/>
                <w:szCs w:val="24"/>
              </w:rPr>
              <w:t xml:space="preserve">   </w:t>
            </w:r>
            <w:r w:rsidRPr="00BC0E2E">
              <w:rPr>
                <w:rFonts w:eastAsia="Times New Roman" w:cstheme="minorHAnsi"/>
                <w:color w:val="000000"/>
                <w:sz w:val="24"/>
                <w:szCs w:val="24"/>
              </w:rPr>
              <w:t>Unknown</w:t>
            </w:r>
          </w:p>
        </w:tc>
        <w:tc>
          <w:tcPr>
            <w:tcW w:w="1639" w:type="dxa"/>
            <w:tcBorders>
              <w:top w:val="nil"/>
              <w:left w:val="single" w:sz="4" w:space="0" w:color="auto"/>
              <w:bottom w:val="nil"/>
              <w:right w:val="single" w:sz="4" w:space="0" w:color="auto"/>
            </w:tcBorders>
          </w:tcPr>
          <w:p w14:paraId="41011EA9" w14:textId="26FD2CAB" w:rsidR="00EA025B" w:rsidRPr="000772F2" w:rsidRDefault="00EA025B" w:rsidP="00EA025B">
            <w:pPr>
              <w:ind w:left="720" w:hanging="557"/>
              <w:contextualSpacing/>
              <w:jc w:val="right"/>
              <w:rPr>
                <w:rFonts w:cstheme="minorHAnsi"/>
                <w:sz w:val="24"/>
                <w:szCs w:val="24"/>
                <w:highlight w:val="yellow"/>
              </w:rPr>
            </w:pPr>
            <w:r w:rsidRPr="000772F2">
              <w:rPr>
                <w:rFonts w:cstheme="minorHAnsi"/>
                <w:color w:val="000000"/>
                <w:sz w:val="24"/>
                <w:szCs w:val="24"/>
              </w:rPr>
              <w:t>0.1%</w:t>
            </w:r>
          </w:p>
        </w:tc>
        <w:tc>
          <w:tcPr>
            <w:tcW w:w="1639" w:type="dxa"/>
            <w:tcBorders>
              <w:top w:val="nil"/>
              <w:left w:val="single" w:sz="4" w:space="0" w:color="auto"/>
              <w:bottom w:val="nil"/>
              <w:right w:val="single" w:sz="4" w:space="0" w:color="auto"/>
            </w:tcBorders>
          </w:tcPr>
          <w:p w14:paraId="71CE70BA" w14:textId="1B127112" w:rsidR="00EA025B" w:rsidRPr="00B04C4C" w:rsidRDefault="00EA025B" w:rsidP="00EA025B">
            <w:pPr>
              <w:ind w:left="720" w:hanging="557"/>
              <w:contextualSpacing/>
              <w:jc w:val="right"/>
              <w:rPr>
                <w:rFonts w:eastAsia="Times New Roman" w:cstheme="minorHAnsi"/>
                <w:color w:val="000000"/>
                <w:sz w:val="24"/>
                <w:szCs w:val="24"/>
                <w:highlight w:val="yellow"/>
              </w:rPr>
            </w:pPr>
            <w:r w:rsidRPr="00B04C4C">
              <w:rPr>
                <w:rFonts w:cstheme="minorHAnsi"/>
                <w:color w:val="000000"/>
                <w:sz w:val="24"/>
                <w:szCs w:val="24"/>
              </w:rPr>
              <w:t>0.1%</w:t>
            </w:r>
          </w:p>
        </w:tc>
        <w:tc>
          <w:tcPr>
            <w:tcW w:w="1640" w:type="dxa"/>
            <w:tcBorders>
              <w:top w:val="nil"/>
              <w:left w:val="single" w:sz="4" w:space="0" w:color="auto"/>
              <w:bottom w:val="nil"/>
              <w:right w:val="single" w:sz="4" w:space="0" w:color="auto"/>
            </w:tcBorders>
          </w:tcPr>
          <w:p w14:paraId="10B99616" w14:textId="1F1C8951" w:rsidR="00EA025B" w:rsidRPr="00EE3A0D" w:rsidRDefault="00EA025B" w:rsidP="00EA025B">
            <w:pPr>
              <w:ind w:left="720" w:hanging="557"/>
              <w:contextualSpacing/>
              <w:jc w:val="right"/>
              <w:rPr>
                <w:rFonts w:eastAsia="Times New Roman" w:cstheme="minorHAnsi"/>
                <w:color w:val="000000"/>
                <w:sz w:val="24"/>
                <w:szCs w:val="24"/>
                <w:highlight w:val="yellow"/>
              </w:rPr>
            </w:pPr>
            <w:r w:rsidRPr="00EE3A0D">
              <w:rPr>
                <w:rFonts w:cstheme="minorHAnsi"/>
                <w:sz w:val="24"/>
                <w:szCs w:val="24"/>
              </w:rPr>
              <w:t>0.0%</w:t>
            </w:r>
          </w:p>
        </w:tc>
      </w:tr>
      <w:tr w:rsidR="00EA025B" w:rsidRPr="00AA0F82" w14:paraId="120E1650" w14:textId="1104D2DA" w:rsidTr="00A911E9">
        <w:trPr>
          <w:cantSplit/>
          <w:trHeight w:val="144"/>
          <w:jc w:val="center"/>
        </w:trPr>
        <w:tc>
          <w:tcPr>
            <w:tcW w:w="4432" w:type="dxa"/>
            <w:tcBorders>
              <w:top w:val="nil"/>
              <w:left w:val="single" w:sz="4" w:space="0" w:color="auto"/>
              <w:bottom w:val="single" w:sz="4" w:space="0" w:color="auto"/>
              <w:right w:val="single" w:sz="4" w:space="0" w:color="auto"/>
            </w:tcBorders>
            <w:shd w:val="clear" w:color="auto" w:fill="auto"/>
          </w:tcPr>
          <w:p w14:paraId="32EE7E57" w14:textId="359FF221" w:rsidR="00EA025B" w:rsidRPr="00D82CD0" w:rsidRDefault="00EA025B" w:rsidP="00EA025B">
            <w:pPr>
              <w:contextualSpacing/>
              <w:rPr>
                <w:rFonts w:eastAsia="Calibri" w:cstheme="minorHAnsi"/>
                <w:b/>
              </w:rPr>
            </w:pPr>
            <w:r w:rsidRPr="00D82CD0">
              <w:rPr>
                <w:rFonts w:cstheme="minorHAnsi"/>
                <w:b/>
                <w:spacing w:val="-2"/>
              </w:rPr>
              <w:t xml:space="preserve">   Total</w:t>
            </w:r>
          </w:p>
        </w:tc>
        <w:tc>
          <w:tcPr>
            <w:tcW w:w="1639" w:type="dxa"/>
            <w:tcBorders>
              <w:top w:val="nil"/>
              <w:left w:val="single" w:sz="4" w:space="0" w:color="auto"/>
              <w:bottom w:val="single" w:sz="4" w:space="0" w:color="auto"/>
              <w:right w:val="single" w:sz="4" w:space="0" w:color="auto"/>
            </w:tcBorders>
          </w:tcPr>
          <w:p w14:paraId="0271AFAB" w14:textId="51FAEFDA" w:rsidR="00EA025B" w:rsidRPr="000772F2" w:rsidRDefault="00EA025B" w:rsidP="00EA025B">
            <w:pPr>
              <w:ind w:left="720" w:hanging="557"/>
              <w:contextualSpacing/>
              <w:jc w:val="right"/>
              <w:rPr>
                <w:rFonts w:cstheme="minorHAnsi"/>
              </w:rPr>
            </w:pPr>
            <w:r w:rsidRPr="000772F2">
              <w:rPr>
                <w:rFonts w:eastAsia="Calibri" w:cstheme="minorHAnsi"/>
                <w:b/>
              </w:rPr>
              <w:t>100.0%</w:t>
            </w:r>
          </w:p>
        </w:tc>
        <w:tc>
          <w:tcPr>
            <w:tcW w:w="1639" w:type="dxa"/>
            <w:tcBorders>
              <w:top w:val="nil"/>
              <w:left w:val="single" w:sz="4" w:space="0" w:color="auto"/>
              <w:bottom w:val="single" w:sz="4" w:space="0" w:color="auto"/>
              <w:right w:val="single" w:sz="4" w:space="0" w:color="auto"/>
            </w:tcBorders>
          </w:tcPr>
          <w:p w14:paraId="750C58D2" w14:textId="46E3F49B" w:rsidR="00EA025B" w:rsidRPr="000772F2" w:rsidRDefault="00EA025B" w:rsidP="00EA025B">
            <w:pPr>
              <w:ind w:left="720" w:hanging="557"/>
              <w:contextualSpacing/>
              <w:jc w:val="right"/>
              <w:rPr>
                <w:rFonts w:eastAsia="Calibri" w:cstheme="minorHAnsi"/>
                <w:b/>
              </w:rPr>
            </w:pPr>
            <w:r w:rsidRPr="000772F2">
              <w:rPr>
                <w:rFonts w:eastAsia="Calibri" w:cstheme="minorHAnsi"/>
                <w:b/>
              </w:rPr>
              <w:t>100.0%</w:t>
            </w:r>
          </w:p>
        </w:tc>
        <w:tc>
          <w:tcPr>
            <w:tcW w:w="1640" w:type="dxa"/>
            <w:tcBorders>
              <w:top w:val="nil"/>
              <w:left w:val="single" w:sz="4" w:space="0" w:color="auto"/>
              <w:bottom w:val="single" w:sz="4" w:space="0" w:color="auto"/>
              <w:right w:val="single" w:sz="4" w:space="0" w:color="auto"/>
            </w:tcBorders>
          </w:tcPr>
          <w:p w14:paraId="0119B32A" w14:textId="527FE7E2" w:rsidR="00EA025B" w:rsidRPr="00AA0F82" w:rsidRDefault="00EA025B" w:rsidP="00EA025B">
            <w:pPr>
              <w:ind w:left="720" w:hanging="557"/>
              <w:contextualSpacing/>
              <w:jc w:val="right"/>
              <w:rPr>
                <w:rFonts w:eastAsia="Calibri" w:cstheme="minorHAnsi"/>
                <w:b/>
                <w:highlight w:val="yellow"/>
              </w:rPr>
            </w:pPr>
            <w:r w:rsidRPr="000772F2">
              <w:rPr>
                <w:rFonts w:eastAsia="Calibri" w:cstheme="minorHAnsi"/>
                <w:b/>
              </w:rPr>
              <w:t>100.0%</w:t>
            </w:r>
          </w:p>
        </w:tc>
      </w:tr>
    </w:tbl>
    <w:p w14:paraId="20C809FB" w14:textId="7C74B5D9" w:rsidR="00B30C38" w:rsidRPr="00AA0F82" w:rsidRDefault="00B30C38" w:rsidP="0059582B">
      <w:pPr>
        <w:spacing w:after="0"/>
        <w:rPr>
          <w:highlight w:val="yellow"/>
        </w:rPr>
      </w:pPr>
    </w:p>
    <w:p w14:paraId="7CB25DC3" w14:textId="252294CA" w:rsidR="003E1CDA" w:rsidRPr="00FF76E0" w:rsidRDefault="003E1CDA" w:rsidP="002B05B4">
      <w:pPr>
        <w:pStyle w:val="Heading1"/>
      </w:pPr>
      <w:bookmarkStart w:id="5" w:name="_Toc181784902"/>
      <w:r w:rsidRPr="00FF76E0">
        <w:lastRenderedPageBreak/>
        <w:t>Factor 1: a) Patient Panel Need</w:t>
      </w:r>
      <w:bookmarkEnd w:id="5"/>
    </w:p>
    <w:p w14:paraId="7BFA4A99" w14:textId="2AF562BF" w:rsidR="00684D63" w:rsidRPr="00FF76E0" w:rsidRDefault="003535E8" w:rsidP="00D276EB">
      <w:pPr>
        <w:contextualSpacing/>
        <w:rPr>
          <w:rFonts w:eastAsia="Calibri" w:cstheme="minorHAnsi"/>
        </w:rPr>
      </w:pPr>
      <w:r w:rsidRPr="00FF76E0">
        <w:rPr>
          <w:sz w:val="24"/>
          <w:szCs w:val="24"/>
        </w:rPr>
        <w:t>In this section, staff assesses if the Applicant has sufficiently addressed Patient Panel need for the Proposed Project.</w:t>
      </w:r>
      <w:r w:rsidRPr="00FF76E0">
        <w:rPr>
          <w:rFonts w:eastAsia="Calibri" w:cstheme="minorHAnsi"/>
        </w:rPr>
        <w:t xml:space="preserve"> </w:t>
      </w:r>
      <w:r w:rsidR="00684D63" w:rsidRPr="00FF76E0">
        <w:rPr>
          <w:sz w:val="24"/>
          <w:szCs w:val="24"/>
        </w:rPr>
        <w:t>The Applicant attributes Patient Panel need for the Proposed Project to the following:</w:t>
      </w:r>
    </w:p>
    <w:p w14:paraId="6638E698" w14:textId="77777777" w:rsidR="00575025" w:rsidRPr="00FF76E0" w:rsidRDefault="00575025" w:rsidP="00575025">
      <w:pPr>
        <w:spacing w:after="0"/>
      </w:pPr>
    </w:p>
    <w:p w14:paraId="2FF33B9C" w14:textId="5122C13A" w:rsidR="00575025" w:rsidRDefault="00FF76E0" w:rsidP="00082D4A">
      <w:pPr>
        <w:pStyle w:val="ListParagraph"/>
        <w:numPr>
          <w:ilvl w:val="0"/>
          <w:numId w:val="2"/>
        </w:numPr>
        <w:spacing w:after="0"/>
        <w:rPr>
          <w:rFonts w:cstheme="minorHAnsi"/>
          <w:sz w:val="24"/>
          <w:szCs w:val="24"/>
        </w:rPr>
      </w:pPr>
      <w:r w:rsidRPr="00FF76E0">
        <w:rPr>
          <w:rFonts w:cstheme="minorHAnsi"/>
          <w:sz w:val="24"/>
          <w:szCs w:val="24"/>
        </w:rPr>
        <w:t xml:space="preserve">Emergency Department Consistently </w:t>
      </w:r>
      <w:r w:rsidR="00913E5F">
        <w:rPr>
          <w:rFonts w:cstheme="minorHAnsi"/>
          <w:sz w:val="24"/>
          <w:szCs w:val="24"/>
        </w:rPr>
        <w:t xml:space="preserve">Operating </w:t>
      </w:r>
      <w:r w:rsidRPr="00FF76E0">
        <w:rPr>
          <w:rFonts w:cstheme="minorHAnsi"/>
          <w:sz w:val="24"/>
          <w:szCs w:val="24"/>
        </w:rPr>
        <w:t>Over Capacity</w:t>
      </w:r>
    </w:p>
    <w:p w14:paraId="25C9F726" w14:textId="5C2989E6" w:rsidR="00DD4321" w:rsidRPr="00FF76E0" w:rsidRDefault="00DD4321" w:rsidP="00082D4A">
      <w:pPr>
        <w:pStyle w:val="ListParagraph"/>
        <w:numPr>
          <w:ilvl w:val="0"/>
          <w:numId w:val="2"/>
        </w:numPr>
        <w:spacing w:after="0"/>
        <w:rPr>
          <w:rFonts w:cstheme="minorHAnsi"/>
          <w:sz w:val="24"/>
          <w:szCs w:val="24"/>
        </w:rPr>
      </w:pPr>
      <w:r>
        <w:rPr>
          <w:rFonts w:cstheme="minorHAnsi"/>
          <w:sz w:val="24"/>
          <w:szCs w:val="24"/>
        </w:rPr>
        <w:t xml:space="preserve">Insufficient </w:t>
      </w:r>
      <w:r w:rsidR="00913E5F">
        <w:rPr>
          <w:rFonts w:cstheme="minorHAnsi"/>
          <w:sz w:val="24"/>
          <w:szCs w:val="24"/>
        </w:rPr>
        <w:t>Space for Behavioral Health Needs</w:t>
      </w:r>
    </w:p>
    <w:p w14:paraId="21429E80" w14:textId="0E07DB35" w:rsidR="00575025" w:rsidRPr="00FF76E0" w:rsidRDefault="00287860" w:rsidP="00082D4A">
      <w:pPr>
        <w:pStyle w:val="ListParagraph"/>
        <w:numPr>
          <w:ilvl w:val="0"/>
          <w:numId w:val="2"/>
        </w:numPr>
        <w:spacing w:after="0"/>
        <w:rPr>
          <w:rFonts w:cstheme="minorHAnsi"/>
          <w:sz w:val="24"/>
          <w:szCs w:val="24"/>
        </w:rPr>
      </w:pPr>
      <w:r w:rsidRPr="00FF76E0">
        <w:rPr>
          <w:rFonts w:cstheme="minorHAnsi"/>
          <w:sz w:val="24"/>
          <w:szCs w:val="24"/>
        </w:rPr>
        <w:t xml:space="preserve">Projected Increases in </w:t>
      </w:r>
      <w:r w:rsidR="00FF76E0" w:rsidRPr="00FF76E0">
        <w:rPr>
          <w:rFonts w:cstheme="minorHAnsi"/>
          <w:sz w:val="24"/>
          <w:szCs w:val="24"/>
        </w:rPr>
        <w:t>ED Utilization</w:t>
      </w:r>
    </w:p>
    <w:p w14:paraId="5F9F8DCD" w14:textId="77777777" w:rsidR="00575025" w:rsidRPr="00AA0F82" w:rsidRDefault="00575025" w:rsidP="00575025">
      <w:pPr>
        <w:spacing w:after="0"/>
        <w:rPr>
          <w:rFonts w:cstheme="minorHAnsi"/>
          <w:i/>
          <w:iCs/>
          <w:sz w:val="24"/>
          <w:szCs w:val="24"/>
          <w:highlight w:val="yellow"/>
        </w:rPr>
      </w:pPr>
    </w:p>
    <w:p w14:paraId="070FD55B" w14:textId="4DEC4299" w:rsidR="00575025" w:rsidRPr="00213C5C" w:rsidRDefault="00213C5C" w:rsidP="00082D4A">
      <w:pPr>
        <w:pStyle w:val="ListParagraph"/>
        <w:numPr>
          <w:ilvl w:val="0"/>
          <w:numId w:val="6"/>
        </w:numPr>
        <w:spacing w:after="0"/>
        <w:rPr>
          <w:rFonts w:cstheme="minorHAnsi"/>
          <w:b/>
          <w:bCs/>
          <w:i/>
          <w:iCs/>
          <w:sz w:val="24"/>
          <w:szCs w:val="24"/>
        </w:rPr>
      </w:pPr>
      <w:r w:rsidRPr="00213C5C">
        <w:rPr>
          <w:rFonts w:cstheme="minorHAnsi"/>
          <w:b/>
          <w:bCs/>
          <w:i/>
          <w:iCs/>
          <w:sz w:val="24"/>
          <w:szCs w:val="24"/>
        </w:rPr>
        <w:t>Emergency Department Consistently Operating Over Capacity</w:t>
      </w:r>
    </w:p>
    <w:p w14:paraId="03E0AC0A" w14:textId="534E738C" w:rsidR="00575025" w:rsidRDefault="0023652D" w:rsidP="00B50665">
      <w:pPr>
        <w:spacing w:after="0"/>
        <w:rPr>
          <w:sz w:val="24"/>
          <w:szCs w:val="24"/>
        </w:rPr>
      </w:pPr>
      <w:r w:rsidRPr="747D404F">
        <w:rPr>
          <w:sz w:val="24"/>
          <w:szCs w:val="24"/>
        </w:rPr>
        <w:t>BID-P’s Emergency Department was o</w:t>
      </w:r>
      <w:r w:rsidR="00B50665" w:rsidRPr="747D404F">
        <w:rPr>
          <w:sz w:val="24"/>
          <w:szCs w:val="24"/>
        </w:rPr>
        <w:t>riginally built more than 30 years ago in 1993</w:t>
      </w:r>
      <w:r w:rsidRPr="747D404F">
        <w:rPr>
          <w:sz w:val="24"/>
          <w:szCs w:val="24"/>
        </w:rPr>
        <w:t xml:space="preserve"> and</w:t>
      </w:r>
      <w:r w:rsidR="00B50665" w:rsidRPr="747D404F">
        <w:rPr>
          <w:sz w:val="24"/>
          <w:szCs w:val="24"/>
        </w:rPr>
        <w:t xml:space="preserve"> was designed to accommodate a volume </w:t>
      </w:r>
      <w:r w:rsidR="00470F0B" w:rsidRPr="747D404F">
        <w:rPr>
          <w:sz w:val="24"/>
          <w:szCs w:val="24"/>
        </w:rPr>
        <w:t xml:space="preserve">of approximately </w:t>
      </w:r>
      <w:r w:rsidR="00B50665" w:rsidRPr="747D404F">
        <w:rPr>
          <w:sz w:val="24"/>
          <w:szCs w:val="24"/>
        </w:rPr>
        <w:t>25,000 annual</w:t>
      </w:r>
      <w:r w:rsidR="00470F0B" w:rsidRPr="747D404F">
        <w:rPr>
          <w:sz w:val="24"/>
          <w:szCs w:val="24"/>
        </w:rPr>
        <w:t xml:space="preserve"> visits</w:t>
      </w:r>
      <w:r w:rsidR="00B50665" w:rsidRPr="747D404F">
        <w:rPr>
          <w:sz w:val="24"/>
          <w:szCs w:val="24"/>
        </w:rPr>
        <w:t xml:space="preserve">. In FY2023, BID-Plymouth </w:t>
      </w:r>
      <w:r w:rsidR="00AE25D5" w:rsidRPr="747D404F">
        <w:rPr>
          <w:sz w:val="24"/>
          <w:szCs w:val="24"/>
        </w:rPr>
        <w:t>ED saw</w:t>
      </w:r>
      <w:r w:rsidR="00B50665" w:rsidRPr="747D404F">
        <w:rPr>
          <w:sz w:val="24"/>
          <w:szCs w:val="24"/>
        </w:rPr>
        <w:t xml:space="preserve"> 43,609 </w:t>
      </w:r>
      <w:r w:rsidR="001438DE" w:rsidRPr="747D404F">
        <w:rPr>
          <w:sz w:val="24"/>
          <w:szCs w:val="24"/>
        </w:rPr>
        <w:t>visits</w:t>
      </w:r>
      <w:r w:rsidR="00B50665" w:rsidRPr="747D404F">
        <w:rPr>
          <w:sz w:val="24"/>
          <w:szCs w:val="24"/>
        </w:rPr>
        <w:t xml:space="preserve">, nearly 75% more </w:t>
      </w:r>
      <w:r w:rsidR="00DC513F">
        <w:rPr>
          <w:sz w:val="24"/>
          <w:szCs w:val="24"/>
        </w:rPr>
        <w:t>visits</w:t>
      </w:r>
      <w:r w:rsidR="00B50665" w:rsidRPr="747D404F">
        <w:rPr>
          <w:sz w:val="24"/>
          <w:szCs w:val="24"/>
        </w:rPr>
        <w:t xml:space="preserve"> than intended when the ED was designed.</w:t>
      </w:r>
      <w:r w:rsidR="00470F0B" w:rsidRPr="747D404F">
        <w:rPr>
          <w:sz w:val="24"/>
          <w:szCs w:val="24"/>
        </w:rPr>
        <w:t xml:space="preserve"> Table </w:t>
      </w:r>
      <w:r w:rsidR="001B0396" w:rsidRPr="747D404F">
        <w:rPr>
          <w:sz w:val="24"/>
          <w:szCs w:val="24"/>
        </w:rPr>
        <w:t>5</w:t>
      </w:r>
      <w:r w:rsidR="00470F0B" w:rsidRPr="747D404F">
        <w:rPr>
          <w:sz w:val="24"/>
          <w:szCs w:val="24"/>
        </w:rPr>
        <w:t xml:space="preserve"> </w:t>
      </w:r>
      <w:r w:rsidR="0049228E" w:rsidRPr="747D404F">
        <w:rPr>
          <w:sz w:val="24"/>
          <w:szCs w:val="24"/>
        </w:rPr>
        <w:t>demonstrates th</w:t>
      </w:r>
      <w:r w:rsidR="00625FFC" w:rsidRPr="747D404F">
        <w:rPr>
          <w:sz w:val="24"/>
          <w:szCs w:val="24"/>
        </w:rPr>
        <w:t xml:space="preserve">e consistent rise in ED volume </w:t>
      </w:r>
      <w:r w:rsidR="00E26617" w:rsidRPr="747D404F">
        <w:rPr>
          <w:sz w:val="24"/>
          <w:szCs w:val="24"/>
        </w:rPr>
        <w:t>over the past 5 years.</w:t>
      </w:r>
    </w:p>
    <w:p w14:paraId="43CEFCD5" w14:textId="77777777" w:rsidR="00AA6FE4" w:rsidRPr="00B50665" w:rsidRDefault="00AA6FE4" w:rsidP="00B50665">
      <w:pPr>
        <w:spacing w:after="0"/>
        <w:rPr>
          <w:rFonts w:cstheme="minorHAnsi"/>
          <w:sz w:val="24"/>
          <w:szCs w:val="24"/>
        </w:rPr>
      </w:pPr>
    </w:p>
    <w:p w14:paraId="247C7D8F" w14:textId="66C6931A" w:rsidR="00B50665" w:rsidRPr="00533673" w:rsidRDefault="00AA6FE4" w:rsidP="00AA6FE4">
      <w:pPr>
        <w:pStyle w:val="Caption"/>
        <w:spacing w:after="0"/>
        <w:contextualSpacing/>
        <w:jc w:val="center"/>
        <w:rPr>
          <w:rFonts w:cstheme="minorHAnsi"/>
          <w:color w:val="2F5496" w:themeColor="accent1" w:themeShade="BF"/>
          <w:sz w:val="24"/>
          <w:szCs w:val="24"/>
        </w:rPr>
      </w:pPr>
      <w:r w:rsidRPr="00533673">
        <w:rPr>
          <w:rFonts w:cstheme="minorHAnsi"/>
          <w:color w:val="2F5496" w:themeColor="accent1" w:themeShade="BF"/>
          <w:sz w:val="24"/>
          <w:szCs w:val="24"/>
          <w:u w:val="single"/>
        </w:rPr>
        <w:t xml:space="preserve">Table </w:t>
      </w:r>
      <w:r w:rsidR="001B0396">
        <w:rPr>
          <w:rFonts w:cstheme="minorHAnsi"/>
          <w:color w:val="2F5496" w:themeColor="accent1" w:themeShade="BF"/>
          <w:sz w:val="24"/>
          <w:szCs w:val="24"/>
          <w:u w:val="single"/>
        </w:rPr>
        <w:t>5</w:t>
      </w:r>
      <w:r w:rsidRPr="00533673">
        <w:rPr>
          <w:rFonts w:cstheme="minorHAnsi"/>
          <w:color w:val="2F5496" w:themeColor="accent1" w:themeShade="BF"/>
          <w:sz w:val="24"/>
          <w:szCs w:val="24"/>
        </w:rPr>
        <w:t xml:space="preserve"> – </w:t>
      </w:r>
      <w:r w:rsidR="00112F9C">
        <w:rPr>
          <w:rFonts w:cstheme="minorHAnsi"/>
          <w:color w:val="2F5496" w:themeColor="accent1" w:themeShade="BF"/>
          <w:sz w:val="24"/>
          <w:szCs w:val="24"/>
        </w:rPr>
        <w:t xml:space="preserve">Historical </w:t>
      </w:r>
      <w:r w:rsidRPr="00533673">
        <w:rPr>
          <w:rFonts w:cstheme="minorHAnsi"/>
          <w:color w:val="2F5496" w:themeColor="accent1" w:themeShade="BF"/>
          <w:sz w:val="24"/>
          <w:szCs w:val="24"/>
        </w:rPr>
        <w:t xml:space="preserve">BID-P Emergency Department </w:t>
      </w:r>
      <w:r w:rsidR="00112F9C">
        <w:rPr>
          <w:rFonts w:cstheme="minorHAnsi"/>
          <w:color w:val="2F5496" w:themeColor="accent1" w:themeShade="BF"/>
          <w:sz w:val="24"/>
          <w:szCs w:val="24"/>
        </w:rPr>
        <w:t>Volume</w:t>
      </w:r>
    </w:p>
    <w:tbl>
      <w:tblPr>
        <w:tblStyle w:val="TableGrid"/>
        <w:tblW w:w="9265" w:type="dxa"/>
        <w:tblLook w:val="04A0" w:firstRow="1" w:lastRow="0" w:firstColumn="1" w:lastColumn="0" w:noHBand="0" w:noVBand="1"/>
      </w:tblPr>
      <w:tblGrid>
        <w:gridCol w:w="1876"/>
        <w:gridCol w:w="1170"/>
        <w:gridCol w:w="1079"/>
        <w:gridCol w:w="1168"/>
        <w:gridCol w:w="1168"/>
        <w:gridCol w:w="1100"/>
        <w:gridCol w:w="1704"/>
      </w:tblGrid>
      <w:tr w:rsidR="00EA025B" w:rsidRPr="000D5ED1" w14:paraId="1274E375" w14:textId="77777777" w:rsidTr="00EA025B">
        <w:tc>
          <w:tcPr>
            <w:tcW w:w="1883" w:type="dxa"/>
            <w:shd w:val="clear" w:color="auto" w:fill="D9E2F3" w:themeFill="accent1" w:themeFillTint="33"/>
          </w:tcPr>
          <w:p w14:paraId="5E2E5A2E" w14:textId="236E589F" w:rsidR="00EA025B" w:rsidRPr="00533673" w:rsidRDefault="00EA025B">
            <w:pPr>
              <w:jc w:val="both"/>
              <w:rPr>
                <w:rFonts w:cstheme="minorHAnsi"/>
                <w:b/>
                <w:bCs/>
                <w:sz w:val="24"/>
                <w:szCs w:val="24"/>
              </w:rPr>
            </w:pPr>
          </w:p>
        </w:tc>
        <w:tc>
          <w:tcPr>
            <w:tcW w:w="1172" w:type="dxa"/>
            <w:shd w:val="clear" w:color="auto" w:fill="D9E2F3" w:themeFill="accent1" w:themeFillTint="33"/>
            <w:vAlign w:val="center"/>
          </w:tcPr>
          <w:p w14:paraId="33467712" w14:textId="77777777" w:rsidR="00EA025B" w:rsidRPr="00533673" w:rsidRDefault="00EA025B">
            <w:pPr>
              <w:jc w:val="center"/>
              <w:rPr>
                <w:rFonts w:cstheme="minorHAnsi"/>
                <w:sz w:val="24"/>
                <w:szCs w:val="24"/>
              </w:rPr>
            </w:pPr>
            <w:r w:rsidRPr="00533673">
              <w:rPr>
                <w:rFonts w:eastAsia="Times New Roman" w:cstheme="minorHAnsi"/>
                <w:b/>
                <w:bCs/>
                <w:color w:val="000000"/>
                <w:sz w:val="24"/>
                <w:szCs w:val="24"/>
              </w:rPr>
              <w:t>FY2020</w:t>
            </w:r>
          </w:p>
        </w:tc>
        <w:tc>
          <w:tcPr>
            <w:tcW w:w="1080" w:type="dxa"/>
            <w:shd w:val="clear" w:color="auto" w:fill="D9E2F3" w:themeFill="accent1" w:themeFillTint="33"/>
            <w:vAlign w:val="center"/>
          </w:tcPr>
          <w:p w14:paraId="3152B7A5" w14:textId="77777777" w:rsidR="00EA025B" w:rsidRPr="00533673" w:rsidRDefault="00EA025B">
            <w:pPr>
              <w:jc w:val="center"/>
              <w:rPr>
                <w:rFonts w:cstheme="minorHAnsi"/>
                <w:sz w:val="24"/>
                <w:szCs w:val="24"/>
              </w:rPr>
            </w:pPr>
            <w:r w:rsidRPr="00533673">
              <w:rPr>
                <w:rFonts w:eastAsia="Times New Roman" w:cstheme="minorHAnsi"/>
                <w:b/>
                <w:bCs/>
                <w:color w:val="000000"/>
                <w:sz w:val="24"/>
                <w:szCs w:val="24"/>
              </w:rPr>
              <w:t>FY2021</w:t>
            </w:r>
          </w:p>
        </w:tc>
        <w:tc>
          <w:tcPr>
            <w:tcW w:w="1170" w:type="dxa"/>
            <w:shd w:val="clear" w:color="auto" w:fill="D9E2F3" w:themeFill="accent1" w:themeFillTint="33"/>
            <w:vAlign w:val="center"/>
          </w:tcPr>
          <w:p w14:paraId="4D5C0111" w14:textId="77777777" w:rsidR="00EA025B" w:rsidRPr="00533673" w:rsidRDefault="00EA025B">
            <w:pPr>
              <w:jc w:val="center"/>
              <w:rPr>
                <w:rFonts w:cstheme="minorHAnsi"/>
                <w:sz w:val="24"/>
                <w:szCs w:val="24"/>
              </w:rPr>
            </w:pPr>
            <w:r w:rsidRPr="00533673">
              <w:rPr>
                <w:rFonts w:eastAsia="Times New Roman" w:cstheme="minorHAnsi"/>
                <w:b/>
                <w:bCs/>
                <w:color w:val="000000"/>
                <w:sz w:val="24"/>
                <w:szCs w:val="24"/>
              </w:rPr>
              <w:t>FY2022</w:t>
            </w:r>
          </w:p>
        </w:tc>
        <w:tc>
          <w:tcPr>
            <w:tcW w:w="1170" w:type="dxa"/>
            <w:shd w:val="clear" w:color="auto" w:fill="D9E2F3" w:themeFill="accent1" w:themeFillTint="33"/>
            <w:vAlign w:val="center"/>
          </w:tcPr>
          <w:p w14:paraId="5DA1D7FE" w14:textId="77777777" w:rsidR="00EA025B" w:rsidRPr="00533673" w:rsidRDefault="00EA025B">
            <w:pPr>
              <w:jc w:val="center"/>
              <w:rPr>
                <w:rFonts w:cstheme="minorHAnsi"/>
                <w:sz w:val="24"/>
                <w:szCs w:val="24"/>
              </w:rPr>
            </w:pPr>
            <w:r w:rsidRPr="00533673">
              <w:rPr>
                <w:rFonts w:eastAsia="Times New Roman" w:cstheme="minorHAnsi"/>
                <w:b/>
                <w:bCs/>
                <w:color w:val="000000"/>
                <w:sz w:val="24"/>
                <w:szCs w:val="24"/>
              </w:rPr>
              <w:t>FY2023</w:t>
            </w:r>
          </w:p>
        </w:tc>
        <w:tc>
          <w:tcPr>
            <w:tcW w:w="1080" w:type="dxa"/>
            <w:shd w:val="clear" w:color="auto" w:fill="D9E2F3" w:themeFill="accent1" w:themeFillTint="33"/>
            <w:vAlign w:val="center"/>
          </w:tcPr>
          <w:p w14:paraId="0D8E0691" w14:textId="78A78EB8" w:rsidR="00EA025B" w:rsidRPr="00533673" w:rsidRDefault="00EA025B" w:rsidP="00EA025B">
            <w:pPr>
              <w:jc w:val="center"/>
              <w:rPr>
                <w:rFonts w:eastAsia="Times New Roman" w:cstheme="minorHAnsi"/>
                <w:b/>
                <w:bCs/>
                <w:color w:val="000000"/>
                <w:sz w:val="24"/>
                <w:szCs w:val="24"/>
              </w:rPr>
            </w:pPr>
            <w:r>
              <w:rPr>
                <w:rFonts w:eastAsia="Times New Roman" w:cstheme="minorHAnsi"/>
                <w:b/>
                <w:bCs/>
                <w:color w:val="000000"/>
                <w:sz w:val="24"/>
                <w:szCs w:val="24"/>
              </w:rPr>
              <w:t>FY2024</w:t>
            </w:r>
            <w:r>
              <w:rPr>
                <w:rStyle w:val="FootnoteReference"/>
                <w:rFonts w:eastAsia="Times New Roman" w:cstheme="minorHAnsi"/>
                <w:b/>
                <w:bCs/>
                <w:color w:val="000000"/>
                <w:sz w:val="24"/>
                <w:szCs w:val="24"/>
              </w:rPr>
              <w:footnoteReference w:id="13"/>
            </w:r>
          </w:p>
        </w:tc>
        <w:tc>
          <w:tcPr>
            <w:tcW w:w="1710" w:type="dxa"/>
            <w:shd w:val="clear" w:color="auto" w:fill="D9E2F3" w:themeFill="accent1" w:themeFillTint="33"/>
          </w:tcPr>
          <w:p w14:paraId="24E81DEA" w14:textId="6840807C" w:rsidR="00EA025B" w:rsidRPr="00533673" w:rsidRDefault="00EA025B" w:rsidP="00EA025B">
            <w:pPr>
              <w:jc w:val="center"/>
              <w:rPr>
                <w:rFonts w:eastAsia="Times New Roman" w:cstheme="minorHAnsi"/>
                <w:b/>
                <w:bCs/>
                <w:color w:val="000000"/>
                <w:sz w:val="24"/>
                <w:szCs w:val="24"/>
              </w:rPr>
            </w:pPr>
            <w:r w:rsidRPr="00533673">
              <w:rPr>
                <w:rFonts w:eastAsia="Times New Roman" w:cstheme="minorHAnsi"/>
                <w:b/>
                <w:bCs/>
                <w:color w:val="000000"/>
                <w:sz w:val="24"/>
                <w:szCs w:val="24"/>
              </w:rPr>
              <w:t>Change</w:t>
            </w:r>
          </w:p>
          <w:p w14:paraId="77D07066" w14:textId="397C5E5A" w:rsidR="00EA025B" w:rsidRPr="00EA025B" w:rsidRDefault="00EA025B" w:rsidP="00EA025B">
            <w:pPr>
              <w:jc w:val="center"/>
              <w:rPr>
                <w:rFonts w:eastAsia="Times New Roman" w:cstheme="minorHAnsi"/>
                <w:b/>
                <w:bCs/>
                <w:color w:val="000000"/>
                <w:sz w:val="24"/>
                <w:szCs w:val="24"/>
              </w:rPr>
            </w:pPr>
            <w:r w:rsidRPr="00533673">
              <w:rPr>
                <w:rFonts w:eastAsia="Times New Roman" w:cstheme="minorHAnsi"/>
                <w:b/>
                <w:bCs/>
                <w:color w:val="000000"/>
                <w:sz w:val="24"/>
                <w:szCs w:val="24"/>
              </w:rPr>
              <w:t>2020-202</w:t>
            </w:r>
            <w:r>
              <w:rPr>
                <w:rFonts w:eastAsia="Times New Roman" w:cstheme="minorHAnsi"/>
                <w:b/>
                <w:bCs/>
                <w:color w:val="000000"/>
                <w:sz w:val="24"/>
                <w:szCs w:val="24"/>
              </w:rPr>
              <w:t>4</w:t>
            </w:r>
          </w:p>
        </w:tc>
      </w:tr>
      <w:tr w:rsidR="00EA025B" w:rsidRPr="000D5ED1" w14:paraId="56A26D32" w14:textId="77777777" w:rsidTr="00EA025B">
        <w:tc>
          <w:tcPr>
            <w:tcW w:w="1883" w:type="dxa"/>
          </w:tcPr>
          <w:p w14:paraId="2946B049" w14:textId="77777777" w:rsidR="00EA025B" w:rsidRPr="00533673" w:rsidRDefault="00EA025B">
            <w:pPr>
              <w:jc w:val="both"/>
              <w:rPr>
                <w:rFonts w:cstheme="minorHAnsi"/>
                <w:sz w:val="24"/>
                <w:szCs w:val="24"/>
              </w:rPr>
            </w:pPr>
            <w:r w:rsidRPr="00533673">
              <w:rPr>
                <w:rFonts w:cstheme="minorHAnsi"/>
                <w:sz w:val="24"/>
                <w:szCs w:val="24"/>
              </w:rPr>
              <w:t xml:space="preserve">ED Visits </w:t>
            </w:r>
          </w:p>
        </w:tc>
        <w:tc>
          <w:tcPr>
            <w:tcW w:w="1172" w:type="dxa"/>
          </w:tcPr>
          <w:p w14:paraId="17E59D84" w14:textId="77777777" w:rsidR="00EA025B" w:rsidRPr="00533673" w:rsidRDefault="00EA025B">
            <w:pPr>
              <w:jc w:val="center"/>
              <w:rPr>
                <w:rFonts w:cstheme="minorHAnsi"/>
                <w:sz w:val="24"/>
                <w:szCs w:val="24"/>
              </w:rPr>
            </w:pPr>
            <w:r w:rsidRPr="00533673">
              <w:rPr>
                <w:rFonts w:cstheme="minorHAnsi"/>
                <w:sz w:val="24"/>
                <w:szCs w:val="24"/>
              </w:rPr>
              <w:t>39,142</w:t>
            </w:r>
          </w:p>
        </w:tc>
        <w:tc>
          <w:tcPr>
            <w:tcW w:w="1080" w:type="dxa"/>
          </w:tcPr>
          <w:p w14:paraId="5ED87EE2" w14:textId="77777777" w:rsidR="00EA025B" w:rsidRPr="00533673" w:rsidRDefault="00EA025B">
            <w:pPr>
              <w:jc w:val="center"/>
              <w:rPr>
                <w:rFonts w:cstheme="minorHAnsi"/>
                <w:sz w:val="24"/>
                <w:szCs w:val="24"/>
              </w:rPr>
            </w:pPr>
            <w:r w:rsidRPr="00533673">
              <w:rPr>
                <w:rFonts w:cstheme="minorHAnsi"/>
                <w:sz w:val="24"/>
                <w:szCs w:val="24"/>
              </w:rPr>
              <w:t>40,180</w:t>
            </w:r>
          </w:p>
        </w:tc>
        <w:tc>
          <w:tcPr>
            <w:tcW w:w="1170" w:type="dxa"/>
          </w:tcPr>
          <w:p w14:paraId="32888B34" w14:textId="77777777" w:rsidR="00EA025B" w:rsidRPr="00533673" w:rsidRDefault="00EA025B">
            <w:pPr>
              <w:jc w:val="center"/>
              <w:rPr>
                <w:rFonts w:cstheme="minorHAnsi"/>
                <w:sz w:val="24"/>
                <w:szCs w:val="24"/>
              </w:rPr>
            </w:pPr>
            <w:r w:rsidRPr="00533673">
              <w:rPr>
                <w:rFonts w:cstheme="minorHAnsi"/>
                <w:sz w:val="24"/>
                <w:szCs w:val="24"/>
              </w:rPr>
              <w:t>42,367</w:t>
            </w:r>
          </w:p>
        </w:tc>
        <w:tc>
          <w:tcPr>
            <w:tcW w:w="1170" w:type="dxa"/>
          </w:tcPr>
          <w:p w14:paraId="3B512155" w14:textId="77777777" w:rsidR="00EA025B" w:rsidRPr="00533673" w:rsidRDefault="00EA025B">
            <w:pPr>
              <w:jc w:val="center"/>
              <w:rPr>
                <w:rFonts w:cstheme="minorHAnsi"/>
                <w:sz w:val="24"/>
                <w:szCs w:val="24"/>
              </w:rPr>
            </w:pPr>
            <w:r w:rsidRPr="00533673">
              <w:rPr>
                <w:rFonts w:cstheme="minorHAnsi"/>
                <w:color w:val="000000"/>
                <w:sz w:val="24"/>
                <w:szCs w:val="24"/>
              </w:rPr>
              <w:t>43,609</w:t>
            </w:r>
          </w:p>
        </w:tc>
        <w:tc>
          <w:tcPr>
            <w:tcW w:w="1080" w:type="dxa"/>
          </w:tcPr>
          <w:p w14:paraId="0CEA698F" w14:textId="57286201" w:rsidR="00EA025B" w:rsidRPr="00EA025B" w:rsidRDefault="00EA025B">
            <w:pPr>
              <w:jc w:val="center"/>
              <w:rPr>
                <w:rFonts w:cstheme="minorHAnsi"/>
                <w:color w:val="000000"/>
                <w:sz w:val="24"/>
                <w:szCs w:val="24"/>
              </w:rPr>
            </w:pPr>
            <w:r w:rsidRPr="00EA025B">
              <w:rPr>
                <w:rFonts w:cstheme="minorHAnsi"/>
                <w:color w:val="000000"/>
                <w:sz w:val="24"/>
                <w:szCs w:val="24"/>
              </w:rPr>
              <w:t>45,952</w:t>
            </w:r>
          </w:p>
        </w:tc>
        <w:tc>
          <w:tcPr>
            <w:tcW w:w="1710" w:type="dxa"/>
          </w:tcPr>
          <w:p w14:paraId="327892BF" w14:textId="2E2986FC" w:rsidR="00EA025B" w:rsidRPr="00533673" w:rsidRDefault="00EA025B">
            <w:pPr>
              <w:jc w:val="center"/>
              <w:rPr>
                <w:rFonts w:cstheme="minorHAnsi"/>
                <w:color w:val="000000"/>
                <w:sz w:val="24"/>
                <w:szCs w:val="24"/>
              </w:rPr>
            </w:pPr>
            <w:r>
              <w:rPr>
                <w:rFonts w:cstheme="minorHAnsi"/>
                <w:color w:val="000000"/>
                <w:sz w:val="24"/>
                <w:szCs w:val="24"/>
              </w:rPr>
              <w:t>17.4</w:t>
            </w:r>
            <w:r w:rsidRPr="00EA025B">
              <w:rPr>
                <w:rFonts w:cstheme="minorHAnsi"/>
                <w:color w:val="000000"/>
                <w:sz w:val="24"/>
                <w:szCs w:val="24"/>
              </w:rPr>
              <w:t>%</w:t>
            </w:r>
          </w:p>
        </w:tc>
      </w:tr>
    </w:tbl>
    <w:p w14:paraId="5E8FE418" w14:textId="77777777" w:rsidR="00D913C0" w:rsidRDefault="00D913C0" w:rsidP="00637364">
      <w:pPr>
        <w:pStyle w:val="xxmsolistparagraph"/>
        <w:ind w:left="0"/>
        <w:rPr>
          <w:rFonts w:asciiTheme="minorHAnsi" w:hAnsiTheme="minorHAnsi" w:cstheme="minorHAnsi"/>
          <w:sz w:val="24"/>
          <w:szCs w:val="24"/>
        </w:rPr>
      </w:pPr>
    </w:p>
    <w:p w14:paraId="63D05589" w14:textId="266D0AAA" w:rsidR="008A2CC5" w:rsidRDefault="00D913C0" w:rsidP="4E898A69">
      <w:pPr>
        <w:rPr>
          <w:sz w:val="24"/>
          <w:szCs w:val="24"/>
        </w:rPr>
      </w:pPr>
      <w:r w:rsidRPr="4E898A69">
        <w:rPr>
          <w:sz w:val="24"/>
          <w:szCs w:val="24"/>
        </w:rPr>
        <w:t xml:space="preserve">As </w:t>
      </w:r>
      <w:r w:rsidR="006623D8" w:rsidRPr="4E898A69">
        <w:rPr>
          <w:sz w:val="24"/>
          <w:szCs w:val="24"/>
        </w:rPr>
        <w:t xml:space="preserve">illustrated in </w:t>
      </w:r>
      <w:r w:rsidR="001B0396">
        <w:rPr>
          <w:sz w:val="24"/>
          <w:szCs w:val="24"/>
        </w:rPr>
        <w:t>the Table 5 above</w:t>
      </w:r>
      <w:r w:rsidRPr="4E898A69">
        <w:rPr>
          <w:sz w:val="24"/>
          <w:szCs w:val="24"/>
        </w:rPr>
        <w:t xml:space="preserve">, BID-Plymouth’s ED has been </w:t>
      </w:r>
      <w:r w:rsidR="00E67381">
        <w:rPr>
          <w:sz w:val="24"/>
          <w:szCs w:val="24"/>
        </w:rPr>
        <w:t>treating</w:t>
      </w:r>
      <w:r w:rsidR="00080F7E">
        <w:rPr>
          <w:sz w:val="24"/>
          <w:szCs w:val="24"/>
        </w:rPr>
        <w:t xml:space="preserve"> a</w:t>
      </w:r>
      <w:r w:rsidR="00E67381" w:rsidRPr="4E898A69">
        <w:rPr>
          <w:sz w:val="24"/>
          <w:szCs w:val="24"/>
        </w:rPr>
        <w:t xml:space="preserve"> </w:t>
      </w:r>
      <w:r w:rsidR="00080F7E">
        <w:rPr>
          <w:sz w:val="24"/>
          <w:szCs w:val="24"/>
        </w:rPr>
        <w:t>greater number of</w:t>
      </w:r>
      <w:r w:rsidR="00F77D5D">
        <w:rPr>
          <w:sz w:val="24"/>
          <w:szCs w:val="24"/>
        </w:rPr>
        <w:t xml:space="preserve"> patients </w:t>
      </w:r>
      <w:r w:rsidR="0084441B">
        <w:rPr>
          <w:sz w:val="24"/>
          <w:szCs w:val="24"/>
        </w:rPr>
        <w:t xml:space="preserve">than the space was designed to </w:t>
      </w:r>
      <w:r w:rsidR="002C3FD1">
        <w:rPr>
          <w:sz w:val="24"/>
          <w:szCs w:val="24"/>
        </w:rPr>
        <w:t>accommodate</w:t>
      </w:r>
      <w:r w:rsidR="0084441B">
        <w:rPr>
          <w:sz w:val="24"/>
          <w:szCs w:val="24"/>
        </w:rPr>
        <w:t xml:space="preserve"> </w:t>
      </w:r>
      <w:r w:rsidRPr="4E898A69">
        <w:rPr>
          <w:sz w:val="24"/>
          <w:szCs w:val="24"/>
        </w:rPr>
        <w:t xml:space="preserve">for </w:t>
      </w:r>
      <w:r w:rsidR="006623D8" w:rsidRPr="4E898A69">
        <w:rPr>
          <w:sz w:val="24"/>
          <w:szCs w:val="24"/>
        </w:rPr>
        <w:t>several</w:t>
      </w:r>
      <w:r w:rsidRPr="4E898A69">
        <w:rPr>
          <w:sz w:val="24"/>
          <w:szCs w:val="24"/>
        </w:rPr>
        <w:t xml:space="preserve"> years. </w:t>
      </w:r>
      <w:r w:rsidR="008A2CC5" w:rsidRPr="008A2CC5">
        <w:rPr>
          <w:sz w:val="24"/>
          <w:szCs w:val="24"/>
        </w:rPr>
        <w:t>In addition to population growth</w:t>
      </w:r>
      <w:r w:rsidR="00DA5303">
        <w:rPr>
          <w:sz w:val="24"/>
          <w:szCs w:val="24"/>
        </w:rPr>
        <w:t xml:space="preserve"> in the area</w:t>
      </w:r>
      <w:r w:rsidR="008A2CC5" w:rsidRPr="008A2CC5">
        <w:rPr>
          <w:sz w:val="24"/>
          <w:szCs w:val="24"/>
        </w:rPr>
        <w:t xml:space="preserve">, the Applicant attributes the increase in ED visits to the closure of Compass Medical in May 2023, which left patients without access to their primary and specialty care providers. As a result, </w:t>
      </w:r>
      <w:r w:rsidR="00F14E19">
        <w:rPr>
          <w:sz w:val="24"/>
          <w:szCs w:val="24"/>
        </w:rPr>
        <w:t>many patients delayed routine health maintenance</w:t>
      </w:r>
      <w:r w:rsidR="00162CE4">
        <w:rPr>
          <w:sz w:val="24"/>
          <w:szCs w:val="24"/>
        </w:rPr>
        <w:t>,</w:t>
      </w:r>
      <w:r w:rsidR="004A1915">
        <w:rPr>
          <w:sz w:val="24"/>
          <w:szCs w:val="24"/>
        </w:rPr>
        <w:t xml:space="preserve"> leading to more patients presenting at the </w:t>
      </w:r>
      <w:r w:rsidR="008A2CC5" w:rsidRPr="008A2CC5">
        <w:rPr>
          <w:sz w:val="24"/>
          <w:szCs w:val="24"/>
        </w:rPr>
        <w:t>Plymouth ED</w:t>
      </w:r>
      <w:r w:rsidR="00162CE4">
        <w:rPr>
          <w:sz w:val="24"/>
          <w:szCs w:val="24"/>
        </w:rPr>
        <w:t xml:space="preserve"> with moderate acuity issues</w:t>
      </w:r>
      <w:r w:rsidR="008A2CC5" w:rsidRPr="008A2CC5">
        <w:rPr>
          <w:sz w:val="24"/>
          <w:szCs w:val="24"/>
        </w:rPr>
        <w:t xml:space="preserve">. </w:t>
      </w:r>
      <w:r w:rsidR="000B4A83">
        <w:rPr>
          <w:sz w:val="24"/>
          <w:szCs w:val="24"/>
        </w:rPr>
        <w:t>T</w:t>
      </w:r>
      <w:r w:rsidR="008A2CC5" w:rsidRPr="008A2CC5">
        <w:rPr>
          <w:sz w:val="24"/>
          <w:szCs w:val="24"/>
        </w:rPr>
        <w:t xml:space="preserve">he temporary closure of </w:t>
      </w:r>
      <w:r w:rsidR="00141804">
        <w:rPr>
          <w:sz w:val="24"/>
          <w:szCs w:val="24"/>
        </w:rPr>
        <w:t xml:space="preserve">Signature </w:t>
      </w:r>
      <w:r w:rsidR="008A2CC5" w:rsidRPr="008A2CC5">
        <w:rPr>
          <w:sz w:val="24"/>
          <w:szCs w:val="24"/>
        </w:rPr>
        <w:t>Brockton Hospital</w:t>
      </w:r>
      <w:r w:rsidR="000B4A83">
        <w:rPr>
          <w:sz w:val="24"/>
          <w:szCs w:val="24"/>
        </w:rPr>
        <w:t xml:space="preserve"> also </w:t>
      </w:r>
      <w:r w:rsidR="00C41B82">
        <w:rPr>
          <w:sz w:val="24"/>
          <w:szCs w:val="24"/>
        </w:rPr>
        <w:t>contributed to the increase in ED visits.</w:t>
      </w:r>
      <w:r w:rsidR="008A2CC5" w:rsidRPr="008A2CC5">
        <w:rPr>
          <w:sz w:val="24"/>
          <w:szCs w:val="24"/>
        </w:rPr>
        <w:t xml:space="preserve"> </w:t>
      </w:r>
    </w:p>
    <w:p w14:paraId="556B6D69" w14:textId="77777777" w:rsidR="0067695B" w:rsidRDefault="0067695B" w:rsidP="00DA5303">
      <w:pPr>
        <w:spacing w:after="0"/>
        <w:rPr>
          <w:sz w:val="24"/>
          <w:szCs w:val="24"/>
        </w:rPr>
      </w:pPr>
    </w:p>
    <w:p w14:paraId="40C953A9" w14:textId="2A97E284" w:rsidR="00E330F1" w:rsidRDefault="00D22E6F" w:rsidP="00E330F1">
      <w:pPr>
        <w:rPr>
          <w:sz w:val="24"/>
          <w:szCs w:val="24"/>
        </w:rPr>
      </w:pPr>
      <w:r>
        <w:rPr>
          <w:sz w:val="24"/>
          <w:szCs w:val="24"/>
        </w:rPr>
        <w:t xml:space="preserve">The Applicant notes that </w:t>
      </w:r>
      <w:r w:rsidR="00A34285">
        <w:rPr>
          <w:sz w:val="24"/>
          <w:szCs w:val="24"/>
        </w:rPr>
        <w:t xml:space="preserve">the majority of patients visiting the ED </w:t>
      </w:r>
      <w:r w:rsidR="00DF667D">
        <w:rPr>
          <w:sz w:val="24"/>
          <w:szCs w:val="24"/>
        </w:rPr>
        <w:t>present</w:t>
      </w:r>
      <w:r w:rsidR="00BB1A61">
        <w:rPr>
          <w:sz w:val="24"/>
          <w:szCs w:val="24"/>
        </w:rPr>
        <w:t>ed</w:t>
      </w:r>
      <w:r w:rsidR="00DF667D">
        <w:rPr>
          <w:sz w:val="24"/>
          <w:szCs w:val="24"/>
        </w:rPr>
        <w:t xml:space="preserve"> with a moderate level of acuity. </w:t>
      </w:r>
      <w:r w:rsidR="00661124" w:rsidRPr="00E330F1">
        <w:rPr>
          <w:sz w:val="24"/>
          <w:szCs w:val="24"/>
        </w:rPr>
        <w:t>In 2024, only 14.4% of patients were categorized on the Emergency Severity Index (ESI)</w:t>
      </w:r>
      <w:r w:rsidR="00EF43A5" w:rsidRPr="00E330F1">
        <w:rPr>
          <w:vertAlign w:val="superscript"/>
        </w:rPr>
        <w:footnoteReference w:id="14"/>
      </w:r>
      <w:r w:rsidR="00661124" w:rsidRPr="00E330F1">
        <w:rPr>
          <w:sz w:val="24"/>
          <w:szCs w:val="24"/>
        </w:rPr>
        <w:t xml:space="preserve"> as patients with low acuity needs.</w:t>
      </w:r>
      <w:r w:rsidR="00D86E6B" w:rsidRPr="00E330F1">
        <w:rPr>
          <w:sz w:val="24"/>
          <w:szCs w:val="24"/>
        </w:rPr>
        <w:t xml:space="preserve"> Table </w:t>
      </w:r>
      <w:r w:rsidR="00671C95">
        <w:rPr>
          <w:sz w:val="24"/>
          <w:szCs w:val="24"/>
        </w:rPr>
        <w:t>6</w:t>
      </w:r>
      <w:r w:rsidR="00D86E6B" w:rsidRPr="00E330F1">
        <w:rPr>
          <w:sz w:val="24"/>
          <w:szCs w:val="24"/>
        </w:rPr>
        <w:t xml:space="preserve"> below details the </w:t>
      </w:r>
      <w:r w:rsidR="004C543D">
        <w:rPr>
          <w:sz w:val="24"/>
          <w:szCs w:val="24"/>
        </w:rPr>
        <w:t xml:space="preserve">historical </w:t>
      </w:r>
      <w:r w:rsidR="00E330F1" w:rsidRPr="00E330F1">
        <w:rPr>
          <w:sz w:val="24"/>
          <w:szCs w:val="24"/>
        </w:rPr>
        <w:t xml:space="preserve">composition of </w:t>
      </w:r>
      <w:r w:rsidR="004C543D">
        <w:rPr>
          <w:sz w:val="24"/>
          <w:szCs w:val="24"/>
        </w:rPr>
        <w:t xml:space="preserve">patient </w:t>
      </w:r>
      <w:r w:rsidR="00E330F1" w:rsidRPr="00E330F1">
        <w:rPr>
          <w:sz w:val="24"/>
          <w:szCs w:val="24"/>
        </w:rPr>
        <w:t xml:space="preserve">severity. </w:t>
      </w:r>
    </w:p>
    <w:p w14:paraId="1493F9B5" w14:textId="26C88F9F" w:rsidR="002C50CE" w:rsidRPr="00533673" w:rsidRDefault="002C50CE" w:rsidP="002C50CE">
      <w:pPr>
        <w:pStyle w:val="Caption"/>
        <w:spacing w:after="0"/>
        <w:contextualSpacing/>
        <w:jc w:val="center"/>
        <w:rPr>
          <w:rFonts w:cstheme="minorHAnsi"/>
          <w:color w:val="2F5496" w:themeColor="accent1" w:themeShade="BF"/>
          <w:sz w:val="24"/>
          <w:szCs w:val="24"/>
        </w:rPr>
      </w:pPr>
      <w:r w:rsidRPr="00533673">
        <w:rPr>
          <w:rFonts w:cstheme="minorHAnsi"/>
          <w:color w:val="2F5496" w:themeColor="accent1" w:themeShade="BF"/>
          <w:sz w:val="24"/>
          <w:szCs w:val="24"/>
          <w:u w:val="single"/>
        </w:rPr>
        <w:t xml:space="preserve">Table </w:t>
      </w:r>
      <w:r w:rsidR="00671C95">
        <w:rPr>
          <w:rFonts w:cstheme="minorHAnsi"/>
          <w:color w:val="2F5496" w:themeColor="accent1" w:themeShade="BF"/>
          <w:sz w:val="24"/>
          <w:szCs w:val="24"/>
          <w:u w:val="single"/>
        </w:rPr>
        <w:t>6</w:t>
      </w:r>
      <w:r w:rsidRPr="00533673">
        <w:rPr>
          <w:rFonts w:cstheme="minorHAnsi"/>
          <w:color w:val="2F5496" w:themeColor="accent1" w:themeShade="BF"/>
          <w:sz w:val="24"/>
          <w:szCs w:val="24"/>
        </w:rPr>
        <w:t xml:space="preserve"> – </w:t>
      </w:r>
      <w:r>
        <w:rPr>
          <w:rFonts w:cstheme="minorHAnsi"/>
          <w:color w:val="2F5496" w:themeColor="accent1" w:themeShade="BF"/>
          <w:sz w:val="24"/>
          <w:szCs w:val="24"/>
        </w:rPr>
        <w:t xml:space="preserve">Historical </w:t>
      </w:r>
      <w:r w:rsidRPr="00533673">
        <w:rPr>
          <w:rFonts w:cstheme="minorHAnsi"/>
          <w:color w:val="2F5496" w:themeColor="accent1" w:themeShade="BF"/>
          <w:sz w:val="24"/>
          <w:szCs w:val="24"/>
        </w:rPr>
        <w:t xml:space="preserve">BID-P Emergency Department </w:t>
      </w:r>
      <w:r w:rsidR="007D3325">
        <w:rPr>
          <w:rFonts w:cstheme="minorHAnsi"/>
          <w:color w:val="2F5496" w:themeColor="accent1" w:themeShade="BF"/>
          <w:sz w:val="24"/>
          <w:szCs w:val="24"/>
        </w:rPr>
        <w:t>Visit Acuity</w:t>
      </w:r>
    </w:p>
    <w:p w14:paraId="6D0FDCBC" w14:textId="77777777" w:rsidR="002C50CE" w:rsidRPr="00E330F1" w:rsidRDefault="002C50CE" w:rsidP="00E330F1">
      <w:pPr>
        <w:rPr>
          <w:sz w:val="24"/>
          <w:szCs w:val="24"/>
        </w:rPr>
      </w:pPr>
    </w:p>
    <w:tbl>
      <w:tblPr>
        <w:tblStyle w:val="TableGrid"/>
        <w:tblW w:w="8910" w:type="dxa"/>
        <w:jc w:val="center"/>
        <w:tblLook w:val="04A0" w:firstRow="1" w:lastRow="0" w:firstColumn="1" w:lastColumn="0" w:noHBand="0" w:noVBand="1"/>
      </w:tblPr>
      <w:tblGrid>
        <w:gridCol w:w="3229"/>
        <w:gridCol w:w="1169"/>
        <w:gridCol w:w="1078"/>
        <w:gridCol w:w="1167"/>
        <w:gridCol w:w="1167"/>
        <w:gridCol w:w="1100"/>
      </w:tblGrid>
      <w:tr w:rsidR="002C50CE" w:rsidRPr="00692126" w14:paraId="3F04009A" w14:textId="77777777" w:rsidTr="00154E0D">
        <w:trPr>
          <w:cantSplit/>
          <w:tblHeader/>
          <w:jc w:val="center"/>
        </w:trPr>
        <w:tc>
          <w:tcPr>
            <w:tcW w:w="3229" w:type="dxa"/>
            <w:shd w:val="clear" w:color="auto" w:fill="D9E2F3" w:themeFill="accent1" w:themeFillTint="33"/>
          </w:tcPr>
          <w:p w14:paraId="6C471478" w14:textId="77777777" w:rsidR="002C50CE" w:rsidRPr="00692126" w:rsidRDefault="002C50CE" w:rsidP="003C13C1">
            <w:pPr>
              <w:jc w:val="both"/>
              <w:rPr>
                <w:rFonts w:cstheme="minorHAnsi"/>
                <w:b/>
                <w:bCs/>
                <w:sz w:val="24"/>
                <w:szCs w:val="24"/>
              </w:rPr>
            </w:pPr>
          </w:p>
        </w:tc>
        <w:tc>
          <w:tcPr>
            <w:tcW w:w="1169" w:type="dxa"/>
            <w:shd w:val="clear" w:color="auto" w:fill="D9E2F3" w:themeFill="accent1" w:themeFillTint="33"/>
            <w:vAlign w:val="center"/>
          </w:tcPr>
          <w:p w14:paraId="7DE93A79" w14:textId="77777777" w:rsidR="002C50CE" w:rsidRPr="00692126" w:rsidRDefault="002C50CE" w:rsidP="003C13C1">
            <w:pPr>
              <w:jc w:val="center"/>
              <w:rPr>
                <w:rFonts w:cstheme="minorHAnsi"/>
                <w:sz w:val="24"/>
                <w:szCs w:val="24"/>
              </w:rPr>
            </w:pPr>
            <w:r w:rsidRPr="00692126">
              <w:rPr>
                <w:rFonts w:eastAsia="Times New Roman" w:cstheme="minorHAnsi"/>
                <w:b/>
                <w:bCs/>
                <w:sz w:val="24"/>
                <w:szCs w:val="24"/>
              </w:rPr>
              <w:t>FY2020</w:t>
            </w:r>
          </w:p>
        </w:tc>
        <w:tc>
          <w:tcPr>
            <w:tcW w:w="1078" w:type="dxa"/>
            <w:shd w:val="clear" w:color="auto" w:fill="D9E2F3" w:themeFill="accent1" w:themeFillTint="33"/>
            <w:vAlign w:val="center"/>
          </w:tcPr>
          <w:p w14:paraId="77752FF6" w14:textId="77777777" w:rsidR="002C50CE" w:rsidRPr="00692126" w:rsidRDefault="002C50CE" w:rsidP="003C13C1">
            <w:pPr>
              <w:jc w:val="center"/>
              <w:rPr>
                <w:rFonts w:cstheme="minorHAnsi"/>
                <w:sz w:val="24"/>
                <w:szCs w:val="24"/>
              </w:rPr>
            </w:pPr>
            <w:r w:rsidRPr="00692126">
              <w:rPr>
                <w:rFonts w:eastAsia="Times New Roman" w:cstheme="minorHAnsi"/>
                <w:b/>
                <w:bCs/>
                <w:sz w:val="24"/>
                <w:szCs w:val="24"/>
              </w:rPr>
              <w:t>FY2021</w:t>
            </w:r>
          </w:p>
        </w:tc>
        <w:tc>
          <w:tcPr>
            <w:tcW w:w="1167" w:type="dxa"/>
            <w:shd w:val="clear" w:color="auto" w:fill="D9E2F3" w:themeFill="accent1" w:themeFillTint="33"/>
            <w:vAlign w:val="center"/>
          </w:tcPr>
          <w:p w14:paraId="65BDE1E2" w14:textId="77777777" w:rsidR="002C50CE" w:rsidRPr="00692126" w:rsidRDefault="002C50CE" w:rsidP="003C13C1">
            <w:pPr>
              <w:jc w:val="center"/>
              <w:rPr>
                <w:rFonts w:cstheme="minorHAnsi"/>
                <w:sz w:val="24"/>
                <w:szCs w:val="24"/>
              </w:rPr>
            </w:pPr>
            <w:r w:rsidRPr="00692126">
              <w:rPr>
                <w:rFonts w:eastAsia="Times New Roman" w:cstheme="minorHAnsi"/>
                <w:b/>
                <w:bCs/>
                <w:sz w:val="24"/>
                <w:szCs w:val="24"/>
              </w:rPr>
              <w:t>FY2022</w:t>
            </w:r>
          </w:p>
        </w:tc>
        <w:tc>
          <w:tcPr>
            <w:tcW w:w="1167" w:type="dxa"/>
            <w:shd w:val="clear" w:color="auto" w:fill="D9E2F3" w:themeFill="accent1" w:themeFillTint="33"/>
            <w:vAlign w:val="center"/>
          </w:tcPr>
          <w:p w14:paraId="408F7C22" w14:textId="77777777" w:rsidR="002C50CE" w:rsidRPr="00692126" w:rsidRDefault="002C50CE" w:rsidP="003C13C1">
            <w:pPr>
              <w:jc w:val="center"/>
              <w:rPr>
                <w:rFonts w:cstheme="minorHAnsi"/>
                <w:sz w:val="24"/>
                <w:szCs w:val="24"/>
              </w:rPr>
            </w:pPr>
            <w:r w:rsidRPr="00692126">
              <w:rPr>
                <w:rFonts w:eastAsia="Times New Roman" w:cstheme="minorHAnsi"/>
                <w:b/>
                <w:bCs/>
                <w:sz w:val="24"/>
                <w:szCs w:val="24"/>
              </w:rPr>
              <w:t>FY2023</w:t>
            </w:r>
          </w:p>
        </w:tc>
        <w:tc>
          <w:tcPr>
            <w:tcW w:w="1100" w:type="dxa"/>
            <w:shd w:val="clear" w:color="auto" w:fill="D9E2F3" w:themeFill="accent1" w:themeFillTint="33"/>
            <w:vAlign w:val="center"/>
          </w:tcPr>
          <w:p w14:paraId="5B9A06CE" w14:textId="77777777" w:rsidR="002C50CE" w:rsidRPr="00692126" w:rsidRDefault="002C50CE" w:rsidP="003C13C1">
            <w:pPr>
              <w:jc w:val="center"/>
              <w:rPr>
                <w:rFonts w:eastAsia="Times New Roman" w:cstheme="minorHAnsi"/>
                <w:b/>
                <w:bCs/>
                <w:sz w:val="24"/>
                <w:szCs w:val="24"/>
              </w:rPr>
            </w:pPr>
            <w:r w:rsidRPr="00692126">
              <w:rPr>
                <w:rFonts w:eastAsia="Times New Roman" w:cstheme="minorHAnsi"/>
                <w:b/>
                <w:bCs/>
                <w:sz w:val="24"/>
                <w:szCs w:val="24"/>
              </w:rPr>
              <w:t>FY2024</w:t>
            </w:r>
            <w:r w:rsidRPr="00692126">
              <w:rPr>
                <w:rStyle w:val="FootnoteReference"/>
                <w:rFonts w:eastAsia="Times New Roman" w:cstheme="minorHAnsi"/>
                <w:b/>
                <w:bCs/>
                <w:sz w:val="24"/>
                <w:szCs w:val="24"/>
              </w:rPr>
              <w:footnoteReference w:id="15"/>
            </w:r>
          </w:p>
        </w:tc>
      </w:tr>
      <w:tr w:rsidR="002C50CE" w:rsidRPr="00692126" w14:paraId="382133FE" w14:textId="77777777" w:rsidTr="00154E0D">
        <w:trPr>
          <w:cantSplit/>
          <w:jc w:val="center"/>
        </w:trPr>
        <w:tc>
          <w:tcPr>
            <w:tcW w:w="3229" w:type="dxa"/>
          </w:tcPr>
          <w:p w14:paraId="1797DFC7" w14:textId="17050B71" w:rsidR="002C50CE" w:rsidRPr="00692126" w:rsidRDefault="002C50CE" w:rsidP="003C13C1">
            <w:pPr>
              <w:jc w:val="both"/>
              <w:rPr>
                <w:rFonts w:cstheme="minorHAnsi"/>
                <w:sz w:val="24"/>
                <w:szCs w:val="24"/>
              </w:rPr>
            </w:pPr>
            <w:r w:rsidRPr="00692126">
              <w:rPr>
                <w:rFonts w:cstheme="minorHAnsi"/>
                <w:sz w:val="24"/>
                <w:szCs w:val="24"/>
              </w:rPr>
              <w:t>Low Acuity</w:t>
            </w:r>
            <w:r w:rsidR="00A31281">
              <w:rPr>
                <w:rFonts w:cstheme="minorHAnsi"/>
                <w:sz w:val="24"/>
                <w:szCs w:val="24"/>
              </w:rPr>
              <w:t xml:space="preserve"> (ESI 4 and 5)</w:t>
            </w:r>
          </w:p>
        </w:tc>
        <w:tc>
          <w:tcPr>
            <w:tcW w:w="1169" w:type="dxa"/>
          </w:tcPr>
          <w:p w14:paraId="387081E0" w14:textId="77777777" w:rsidR="002C50CE" w:rsidRPr="00692126" w:rsidRDefault="002C50CE" w:rsidP="003C13C1">
            <w:pPr>
              <w:jc w:val="center"/>
              <w:rPr>
                <w:rFonts w:cstheme="minorHAnsi"/>
                <w:sz w:val="24"/>
                <w:szCs w:val="24"/>
              </w:rPr>
            </w:pPr>
            <w:r w:rsidRPr="00692126">
              <w:rPr>
                <w:rFonts w:cstheme="minorHAnsi"/>
                <w:sz w:val="24"/>
                <w:szCs w:val="24"/>
              </w:rPr>
              <w:t>19.1%</w:t>
            </w:r>
          </w:p>
        </w:tc>
        <w:tc>
          <w:tcPr>
            <w:tcW w:w="1078" w:type="dxa"/>
          </w:tcPr>
          <w:p w14:paraId="4F334B23" w14:textId="77777777" w:rsidR="002C50CE" w:rsidRPr="00692126" w:rsidRDefault="002C50CE" w:rsidP="003C13C1">
            <w:pPr>
              <w:jc w:val="center"/>
              <w:rPr>
                <w:rFonts w:cstheme="minorHAnsi"/>
                <w:sz w:val="24"/>
                <w:szCs w:val="24"/>
              </w:rPr>
            </w:pPr>
            <w:r w:rsidRPr="00692126">
              <w:rPr>
                <w:rFonts w:cstheme="minorHAnsi"/>
                <w:sz w:val="24"/>
                <w:szCs w:val="24"/>
              </w:rPr>
              <w:t>17.3%</w:t>
            </w:r>
          </w:p>
        </w:tc>
        <w:tc>
          <w:tcPr>
            <w:tcW w:w="1167" w:type="dxa"/>
          </w:tcPr>
          <w:p w14:paraId="7DD6529B" w14:textId="77777777" w:rsidR="002C50CE" w:rsidRPr="00692126" w:rsidRDefault="002C50CE" w:rsidP="003C13C1">
            <w:pPr>
              <w:jc w:val="center"/>
              <w:rPr>
                <w:rFonts w:cstheme="minorHAnsi"/>
                <w:sz w:val="24"/>
                <w:szCs w:val="24"/>
              </w:rPr>
            </w:pPr>
            <w:r w:rsidRPr="00692126">
              <w:rPr>
                <w:rFonts w:cstheme="minorHAnsi"/>
                <w:sz w:val="24"/>
                <w:szCs w:val="24"/>
              </w:rPr>
              <w:t>16.1%</w:t>
            </w:r>
          </w:p>
        </w:tc>
        <w:tc>
          <w:tcPr>
            <w:tcW w:w="1167" w:type="dxa"/>
          </w:tcPr>
          <w:p w14:paraId="222BFCCC" w14:textId="77777777" w:rsidR="002C50CE" w:rsidRPr="00692126" w:rsidRDefault="002C50CE" w:rsidP="003C13C1">
            <w:pPr>
              <w:jc w:val="center"/>
              <w:rPr>
                <w:rFonts w:cstheme="minorHAnsi"/>
                <w:sz w:val="24"/>
                <w:szCs w:val="24"/>
              </w:rPr>
            </w:pPr>
            <w:r w:rsidRPr="00692126">
              <w:rPr>
                <w:rFonts w:cstheme="minorHAnsi"/>
                <w:sz w:val="24"/>
                <w:szCs w:val="24"/>
              </w:rPr>
              <w:t>15.8%</w:t>
            </w:r>
          </w:p>
        </w:tc>
        <w:tc>
          <w:tcPr>
            <w:tcW w:w="1100" w:type="dxa"/>
          </w:tcPr>
          <w:p w14:paraId="0C8DD496" w14:textId="77777777" w:rsidR="002C50CE" w:rsidRPr="00692126" w:rsidRDefault="002C50CE" w:rsidP="003C13C1">
            <w:pPr>
              <w:jc w:val="center"/>
              <w:rPr>
                <w:rFonts w:cstheme="minorHAnsi"/>
                <w:sz w:val="24"/>
                <w:szCs w:val="24"/>
              </w:rPr>
            </w:pPr>
            <w:r w:rsidRPr="00692126">
              <w:rPr>
                <w:rFonts w:cstheme="minorHAnsi"/>
                <w:sz w:val="24"/>
                <w:szCs w:val="24"/>
              </w:rPr>
              <w:t>14.4%</w:t>
            </w:r>
          </w:p>
        </w:tc>
      </w:tr>
      <w:tr w:rsidR="002C50CE" w:rsidRPr="00692126" w14:paraId="51BEEB8B" w14:textId="77777777" w:rsidTr="00154E0D">
        <w:trPr>
          <w:cantSplit/>
          <w:jc w:val="center"/>
        </w:trPr>
        <w:tc>
          <w:tcPr>
            <w:tcW w:w="3229" w:type="dxa"/>
          </w:tcPr>
          <w:p w14:paraId="6CD46545" w14:textId="4FE124E1" w:rsidR="002C50CE" w:rsidRPr="00692126" w:rsidRDefault="002C50CE" w:rsidP="003C13C1">
            <w:pPr>
              <w:jc w:val="both"/>
              <w:rPr>
                <w:rFonts w:cstheme="minorHAnsi"/>
                <w:sz w:val="24"/>
                <w:szCs w:val="24"/>
              </w:rPr>
            </w:pPr>
            <w:r w:rsidRPr="00692126">
              <w:rPr>
                <w:rFonts w:cstheme="minorHAnsi"/>
                <w:sz w:val="24"/>
                <w:szCs w:val="24"/>
              </w:rPr>
              <w:t>Moderate Acuity</w:t>
            </w:r>
            <w:r w:rsidR="00A31281">
              <w:rPr>
                <w:rFonts w:cstheme="minorHAnsi"/>
                <w:sz w:val="24"/>
                <w:szCs w:val="24"/>
              </w:rPr>
              <w:t xml:space="preserve"> (ESI </w:t>
            </w:r>
            <w:r w:rsidR="00610C19">
              <w:rPr>
                <w:rFonts w:cstheme="minorHAnsi"/>
                <w:sz w:val="24"/>
                <w:szCs w:val="24"/>
              </w:rPr>
              <w:t>2 and 3)</w:t>
            </w:r>
          </w:p>
        </w:tc>
        <w:tc>
          <w:tcPr>
            <w:tcW w:w="1169" w:type="dxa"/>
          </w:tcPr>
          <w:p w14:paraId="2B3E0BA4" w14:textId="77777777" w:rsidR="002C50CE" w:rsidRPr="00692126" w:rsidRDefault="002C50CE" w:rsidP="003C13C1">
            <w:pPr>
              <w:jc w:val="center"/>
              <w:rPr>
                <w:rFonts w:cstheme="minorHAnsi"/>
                <w:sz w:val="24"/>
                <w:szCs w:val="24"/>
              </w:rPr>
            </w:pPr>
            <w:r w:rsidRPr="00692126">
              <w:rPr>
                <w:rFonts w:cstheme="minorHAnsi"/>
                <w:sz w:val="24"/>
                <w:szCs w:val="24"/>
              </w:rPr>
              <w:t>79.5%</w:t>
            </w:r>
          </w:p>
        </w:tc>
        <w:tc>
          <w:tcPr>
            <w:tcW w:w="1078" w:type="dxa"/>
          </w:tcPr>
          <w:p w14:paraId="06516AEC" w14:textId="77777777" w:rsidR="002C50CE" w:rsidRPr="00692126" w:rsidRDefault="002C50CE" w:rsidP="003C13C1">
            <w:pPr>
              <w:jc w:val="center"/>
              <w:rPr>
                <w:rFonts w:cstheme="minorHAnsi"/>
                <w:sz w:val="24"/>
                <w:szCs w:val="24"/>
              </w:rPr>
            </w:pPr>
            <w:r w:rsidRPr="00692126">
              <w:rPr>
                <w:rFonts w:cstheme="minorHAnsi"/>
                <w:sz w:val="24"/>
                <w:szCs w:val="24"/>
              </w:rPr>
              <w:t>81,2%</w:t>
            </w:r>
          </w:p>
        </w:tc>
        <w:tc>
          <w:tcPr>
            <w:tcW w:w="1167" w:type="dxa"/>
          </w:tcPr>
          <w:p w14:paraId="7C7F9920" w14:textId="77777777" w:rsidR="002C50CE" w:rsidRPr="00692126" w:rsidRDefault="002C50CE" w:rsidP="003C13C1">
            <w:pPr>
              <w:jc w:val="center"/>
              <w:rPr>
                <w:rFonts w:cstheme="minorHAnsi"/>
                <w:sz w:val="24"/>
                <w:szCs w:val="24"/>
              </w:rPr>
            </w:pPr>
            <w:r w:rsidRPr="00692126">
              <w:rPr>
                <w:rFonts w:cstheme="minorHAnsi"/>
                <w:sz w:val="24"/>
                <w:szCs w:val="24"/>
              </w:rPr>
              <w:t>82.6%</w:t>
            </w:r>
          </w:p>
        </w:tc>
        <w:tc>
          <w:tcPr>
            <w:tcW w:w="1167" w:type="dxa"/>
          </w:tcPr>
          <w:p w14:paraId="46226612" w14:textId="77777777" w:rsidR="002C50CE" w:rsidRPr="00692126" w:rsidRDefault="002C50CE" w:rsidP="003C13C1">
            <w:pPr>
              <w:jc w:val="center"/>
              <w:rPr>
                <w:rFonts w:cstheme="minorHAnsi"/>
                <w:sz w:val="24"/>
                <w:szCs w:val="24"/>
              </w:rPr>
            </w:pPr>
            <w:r w:rsidRPr="00692126">
              <w:rPr>
                <w:rFonts w:cstheme="minorHAnsi"/>
                <w:sz w:val="24"/>
                <w:szCs w:val="24"/>
              </w:rPr>
              <w:t>82.9%</w:t>
            </w:r>
          </w:p>
        </w:tc>
        <w:tc>
          <w:tcPr>
            <w:tcW w:w="1100" w:type="dxa"/>
          </w:tcPr>
          <w:p w14:paraId="30B2ADB6" w14:textId="77777777" w:rsidR="002C50CE" w:rsidRPr="00692126" w:rsidRDefault="002C50CE" w:rsidP="003C13C1">
            <w:pPr>
              <w:jc w:val="center"/>
              <w:rPr>
                <w:rFonts w:cstheme="minorHAnsi"/>
                <w:sz w:val="24"/>
                <w:szCs w:val="24"/>
              </w:rPr>
            </w:pPr>
            <w:r w:rsidRPr="00692126">
              <w:rPr>
                <w:rFonts w:cstheme="minorHAnsi"/>
                <w:sz w:val="24"/>
                <w:szCs w:val="24"/>
              </w:rPr>
              <w:t>84.2%</w:t>
            </w:r>
          </w:p>
        </w:tc>
      </w:tr>
      <w:tr w:rsidR="002C50CE" w:rsidRPr="00692126" w14:paraId="3DFDD79F" w14:textId="77777777" w:rsidTr="00154E0D">
        <w:trPr>
          <w:cantSplit/>
          <w:jc w:val="center"/>
        </w:trPr>
        <w:tc>
          <w:tcPr>
            <w:tcW w:w="3229" w:type="dxa"/>
          </w:tcPr>
          <w:p w14:paraId="245F17D4" w14:textId="69774E9E" w:rsidR="002C50CE" w:rsidRPr="00692126" w:rsidRDefault="002C50CE" w:rsidP="003C13C1">
            <w:pPr>
              <w:jc w:val="both"/>
              <w:rPr>
                <w:rFonts w:cstheme="minorHAnsi"/>
                <w:sz w:val="24"/>
                <w:szCs w:val="24"/>
              </w:rPr>
            </w:pPr>
            <w:r w:rsidRPr="00692126">
              <w:rPr>
                <w:rFonts w:cstheme="minorHAnsi"/>
                <w:sz w:val="24"/>
                <w:szCs w:val="24"/>
              </w:rPr>
              <w:t>High Acuity</w:t>
            </w:r>
            <w:r w:rsidR="00610C19">
              <w:rPr>
                <w:rFonts w:cstheme="minorHAnsi"/>
                <w:sz w:val="24"/>
                <w:szCs w:val="24"/>
              </w:rPr>
              <w:t xml:space="preserve"> (ESI 1)</w:t>
            </w:r>
          </w:p>
        </w:tc>
        <w:tc>
          <w:tcPr>
            <w:tcW w:w="1169" w:type="dxa"/>
          </w:tcPr>
          <w:p w14:paraId="6F21DBCE" w14:textId="77777777" w:rsidR="002C50CE" w:rsidRPr="00692126" w:rsidRDefault="002C50CE" w:rsidP="003C13C1">
            <w:pPr>
              <w:jc w:val="center"/>
              <w:rPr>
                <w:rFonts w:cstheme="minorHAnsi"/>
                <w:sz w:val="24"/>
                <w:szCs w:val="24"/>
              </w:rPr>
            </w:pPr>
            <w:r w:rsidRPr="00692126">
              <w:rPr>
                <w:rFonts w:cstheme="minorHAnsi"/>
                <w:sz w:val="24"/>
                <w:szCs w:val="24"/>
              </w:rPr>
              <w:t>1.4%</w:t>
            </w:r>
          </w:p>
        </w:tc>
        <w:tc>
          <w:tcPr>
            <w:tcW w:w="1078" w:type="dxa"/>
          </w:tcPr>
          <w:p w14:paraId="00FA6C18" w14:textId="77777777" w:rsidR="002C50CE" w:rsidRPr="00692126" w:rsidRDefault="002C50CE" w:rsidP="003C13C1">
            <w:pPr>
              <w:jc w:val="center"/>
              <w:rPr>
                <w:rFonts w:cstheme="minorHAnsi"/>
                <w:sz w:val="24"/>
                <w:szCs w:val="24"/>
              </w:rPr>
            </w:pPr>
            <w:r w:rsidRPr="00692126">
              <w:rPr>
                <w:rFonts w:cstheme="minorHAnsi"/>
                <w:sz w:val="24"/>
                <w:szCs w:val="24"/>
              </w:rPr>
              <w:t>1.5%</w:t>
            </w:r>
          </w:p>
        </w:tc>
        <w:tc>
          <w:tcPr>
            <w:tcW w:w="1167" w:type="dxa"/>
          </w:tcPr>
          <w:p w14:paraId="22118ABF" w14:textId="77777777" w:rsidR="002C50CE" w:rsidRPr="00692126" w:rsidRDefault="002C50CE" w:rsidP="003C13C1">
            <w:pPr>
              <w:jc w:val="center"/>
              <w:rPr>
                <w:rFonts w:cstheme="minorHAnsi"/>
                <w:sz w:val="24"/>
                <w:szCs w:val="24"/>
              </w:rPr>
            </w:pPr>
            <w:r w:rsidRPr="00692126">
              <w:rPr>
                <w:rFonts w:cstheme="minorHAnsi"/>
                <w:sz w:val="24"/>
                <w:szCs w:val="24"/>
              </w:rPr>
              <w:t>1.3%</w:t>
            </w:r>
          </w:p>
        </w:tc>
        <w:tc>
          <w:tcPr>
            <w:tcW w:w="1167" w:type="dxa"/>
          </w:tcPr>
          <w:p w14:paraId="16047371" w14:textId="77777777" w:rsidR="002C50CE" w:rsidRPr="00692126" w:rsidRDefault="002C50CE" w:rsidP="003C13C1">
            <w:pPr>
              <w:jc w:val="center"/>
              <w:rPr>
                <w:rFonts w:cstheme="minorHAnsi"/>
                <w:sz w:val="24"/>
                <w:szCs w:val="24"/>
              </w:rPr>
            </w:pPr>
            <w:r w:rsidRPr="00692126">
              <w:rPr>
                <w:rFonts w:cstheme="minorHAnsi"/>
                <w:sz w:val="24"/>
                <w:szCs w:val="24"/>
              </w:rPr>
              <w:t>1.3%</w:t>
            </w:r>
          </w:p>
        </w:tc>
        <w:tc>
          <w:tcPr>
            <w:tcW w:w="1100" w:type="dxa"/>
          </w:tcPr>
          <w:p w14:paraId="43CD81EA" w14:textId="77777777" w:rsidR="002C50CE" w:rsidRPr="00692126" w:rsidRDefault="002C50CE" w:rsidP="003C13C1">
            <w:pPr>
              <w:jc w:val="center"/>
              <w:rPr>
                <w:rFonts w:cstheme="minorHAnsi"/>
                <w:sz w:val="24"/>
                <w:szCs w:val="24"/>
              </w:rPr>
            </w:pPr>
            <w:r w:rsidRPr="00692126">
              <w:rPr>
                <w:rFonts w:cstheme="minorHAnsi"/>
                <w:sz w:val="24"/>
                <w:szCs w:val="24"/>
              </w:rPr>
              <w:t>1.3%</w:t>
            </w:r>
          </w:p>
        </w:tc>
      </w:tr>
    </w:tbl>
    <w:p w14:paraId="43A27CD3" w14:textId="069B5523" w:rsidR="00661124" w:rsidRDefault="00661124" w:rsidP="4E898A69">
      <w:pPr>
        <w:rPr>
          <w:sz w:val="24"/>
          <w:szCs w:val="24"/>
        </w:rPr>
      </w:pPr>
    </w:p>
    <w:p w14:paraId="190E598D" w14:textId="1FD9BCB2" w:rsidR="005A57E3" w:rsidRDefault="004C543D" w:rsidP="4E898A69">
      <w:pPr>
        <w:rPr>
          <w:sz w:val="24"/>
          <w:szCs w:val="24"/>
        </w:rPr>
      </w:pPr>
      <w:r w:rsidRPr="00E330F1">
        <w:rPr>
          <w:sz w:val="24"/>
          <w:szCs w:val="24"/>
        </w:rPr>
        <w:t>The Hospital attributes th</w:t>
      </w:r>
      <w:r w:rsidR="002A5E8A">
        <w:rPr>
          <w:sz w:val="24"/>
          <w:szCs w:val="24"/>
        </w:rPr>
        <w:t>e</w:t>
      </w:r>
      <w:r w:rsidRPr="00E330F1">
        <w:rPr>
          <w:sz w:val="24"/>
          <w:szCs w:val="24"/>
        </w:rPr>
        <w:t xml:space="preserve"> decline in low acuity ED visits to initiatives it has put into place to facilitate patients receiving care in the right setting.</w:t>
      </w:r>
      <w:r>
        <w:rPr>
          <w:sz w:val="24"/>
          <w:szCs w:val="24"/>
        </w:rPr>
        <w:t xml:space="preserve"> </w:t>
      </w:r>
      <w:r w:rsidR="00D913C0" w:rsidRPr="4E898A69">
        <w:rPr>
          <w:sz w:val="24"/>
          <w:szCs w:val="24"/>
        </w:rPr>
        <w:t>T</w:t>
      </w:r>
      <w:r w:rsidR="002A5E8A">
        <w:rPr>
          <w:sz w:val="24"/>
          <w:szCs w:val="24"/>
        </w:rPr>
        <w:t>hese initiatives include</w:t>
      </w:r>
      <w:r w:rsidR="00A9368D">
        <w:rPr>
          <w:sz w:val="24"/>
          <w:szCs w:val="24"/>
        </w:rPr>
        <w:t>d e</w:t>
      </w:r>
      <w:r w:rsidR="003123AA" w:rsidRPr="4E898A69">
        <w:rPr>
          <w:sz w:val="24"/>
          <w:szCs w:val="24"/>
        </w:rPr>
        <w:t xml:space="preserve">ducational materials about </w:t>
      </w:r>
      <w:r w:rsidR="005D6E80" w:rsidRPr="4E898A69">
        <w:rPr>
          <w:sz w:val="24"/>
          <w:szCs w:val="24"/>
        </w:rPr>
        <w:t>the variety of locations to receive care, an in</w:t>
      </w:r>
      <w:r w:rsidR="002950F9" w:rsidRPr="4E898A69">
        <w:rPr>
          <w:sz w:val="24"/>
          <w:szCs w:val="24"/>
        </w:rPr>
        <w:t xml:space="preserve">-home care option, </w:t>
      </w:r>
      <w:r w:rsidR="005640E3" w:rsidRPr="4E898A69">
        <w:rPr>
          <w:sz w:val="24"/>
          <w:szCs w:val="24"/>
        </w:rPr>
        <w:t xml:space="preserve">and an increase in primary care providers in the area. </w:t>
      </w:r>
      <w:r w:rsidR="00D913C0" w:rsidRPr="4E898A69">
        <w:rPr>
          <w:sz w:val="24"/>
          <w:szCs w:val="24"/>
        </w:rPr>
        <w:t xml:space="preserve">Despite these efforts to treat lower acuity patients in the primary or urgent care setting, the ED continues to see </w:t>
      </w:r>
      <w:r w:rsidR="005640E3" w:rsidRPr="4E898A69">
        <w:rPr>
          <w:sz w:val="24"/>
          <w:szCs w:val="24"/>
        </w:rPr>
        <w:t xml:space="preserve">an increase in </w:t>
      </w:r>
      <w:r w:rsidR="00D913C0" w:rsidRPr="4E898A69">
        <w:rPr>
          <w:sz w:val="24"/>
          <w:szCs w:val="24"/>
        </w:rPr>
        <w:t xml:space="preserve">moderate acuity </w:t>
      </w:r>
      <w:r w:rsidR="005640E3" w:rsidRPr="4E898A69">
        <w:rPr>
          <w:sz w:val="24"/>
          <w:szCs w:val="24"/>
        </w:rPr>
        <w:t>patient volume</w:t>
      </w:r>
      <w:r w:rsidR="00D913C0" w:rsidRPr="4E898A69">
        <w:rPr>
          <w:sz w:val="24"/>
          <w:szCs w:val="24"/>
        </w:rPr>
        <w:t xml:space="preserve"> seeking care in the ED.</w:t>
      </w:r>
    </w:p>
    <w:p w14:paraId="79B71233" w14:textId="77777777" w:rsidR="00D913C0" w:rsidRDefault="00D913C0" w:rsidP="00637364">
      <w:pPr>
        <w:pStyle w:val="xxmsolistparagraph"/>
        <w:ind w:left="0"/>
        <w:rPr>
          <w:rFonts w:asciiTheme="minorHAnsi" w:hAnsiTheme="minorHAnsi" w:cstheme="minorHAnsi"/>
          <w:sz w:val="24"/>
          <w:szCs w:val="24"/>
        </w:rPr>
      </w:pPr>
    </w:p>
    <w:p w14:paraId="52015C35" w14:textId="695239E9" w:rsidR="00575025" w:rsidRDefault="001A68F8" w:rsidP="00637364">
      <w:pPr>
        <w:pStyle w:val="xxmsolistparagraph"/>
        <w:ind w:left="0"/>
        <w:rPr>
          <w:rFonts w:asciiTheme="minorHAnsi" w:hAnsiTheme="minorHAnsi" w:cstheme="minorHAnsi"/>
          <w:sz w:val="24"/>
          <w:szCs w:val="24"/>
        </w:rPr>
      </w:pPr>
      <w:r>
        <w:rPr>
          <w:rFonts w:asciiTheme="minorHAnsi" w:hAnsiTheme="minorHAnsi" w:cstheme="minorHAnsi"/>
          <w:sz w:val="24"/>
          <w:szCs w:val="24"/>
        </w:rPr>
        <w:t>According to the Applicant, t</w:t>
      </w:r>
      <w:r w:rsidR="00DC66BC" w:rsidRPr="00DC66BC">
        <w:rPr>
          <w:rFonts w:asciiTheme="minorHAnsi" w:hAnsiTheme="minorHAnsi" w:cstheme="minorHAnsi"/>
          <w:sz w:val="24"/>
          <w:szCs w:val="24"/>
        </w:rPr>
        <w:t>he mismatch between the size of the ED and the volume of patients frequently results in overcrowding, delayed treatment or no treatment at all as patients choose to leave without being seen, and strained resources.</w:t>
      </w:r>
      <w:r w:rsidR="008D670E">
        <w:rPr>
          <w:rFonts w:asciiTheme="minorHAnsi" w:hAnsiTheme="minorHAnsi" w:cstheme="minorHAnsi"/>
          <w:sz w:val="24"/>
          <w:szCs w:val="24"/>
        </w:rPr>
        <w:t xml:space="preserve"> Table </w:t>
      </w:r>
      <w:r w:rsidR="00671C95">
        <w:rPr>
          <w:rFonts w:asciiTheme="minorHAnsi" w:hAnsiTheme="minorHAnsi" w:cstheme="minorHAnsi"/>
          <w:sz w:val="24"/>
          <w:szCs w:val="24"/>
        </w:rPr>
        <w:t>7</w:t>
      </w:r>
      <w:r w:rsidR="008D670E">
        <w:rPr>
          <w:rFonts w:asciiTheme="minorHAnsi" w:hAnsiTheme="minorHAnsi" w:cstheme="minorHAnsi"/>
          <w:sz w:val="24"/>
          <w:szCs w:val="24"/>
        </w:rPr>
        <w:t xml:space="preserve"> </w:t>
      </w:r>
      <w:r w:rsidR="0093633C">
        <w:rPr>
          <w:rFonts w:asciiTheme="minorHAnsi" w:hAnsiTheme="minorHAnsi" w:cstheme="minorHAnsi"/>
          <w:sz w:val="24"/>
          <w:szCs w:val="24"/>
        </w:rPr>
        <w:t xml:space="preserve">provides ED Utilization details, showing </w:t>
      </w:r>
      <w:r w:rsidR="00B459B1">
        <w:rPr>
          <w:rFonts w:asciiTheme="minorHAnsi" w:hAnsiTheme="minorHAnsi" w:cstheme="minorHAnsi"/>
          <w:sz w:val="24"/>
          <w:szCs w:val="24"/>
        </w:rPr>
        <w:t>increases in wait time</w:t>
      </w:r>
      <w:r w:rsidR="00896080">
        <w:rPr>
          <w:rFonts w:asciiTheme="minorHAnsi" w:hAnsiTheme="minorHAnsi" w:cstheme="minorHAnsi"/>
          <w:sz w:val="24"/>
          <w:szCs w:val="24"/>
        </w:rPr>
        <w:t>s,</w:t>
      </w:r>
      <w:r w:rsidR="005A7329">
        <w:rPr>
          <w:rFonts w:asciiTheme="minorHAnsi" w:hAnsiTheme="minorHAnsi" w:cstheme="minorHAnsi"/>
          <w:sz w:val="24"/>
          <w:szCs w:val="24"/>
        </w:rPr>
        <w:t xml:space="preserve"> </w:t>
      </w:r>
      <w:r w:rsidR="00271440">
        <w:rPr>
          <w:rFonts w:asciiTheme="minorHAnsi" w:hAnsiTheme="minorHAnsi" w:cstheme="minorHAnsi"/>
          <w:sz w:val="24"/>
          <w:szCs w:val="24"/>
        </w:rPr>
        <w:t>total lengths of stay (TLOS) for all patients</w:t>
      </w:r>
      <w:r w:rsidR="005A7329">
        <w:rPr>
          <w:rFonts w:asciiTheme="minorHAnsi" w:hAnsiTheme="minorHAnsi" w:cstheme="minorHAnsi"/>
          <w:sz w:val="24"/>
          <w:szCs w:val="24"/>
        </w:rPr>
        <w:t xml:space="preserve">, and </w:t>
      </w:r>
      <w:r w:rsidR="007B51AB">
        <w:rPr>
          <w:rFonts w:asciiTheme="minorHAnsi" w:hAnsiTheme="minorHAnsi" w:cstheme="minorHAnsi"/>
          <w:sz w:val="24"/>
          <w:szCs w:val="24"/>
        </w:rPr>
        <w:t>the percentage of patients who left without being seen (LWBS)</w:t>
      </w:r>
      <w:r w:rsidR="00271440">
        <w:rPr>
          <w:rFonts w:asciiTheme="minorHAnsi" w:hAnsiTheme="minorHAnsi" w:cstheme="minorHAnsi"/>
          <w:sz w:val="24"/>
          <w:szCs w:val="24"/>
        </w:rPr>
        <w:t>.</w:t>
      </w:r>
    </w:p>
    <w:p w14:paraId="07564B5F" w14:textId="77777777" w:rsidR="0093633C" w:rsidRDefault="0093633C" w:rsidP="00637364">
      <w:pPr>
        <w:pStyle w:val="xxmsolistparagraph"/>
        <w:ind w:left="0"/>
        <w:rPr>
          <w:rFonts w:asciiTheme="minorHAnsi" w:hAnsiTheme="minorHAnsi" w:cstheme="minorHAnsi"/>
          <w:sz w:val="24"/>
          <w:szCs w:val="24"/>
        </w:rPr>
      </w:pPr>
    </w:p>
    <w:p w14:paraId="2AA40726" w14:textId="1C2AC869" w:rsidR="0093633C" w:rsidRPr="00FA501E" w:rsidRDefault="00FA501E" w:rsidP="00FA501E">
      <w:pPr>
        <w:pStyle w:val="Caption"/>
        <w:spacing w:after="0"/>
        <w:contextualSpacing/>
        <w:jc w:val="center"/>
        <w:rPr>
          <w:rFonts w:cstheme="minorHAnsi"/>
          <w:color w:val="2F5496" w:themeColor="accent1" w:themeShade="BF"/>
          <w:sz w:val="24"/>
          <w:szCs w:val="24"/>
        </w:rPr>
      </w:pPr>
      <w:r w:rsidRPr="00533673">
        <w:rPr>
          <w:rFonts w:cstheme="minorHAnsi"/>
          <w:color w:val="2F5496" w:themeColor="accent1" w:themeShade="BF"/>
          <w:sz w:val="24"/>
          <w:szCs w:val="24"/>
          <w:u w:val="single"/>
        </w:rPr>
        <w:t xml:space="preserve">Table </w:t>
      </w:r>
      <w:r w:rsidR="00671C95">
        <w:rPr>
          <w:rFonts w:cstheme="minorHAnsi"/>
          <w:color w:val="2F5496" w:themeColor="accent1" w:themeShade="BF"/>
          <w:sz w:val="24"/>
          <w:szCs w:val="24"/>
          <w:u w:val="single"/>
        </w:rPr>
        <w:t>7</w:t>
      </w:r>
      <w:r w:rsidRPr="00FA501E">
        <w:rPr>
          <w:rFonts w:cstheme="minorHAnsi"/>
          <w:color w:val="2F5496" w:themeColor="accent1" w:themeShade="BF"/>
          <w:sz w:val="24"/>
          <w:szCs w:val="24"/>
        </w:rPr>
        <w:t xml:space="preserve"> </w:t>
      </w:r>
      <w:r w:rsidRPr="00533673">
        <w:rPr>
          <w:rFonts w:cstheme="minorHAnsi"/>
          <w:color w:val="2F5496" w:themeColor="accent1" w:themeShade="BF"/>
          <w:sz w:val="24"/>
          <w:szCs w:val="24"/>
        </w:rPr>
        <w:t xml:space="preserve">– </w:t>
      </w:r>
      <w:r>
        <w:rPr>
          <w:rFonts w:cstheme="minorHAnsi"/>
          <w:color w:val="2F5496" w:themeColor="accent1" w:themeShade="BF"/>
          <w:sz w:val="24"/>
          <w:szCs w:val="24"/>
        </w:rPr>
        <w:t xml:space="preserve">Historical </w:t>
      </w:r>
      <w:r w:rsidRPr="00533673">
        <w:rPr>
          <w:rFonts w:cstheme="minorHAnsi"/>
          <w:color w:val="2F5496" w:themeColor="accent1" w:themeShade="BF"/>
          <w:sz w:val="24"/>
          <w:szCs w:val="24"/>
        </w:rPr>
        <w:t xml:space="preserve">BID-P Emergency Department </w:t>
      </w:r>
      <w:r>
        <w:rPr>
          <w:rFonts w:cstheme="minorHAnsi"/>
          <w:color w:val="2F5496" w:themeColor="accent1" w:themeShade="BF"/>
          <w:sz w:val="24"/>
          <w:szCs w:val="24"/>
        </w:rPr>
        <w:t>Utilization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350"/>
        <w:gridCol w:w="1170"/>
        <w:gridCol w:w="1170"/>
        <w:gridCol w:w="1080"/>
        <w:gridCol w:w="1170"/>
        <w:gridCol w:w="990"/>
      </w:tblGrid>
      <w:tr w:rsidR="00EA025B" w:rsidRPr="000D5ED1" w14:paraId="2490EC2A" w14:textId="77777777" w:rsidTr="006D5E4C">
        <w:trPr>
          <w:cantSplit/>
          <w:trHeight w:val="521"/>
          <w:tblHeader/>
        </w:trPr>
        <w:tc>
          <w:tcPr>
            <w:tcW w:w="2695" w:type="dxa"/>
            <w:shd w:val="clear" w:color="auto" w:fill="D9E2F3" w:themeFill="accent1" w:themeFillTint="33"/>
            <w:noWrap/>
            <w:vAlign w:val="center"/>
          </w:tcPr>
          <w:p w14:paraId="686A5C4E" w14:textId="68FEAA35" w:rsidR="00EA025B" w:rsidRPr="00FA501E" w:rsidRDefault="00EA025B" w:rsidP="00EA025B">
            <w:pPr>
              <w:spacing w:after="0" w:line="240" w:lineRule="auto"/>
              <w:jc w:val="center"/>
              <w:rPr>
                <w:rFonts w:eastAsia="Times New Roman" w:cstheme="minorHAnsi"/>
                <w:b/>
                <w:bCs/>
                <w:color w:val="000000"/>
                <w:sz w:val="24"/>
                <w:szCs w:val="24"/>
              </w:rPr>
            </w:pPr>
          </w:p>
        </w:tc>
        <w:tc>
          <w:tcPr>
            <w:tcW w:w="1350" w:type="dxa"/>
            <w:shd w:val="clear" w:color="auto" w:fill="D9E2F3" w:themeFill="accent1" w:themeFillTint="33"/>
            <w:noWrap/>
            <w:vAlign w:val="center"/>
          </w:tcPr>
          <w:p w14:paraId="536419D7" w14:textId="77777777" w:rsidR="00EA025B" w:rsidRPr="00FA501E" w:rsidRDefault="00EA025B" w:rsidP="00EA025B">
            <w:pPr>
              <w:spacing w:after="0" w:line="240" w:lineRule="auto"/>
              <w:jc w:val="center"/>
              <w:rPr>
                <w:rFonts w:eastAsia="Times New Roman" w:cstheme="minorHAnsi"/>
                <w:b/>
                <w:bCs/>
                <w:color w:val="000000"/>
                <w:sz w:val="24"/>
                <w:szCs w:val="24"/>
              </w:rPr>
            </w:pPr>
            <w:r w:rsidRPr="00FA501E">
              <w:rPr>
                <w:rFonts w:eastAsia="Times New Roman" w:cstheme="minorHAnsi"/>
                <w:b/>
                <w:bCs/>
                <w:color w:val="000000"/>
                <w:sz w:val="24"/>
                <w:szCs w:val="24"/>
              </w:rPr>
              <w:t>FY2020</w:t>
            </w:r>
          </w:p>
        </w:tc>
        <w:tc>
          <w:tcPr>
            <w:tcW w:w="1170" w:type="dxa"/>
            <w:shd w:val="clear" w:color="auto" w:fill="D9E2F3" w:themeFill="accent1" w:themeFillTint="33"/>
            <w:noWrap/>
            <w:vAlign w:val="center"/>
          </w:tcPr>
          <w:p w14:paraId="42403076" w14:textId="77777777" w:rsidR="00EA025B" w:rsidRPr="00FA501E" w:rsidRDefault="00EA025B">
            <w:pPr>
              <w:spacing w:after="0" w:line="240" w:lineRule="auto"/>
              <w:rPr>
                <w:rFonts w:eastAsia="Times New Roman" w:cstheme="minorHAnsi"/>
                <w:b/>
                <w:bCs/>
                <w:color w:val="000000"/>
                <w:sz w:val="24"/>
                <w:szCs w:val="24"/>
              </w:rPr>
            </w:pPr>
            <w:r w:rsidRPr="00FA501E">
              <w:rPr>
                <w:rFonts w:eastAsia="Times New Roman" w:cstheme="minorHAnsi"/>
                <w:b/>
                <w:bCs/>
                <w:color w:val="000000"/>
                <w:sz w:val="24"/>
                <w:szCs w:val="24"/>
              </w:rPr>
              <w:t>FY2021</w:t>
            </w:r>
          </w:p>
        </w:tc>
        <w:tc>
          <w:tcPr>
            <w:tcW w:w="1170" w:type="dxa"/>
            <w:shd w:val="clear" w:color="auto" w:fill="D9E2F3" w:themeFill="accent1" w:themeFillTint="33"/>
            <w:noWrap/>
            <w:vAlign w:val="center"/>
          </w:tcPr>
          <w:p w14:paraId="338FF32A" w14:textId="77777777" w:rsidR="00EA025B" w:rsidRPr="00FA501E" w:rsidRDefault="00EA025B">
            <w:pPr>
              <w:spacing w:after="0" w:line="240" w:lineRule="auto"/>
              <w:rPr>
                <w:rFonts w:eastAsia="Times New Roman" w:cstheme="minorHAnsi"/>
                <w:b/>
                <w:bCs/>
                <w:color w:val="000000"/>
                <w:sz w:val="24"/>
                <w:szCs w:val="24"/>
              </w:rPr>
            </w:pPr>
            <w:r w:rsidRPr="00FA501E">
              <w:rPr>
                <w:rFonts w:eastAsia="Times New Roman" w:cstheme="minorHAnsi"/>
                <w:b/>
                <w:bCs/>
                <w:color w:val="000000"/>
                <w:sz w:val="24"/>
                <w:szCs w:val="24"/>
              </w:rPr>
              <w:t>FY2022</w:t>
            </w:r>
          </w:p>
        </w:tc>
        <w:tc>
          <w:tcPr>
            <w:tcW w:w="1080" w:type="dxa"/>
            <w:shd w:val="clear" w:color="auto" w:fill="D9E2F3" w:themeFill="accent1" w:themeFillTint="33"/>
            <w:noWrap/>
            <w:vAlign w:val="center"/>
          </w:tcPr>
          <w:p w14:paraId="347052FF" w14:textId="77777777" w:rsidR="00EA025B" w:rsidRPr="00FA501E" w:rsidRDefault="00EA025B">
            <w:pPr>
              <w:spacing w:after="0" w:line="240" w:lineRule="auto"/>
              <w:rPr>
                <w:rFonts w:eastAsia="Times New Roman" w:cstheme="minorHAnsi"/>
                <w:b/>
                <w:bCs/>
                <w:color w:val="000000"/>
                <w:sz w:val="24"/>
                <w:szCs w:val="24"/>
              </w:rPr>
            </w:pPr>
            <w:r w:rsidRPr="00FA501E">
              <w:rPr>
                <w:rFonts w:eastAsia="Times New Roman" w:cstheme="minorHAnsi"/>
                <w:b/>
                <w:bCs/>
                <w:color w:val="000000"/>
                <w:sz w:val="24"/>
                <w:szCs w:val="24"/>
              </w:rPr>
              <w:t>FY2023</w:t>
            </w:r>
          </w:p>
        </w:tc>
        <w:tc>
          <w:tcPr>
            <w:tcW w:w="1170" w:type="dxa"/>
            <w:shd w:val="clear" w:color="auto" w:fill="D9E2F3" w:themeFill="accent1" w:themeFillTint="33"/>
            <w:vAlign w:val="center"/>
          </w:tcPr>
          <w:p w14:paraId="50A0F79B" w14:textId="4DD58903" w:rsidR="00EA025B" w:rsidRPr="00FA501E" w:rsidRDefault="00EA025B">
            <w:pPr>
              <w:spacing w:after="0" w:line="240" w:lineRule="auto"/>
              <w:jc w:val="center"/>
              <w:rPr>
                <w:rFonts w:eastAsia="Times New Roman" w:cstheme="minorHAnsi"/>
                <w:b/>
                <w:bCs/>
                <w:color w:val="000000"/>
                <w:sz w:val="24"/>
                <w:szCs w:val="24"/>
              </w:rPr>
            </w:pPr>
            <w:r>
              <w:rPr>
                <w:rFonts w:eastAsia="Times New Roman" w:cstheme="minorHAnsi"/>
                <w:b/>
                <w:bCs/>
                <w:color w:val="000000"/>
                <w:sz w:val="24"/>
                <w:szCs w:val="24"/>
              </w:rPr>
              <w:t>FY2024</w:t>
            </w:r>
            <w:r>
              <w:rPr>
                <w:rStyle w:val="FootnoteReference"/>
                <w:rFonts w:eastAsia="Times New Roman" w:cstheme="minorHAnsi"/>
                <w:b/>
                <w:bCs/>
                <w:color w:val="000000"/>
                <w:sz w:val="24"/>
                <w:szCs w:val="24"/>
              </w:rPr>
              <w:footnoteReference w:id="16"/>
            </w:r>
          </w:p>
        </w:tc>
        <w:tc>
          <w:tcPr>
            <w:tcW w:w="990" w:type="dxa"/>
            <w:shd w:val="clear" w:color="auto" w:fill="D9E2F3" w:themeFill="accent1" w:themeFillTint="33"/>
            <w:vAlign w:val="center"/>
          </w:tcPr>
          <w:p w14:paraId="542CD814" w14:textId="56D1FB42" w:rsidR="00EA025B" w:rsidRPr="00FA501E" w:rsidRDefault="00EA025B">
            <w:pPr>
              <w:spacing w:after="0" w:line="240" w:lineRule="auto"/>
              <w:jc w:val="center"/>
              <w:rPr>
                <w:rFonts w:eastAsia="Times New Roman" w:cstheme="minorHAnsi"/>
                <w:b/>
                <w:bCs/>
                <w:color w:val="000000"/>
                <w:sz w:val="24"/>
                <w:szCs w:val="24"/>
              </w:rPr>
            </w:pPr>
            <w:r w:rsidRPr="00FA501E">
              <w:rPr>
                <w:rFonts w:eastAsia="Times New Roman" w:cstheme="minorHAnsi"/>
                <w:b/>
                <w:bCs/>
                <w:color w:val="000000"/>
                <w:sz w:val="24"/>
                <w:szCs w:val="24"/>
              </w:rPr>
              <w:t>Change</w:t>
            </w:r>
          </w:p>
          <w:p w14:paraId="576A5021" w14:textId="77777777" w:rsidR="00EA025B" w:rsidRPr="00FA501E" w:rsidRDefault="00EA025B">
            <w:pPr>
              <w:spacing w:after="0" w:line="240" w:lineRule="auto"/>
              <w:jc w:val="center"/>
              <w:rPr>
                <w:rFonts w:eastAsia="Times New Roman" w:cstheme="minorHAnsi"/>
                <w:b/>
                <w:bCs/>
                <w:color w:val="000000"/>
                <w:sz w:val="24"/>
                <w:szCs w:val="24"/>
              </w:rPr>
            </w:pPr>
            <w:r w:rsidRPr="00FA501E">
              <w:rPr>
                <w:rFonts w:eastAsia="Times New Roman" w:cstheme="minorHAnsi"/>
                <w:b/>
                <w:bCs/>
                <w:color w:val="000000"/>
                <w:sz w:val="24"/>
                <w:szCs w:val="24"/>
              </w:rPr>
              <w:t>2020-2023</w:t>
            </w:r>
          </w:p>
        </w:tc>
      </w:tr>
      <w:tr w:rsidR="00EA025B" w:rsidRPr="000D5ED1" w14:paraId="5701E31B" w14:textId="77777777" w:rsidTr="006D5E4C">
        <w:trPr>
          <w:cantSplit/>
          <w:trHeight w:val="233"/>
        </w:trPr>
        <w:tc>
          <w:tcPr>
            <w:tcW w:w="2695" w:type="dxa"/>
            <w:shd w:val="clear" w:color="auto" w:fill="auto"/>
            <w:noWrap/>
            <w:vAlign w:val="center"/>
            <w:hideMark/>
          </w:tcPr>
          <w:p w14:paraId="66C0C97E" w14:textId="77777777" w:rsidR="00EA025B" w:rsidRPr="00FA501E" w:rsidRDefault="00EA025B" w:rsidP="00EA025B">
            <w:pPr>
              <w:spacing w:after="0" w:line="240" w:lineRule="auto"/>
              <w:rPr>
                <w:rFonts w:eastAsia="Times New Roman" w:cstheme="minorHAnsi"/>
                <w:color w:val="000000"/>
                <w:sz w:val="24"/>
                <w:szCs w:val="24"/>
              </w:rPr>
            </w:pPr>
            <w:r w:rsidRPr="00FA501E">
              <w:rPr>
                <w:rFonts w:eastAsia="Times New Roman" w:cstheme="minorHAnsi"/>
                <w:color w:val="000000"/>
                <w:sz w:val="24"/>
                <w:szCs w:val="24"/>
              </w:rPr>
              <w:t>Avg. Arrival to Treatment Space (minutes)</w:t>
            </w:r>
          </w:p>
        </w:tc>
        <w:tc>
          <w:tcPr>
            <w:tcW w:w="1350" w:type="dxa"/>
            <w:shd w:val="clear" w:color="auto" w:fill="auto"/>
            <w:noWrap/>
            <w:vAlign w:val="center"/>
            <w:hideMark/>
          </w:tcPr>
          <w:p w14:paraId="0CFED67F"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11</w:t>
            </w:r>
          </w:p>
        </w:tc>
        <w:tc>
          <w:tcPr>
            <w:tcW w:w="1170" w:type="dxa"/>
            <w:shd w:val="clear" w:color="auto" w:fill="auto"/>
            <w:noWrap/>
            <w:vAlign w:val="center"/>
            <w:hideMark/>
          </w:tcPr>
          <w:p w14:paraId="277772F2"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59</w:t>
            </w:r>
          </w:p>
        </w:tc>
        <w:tc>
          <w:tcPr>
            <w:tcW w:w="1170" w:type="dxa"/>
            <w:shd w:val="clear" w:color="auto" w:fill="auto"/>
            <w:noWrap/>
            <w:vAlign w:val="center"/>
            <w:hideMark/>
          </w:tcPr>
          <w:p w14:paraId="2C817938"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90</w:t>
            </w:r>
          </w:p>
        </w:tc>
        <w:tc>
          <w:tcPr>
            <w:tcW w:w="1080" w:type="dxa"/>
            <w:shd w:val="clear" w:color="auto" w:fill="auto"/>
            <w:noWrap/>
            <w:vAlign w:val="center"/>
            <w:hideMark/>
          </w:tcPr>
          <w:p w14:paraId="7E1421DF"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91</w:t>
            </w:r>
          </w:p>
        </w:tc>
        <w:tc>
          <w:tcPr>
            <w:tcW w:w="1170" w:type="dxa"/>
            <w:vAlign w:val="center"/>
          </w:tcPr>
          <w:p w14:paraId="3F8F5A3A" w14:textId="1D266325" w:rsidR="00EA025B" w:rsidRPr="00EA025B" w:rsidRDefault="00EA025B" w:rsidP="00EA025B">
            <w:pPr>
              <w:spacing w:after="0" w:line="240" w:lineRule="auto"/>
              <w:jc w:val="center"/>
              <w:rPr>
                <w:rFonts w:eastAsia="Times New Roman" w:cstheme="minorHAnsi"/>
                <w:sz w:val="24"/>
                <w:szCs w:val="24"/>
              </w:rPr>
            </w:pPr>
            <w:r w:rsidRPr="00EA025B">
              <w:rPr>
                <w:rFonts w:eastAsia="Times New Roman"/>
              </w:rPr>
              <w:t>82</w:t>
            </w:r>
          </w:p>
        </w:tc>
        <w:tc>
          <w:tcPr>
            <w:tcW w:w="990" w:type="dxa"/>
            <w:vAlign w:val="center"/>
          </w:tcPr>
          <w:p w14:paraId="6564619E" w14:textId="4A47CCF9"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727%</w:t>
            </w:r>
          </w:p>
        </w:tc>
      </w:tr>
      <w:tr w:rsidR="00EA025B" w:rsidRPr="00507A52" w14:paraId="0FB68C3A" w14:textId="77777777" w:rsidTr="006D5E4C">
        <w:trPr>
          <w:cantSplit/>
          <w:trHeight w:val="26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A2A61" w14:textId="0B472D01" w:rsidR="00EA025B" w:rsidRPr="00FA501E" w:rsidRDefault="00EA025B" w:rsidP="00EA025B">
            <w:pPr>
              <w:spacing w:after="0" w:line="240" w:lineRule="auto"/>
              <w:rPr>
                <w:rFonts w:eastAsia="Times New Roman" w:cstheme="minorHAnsi"/>
                <w:color w:val="000000"/>
                <w:sz w:val="24"/>
                <w:szCs w:val="24"/>
              </w:rPr>
            </w:pPr>
            <w:r w:rsidRPr="00FA501E">
              <w:rPr>
                <w:rFonts w:eastAsia="Times New Roman" w:cstheme="minorHAnsi"/>
                <w:color w:val="000000"/>
                <w:sz w:val="24"/>
                <w:szCs w:val="24"/>
              </w:rPr>
              <w:t xml:space="preserve">Avg. </w:t>
            </w:r>
            <w:r>
              <w:rPr>
                <w:rFonts w:eastAsia="Times New Roman" w:cstheme="minorHAnsi"/>
                <w:color w:val="000000"/>
                <w:sz w:val="24"/>
                <w:szCs w:val="24"/>
              </w:rPr>
              <w:t xml:space="preserve">Total </w:t>
            </w:r>
            <w:r w:rsidRPr="00FA501E">
              <w:rPr>
                <w:rFonts w:eastAsia="Times New Roman" w:cstheme="minorHAnsi"/>
                <w:color w:val="000000"/>
                <w:sz w:val="24"/>
                <w:szCs w:val="24"/>
              </w:rPr>
              <w:t>TLOS - All Patients</w:t>
            </w:r>
            <w:r w:rsidR="009C04E0">
              <w:rPr>
                <w:rFonts w:eastAsia="Times New Roman" w:cstheme="minorHAnsi"/>
                <w:color w:val="000000"/>
                <w:sz w:val="24"/>
                <w:szCs w:val="24"/>
              </w:rPr>
              <w:t xml:space="preserve"> (minutes)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B7BC"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391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D81BC"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440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6EC5A"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475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6177B"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468</w:t>
            </w:r>
          </w:p>
        </w:tc>
        <w:tc>
          <w:tcPr>
            <w:tcW w:w="1170" w:type="dxa"/>
            <w:tcBorders>
              <w:top w:val="single" w:sz="4" w:space="0" w:color="auto"/>
              <w:left w:val="single" w:sz="4" w:space="0" w:color="auto"/>
              <w:bottom w:val="single" w:sz="4" w:space="0" w:color="auto"/>
              <w:right w:val="single" w:sz="4" w:space="0" w:color="auto"/>
            </w:tcBorders>
            <w:vAlign w:val="center"/>
          </w:tcPr>
          <w:p w14:paraId="464C5EB2" w14:textId="083A0C5B" w:rsidR="00EA025B" w:rsidRPr="00EA025B" w:rsidRDefault="00EA025B" w:rsidP="00EA025B">
            <w:pPr>
              <w:spacing w:after="0" w:line="240" w:lineRule="auto"/>
              <w:jc w:val="center"/>
              <w:rPr>
                <w:rFonts w:eastAsia="Times New Roman" w:cstheme="minorHAnsi"/>
                <w:sz w:val="24"/>
                <w:szCs w:val="24"/>
              </w:rPr>
            </w:pPr>
            <w:r w:rsidRPr="00EA025B">
              <w:rPr>
                <w:rFonts w:eastAsia="Times New Roman"/>
              </w:rPr>
              <w:t>483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0F9AE8" w14:textId="28CFC885"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19.7%</w:t>
            </w:r>
          </w:p>
        </w:tc>
      </w:tr>
      <w:tr w:rsidR="00EA025B" w:rsidRPr="00507A52" w14:paraId="41B470F3" w14:textId="77777777" w:rsidTr="006D5E4C">
        <w:trPr>
          <w:cantSplit/>
          <w:trHeight w:val="26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E4DA8" w14:textId="433FD513" w:rsidR="00EA025B" w:rsidRPr="00FA501E" w:rsidRDefault="00EA025B" w:rsidP="00EA025B">
            <w:pPr>
              <w:spacing w:after="0" w:line="240" w:lineRule="auto"/>
              <w:rPr>
                <w:rFonts w:eastAsia="Times New Roman" w:cstheme="minorHAnsi"/>
                <w:color w:val="000000"/>
                <w:sz w:val="24"/>
                <w:szCs w:val="24"/>
              </w:rPr>
            </w:pPr>
            <w:r w:rsidRPr="00FA501E">
              <w:rPr>
                <w:rFonts w:eastAsia="Times New Roman" w:cstheme="minorHAnsi"/>
                <w:color w:val="000000"/>
                <w:sz w:val="24"/>
                <w:szCs w:val="24"/>
              </w:rPr>
              <w:t xml:space="preserve">Median TLOS - All </w:t>
            </w:r>
            <w:r w:rsidR="00307E4F">
              <w:rPr>
                <w:rFonts w:eastAsia="Times New Roman" w:cstheme="minorHAnsi"/>
                <w:color w:val="000000"/>
                <w:sz w:val="24"/>
                <w:szCs w:val="24"/>
              </w:rPr>
              <w:t xml:space="preserve"> </w:t>
            </w:r>
            <w:r w:rsidRPr="00FA501E">
              <w:rPr>
                <w:rFonts w:eastAsia="Times New Roman" w:cstheme="minorHAnsi"/>
                <w:color w:val="000000"/>
                <w:sz w:val="24"/>
                <w:szCs w:val="24"/>
              </w:rPr>
              <w:t>Patients</w:t>
            </w:r>
            <w:r w:rsidR="00307E4F">
              <w:rPr>
                <w:rFonts w:eastAsia="Times New Roman" w:cstheme="minorHAnsi"/>
                <w:color w:val="000000"/>
                <w:sz w:val="24"/>
                <w:szCs w:val="24"/>
              </w:rPr>
              <w:t xml:space="preserve"> (minutes)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615E7"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279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2F9A9"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311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0B1D2"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324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28E92"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329</w:t>
            </w:r>
          </w:p>
        </w:tc>
        <w:tc>
          <w:tcPr>
            <w:tcW w:w="1170" w:type="dxa"/>
            <w:tcBorders>
              <w:top w:val="single" w:sz="4" w:space="0" w:color="auto"/>
              <w:left w:val="single" w:sz="4" w:space="0" w:color="auto"/>
              <w:bottom w:val="single" w:sz="4" w:space="0" w:color="auto"/>
              <w:right w:val="single" w:sz="4" w:space="0" w:color="auto"/>
            </w:tcBorders>
            <w:vAlign w:val="center"/>
          </w:tcPr>
          <w:p w14:paraId="0E67C3C2" w14:textId="35F8B994" w:rsidR="00EA025B" w:rsidRPr="00EA025B" w:rsidRDefault="00EA025B" w:rsidP="00EA025B">
            <w:pPr>
              <w:spacing w:after="0" w:line="240" w:lineRule="auto"/>
              <w:jc w:val="center"/>
              <w:rPr>
                <w:rFonts w:eastAsia="Times New Roman" w:cstheme="minorHAnsi"/>
                <w:sz w:val="24"/>
                <w:szCs w:val="24"/>
              </w:rPr>
            </w:pPr>
            <w:r w:rsidRPr="00EA025B">
              <w:rPr>
                <w:rFonts w:eastAsia="Times New Roman"/>
              </w:rPr>
              <w:t>324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A4433E" w14:textId="7AD9BE55"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17.9%</w:t>
            </w:r>
          </w:p>
        </w:tc>
      </w:tr>
      <w:tr w:rsidR="00EA025B" w:rsidRPr="00507A52" w14:paraId="41CD1AB9" w14:textId="77777777" w:rsidTr="006D5E4C">
        <w:trPr>
          <w:cantSplit/>
          <w:trHeight w:val="26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DE26F" w14:textId="4F139F31" w:rsidR="00EA025B" w:rsidRPr="00FA501E" w:rsidRDefault="00EA025B" w:rsidP="00EA025B">
            <w:pPr>
              <w:spacing w:after="0" w:line="240" w:lineRule="auto"/>
              <w:rPr>
                <w:rFonts w:eastAsia="Times New Roman" w:cstheme="minorHAnsi"/>
                <w:color w:val="000000"/>
                <w:sz w:val="24"/>
                <w:szCs w:val="24"/>
              </w:rPr>
            </w:pPr>
            <w:r w:rsidRPr="00FA501E">
              <w:rPr>
                <w:rFonts w:eastAsia="Times New Roman" w:cstheme="minorHAnsi"/>
                <w:color w:val="000000"/>
                <w:sz w:val="24"/>
                <w:szCs w:val="24"/>
              </w:rPr>
              <w:t>Avg. TLOS - Admitted &amp; Acute Transfers</w:t>
            </w:r>
            <w:r w:rsidR="00307E4F">
              <w:rPr>
                <w:rFonts w:eastAsia="Times New Roman" w:cstheme="minorHAnsi"/>
                <w:color w:val="000000"/>
                <w:sz w:val="24"/>
                <w:szCs w:val="24"/>
              </w:rPr>
              <w:t xml:space="preserve"> (minutes)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9318"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480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BC03B"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594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A8056"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675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A221B"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693</w:t>
            </w:r>
          </w:p>
        </w:tc>
        <w:tc>
          <w:tcPr>
            <w:tcW w:w="1170" w:type="dxa"/>
            <w:tcBorders>
              <w:top w:val="single" w:sz="4" w:space="0" w:color="auto"/>
              <w:left w:val="single" w:sz="4" w:space="0" w:color="auto"/>
              <w:bottom w:val="single" w:sz="4" w:space="0" w:color="auto"/>
              <w:right w:val="single" w:sz="4" w:space="0" w:color="auto"/>
            </w:tcBorders>
            <w:vAlign w:val="center"/>
          </w:tcPr>
          <w:p w14:paraId="1677F262" w14:textId="21F43749" w:rsidR="00EA025B" w:rsidRPr="00EA025B" w:rsidRDefault="00EA025B" w:rsidP="00EA025B">
            <w:pPr>
              <w:spacing w:after="0" w:line="240" w:lineRule="auto"/>
              <w:jc w:val="center"/>
              <w:rPr>
                <w:rFonts w:eastAsia="Times New Roman" w:cstheme="minorHAnsi"/>
                <w:sz w:val="24"/>
                <w:szCs w:val="24"/>
              </w:rPr>
            </w:pPr>
            <w:r w:rsidRPr="00EA025B">
              <w:rPr>
                <w:rFonts w:eastAsia="Times New Roman"/>
              </w:rPr>
              <w:t>760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BB4EDC" w14:textId="3DCDAD23"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44.3%</w:t>
            </w:r>
          </w:p>
        </w:tc>
      </w:tr>
      <w:tr w:rsidR="00EA025B" w:rsidRPr="00507A52" w14:paraId="30CF3C5B" w14:textId="77777777" w:rsidTr="006D5E4C">
        <w:trPr>
          <w:cantSplit/>
          <w:trHeight w:val="26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70C03" w14:textId="624F5410" w:rsidR="00EA025B" w:rsidRPr="00FA501E" w:rsidRDefault="00EA025B" w:rsidP="00EA025B">
            <w:pPr>
              <w:spacing w:after="0" w:line="240" w:lineRule="auto"/>
              <w:rPr>
                <w:rFonts w:eastAsia="Times New Roman" w:cstheme="minorHAnsi"/>
                <w:color w:val="000000"/>
                <w:sz w:val="24"/>
                <w:szCs w:val="24"/>
              </w:rPr>
            </w:pPr>
            <w:r w:rsidRPr="00FA501E">
              <w:rPr>
                <w:rFonts w:eastAsia="Times New Roman" w:cstheme="minorHAnsi"/>
                <w:color w:val="000000"/>
                <w:sz w:val="24"/>
                <w:szCs w:val="24"/>
              </w:rPr>
              <w:t>Median TLOS - Admitted &amp; Acute Transfers</w:t>
            </w:r>
            <w:r w:rsidR="00307E4F">
              <w:rPr>
                <w:rFonts w:eastAsia="Times New Roman" w:cstheme="minorHAnsi"/>
                <w:color w:val="000000"/>
                <w:sz w:val="24"/>
                <w:szCs w:val="24"/>
              </w:rPr>
              <w:t xml:space="preserve"> (minutes)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4C300"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365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9D735"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438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1B7A4"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466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EC893" w14:textId="7777777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521</w:t>
            </w:r>
          </w:p>
        </w:tc>
        <w:tc>
          <w:tcPr>
            <w:tcW w:w="1170" w:type="dxa"/>
            <w:tcBorders>
              <w:top w:val="single" w:sz="4" w:space="0" w:color="auto"/>
              <w:left w:val="single" w:sz="4" w:space="0" w:color="auto"/>
              <w:bottom w:val="single" w:sz="4" w:space="0" w:color="auto"/>
              <w:right w:val="single" w:sz="4" w:space="0" w:color="auto"/>
            </w:tcBorders>
            <w:vAlign w:val="center"/>
          </w:tcPr>
          <w:p w14:paraId="434F982A" w14:textId="30F9C12A" w:rsidR="00EA025B" w:rsidRPr="00EA025B" w:rsidRDefault="00EA025B" w:rsidP="00EA025B">
            <w:pPr>
              <w:spacing w:after="0" w:line="240" w:lineRule="auto"/>
              <w:jc w:val="center"/>
              <w:rPr>
                <w:rFonts w:eastAsia="Times New Roman" w:cstheme="minorHAnsi"/>
                <w:sz w:val="24"/>
                <w:szCs w:val="24"/>
              </w:rPr>
            </w:pPr>
            <w:r w:rsidRPr="00EA025B">
              <w:rPr>
                <w:rFonts w:eastAsia="Times New Roman"/>
              </w:rPr>
              <w:t>568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F17982" w14:textId="129A44D7" w:rsidR="00EA025B" w:rsidRPr="00FA501E" w:rsidRDefault="00EA025B" w:rsidP="00EA025B">
            <w:pPr>
              <w:spacing w:after="0" w:line="240" w:lineRule="auto"/>
              <w:jc w:val="center"/>
              <w:rPr>
                <w:rFonts w:eastAsia="Times New Roman" w:cstheme="minorHAnsi"/>
                <w:color w:val="000000"/>
                <w:sz w:val="24"/>
                <w:szCs w:val="24"/>
              </w:rPr>
            </w:pPr>
            <w:r w:rsidRPr="00FA501E">
              <w:rPr>
                <w:rFonts w:eastAsia="Times New Roman" w:cstheme="minorHAnsi"/>
                <w:color w:val="000000"/>
                <w:sz w:val="24"/>
                <w:szCs w:val="24"/>
              </w:rPr>
              <w:t>42.7%</w:t>
            </w:r>
          </w:p>
        </w:tc>
      </w:tr>
      <w:tr w:rsidR="00023267" w:rsidRPr="00507A52" w14:paraId="6437299A" w14:textId="77777777" w:rsidTr="006D5E4C">
        <w:trPr>
          <w:cantSplit/>
          <w:trHeight w:val="26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AE6DF" w14:textId="0F852313" w:rsidR="00023267" w:rsidRPr="00FA501E" w:rsidRDefault="00023267" w:rsidP="00023267">
            <w:pPr>
              <w:spacing w:after="0" w:line="240" w:lineRule="auto"/>
              <w:rPr>
                <w:rFonts w:eastAsia="Times New Roman" w:cstheme="minorHAnsi"/>
                <w:color w:val="000000"/>
                <w:sz w:val="24"/>
                <w:szCs w:val="24"/>
              </w:rPr>
            </w:pPr>
            <w:r>
              <w:rPr>
                <w:rFonts w:eastAsia="Times New Roman"/>
                <w:color w:val="000000" w:themeColor="text1"/>
                <w:sz w:val="24"/>
                <w:szCs w:val="24"/>
              </w:rPr>
              <w:t>Percent</w:t>
            </w:r>
            <w:r w:rsidRPr="4E898A69">
              <w:rPr>
                <w:rFonts w:eastAsia="Times New Roman"/>
                <w:color w:val="000000" w:themeColor="text1"/>
                <w:sz w:val="24"/>
                <w:szCs w:val="24"/>
              </w:rPr>
              <w:t xml:space="preserve"> of LWBS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7C836" w14:textId="019F41E2" w:rsidR="00023267" w:rsidRPr="00FA501E" w:rsidRDefault="00023267" w:rsidP="00023267">
            <w:pPr>
              <w:spacing w:after="0" w:line="240" w:lineRule="auto"/>
              <w:jc w:val="center"/>
              <w:rPr>
                <w:rFonts w:eastAsia="Times New Roman" w:cstheme="minorHAnsi"/>
                <w:color w:val="000000"/>
                <w:sz w:val="24"/>
                <w:szCs w:val="24"/>
              </w:rPr>
            </w:pPr>
            <w:r>
              <w:rPr>
                <w:rFonts w:ascii="Calibri" w:hAnsi="Calibri" w:cs="Calibri"/>
                <w:color w:val="000000"/>
                <w:sz w:val="24"/>
                <w:szCs w:val="24"/>
              </w:rPr>
              <w:t>0.9%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8993B" w14:textId="55AF347F" w:rsidR="00023267" w:rsidRPr="00FA501E" w:rsidRDefault="00023267" w:rsidP="00023267">
            <w:pPr>
              <w:spacing w:after="0" w:line="240" w:lineRule="auto"/>
              <w:jc w:val="center"/>
              <w:rPr>
                <w:rFonts w:eastAsia="Times New Roman" w:cstheme="minorHAnsi"/>
                <w:color w:val="000000"/>
                <w:sz w:val="24"/>
                <w:szCs w:val="24"/>
              </w:rPr>
            </w:pPr>
            <w:r>
              <w:rPr>
                <w:rFonts w:ascii="Calibri" w:hAnsi="Calibri" w:cs="Calibri"/>
                <w:color w:val="000000"/>
                <w:sz w:val="24"/>
                <w:szCs w:val="24"/>
              </w:rPr>
              <w:t>1.4%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B4F91" w14:textId="3D7DCB39" w:rsidR="00023267" w:rsidRPr="00FA501E" w:rsidRDefault="00023267" w:rsidP="00023267">
            <w:pPr>
              <w:spacing w:after="0" w:line="240" w:lineRule="auto"/>
              <w:jc w:val="center"/>
              <w:rPr>
                <w:rFonts w:eastAsia="Times New Roman" w:cstheme="minorHAnsi"/>
                <w:color w:val="000000"/>
                <w:sz w:val="24"/>
                <w:szCs w:val="24"/>
              </w:rPr>
            </w:pPr>
            <w:r>
              <w:rPr>
                <w:rFonts w:ascii="Calibri" w:hAnsi="Calibri" w:cs="Calibri"/>
                <w:color w:val="000000"/>
                <w:sz w:val="24"/>
                <w:szCs w:val="24"/>
              </w:rPr>
              <w:t>3.0%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82D11" w14:textId="1DEA1BE8" w:rsidR="00023267" w:rsidRPr="00FA501E" w:rsidRDefault="00023267" w:rsidP="00023267">
            <w:pPr>
              <w:spacing w:after="0" w:line="240" w:lineRule="auto"/>
              <w:jc w:val="center"/>
              <w:rPr>
                <w:rFonts w:eastAsia="Times New Roman" w:cstheme="minorHAnsi"/>
                <w:color w:val="000000"/>
                <w:sz w:val="24"/>
                <w:szCs w:val="24"/>
              </w:rPr>
            </w:pPr>
            <w:r>
              <w:rPr>
                <w:rFonts w:ascii="Calibri" w:hAnsi="Calibri" w:cs="Calibri"/>
                <w:color w:val="000000"/>
                <w:sz w:val="24"/>
                <w:szCs w:val="24"/>
              </w:rPr>
              <w:t>2.6%</w:t>
            </w:r>
          </w:p>
        </w:tc>
        <w:tc>
          <w:tcPr>
            <w:tcW w:w="1170" w:type="dxa"/>
            <w:tcBorders>
              <w:top w:val="single" w:sz="4" w:space="0" w:color="auto"/>
              <w:left w:val="single" w:sz="4" w:space="0" w:color="auto"/>
              <w:bottom w:val="single" w:sz="4" w:space="0" w:color="auto"/>
              <w:right w:val="single" w:sz="4" w:space="0" w:color="auto"/>
            </w:tcBorders>
            <w:vAlign w:val="center"/>
          </w:tcPr>
          <w:p w14:paraId="49A5B247" w14:textId="393D50B9" w:rsidR="00023267" w:rsidRPr="00EA025B" w:rsidRDefault="00023267" w:rsidP="00023267">
            <w:pPr>
              <w:spacing w:after="0" w:line="240" w:lineRule="auto"/>
              <w:jc w:val="center"/>
              <w:rPr>
                <w:rFonts w:eastAsia="Times New Roman"/>
              </w:rPr>
            </w:pPr>
            <w:r>
              <w:rPr>
                <w:rFonts w:ascii="Calibri" w:hAnsi="Calibri" w:cs="Calibri"/>
                <w:color w:val="000000"/>
                <w:sz w:val="24"/>
                <w:szCs w:val="24"/>
              </w:rPr>
              <w:t>2.1%</w:t>
            </w:r>
          </w:p>
        </w:tc>
        <w:tc>
          <w:tcPr>
            <w:tcW w:w="99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4B5241C" w14:textId="77777777" w:rsidR="00023267" w:rsidRPr="00FA501E" w:rsidRDefault="00023267" w:rsidP="00023267">
            <w:pPr>
              <w:spacing w:after="0" w:line="240" w:lineRule="auto"/>
              <w:jc w:val="center"/>
              <w:rPr>
                <w:rFonts w:eastAsia="Times New Roman" w:cstheme="minorHAnsi"/>
                <w:color w:val="000000"/>
                <w:sz w:val="24"/>
                <w:szCs w:val="24"/>
              </w:rPr>
            </w:pPr>
          </w:p>
        </w:tc>
      </w:tr>
      <w:tr w:rsidR="00023267" w:rsidRPr="00507A52" w14:paraId="7CD0B55B" w14:textId="77777777" w:rsidTr="006D5E4C">
        <w:trPr>
          <w:cantSplit/>
          <w:trHeight w:val="26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E6D35" w14:textId="1C35EC39" w:rsidR="00023267" w:rsidRPr="00FA501E" w:rsidRDefault="00023267" w:rsidP="00023267">
            <w:pPr>
              <w:spacing w:after="0" w:line="240" w:lineRule="auto"/>
              <w:rPr>
                <w:rFonts w:eastAsia="Times New Roman" w:cstheme="minorHAnsi"/>
                <w:color w:val="000000"/>
                <w:sz w:val="24"/>
                <w:szCs w:val="24"/>
              </w:rPr>
            </w:pPr>
            <w:r>
              <w:rPr>
                <w:rFonts w:eastAsia="Times New Roman"/>
                <w:color w:val="000000"/>
                <w:sz w:val="24"/>
                <w:szCs w:val="24"/>
              </w:rPr>
              <w:t xml:space="preserve">Percent </w:t>
            </w:r>
            <w:r w:rsidRPr="0256F792">
              <w:rPr>
                <w:rFonts w:eastAsia="Times New Roman"/>
                <w:color w:val="000000"/>
                <w:sz w:val="24"/>
                <w:szCs w:val="24"/>
              </w:rPr>
              <w:t>of Eloped</w:t>
            </w:r>
            <w:r w:rsidRPr="0256F792">
              <w:rPr>
                <w:rStyle w:val="FootnoteReference"/>
                <w:rFonts w:eastAsia="Times New Roman"/>
                <w:color w:val="000000"/>
                <w:sz w:val="24"/>
                <w:szCs w:val="24"/>
              </w:rPr>
              <w:footnoteReference w:id="17"/>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076E7" w14:textId="03BC7BD5" w:rsidR="00023267" w:rsidRPr="00FA501E" w:rsidRDefault="00023267" w:rsidP="00023267">
            <w:pPr>
              <w:spacing w:after="0" w:line="240" w:lineRule="auto"/>
              <w:jc w:val="center"/>
              <w:rPr>
                <w:rFonts w:eastAsia="Times New Roman" w:cstheme="minorHAnsi"/>
                <w:color w:val="000000"/>
                <w:sz w:val="24"/>
                <w:szCs w:val="24"/>
              </w:rPr>
            </w:pPr>
            <w:r>
              <w:rPr>
                <w:rFonts w:ascii="Calibri" w:hAnsi="Calibri" w:cs="Calibri"/>
                <w:color w:val="000000"/>
                <w:sz w:val="24"/>
                <w:szCs w:val="24"/>
              </w:rPr>
              <w:t>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E3DEE" w14:textId="70E743F6" w:rsidR="00023267" w:rsidRPr="00FA501E" w:rsidRDefault="00023267" w:rsidP="00023267">
            <w:pPr>
              <w:spacing w:after="0" w:line="240" w:lineRule="auto"/>
              <w:jc w:val="center"/>
              <w:rPr>
                <w:rFonts w:eastAsia="Times New Roman" w:cstheme="minorHAnsi"/>
                <w:color w:val="000000"/>
                <w:sz w:val="24"/>
                <w:szCs w:val="24"/>
              </w:rPr>
            </w:pPr>
            <w:r>
              <w:rPr>
                <w:rFonts w:ascii="Calibri" w:hAnsi="Calibri" w:cs="Calibri"/>
                <w:color w:val="000000"/>
                <w:sz w:val="24"/>
                <w:szCs w:val="24"/>
              </w:rPr>
              <w:t>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AAE46" w14:textId="73272D4C" w:rsidR="00023267" w:rsidRPr="00FA501E" w:rsidRDefault="00023267" w:rsidP="00023267">
            <w:pPr>
              <w:spacing w:after="0" w:line="240" w:lineRule="auto"/>
              <w:jc w:val="center"/>
              <w:rPr>
                <w:rFonts w:eastAsia="Times New Roman" w:cstheme="minorHAnsi"/>
                <w:color w:val="000000"/>
                <w:sz w:val="24"/>
                <w:szCs w:val="24"/>
              </w:rPr>
            </w:pPr>
            <w:r>
              <w:rPr>
                <w:rFonts w:ascii="Calibri" w:hAnsi="Calibri" w:cs="Calibri"/>
                <w:color w:val="000000"/>
                <w:sz w:val="24"/>
                <w:szCs w:val="24"/>
              </w:rPr>
              <w:t>0.6%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C92F7" w14:textId="4101C368" w:rsidR="00023267" w:rsidRPr="00FA501E" w:rsidRDefault="00023267" w:rsidP="00023267">
            <w:pPr>
              <w:spacing w:after="0" w:line="240" w:lineRule="auto"/>
              <w:jc w:val="center"/>
              <w:rPr>
                <w:rFonts w:eastAsia="Times New Roman" w:cstheme="minorHAnsi"/>
                <w:color w:val="000000"/>
                <w:sz w:val="24"/>
                <w:szCs w:val="24"/>
              </w:rPr>
            </w:pPr>
            <w:r>
              <w:rPr>
                <w:rFonts w:ascii="Calibri" w:hAnsi="Calibri" w:cs="Calibri"/>
                <w:color w:val="000000"/>
                <w:sz w:val="24"/>
                <w:szCs w:val="24"/>
              </w:rPr>
              <w:t>0.7%</w:t>
            </w:r>
          </w:p>
        </w:tc>
        <w:tc>
          <w:tcPr>
            <w:tcW w:w="1170" w:type="dxa"/>
            <w:tcBorders>
              <w:top w:val="single" w:sz="4" w:space="0" w:color="auto"/>
              <w:left w:val="single" w:sz="4" w:space="0" w:color="auto"/>
              <w:bottom w:val="single" w:sz="4" w:space="0" w:color="auto"/>
              <w:right w:val="single" w:sz="4" w:space="0" w:color="auto"/>
            </w:tcBorders>
            <w:vAlign w:val="center"/>
          </w:tcPr>
          <w:p w14:paraId="62EED7E8" w14:textId="7BB23DED" w:rsidR="00023267" w:rsidRPr="00EA025B" w:rsidRDefault="00023267" w:rsidP="00023267">
            <w:pPr>
              <w:spacing w:after="0" w:line="240" w:lineRule="auto"/>
              <w:jc w:val="center"/>
              <w:rPr>
                <w:rFonts w:eastAsia="Times New Roman"/>
              </w:rPr>
            </w:pPr>
            <w:r>
              <w:rPr>
                <w:rFonts w:ascii="Calibri" w:hAnsi="Calibri" w:cs="Calibri"/>
                <w:color w:val="000000"/>
                <w:sz w:val="24"/>
                <w:szCs w:val="24"/>
              </w:rPr>
              <w:t>0.5%</w:t>
            </w:r>
          </w:p>
        </w:tc>
        <w:tc>
          <w:tcPr>
            <w:tcW w:w="99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FDDD8BD" w14:textId="77777777" w:rsidR="00023267" w:rsidRPr="00FA501E" w:rsidRDefault="00023267" w:rsidP="00023267">
            <w:pPr>
              <w:spacing w:after="0" w:line="240" w:lineRule="auto"/>
              <w:jc w:val="center"/>
              <w:rPr>
                <w:rFonts w:eastAsia="Times New Roman" w:cstheme="minorHAnsi"/>
                <w:color w:val="000000"/>
                <w:sz w:val="24"/>
                <w:szCs w:val="24"/>
              </w:rPr>
            </w:pPr>
          </w:p>
        </w:tc>
      </w:tr>
    </w:tbl>
    <w:p w14:paraId="7F197893" w14:textId="0D07D159" w:rsidR="0057195F" w:rsidRDefault="0057195F" w:rsidP="0057195F">
      <w:pPr>
        <w:pStyle w:val="xxmsolistparagraph"/>
        <w:ind w:left="0"/>
        <w:rPr>
          <w:rFonts w:asciiTheme="minorHAnsi" w:hAnsiTheme="minorHAnsi" w:cstheme="minorBidi"/>
          <w:sz w:val="24"/>
          <w:szCs w:val="24"/>
        </w:rPr>
      </w:pPr>
      <w:r w:rsidRPr="4E898A69">
        <w:rPr>
          <w:rFonts w:asciiTheme="minorHAnsi" w:hAnsiTheme="minorHAnsi" w:cstheme="minorBidi"/>
          <w:sz w:val="24"/>
          <w:szCs w:val="24"/>
        </w:rPr>
        <w:lastRenderedPageBreak/>
        <w:t xml:space="preserve">With an ED that the Applicant describes as “undersized”, patients are experiencing increasingly long wait times to be seen by a provider </w:t>
      </w:r>
      <w:r>
        <w:rPr>
          <w:rFonts w:asciiTheme="minorHAnsi" w:hAnsiTheme="minorHAnsi" w:cstheme="minorBidi"/>
          <w:sz w:val="24"/>
          <w:szCs w:val="24"/>
        </w:rPr>
        <w:t xml:space="preserve">(as illustrated in Table 7), </w:t>
      </w:r>
      <w:r w:rsidRPr="4E898A69">
        <w:rPr>
          <w:rFonts w:asciiTheme="minorHAnsi" w:hAnsiTheme="minorHAnsi" w:cstheme="minorBidi"/>
          <w:sz w:val="24"/>
          <w:szCs w:val="24"/>
        </w:rPr>
        <w:t xml:space="preserve">and may be placed in a hallway bed to receive care. Even during periods without overcrowding, most patients are seen in shared spaces, such as cubicles and bays, which do not provide acoustic privacy and do not have optimal configurations of supporting infrastructure and/or equipment to allow for efficient patient care. </w:t>
      </w:r>
    </w:p>
    <w:p w14:paraId="60963FC6" w14:textId="77777777" w:rsidR="0057195F" w:rsidRDefault="0057195F" w:rsidP="4E898A69">
      <w:pPr>
        <w:pStyle w:val="Default"/>
        <w:rPr>
          <w:rFonts w:asciiTheme="minorHAnsi" w:hAnsiTheme="minorHAnsi" w:cstheme="minorBidi"/>
        </w:rPr>
      </w:pPr>
    </w:p>
    <w:p w14:paraId="7466850B" w14:textId="0EAB0616" w:rsidR="00A86E69" w:rsidRPr="001E15F4" w:rsidRDefault="00401C95" w:rsidP="4E898A69">
      <w:pPr>
        <w:pStyle w:val="Default"/>
        <w:rPr>
          <w:rFonts w:asciiTheme="minorHAnsi" w:hAnsiTheme="minorHAnsi" w:cstheme="minorBidi"/>
        </w:rPr>
      </w:pPr>
      <w:r w:rsidRPr="4E898A69">
        <w:rPr>
          <w:rFonts w:asciiTheme="minorHAnsi" w:hAnsiTheme="minorHAnsi" w:cstheme="minorBidi"/>
        </w:rPr>
        <w:t xml:space="preserve">Without the space and resources provided through the Proposed Project, BID-P’s patients will continue </w:t>
      </w:r>
      <w:r w:rsidR="00C5405B">
        <w:rPr>
          <w:rFonts w:asciiTheme="minorHAnsi" w:hAnsiTheme="minorHAnsi" w:cstheme="minorBidi"/>
        </w:rPr>
        <w:t>to</w:t>
      </w:r>
      <w:r w:rsidR="00595C92">
        <w:rPr>
          <w:rFonts w:asciiTheme="minorHAnsi" w:hAnsiTheme="minorHAnsi" w:cstheme="minorBidi"/>
        </w:rPr>
        <w:t xml:space="preserve"> experience long wait times (from arrival to treatment space) in the ED</w:t>
      </w:r>
      <w:r w:rsidRPr="4E898A69">
        <w:rPr>
          <w:rFonts w:asciiTheme="minorHAnsi" w:hAnsiTheme="minorHAnsi" w:cstheme="minorBidi"/>
        </w:rPr>
        <w:t xml:space="preserve">, </w:t>
      </w:r>
      <w:r w:rsidR="00FC3261">
        <w:rPr>
          <w:rFonts w:asciiTheme="minorHAnsi" w:hAnsiTheme="minorHAnsi" w:cstheme="minorBidi"/>
        </w:rPr>
        <w:t xml:space="preserve">the Applicant suggests </w:t>
      </w:r>
      <w:r w:rsidR="00FA70A5">
        <w:rPr>
          <w:rFonts w:asciiTheme="minorHAnsi" w:hAnsiTheme="minorHAnsi" w:cstheme="minorBidi"/>
        </w:rPr>
        <w:t xml:space="preserve">it is likely that </w:t>
      </w:r>
      <w:r w:rsidRPr="4E898A69">
        <w:rPr>
          <w:rFonts w:asciiTheme="minorHAnsi" w:hAnsiTheme="minorHAnsi" w:cstheme="minorBidi"/>
        </w:rPr>
        <w:t xml:space="preserve">more patients </w:t>
      </w:r>
      <w:r w:rsidR="00FA70A5">
        <w:rPr>
          <w:rFonts w:asciiTheme="minorHAnsi" w:hAnsiTheme="minorHAnsi" w:cstheme="minorBidi"/>
        </w:rPr>
        <w:t xml:space="preserve">will </w:t>
      </w:r>
      <w:r w:rsidRPr="4E898A69">
        <w:rPr>
          <w:rFonts w:asciiTheme="minorHAnsi" w:hAnsiTheme="minorHAnsi" w:cstheme="minorBidi"/>
        </w:rPr>
        <w:t xml:space="preserve">decide to forego care until their condition worsens, </w:t>
      </w:r>
      <w:r w:rsidR="00150A4C">
        <w:rPr>
          <w:rFonts w:asciiTheme="minorHAnsi" w:hAnsiTheme="minorHAnsi" w:cstheme="minorBidi"/>
        </w:rPr>
        <w:t xml:space="preserve">leading to </w:t>
      </w:r>
      <w:r w:rsidRPr="4E898A69">
        <w:rPr>
          <w:rFonts w:asciiTheme="minorHAnsi" w:hAnsiTheme="minorHAnsi" w:cstheme="minorBidi"/>
        </w:rPr>
        <w:t xml:space="preserve">higher cost, treatment </w:t>
      </w:r>
      <w:r w:rsidR="000F6DE7">
        <w:rPr>
          <w:rFonts w:asciiTheme="minorHAnsi" w:hAnsiTheme="minorHAnsi" w:cstheme="minorBidi"/>
        </w:rPr>
        <w:t>(covered in more detail in factor 1F)</w:t>
      </w:r>
      <w:r w:rsidRPr="4E898A69">
        <w:rPr>
          <w:rFonts w:asciiTheme="minorHAnsi" w:hAnsiTheme="minorHAnsi" w:cstheme="minorBidi"/>
        </w:rPr>
        <w:t xml:space="preserve">. </w:t>
      </w:r>
      <w:r w:rsidR="001E15F4" w:rsidRPr="4E898A69">
        <w:rPr>
          <w:rFonts w:asciiTheme="minorHAnsi" w:hAnsiTheme="minorHAnsi" w:cstheme="minorBidi"/>
        </w:rPr>
        <w:t>The Applicant asserts that c</w:t>
      </w:r>
      <w:r w:rsidRPr="4E898A69">
        <w:rPr>
          <w:rFonts w:asciiTheme="minorHAnsi" w:hAnsiTheme="minorHAnsi" w:cstheme="minorBidi"/>
        </w:rPr>
        <w:t>reating sufficient capacity within the Hospital’s ED will improve wait times and care delivery.</w:t>
      </w:r>
    </w:p>
    <w:p w14:paraId="3F70E127" w14:textId="77777777" w:rsidR="001E15F4" w:rsidRPr="00AA0F82" w:rsidRDefault="001E15F4" w:rsidP="0061319F">
      <w:pPr>
        <w:pStyle w:val="Default"/>
        <w:rPr>
          <w:rFonts w:ascii="Lora" w:hAnsi="Lora" w:cs="Lora"/>
          <w:highlight w:val="yellow"/>
        </w:rPr>
      </w:pPr>
    </w:p>
    <w:p w14:paraId="0E21979A" w14:textId="002961B9" w:rsidR="00423B5C" w:rsidRPr="00C65EFB" w:rsidRDefault="00C65EFB" w:rsidP="4E898A69">
      <w:pPr>
        <w:pStyle w:val="ListParagraph"/>
        <w:numPr>
          <w:ilvl w:val="0"/>
          <w:numId w:val="6"/>
        </w:numPr>
        <w:spacing w:after="0"/>
        <w:rPr>
          <w:b/>
          <w:bCs/>
          <w:i/>
          <w:iCs/>
          <w:sz w:val="24"/>
          <w:szCs w:val="24"/>
        </w:rPr>
      </w:pPr>
      <w:r w:rsidRPr="4E898A69">
        <w:rPr>
          <w:b/>
          <w:bCs/>
          <w:i/>
          <w:iCs/>
          <w:sz w:val="24"/>
          <w:szCs w:val="24"/>
        </w:rPr>
        <w:t>Insufficient Space for Behavioral Health Needs</w:t>
      </w:r>
    </w:p>
    <w:p w14:paraId="4E62C2C7" w14:textId="28BBBB7F" w:rsidR="00140A97" w:rsidRPr="00140A97" w:rsidRDefault="00C80E51" w:rsidP="00140A97">
      <w:pPr>
        <w:spacing w:after="0"/>
        <w:rPr>
          <w:sz w:val="24"/>
          <w:szCs w:val="24"/>
        </w:rPr>
      </w:pPr>
      <w:r w:rsidRPr="67D75F3A">
        <w:rPr>
          <w:sz w:val="24"/>
          <w:szCs w:val="24"/>
        </w:rPr>
        <w:t xml:space="preserve">The Proposed Project will more than double the ED’s capacity to care for patients experiencing acute behavioral health emergencies. In FY2023, the </w:t>
      </w:r>
      <w:r w:rsidR="004579FD">
        <w:rPr>
          <w:sz w:val="24"/>
          <w:szCs w:val="24"/>
        </w:rPr>
        <w:t>BID-P</w:t>
      </w:r>
      <w:r w:rsidR="00AF2CAC">
        <w:rPr>
          <w:sz w:val="24"/>
          <w:szCs w:val="24"/>
        </w:rPr>
        <w:t xml:space="preserve"> Behavioral Health </w:t>
      </w:r>
      <w:r w:rsidRPr="67D75F3A">
        <w:rPr>
          <w:sz w:val="24"/>
          <w:szCs w:val="24"/>
        </w:rPr>
        <w:t xml:space="preserve">Emergency Services Program completed 2,044 assessments in the Hospital’s ED, but only had seven dedicated </w:t>
      </w:r>
      <w:r w:rsidR="00B87686" w:rsidRPr="67D75F3A">
        <w:rPr>
          <w:sz w:val="24"/>
          <w:szCs w:val="24"/>
        </w:rPr>
        <w:t xml:space="preserve">behavioral health ED </w:t>
      </w:r>
      <w:r w:rsidRPr="67D75F3A">
        <w:rPr>
          <w:sz w:val="24"/>
          <w:szCs w:val="24"/>
        </w:rPr>
        <w:t xml:space="preserve">beds. </w:t>
      </w:r>
      <w:r w:rsidR="00B83073" w:rsidRPr="67D75F3A">
        <w:rPr>
          <w:sz w:val="24"/>
          <w:szCs w:val="24"/>
        </w:rPr>
        <w:t xml:space="preserve">The Hospital </w:t>
      </w:r>
      <w:r w:rsidR="008051B8" w:rsidRPr="67D75F3A">
        <w:rPr>
          <w:sz w:val="24"/>
          <w:szCs w:val="24"/>
        </w:rPr>
        <w:t>concluded</w:t>
      </w:r>
      <w:r w:rsidR="00B83073" w:rsidRPr="67D75F3A">
        <w:rPr>
          <w:sz w:val="24"/>
          <w:szCs w:val="24"/>
        </w:rPr>
        <w:t xml:space="preserve"> that 16 </w:t>
      </w:r>
      <w:r w:rsidR="002F07BD" w:rsidRPr="67D75F3A">
        <w:rPr>
          <w:sz w:val="24"/>
          <w:szCs w:val="24"/>
        </w:rPr>
        <w:t xml:space="preserve">total </w:t>
      </w:r>
      <w:r w:rsidR="00B83073" w:rsidRPr="67D75F3A">
        <w:rPr>
          <w:sz w:val="24"/>
          <w:szCs w:val="24"/>
        </w:rPr>
        <w:t xml:space="preserve">behavioral health beds would provide sufficient capacity </w:t>
      </w:r>
      <w:r w:rsidR="002F07BD" w:rsidRPr="67D75F3A">
        <w:rPr>
          <w:sz w:val="24"/>
          <w:szCs w:val="24"/>
        </w:rPr>
        <w:t>by using</w:t>
      </w:r>
      <w:r w:rsidR="00B83073" w:rsidRPr="67D75F3A">
        <w:rPr>
          <w:sz w:val="24"/>
          <w:szCs w:val="24"/>
        </w:rPr>
        <w:t xml:space="preserve"> the number of behavioral health visits in the ED from 2018 to 2021</w:t>
      </w:r>
      <w:r w:rsidR="002F07BD" w:rsidRPr="67D75F3A">
        <w:rPr>
          <w:sz w:val="24"/>
          <w:szCs w:val="24"/>
        </w:rPr>
        <w:t xml:space="preserve"> </w:t>
      </w:r>
      <w:r w:rsidR="008051B8" w:rsidRPr="67D75F3A">
        <w:rPr>
          <w:sz w:val="24"/>
          <w:szCs w:val="24"/>
        </w:rPr>
        <w:t>as a guide</w:t>
      </w:r>
      <w:r w:rsidR="00B83073" w:rsidRPr="67D75F3A">
        <w:rPr>
          <w:sz w:val="24"/>
          <w:szCs w:val="24"/>
        </w:rPr>
        <w:t xml:space="preserve">. </w:t>
      </w:r>
      <w:r w:rsidR="008051B8" w:rsidRPr="67D75F3A">
        <w:rPr>
          <w:sz w:val="24"/>
          <w:szCs w:val="24"/>
        </w:rPr>
        <w:t xml:space="preserve">A total of </w:t>
      </w:r>
      <w:r w:rsidR="00B83073" w:rsidRPr="67D75F3A">
        <w:rPr>
          <w:sz w:val="24"/>
          <w:szCs w:val="24"/>
        </w:rPr>
        <w:t>16 beds</w:t>
      </w:r>
      <w:r w:rsidR="008051B8" w:rsidRPr="67D75F3A">
        <w:rPr>
          <w:sz w:val="24"/>
          <w:szCs w:val="24"/>
        </w:rPr>
        <w:t xml:space="preserve"> </w:t>
      </w:r>
      <w:r w:rsidR="00B83073" w:rsidRPr="67D75F3A">
        <w:rPr>
          <w:sz w:val="24"/>
          <w:szCs w:val="24"/>
        </w:rPr>
        <w:t xml:space="preserve">will </w:t>
      </w:r>
      <w:r w:rsidR="008051B8" w:rsidRPr="67D75F3A">
        <w:rPr>
          <w:sz w:val="24"/>
          <w:szCs w:val="24"/>
        </w:rPr>
        <w:t xml:space="preserve">allow the Hospital </w:t>
      </w:r>
      <w:r w:rsidR="00B83073" w:rsidRPr="67D75F3A">
        <w:rPr>
          <w:sz w:val="24"/>
          <w:szCs w:val="24"/>
        </w:rPr>
        <w:t>to accommodate peak volumes</w:t>
      </w:r>
      <w:r w:rsidR="005A5CE6">
        <w:rPr>
          <w:sz w:val="24"/>
          <w:szCs w:val="24"/>
        </w:rPr>
        <w:t xml:space="preserve"> and </w:t>
      </w:r>
      <w:r w:rsidR="0089146B">
        <w:rPr>
          <w:sz w:val="24"/>
          <w:szCs w:val="24"/>
        </w:rPr>
        <w:t xml:space="preserve">improve </w:t>
      </w:r>
      <w:r w:rsidR="0064155B">
        <w:rPr>
          <w:sz w:val="24"/>
          <w:szCs w:val="24"/>
        </w:rPr>
        <w:t>patient comfort during their time in the ED</w:t>
      </w:r>
      <w:r w:rsidR="00B83073" w:rsidRPr="67D75F3A">
        <w:rPr>
          <w:sz w:val="24"/>
          <w:szCs w:val="24"/>
        </w:rPr>
        <w:t xml:space="preserve">. </w:t>
      </w:r>
      <w:r w:rsidR="00D47F64" w:rsidRPr="67D75F3A">
        <w:rPr>
          <w:sz w:val="24"/>
          <w:szCs w:val="24"/>
        </w:rPr>
        <w:t xml:space="preserve">The Applicant notes that </w:t>
      </w:r>
      <w:r w:rsidR="00B31449" w:rsidRPr="67D75F3A">
        <w:rPr>
          <w:sz w:val="24"/>
          <w:szCs w:val="24"/>
        </w:rPr>
        <w:t>the</w:t>
      </w:r>
      <w:r w:rsidRPr="67D75F3A">
        <w:rPr>
          <w:sz w:val="24"/>
          <w:szCs w:val="24"/>
        </w:rPr>
        <w:t xml:space="preserve"> average length of stay </w:t>
      </w:r>
      <w:r w:rsidR="00E57128">
        <w:rPr>
          <w:sz w:val="24"/>
          <w:szCs w:val="24"/>
        </w:rPr>
        <w:t xml:space="preserve">for behavioral health patients </w:t>
      </w:r>
      <w:r w:rsidR="0027024C">
        <w:rPr>
          <w:sz w:val="24"/>
          <w:szCs w:val="24"/>
        </w:rPr>
        <w:t xml:space="preserve">in the ED </w:t>
      </w:r>
      <w:r w:rsidR="00E57128">
        <w:rPr>
          <w:sz w:val="24"/>
          <w:szCs w:val="24"/>
        </w:rPr>
        <w:t>was approximately</w:t>
      </w:r>
      <w:r w:rsidRPr="67D75F3A">
        <w:rPr>
          <w:sz w:val="24"/>
          <w:szCs w:val="24"/>
        </w:rPr>
        <w:t xml:space="preserve"> 22.7 hours in FY2023. </w:t>
      </w:r>
      <w:r w:rsidR="00270B43" w:rsidRPr="67D75F3A">
        <w:rPr>
          <w:sz w:val="24"/>
          <w:szCs w:val="24"/>
        </w:rPr>
        <w:t xml:space="preserve">Staff inquired about the utilization data specific to behavioral health visits in the </w:t>
      </w:r>
      <w:r w:rsidR="00654B81" w:rsidRPr="67D75F3A">
        <w:rPr>
          <w:sz w:val="24"/>
          <w:szCs w:val="24"/>
        </w:rPr>
        <w:t>ED</w:t>
      </w:r>
      <w:r w:rsidR="00270B43" w:rsidRPr="67D75F3A">
        <w:rPr>
          <w:sz w:val="24"/>
          <w:szCs w:val="24"/>
        </w:rPr>
        <w:t xml:space="preserve">. </w:t>
      </w:r>
      <w:r w:rsidR="00FD4EAE">
        <w:rPr>
          <w:sz w:val="24"/>
          <w:szCs w:val="24"/>
        </w:rPr>
        <w:t>In response</w:t>
      </w:r>
      <w:r w:rsidR="00270B43" w:rsidRPr="67D75F3A">
        <w:rPr>
          <w:sz w:val="24"/>
          <w:szCs w:val="24"/>
        </w:rPr>
        <w:t>, the Applicant stated that BID-P does not classify ED patients as strictly “behavioral” or “non-behavioral” when they arrive at the ED for help</w:t>
      </w:r>
      <w:r w:rsidR="00B87686" w:rsidRPr="67D75F3A">
        <w:rPr>
          <w:sz w:val="24"/>
          <w:szCs w:val="24"/>
        </w:rPr>
        <w:t xml:space="preserve"> and therefore </w:t>
      </w:r>
      <w:r w:rsidR="00D554C1" w:rsidRPr="67D75F3A">
        <w:rPr>
          <w:sz w:val="24"/>
          <w:szCs w:val="24"/>
        </w:rPr>
        <w:t xml:space="preserve">could </w:t>
      </w:r>
      <w:r w:rsidR="00B87686" w:rsidRPr="67D75F3A">
        <w:rPr>
          <w:sz w:val="24"/>
          <w:szCs w:val="24"/>
        </w:rPr>
        <w:t>not provide the requested data</w:t>
      </w:r>
      <w:r w:rsidR="00F5009C" w:rsidRPr="67D75F3A">
        <w:rPr>
          <w:sz w:val="24"/>
          <w:szCs w:val="24"/>
        </w:rPr>
        <w:t xml:space="preserve">. In response to whether </w:t>
      </w:r>
      <w:r w:rsidR="0026091C" w:rsidRPr="67D75F3A">
        <w:rPr>
          <w:sz w:val="24"/>
          <w:szCs w:val="24"/>
        </w:rPr>
        <w:t xml:space="preserve">BID-P would have the ability to serve </w:t>
      </w:r>
      <w:r w:rsidR="008927BB" w:rsidRPr="67D75F3A">
        <w:rPr>
          <w:sz w:val="24"/>
          <w:szCs w:val="24"/>
        </w:rPr>
        <w:t xml:space="preserve">the increased volume of Behavioral Health patients through their inpatient </w:t>
      </w:r>
      <w:r w:rsidR="00140A97" w:rsidRPr="67D75F3A">
        <w:rPr>
          <w:sz w:val="24"/>
          <w:szCs w:val="24"/>
        </w:rPr>
        <w:t xml:space="preserve">beds, the Applicant stated that inpatient </w:t>
      </w:r>
      <w:r w:rsidR="0093196A" w:rsidRPr="67D75F3A">
        <w:rPr>
          <w:sz w:val="24"/>
          <w:szCs w:val="24"/>
        </w:rPr>
        <w:t>Behavioral Health</w:t>
      </w:r>
      <w:r w:rsidR="00140A97" w:rsidRPr="67D75F3A">
        <w:rPr>
          <w:sz w:val="24"/>
          <w:szCs w:val="24"/>
        </w:rPr>
        <w:t xml:space="preserve"> capacity doesn’t dictate where patients will access the ED</w:t>
      </w:r>
      <w:r w:rsidR="0093196A" w:rsidRPr="67D75F3A">
        <w:rPr>
          <w:sz w:val="24"/>
          <w:szCs w:val="24"/>
        </w:rPr>
        <w:t xml:space="preserve">, </w:t>
      </w:r>
      <w:r w:rsidR="00140A97" w:rsidRPr="67D75F3A">
        <w:rPr>
          <w:sz w:val="24"/>
          <w:szCs w:val="24"/>
        </w:rPr>
        <w:t xml:space="preserve">and the Proposed Project is meant to improve the ED’s ability to manage </w:t>
      </w:r>
      <w:r w:rsidR="0093196A" w:rsidRPr="67D75F3A">
        <w:rPr>
          <w:sz w:val="24"/>
          <w:szCs w:val="24"/>
        </w:rPr>
        <w:t>B</w:t>
      </w:r>
      <w:r w:rsidR="00140A97" w:rsidRPr="67D75F3A">
        <w:rPr>
          <w:sz w:val="24"/>
          <w:szCs w:val="24"/>
        </w:rPr>
        <w:t xml:space="preserve">ehavioral </w:t>
      </w:r>
      <w:r w:rsidR="0093196A" w:rsidRPr="67D75F3A">
        <w:rPr>
          <w:sz w:val="24"/>
          <w:szCs w:val="24"/>
        </w:rPr>
        <w:t>H</w:t>
      </w:r>
      <w:r w:rsidR="00DB08C8" w:rsidRPr="67D75F3A">
        <w:rPr>
          <w:sz w:val="24"/>
          <w:szCs w:val="24"/>
        </w:rPr>
        <w:t>ealth</w:t>
      </w:r>
      <w:r w:rsidR="00140A97" w:rsidRPr="67D75F3A">
        <w:rPr>
          <w:sz w:val="24"/>
          <w:szCs w:val="24"/>
        </w:rPr>
        <w:t xml:space="preserve"> patients, not all of whom will require admission. </w:t>
      </w:r>
    </w:p>
    <w:p w14:paraId="4D94157F" w14:textId="3DD72AB4" w:rsidR="00270B43" w:rsidRDefault="00270B43" w:rsidP="00F354FF">
      <w:pPr>
        <w:spacing w:after="0" w:line="240" w:lineRule="auto"/>
        <w:rPr>
          <w:rFonts w:cstheme="minorHAnsi"/>
          <w:sz w:val="24"/>
          <w:szCs w:val="24"/>
        </w:rPr>
      </w:pPr>
    </w:p>
    <w:p w14:paraId="6E3E3E7D" w14:textId="3071894E" w:rsidR="00267A96" w:rsidRPr="00C80E51" w:rsidRDefault="00C80E51" w:rsidP="00637D90">
      <w:pPr>
        <w:spacing w:after="0"/>
        <w:rPr>
          <w:sz w:val="24"/>
          <w:szCs w:val="24"/>
        </w:rPr>
      </w:pPr>
      <w:r w:rsidRPr="7A05C1FA">
        <w:rPr>
          <w:sz w:val="24"/>
          <w:szCs w:val="24"/>
        </w:rPr>
        <w:t xml:space="preserve">As with the current unit, the expanded unit will be physically separate from the main ED in order to maintain a calmer, quieter, more therapeutic environment that will promote the de-escalation or stabilization of patients that is harder to achieve in the main ED. </w:t>
      </w:r>
      <w:r w:rsidR="0045310E" w:rsidRPr="7A05C1FA">
        <w:rPr>
          <w:sz w:val="24"/>
          <w:szCs w:val="24"/>
        </w:rPr>
        <w:t>T</w:t>
      </w:r>
      <w:r w:rsidRPr="7A05C1FA">
        <w:rPr>
          <w:sz w:val="24"/>
          <w:szCs w:val="24"/>
        </w:rPr>
        <w:t xml:space="preserve">he </w:t>
      </w:r>
      <w:r w:rsidR="0045310E" w:rsidRPr="7A05C1FA">
        <w:rPr>
          <w:sz w:val="24"/>
          <w:szCs w:val="24"/>
        </w:rPr>
        <w:t xml:space="preserve">expanded </w:t>
      </w:r>
      <w:r w:rsidRPr="7A05C1FA">
        <w:rPr>
          <w:sz w:val="24"/>
          <w:szCs w:val="24"/>
        </w:rPr>
        <w:t xml:space="preserve">new space will allow for more than one age population to be cared for by creating a barrier between the two sides. Currently, the ED is unable to care for older adults in the behavioral health unit because of limited accessibility. Through the Proposed Project, the ED </w:t>
      </w:r>
      <w:r w:rsidR="00146941" w:rsidRPr="7A05C1FA">
        <w:rPr>
          <w:sz w:val="24"/>
          <w:szCs w:val="24"/>
        </w:rPr>
        <w:t xml:space="preserve">will </w:t>
      </w:r>
      <w:r w:rsidRPr="7A05C1FA">
        <w:rPr>
          <w:sz w:val="24"/>
          <w:szCs w:val="24"/>
        </w:rPr>
        <w:t xml:space="preserve">be </w:t>
      </w:r>
      <w:r w:rsidR="00146941" w:rsidRPr="7A05C1FA">
        <w:rPr>
          <w:sz w:val="24"/>
          <w:szCs w:val="24"/>
        </w:rPr>
        <w:t xml:space="preserve">both </w:t>
      </w:r>
      <w:r w:rsidRPr="7A05C1FA">
        <w:rPr>
          <w:sz w:val="24"/>
          <w:szCs w:val="24"/>
        </w:rPr>
        <w:t xml:space="preserve">accessible to older adults, </w:t>
      </w:r>
      <w:r w:rsidR="00146941" w:rsidRPr="7A05C1FA">
        <w:rPr>
          <w:sz w:val="24"/>
          <w:szCs w:val="24"/>
        </w:rPr>
        <w:t>and</w:t>
      </w:r>
      <w:r w:rsidRPr="7A05C1FA">
        <w:rPr>
          <w:sz w:val="24"/>
          <w:szCs w:val="24"/>
        </w:rPr>
        <w:t xml:space="preserve"> allow for older adults to be cared for simultaneously to children or adolescents because of the ability to bifurcate the unit. The unit will be staffed by dedicated clinicians, including psychiatrists, psychologists, and licensed social workers, with experience to work with, treat, and care for patients with behavioral health needs.</w:t>
      </w:r>
      <w:r w:rsidR="009137C5" w:rsidRPr="7A05C1FA">
        <w:rPr>
          <w:sz w:val="24"/>
          <w:szCs w:val="24"/>
        </w:rPr>
        <w:t xml:space="preserve"> </w:t>
      </w:r>
      <w:r w:rsidR="001C3BC6" w:rsidRPr="7A05C1FA">
        <w:rPr>
          <w:sz w:val="24"/>
          <w:szCs w:val="24"/>
        </w:rPr>
        <w:t xml:space="preserve">Staff inquired about the </w:t>
      </w:r>
      <w:r w:rsidR="000C471F" w:rsidRPr="7A05C1FA">
        <w:rPr>
          <w:sz w:val="24"/>
          <w:szCs w:val="24"/>
        </w:rPr>
        <w:lastRenderedPageBreak/>
        <w:t xml:space="preserve">Applicant’s staffing plan for the </w:t>
      </w:r>
      <w:r w:rsidR="00943EC2" w:rsidRPr="7A05C1FA">
        <w:rPr>
          <w:sz w:val="24"/>
          <w:szCs w:val="24"/>
        </w:rPr>
        <w:t xml:space="preserve">unit. </w:t>
      </w:r>
      <w:r w:rsidR="00B63606" w:rsidRPr="7A05C1FA">
        <w:rPr>
          <w:sz w:val="24"/>
          <w:szCs w:val="24"/>
        </w:rPr>
        <w:t xml:space="preserve">Currently, the behavioral health unit has 4.2 registered nurses (RN), 4.2 Technicians, and 4.2 Public safety Officers for a total of 12.6 full-time employees. </w:t>
      </w:r>
      <w:r w:rsidR="00943EC2" w:rsidRPr="7A05C1FA">
        <w:rPr>
          <w:sz w:val="24"/>
          <w:szCs w:val="24"/>
        </w:rPr>
        <w:t>The Applicant explained that c</w:t>
      </w:r>
      <w:r w:rsidR="009137C5" w:rsidRPr="7A05C1FA">
        <w:rPr>
          <w:sz w:val="24"/>
          <w:szCs w:val="24"/>
        </w:rPr>
        <w:t>linicians in each discipline are assigned to care for patients in the behavioral health unit daily based on volume</w:t>
      </w:r>
      <w:r w:rsidR="00B63606">
        <w:rPr>
          <w:sz w:val="24"/>
          <w:szCs w:val="24"/>
        </w:rPr>
        <w:t>/</w:t>
      </w:r>
      <w:r w:rsidR="009137C5" w:rsidRPr="7A05C1FA">
        <w:rPr>
          <w:sz w:val="24"/>
          <w:szCs w:val="24"/>
        </w:rPr>
        <w:t xml:space="preserve"> acuity</w:t>
      </w:r>
      <w:r w:rsidR="00B63606">
        <w:rPr>
          <w:sz w:val="24"/>
          <w:szCs w:val="24"/>
        </w:rPr>
        <w:t>, and</w:t>
      </w:r>
      <w:r w:rsidR="00BA7943">
        <w:rPr>
          <w:sz w:val="24"/>
          <w:szCs w:val="24"/>
        </w:rPr>
        <w:t xml:space="preserve"> that a</w:t>
      </w:r>
      <w:r w:rsidR="009137C5" w:rsidRPr="7A05C1FA">
        <w:rPr>
          <w:sz w:val="24"/>
          <w:szCs w:val="24"/>
        </w:rPr>
        <w:t xml:space="preserve">dditional positions will be added </w:t>
      </w:r>
      <w:r w:rsidR="00B63606">
        <w:rPr>
          <w:sz w:val="24"/>
          <w:szCs w:val="24"/>
        </w:rPr>
        <w:t xml:space="preserve">to the current roster </w:t>
      </w:r>
      <w:r w:rsidR="009137C5" w:rsidRPr="7A05C1FA">
        <w:rPr>
          <w:sz w:val="24"/>
          <w:szCs w:val="24"/>
        </w:rPr>
        <w:t>proportionate to volume.</w:t>
      </w:r>
      <w:r w:rsidR="001C3BC6" w:rsidRPr="7A05C1FA">
        <w:rPr>
          <w:sz w:val="24"/>
          <w:szCs w:val="24"/>
        </w:rPr>
        <w:t xml:space="preserve"> The current per diem workforce will be utilized to assist with initial growth during the period of recruitment</w:t>
      </w:r>
      <w:r w:rsidR="00943EC2" w:rsidRPr="7A05C1FA">
        <w:rPr>
          <w:sz w:val="24"/>
          <w:szCs w:val="24"/>
        </w:rPr>
        <w:t xml:space="preserve"> directly following project completion</w:t>
      </w:r>
      <w:r w:rsidR="001C3BC6" w:rsidRPr="7A05C1FA">
        <w:rPr>
          <w:sz w:val="24"/>
          <w:szCs w:val="24"/>
        </w:rPr>
        <w:t>. Recruitment efforts will continue and include new nurse resident</w:t>
      </w:r>
      <w:r w:rsidR="00943EC2" w:rsidRPr="7A05C1FA">
        <w:rPr>
          <w:sz w:val="24"/>
          <w:szCs w:val="24"/>
        </w:rPr>
        <w:t>s</w:t>
      </w:r>
      <w:r w:rsidR="001C3BC6" w:rsidRPr="7A05C1FA">
        <w:rPr>
          <w:sz w:val="24"/>
          <w:szCs w:val="24"/>
        </w:rPr>
        <w:t xml:space="preserve"> and nurse transition</w:t>
      </w:r>
      <w:r w:rsidR="00943EC2" w:rsidRPr="7A05C1FA">
        <w:rPr>
          <w:sz w:val="24"/>
          <w:szCs w:val="24"/>
        </w:rPr>
        <w:t>s</w:t>
      </w:r>
      <w:r w:rsidR="001C3BC6" w:rsidRPr="7A05C1FA">
        <w:rPr>
          <w:sz w:val="24"/>
          <w:szCs w:val="24"/>
        </w:rPr>
        <w:t xml:space="preserve"> to specialty unit programs.</w:t>
      </w:r>
    </w:p>
    <w:p w14:paraId="6AD73BA7" w14:textId="77777777" w:rsidR="00C80E51" w:rsidRPr="00AA0F82" w:rsidRDefault="00C80E51" w:rsidP="00267A96">
      <w:pPr>
        <w:spacing w:after="0"/>
        <w:ind w:left="360"/>
        <w:rPr>
          <w:rFonts w:cstheme="minorHAnsi"/>
          <w:b/>
          <w:bCs/>
          <w:i/>
          <w:iCs/>
          <w:sz w:val="24"/>
          <w:szCs w:val="24"/>
          <w:highlight w:val="yellow"/>
        </w:rPr>
      </w:pPr>
    </w:p>
    <w:p w14:paraId="3AA4B38B" w14:textId="107807C6" w:rsidR="00036AB0" w:rsidRPr="00637D90" w:rsidRDefault="00637D90" w:rsidP="00082D4A">
      <w:pPr>
        <w:pStyle w:val="ListParagraph"/>
        <w:numPr>
          <w:ilvl w:val="0"/>
          <w:numId w:val="6"/>
        </w:numPr>
        <w:spacing w:after="0"/>
        <w:rPr>
          <w:rFonts w:cstheme="minorHAnsi"/>
          <w:b/>
          <w:bCs/>
          <w:i/>
          <w:iCs/>
          <w:sz w:val="24"/>
          <w:szCs w:val="24"/>
        </w:rPr>
      </w:pPr>
      <w:r w:rsidRPr="00637D90">
        <w:rPr>
          <w:rFonts w:cstheme="minorHAnsi"/>
          <w:b/>
          <w:bCs/>
          <w:i/>
          <w:iCs/>
          <w:sz w:val="24"/>
          <w:szCs w:val="24"/>
        </w:rPr>
        <w:t>Projected Increases in ED Utilization</w:t>
      </w:r>
    </w:p>
    <w:p w14:paraId="577CDB6E" w14:textId="0EAD509A" w:rsidR="00AF14C4" w:rsidRPr="00637D90" w:rsidRDefault="008C0D95" w:rsidP="4E898A69">
      <w:pPr>
        <w:spacing w:before="120" w:after="120" w:line="240" w:lineRule="auto"/>
        <w:ind w:left="90"/>
        <w:rPr>
          <w:sz w:val="24"/>
          <w:szCs w:val="24"/>
        </w:rPr>
      </w:pPr>
      <w:r w:rsidRPr="4E898A69">
        <w:rPr>
          <w:sz w:val="24"/>
          <w:szCs w:val="24"/>
        </w:rPr>
        <w:t>Annually, Plymouth’s population is growing at a rate of 3.52% and is expected to grow by an additional</w:t>
      </w:r>
      <w:r w:rsidRPr="008C0D95">
        <w:rPr>
          <w:rFonts w:ascii="Arial" w:hAnsi="Arial" w:cs="Arial"/>
          <w:sz w:val="20"/>
          <w:szCs w:val="20"/>
        </w:rPr>
        <w:t xml:space="preserve"> </w:t>
      </w:r>
      <w:r w:rsidRPr="4E898A69">
        <w:rPr>
          <w:sz w:val="24"/>
          <w:szCs w:val="24"/>
        </w:rPr>
        <w:t>10,000 residents by 2035.</w:t>
      </w:r>
      <w:r w:rsidR="00A31549" w:rsidRPr="4E898A69">
        <w:rPr>
          <w:sz w:val="24"/>
          <w:szCs w:val="24"/>
          <w:vertAlign w:val="superscript"/>
        </w:rPr>
        <w:endnoteReference w:id="5"/>
      </w:r>
      <w:r w:rsidR="00A31549" w:rsidRPr="4E898A69">
        <w:rPr>
          <w:sz w:val="24"/>
          <w:szCs w:val="24"/>
          <w:vertAlign w:val="superscript"/>
        </w:rPr>
        <w:t xml:space="preserve"> </w:t>
      </w:r>
      <w:r w:rsidRPr="4E898A69">
        <w:rPr>
          <w:sz w:val="24"/>
          <w:szCs w:val="24"/>
        </w:rPr>
        <w:t xml:space="preserve">BID-P anticipates </w:t>
      </w:r>
      <w:r w:rsidR="00637D90" w:rsidRPr="4E898A69">
        <w:rPr>
          <w:sz w:val="24"/>
          <w:szCs w:val="24"/>
        </w:rPr>
        <w:t xml:space="preserve">this moderate population growth will </w:t>
      </w:r>
      <w:r w:rsidR="00744CAC" w:rsidRPr="4E898A69">
        <w:rPr>
          <w:sz w:val="24"/>
          <w:szCs w:val="24"/>
        </w:rPr>
        <w:t xml:space="preserve">fuel the continued growth in </w:t>
      </w:r>
      <w:r w:rsidRPr="4E898A69">
        <w:rPr>
          <w:sz w:val="24"/>
          <w:szCs w:val="24"/>
        </w:rPr>
        <w:t>ED volume</w:t>
      </w:r>
      <w:r w:rsidR="00744CAC" w:rsidRPr="4E898A69">
        <w:rPr>
          <w:sz w:val="24"/>
          <w:szCs w:val="24"/>
        </w:rPr>
        <w:t xml:space="preserve"> demonstrated </w:t>
      </w:r>
      <w:r w:rsidR="006A0458" w:rsidRPr="4E898A69">
        <w:rPr>
          <w:sz w:val="24"/>
          <w:szCs w:val="24"/>
        </w:rPr>
        <w:t xml:space="preserve">in the Historical ED Volume. Table </w:t>
      </w:r>
      <w:r w:rsidR="001B0396">
        <w:rPr>
          <w:sz w:val="24"/>
          <w:szCs w:val="24"/>
        </w:rPr>
        <w:t>7</w:t>
      </w:r>
      <w:r w:rsidR="005B57C6" w:rsidRPr="4E898A69">
        <w:rPr>
          <w:sz w:val="24"/>
          <w:szCs w:val="24"/>
        </w:rPr>
        <w:t xml:space="preserve"> provides </w:t>
      </w:r>
      <w:r w:rsidR="008A653A" w:rsidRPr="4E898A69">
        <w:rPr>
          <w:sz w:val="24"/>
          <w:szCs w:val="24"/>
        </w:rPr>
        <w:t xml:space="preserve">volume projections </w:t>
      </w:r>
      <w:r w:rsidRPr="4E898A69">
        <w:rPr>
          <w:sz w:val="24"/>
          <w:szCs w:val="24"/>
        </w:rPr>
        <w:t>for the first five years following the opening of the new ED</w:t>
      </w:r>
      <w:r w:rsidR="003A004B" w:rsidRPr="4E898A69">
        <w:rPr>
          <w:sz w:val="24"/>
          <w:szCs w:val="24"/>
        </w:rPr>
        <w:t>.</w:t>
      </w:r>
    </w:p>
    <w:p w14:paraId="1B425195" w14:textId="6979B718" w:rsidR="008C0D95" w:rsidRPr="00862362" w:rsidRDefault="00862362" w:rsidP="4E898A69">
      <w:pPr>
        <w:pStyle w:val="Caption"/>
        <w:spacing w:after="0"/>
        <w:contextualSpacing/>
        <w:jc w:val="center"/>
        <w:rPr>
          <w:color w:val="2F5496" w:themeColor="accent1" w:themeShade="BF"/>
          <w:sz w:val="24"/>
          <w:szCs w:val="24"/>
        </w:rPr>
      </w:pPr>
      <w:r w:rsidRPr="4E898A69">
        <w:rPr>
          <w:color w:val="2F5496" w:themeColor="accent1" w:themeShade="BF"/>
          <w:sz w:val="24"/>
          <w:szCs w:val="24"/>
          <w:u w:val="single"/>
        </w:rPr>
        <w:t xml:space="preserve">Table </w:t>
      </w:r>
      <w:r w:rsidR="001B0396">
        <w:rPr>
          <w:color w:val="2F5496" w:themeColor="accent1" w:themeShade="BF"/>
          <w:sz w:val="24"/>
          <w:szCs w:val="24"/>
          <w:u w:val="single"/>
        </w:rPr>
        <w:t>7</w:t>
      </w:r>
      <w:r w:rsidRPr="4E898A69">
        <w:rPr>
          <w:color w:val="2F5496" w:themeColor="accent1" w:themeShade="BF"/>
          <w:sz w:val="24"/>
          <w:szCs w:val="24"/>
        </w:rPr>
        <w:t xml:space="preserve"> – Projected BID-P Emergency Department Volume</w:t>
      </w:r>
    </w:p>
    <w:tbl>
      <w:tblPr>
        <w:tblStyle w:val="TableGrid"/>
        <w:tblW w:w="9535" w:type="dxa"/>
        <w:tblLook w:val="04A0" w:firstRow="1" w:lastRow="0" w:firstColumn="1" w:lastColumn="0" w:noHBand="0" w:noVBand="1"/>
      </w:tblPr>
      <w:tblGrid>
        <w:gridCol w:w="2637"/>
        <w:gridCol w:w="1666"/>
        <w:gridCol w:w="1308"/>
        <w:gridCol w:w="1308"/>
        <w:gridCol w:w="1308"/>
        <w:gridCol w:w="1308"/>
      </w:tblGrid>
      <w:tr w:rsidR="008C0D95" w14:paraId="7F02BFA5" w14:textId="77777777" w:rsidTr="002054B0">
        <w:tc>
          <w:tcPr>
            <w:tcW w:w="2637" w:type="dxa"/>
            <w:shd w:val="clear" w:color="auto" w:fill="DEEAF6" w:themeFill="accent5" w:themeFillTint="33"/>
          </w:tcPr>
          <w:p w14:paraId="5A40767A" w14:textId="7D71F486" w:rsidR="008C0D95" w:rsidRPr="006663AA" w:rsidRDefault="008C0D95">
            <w:pPr>
              <w:rPr>
                <w:b/>
                <w:bCs/>
              </w:rPr>
            </w:pPr>
            <w:r w:rsidRPr="006663AA">
              <w:rPr>
                <w:b/>
                <w:bCs/>
              </w:rPr>
              <w:t xml:space="preserve">Projected Volume </w:t>
            </w:r>
          </w:p>
        </w:tc>
        <w:tc>
          <w:tcPr>
            <w:tcW w:w="1666" w:type="dxa"/>
            <w:shd w:val="clear" w:color="auto" w:fill="DEEAF6" w:themeFill="accent5" w:themeFillTint="33"/>
          </w:tcPr>
          <w:p w14:paraId="760E0CBF" w14:textId="4F7B4E7E" w:rsidR="008C0D95" w:rsidRPr="00531A2A" w:rsidRDefault="00531A2A">
            <w:pPr>
              <w:jc w:val="center"/>
              <w:rPr>
                <w:b/>
                <w:bCs/>
              </w:rPr>
            </w:pPr>
            <w:r w:rsidRPr="00531A2A">
              <w:rPr>
                <w:b/>
                <w:bCs/>
              </w:rPr>
              <w:t>FY2029</w:t>
            </w:r>
          </w:p>
        </w:tc>
        <w:tc>
          <w:tcPr>
            <w:tcW w:w="1308" w:type="dxa"/>
            <w:shd w:val="clear" w:color="auto" w:fill="DEEAF6" w:themeFill="accent5" w:themeFillTint="33"/>
          </w:tcPr>
          <w:p w14:paraId="140BE0D8" w14:textId="505A489C" w:rsidR="008C0D95" w:rsidRPr="00531A2A" w:rsidRDefault="00531A2A">
            <w:pPr>
              <w:jc w:val="center"/>
              <w:rPr>
                <w:b/>
                <w:bCs/>
              </w:rPr>
            </w:pPr>
            <w:r w:rsidRPr="00531A2A">
              <w:rPr>
                <w:b/>
                <w:bCs/>
              </w:rPr>
              <w:t>FY2030</w:t>
            </w:r>
          </w:p>
        </w:tc>
        <w:tc>
          <w:tcPr>
            <w:tcW w:w="1308" w:type="dxa"/>
            <w:shd w:val="clear" w:color="auto" w:fill="DEEAF6" w:themeFill="accent5" w:themeFillTint="33"/>
          </w:tcPr>
          <w:p w14:paraId="26BD6FD9" w14:textId="4CE4B94A" w:rsidR="008C0D95" w:rsidRPr="00531A2A" w:rsidRDefault="00531A2A">
            <w:pPr>
              <w:jc w:val="center"/>
              <w:rPr>
                <w:b/>
                <w:bCs/>
              </w:rPr>
            </w:pPr>
            <w:r w:rsidRPr="00531A2A">
              <w:rPr>
                <w:b/>
                <w:bCs/>
              </w:rPr>
              <w:t>FY20</w:t>
            </w:r>
            <w:r w:rsidR="008C0D95" w:rsidRPr="00531A2A">
              <w:rPr>
                <w:b/>
                <w:bCs/>
              </w:rPr>
              <w:t>3</w:t>
            </w:r>
            <w:r w:rsidRPr="00531A2A">
              <w:rPr>
                <w:b/>
                <w:bCs/>
              </w:rPr>
              <w:t>1</w:t>
            </w:r>
          </w:p>
        </w:tc>
        <w:tc>
          <w:tcPr>
            <w:tcW w:w="1308" w:type="dxa"/>
            <w:shd w:val="clear" w:color="auto" w:fill="DEEAF6" w:themeFill="accent5" w:themeFillTint="33"/>
          </w:tcPr>
          <w:p w14:paraId="4C78A635" w14:textId="43855D4D" w:rsidR="008C0D95" w:rsidRPr="00531A2A" w:rsidRDefault="00531A2A">
            <w:pPr>
              <w:jc w:val="center"/>
              <w:rPr>
                <w:b/>
                <w:bCs/>
              </w:rPr>
            </w:pPr>
            <w:r w:rsidRPr="00531A2A">
              <w:rPr>
                <w:b/>
                <w:bCs/>
              </w:rPr>
              <w:t>FY2033</w:t>
            </w:r>
          </w:p>
        </w:tc>
        <w:tc>
          <w:tcPr>
            <w:tcW w:w="1308" w:type="dxa"/>
            <w:shd w:val="clear" w:color="auto" w:fill="DEEAF6" w:themeFill="accent5" w:themeFillTint="33"/>
            <w:vAlign w:val="center"/>
          </w:tcPr>
          <w:p w14:paraId="4B8D18F1" w14:textId="6F15EDDA" w:rsidR="008C0D95" w:rsidRPr="00531A2A" w:rsidRDefault="00531A2A" w:rsidP="00EA025B">
            <w:pPr>
              <w:jc w:val="center"/>
              <w:rPr>
                <w:b/>
                <w:bCs/>
              </w:rPr>
            </w:pPr>
            <w:r w:rsidRPr="00531A2A">
              <w:rPr>
                <w:b/>
                <w:bCs/>
              </w:rPr>
              <w:t>FY2034</w:t>
            </w:r>
          </w:p>
        </w:tc>
      </w:tr>
      <w:tr w:rsidR="002054B0" w14:paraId="26418D98" w14:textId="77777777" w:rsidTr="002054B0">
        <w:tc>
          <w:tcPr>
            <w:tcW w:w="2637" w:type="dxa"/>
          </w:tcPr>
          <w:p w14:paraId="277F24F0" w14:textId="77777777" w:rsidR="002054B0" w:rsidRDefault="002054B0" w:rsidP="002054B0">
            <w:r>
              <w:t xml:space="preserve">ED Visits </w:t>
            </w:r>
          </w:p>
        </w:tc>
        <w:tc>
          <w:tcPr>
            <w:tcW w:w="1666" w:type="dxa"/>
            <w:vAlign w:val="bottom"/>
          </w:tcPr>
          <w:p w14:paraId="53B8D8BD" w14:textId="5560BFAC" w:rsidR="002054B0" w:rsidRPr="002054B0" w:rsidRDefault="002054B0" w:rsidP="002054B0">
            <w:pPr>
              <w:jc w:val="center"/>
            </w:pPr>
            <w:r w:rsidRPr="002054B0">
              <w:rPr>
                <w:rFonts w:ascii="Calibri" w:hAnsi="Calibri" w:cs="Calibri"/>
                <w:color w:val="000000"/>
              </w:rPr>
              <w:t>49,738</w:t>
            </w:r>
          </w:p>
        </w:tc>
        <w:tc>
          <w:tcPr>
            <w:tcW w:w="1308" w:type="dxa"/>
          </w:tcPr>
          <w:p w14:paraId="755FA46C" w14:textId="583EEB90" w:rsidR="002054B0" w:rsidRPr="002054B0" w:rsidRDefault="002054B0" w:rsidP="002054B0">
            <w:pPr>
              <w:jc w:val="center"/>
            </w:pPr>
            <w:r w:rsidRPr="002054B0">
              <w:rPr>
                <w:rFonts w:cstheme="minorHAnsi"/>
              </w:rPr>
              <w:t>50,733</w:t>
            </w:r>
          </w:p>
        </w:tc>
        <w:tc>
          <w:tcPr>
            <w:tcW w:w="1308" w:type="dxa"/>
          </w:tcPr>
          <w:p w14:paraId="7133B44C" w14:textId="2906F237" w:rsidR="002054B0" w:rsidRPr="002054B0" w:rsidRDefault="002054B0" w:rsidP="002054B0">
            <w:pPr>
              <w:jc w:val="center"/>
            </w:pPr>
            <w:r w:rsidRPr="002054B0">
              <w:rPr>
                <w:rFonts w:cstheme="minorHAnsi"/>
              </w:rPr>
              <w:t>51,747</w:t>
            </w:r>
          </w:p>
        </w:tc>
        <w:tc>
          <w:tcPr>
            <w:tcW w:w="1308" w:type="dxa"/>
          </w:tcPr>
          <w:p w14:paraId="6798CB8E" w14:textId="760D8D1A" w:rsidR="002054B0" w:rsidRPr="002054B0" w:rsidRDefault="002054B0" w:rsidP="002054B0">
            <w:pPr>
              <w:jc w:val="center"/>
            </w:pPr>
            <w:r w:rsidRPr="002054B0">
              <w:rPr>
                <w:rFonts w:cstheme="minorHAnsi"/>
              </w:rPr>
              <w:t>52,782</w:t>
            </w:r>
          </w:p>
        </w:tc>
        <w:tc>
          <w:tcPr>
            <w:tcW w:w="1308" w:type="dxa"/>
          </w:tcPr>
          <w:p w14:paraId="6BC601D7" w14:textId="54224943" w:rsidR="002054B0" w:rsidRPr="002054B0" w:rsidRDefault="002054B0" w:rsidP="002054B0">
            <w:pPr>
              <w:jc w:val="center"/>
            </w:pPr>
            <w:r w:rsidRPr="002054B0">
              <w:rPr>
                <w:rFonts w:cstheme="minorHAnsi"/>
              </w:rPr>
              <w:t>53,838</w:t>
            </w:r>
          </w:p>
        </w:tc>
      </w:tr>
    </w:tbl>
    <w:p w14:paraId="5158AF96" w14:textId="1AA31C31" w:rsidR="00F42963" w:rsidRDefault="00D6491E" w:rsidP="4E898A69">
      <w:pPr>
        <w:spacing w:before="120" w:after="120" w:line="240" w:lineRule="auto"/>
        <w:rPr>
          <w:sz w:val="24"/>
          <w:szCs w:val="24"/>
        </w:rPr>
      </w:pPr>
      <w:r w:rsidRPr="4E898A69">
        <w:rPr>
          <w:sz w:val="24"/>
          <w:szCs w:val="24"/>
        </w:rPr>
        <w:t>In order to meet the community’s current and projected need for emergency services, the Hospital determined that a total of 6</w:t>
      </w:r>
      <w:r w:rsidR="00CA03DE" w:rsidRPr="4E898A69">
        <w:rPr>
          <w:sz w:val="24"/>
          <w:szCs w:val="24"/>
        </w:rPr>
        <w:t>8</w:t>
      </w:r>
      <w:r w:rsidRPr="4E898A69">
        <w:rPr>
          <w:sz w:val="24"/>
          <w:szCs w:val="24"/>
        </w:rPr>
        <w:t xml:space="preserve"> treatment beds would be need</w:t>
      </w:r>
      <w:r w:rsidR="00014C9E" w:rsidRPr="4E898A69">
        <w:rPr>
          <w:sz w:val="24"/>
          <w:szCs w:val="24"/>
        </w:rPr>
        <w:t>ed</w:t>
      </w:r>
      <w:r w:rsidRPr="4E898A69">
        <w:rPr>
          <w:sz w:val="24"/>
          <w:szCs w:val="24"/>
        </w:rPr>
        <w:t xml:space="preserve">. </w:t>
      </w:r>
      <w:r w:rsidR="00AB7DB2">
        <w:rPr>
          <w:sz w:val="24"/>
          <w:szCs w:val="24"/>
        </w:rPr>
        <w:t xml:space="preserve">The Applicant </w:t>
      </w:r>
      <w:r w:rsidR="006A6B4A">
        <w:rPr>
          <w:sz w:val="24"/>
          <w:szCs w:val="24"/>
        </w:rPr>
        <w:t xml:space="preserve">determined this by </w:t>
      </w:r>
      <w:r w:rsidR="009D2BDA">
        <w:rPr>
          <w:sz w:val="24"/>
          <w:szCs w:val="24"/>
        </w:rPr>
        <w:t>using a</w:t>
      </w:r>
      <w:r w:rsidR="00F15C4C">
        <w:rPr>
          <w:sz w:val="24"/>
          <w:szCs w:val="24"/>
        </w:rPr>
        <w:t>n</w:t>
      </w:r>
      <w:r w:rsidR="009D2BDA">
        <w:rPr>
          <w:sz w:val="24"/>
          <w:szCs w:val="24"/>
        </w:rPr>
        <w:t xml:space="preserve"> annual growth rate of 2%, </w:t>
      </w:r>
      <w:r w:rsidR="00F15C4C">
        <w:rPr>
          <w:sz w:val="24"/>
          <w:szCs w:val="24"/>
        </w:rPr>
        <w:t xml:space="preserve">which was a conservative </w:t>
      </w:r>
      <w:r w:rsidR="0088322B">
        <w:rPr>
          <w:sz w:val="24"/>
          <w:szCs w:val="24"/>
        </w:rPr>
        <w:t xml:space="preserve">rate based on the projected 3.52% projected </w:t>
      </w:r>
      <w:r w:rsidR="00882048">
        <w:rPr>
          <w:sz w:val="24"/>
          <w:szCs w:val="24"/>
        </w:rPr>
        <w:t xml:space="preserve">annual </w:t>
      </w:r>
      <w:r w:rsidR="0088322B">
        <w:rPr>
          <w:sz w:val="24"/>
          <w:szCs w:val="24"/>
        </w:rPr>
        <w:t xml:space="preserve">growth in </w:t>
      </w:r>
      <w:r w:rsidR="00882048">
        <w:rPr>
          <w:sz w:val="24"/>
          <w:szCs w:val="24"/>
        </w:rPr>
        <w:t>population</w:t>
      </w:r>
      <w:r w:rsidR="009D2BDA">
        <w:rPr>
          <w:sz w:val="24"/>
          <w:szCs w:val="24"/>
        </w:rPr>
        <w:t xml:space="preserve"> </w:t>
      </w:r>
      <w:r w:rsidR="00882048">
        <w:rPr>
          <w:sz w:val="24"/>
          <w:szCs w:val="24"/>
        </w:rPr>
        <w:t>for the service area.</w:t>
      </w:r>
      <w:r w:rsidR="00F805E7">
        <w:rPr>
          <w:sz w:val="24"/>
          <w:szCs w:val="24"/>
        </w:rPr>
        <w:t xml:space="preserve"> </w:t>
      </w:r>
      <w:r w:rsidR="00F805E7" w:rsidRPr="00692126">
        <w:rPr>
          <w:rFonts w:cstheme="minorHAnsi"/>
          <w:sz w:val="24"/>
          <w:szCs w:val="24"/>
        </w:rPr>
        <w:t>A 2% growth rate for emergency services was applied to the Hospital’s projections to account for better utilization of virtual care, telemedicine, primary care, and urgent care for low acuity conditions. As these services are used more consistently for patients who would have gone to the ED with ESI level 5 or level 4 complaints, the Applicant anticipates emergency services will grow at a slightly lower rate than the population.</w:t>
      </w:r>
    </w:p>
    <w:p w14:paraId="1B2AF520" w14:textId="77777777" w:rsidR="00E7110D" w:rsidRDefault="00E7110D" w:rsidP="00D6491E">
      <w:pPr>
        <w:spacing w:before="120" w:after="120" w:line="240" w:lineRule="auto"/>
        <w:rPr>
          <w:rFonts w:cstheme="minorHAnsi"/>
          <w:sz w:val="24"/>
          <w:szCs w:val="24"/>
        </w:rPr>
      </w:pPr>
    </w:p>
    <w:p w14:paraId="1BE445F6" w14:textId="77777777" w:rsidR="00EF6FA1" w:rsidRDefault="00694615" w:rsidP="00694615">
      <w:pPr>
        <w:spacing w:before="120" w:after="120" w:line="240" w:lineRule="auto"/>
        <w:rPr>
          <w:rFonts w:cstheme="minorHAnsi"/>
          <w:sz w:val="24"/>
          <w:szCs w:val="24"/>
        </w:rPr>
      </w:pPr>
      <w:r>
        <w:rPr>
          <w:rFonts w:cstheme="minorHAnsi"/>
          <w:sz w:val="24"/>
          <w:szCs w:val="24"/>
        </w:rPr>
        <w:t>Given that the Proposed Project is not expected to achieve completion until 2029, the Hospital has</w:t>
      </w:r>
      <w:r w:rsidR="00A943DE">
        <w:rPr>
          <w:rFonts w:cstheme="minorHAnsi"/>
          <w:sz w:val="24"/>
          <w:szCs w:val="24"/>
        </w:rPr>
        <w:t xml:space="preserve"> several plans to manage capacity in the interim.</w:t>
      </w:r>
      <w:r w:rsidR="009642B5">
        <w:rPr>
          <w:rFonts w:cstheme="minorHAnsi"/>
          <w:sz w:val="24"/>
          <w:szCs w:val="24"/>
        </w:rPr>
        <w:t xml:space="preserve"> BID-P has</w:t>
      </w:r>
      <w:r w:rsidRPr="00E43DC9">
        <w:rPr>
          <w:rFonts w:cstheme="minorHAnsi"/>
          <w:sz w:val="24"/>
          <w:szCs w:val="24"/>
        </w:rPr>
        <w:t xml:space="preserve"> engaged the Berkeley Research Group to conduct an assessment of ED throughput opportunities and has begun implementation of the interventions identified</w:t>
      </w:r>
      <w:r>
        <w:rPr>
          <w:rFonts w:cstheme="minorHAnsi"/>
          <w:sz w:val="24"/>
          <w:szCs w:val="24"/>
        </w:rPr>
        <w:t xml:space="preserve">. These initiatives </w:t>
      </w:r>
      <w:r w:rsidRPr="00E43DC9">
        <w:rPr>
          <w:rFonts w:cstheme="minorHAnsi"/>
          <w:sz w:val="24"/>
          <w:szCs w:val="24"/>
        </w:rPr>
        <w:t xml:space="preserve">include </w:t>
      </w:r>
      <w:r>
        <w:rPr>
          <w:rFonts w:cstheme="minorHAnsi"/>
          <w:sz w:val="24"/>
          <w:szCs w:val="24"/>
        </w:rPr>
        <w:t xml:space="preserve">adjusting </w:t>
      </w:r>
      <w:r w:rsidRPr="00E43DC9">
        <w:rPr>
          <w:rFonts w:cstheme="minorHAnsi"/>
          <w:sz w:val="24"/>
          <w:szCs w:val="24"/>
        </w:rPr>
        <w:t>staffing patterns</w:t>
      </w:r>
      <w:r>
        <w:rPr>
          <w:rFonts w:cstheme="minorHAnsi"/>
          <w:sz w:val="24"/>
          <w:szCs w:val="24"/>
        </w:rPr>
        <w:t xml:space="preserve"> in real time </w:t>
      </w:r>
      <w:r w:rsidRPr="00E43DC9">
        <w:rPr>
          <w:rFonts w:cstheme="minorHAnsi"/>
          <w:sz w:val="24"/>
          <w:szCs w:val="24"/>
        </w:rPr>
        <w:t>to meet patient demand</w:t>
      </w:r>
      <w:r>
        <w:rPr>
          <w:rFonts w:cstheme="minorHAnsi"/>
          <w:sz w:val="24"/>
          <w:szCs w:val="24"/>
        </w:rPr>
        <w:t xml:space="preserve">, </w:t>
      </w:r>
      <w:r w:rsidRPr="00E43DC9">
        <w:rPr>
          <w:rFonts w:cstheme="minorHAnsi"/>
          <w:sz w:val="24"/>
          <w:szCs w:val="24"/>
        </w:rPr>
        <w:t xml:space="preserve">focusing on reducing turnaround times for diagnostic imaging studies </w:t>
      </w:r>
      <w:r>
        <w:rPr>
          <w:rFonts w:cstheme="minorHAnsi"/>
          <w:sz w:val="24"/>
          <w:szCs w:val="24"/>
        </w:rPr>
        <w:t>through</w:t>
      </w:r>
      <w:r w:rsidRPr="00E43DC9">
        <w:rPr>
          <w:rFonts w:cstheme="minorHAnsi"/>
          <w:sz w:val="24"/>
          <w:szCs w:val="24"/>
        </w:rPr>
        <w:t xml:space="preserve"> the addition of another teleradiology service when testing volume warrants additional radiologists to interpret completed studies, and implementing laboratory point of care testing within the Emergency Department to </w:t>
      </w:r>
      <w:r>
        <w:rPr>
          <w:rFonts w:cstheme="minorHAnsi"/>
          <w:sz w:val="24"/>
          <w:szCs w:val="24"/>
        </w:rPr>
        <w:t xml:space="preserve">improve </w:t>
      </w:r>
      <w:r w:rsidRPr="00E43DC9">
        <w:rPr>
          <w:rFonts w:cstheme="minorHAnsi"/>
          <w:sz w:val="24"/>
          <w:szCs w:val="24"/>
        </w:rPr>
        <w:t>laboratory testing turnaround times. In addition</w:t>
      </w:r>
      <w:r>
        <w:rPr>
          <w:rFonts w:cstheme="minorHAnsi"/>
          <w:sz w:val="24"/>
          <w:szCs w:val="24"/>
        </w:rPr>
        <w:t>, BID-Plymouth convened an</w:t>
      </w:r>
      <w:r w:rsidRPr="00E43DC9">
        <w:rPr>
          <w:rFonts w:cstheme="minorHAnsi"/>
          <w:sz w:val="24"/>
          <w:szCs w:val="24"/>
        </w:rPr>
        <w:t xml:space="preserve"> ED Throughput Multidisciplinary Steering Team to </w:t>
      </w:r>
      <w:r>
        <w:rPr>
          <w:rFonts w:cstheme="minorHAnsi"/>
          <w:sz w:val="24"/>
          <w:szCs w:val="24"/>
        </w:rPr>
        <w:t>oversee the</w:t>
      </w:r>
      <w:r w:rsidRPr="00E43DC9">
        <w:rPr>
          <w:rFonts w:cstheme="minorHAnsi"/>
          <w:sz w:val="24"/>
          <w:szCs w:val="24"/>
        </w:rPr>
        <w:t xml:space="preserve"> workgroups </w:t>
      </w:r>
      <w:r>
        <w:rPr>
          <w:rFonts w:cstheme="minorHAnsi"/>
          <w:sz w:val="24"/>
          <w:szCs w:val="24"/>
        </w:rPr>
        <w:t xml:space="preserve">responsible for implementing the above </w:t>
      </w:r>
      <w:r w:rsidRPr="00E43DC9">
        <w:rPr>
          <w:rFonts w:cstheme="minorHAnsi"/>
          <w:sz w:val="24"/>
          <w:szCs w:val="24"/>
        </w:rPr>
        <w:t>strategies</w:t>
      </w:r>
      <w:r>
        <w:rPr>
          <w:rFonts w:cstheme="minorHAnsi"/>
          <w:sz w:val="24"/>
          <w:szCs w:val="24"/>
        </w:rPr>
        <w:t>, evaluating outcomes,</w:t>
      </w:r>
      <w:r w:rsidRPr="00E43DC9">
        <w:rPr>
          <w:rFonts w:cstheme="minorHAnsi"/>
          <w:sz w:val="24"/>
          <w:szCs w:val="24"/>
        </w:rPr>
        <w:t xml:space="preserve"> and </w:t>
      </w:r>
      <w:r>
        <w:rPr>
          <w:rFonts w:cstheme="minorHAnsi"/>
          <w:sz w:val="24"/>
          <w:szCs w:val="24"/>
        </w:rPr>
        <w:t>identifying the potential need for</w:t>
      </w:r>
      <w:r w:rsidRPr="00E43DC9">
        <w:rPr>
          <w:rFonts w:cstheme="minorHAnsi"/>
          <w:sz w:val="24"/>
          <w:szCs w:val="24"/>
        </w:rPr>
        <w:t xml:space="preserve"> additional interventions.</w:t>
      </w:r>
      <w:r w:rsidR="009642B5">
        <w:rPr>
          <w:rFonts w:cstheme="minorHAnsi"/>
          <w:sz w:val="24"/>
          <w:szCs w:val="24"/>
        </w:rPr>
        <w:t xml:space="preserve"> </w:t>
      </w:r>
    </w:p>
    <w:p w14:paraId="42269135" w14:textId="77777777" w:rsidR="00EF6FA1" w:rsidRDefault="00EF6FA1" w:rsidP="00694615">
      <w:pPr>
        <w:spacing w:before="120" w:after="120" w:line="240" w:lineRule="auto"/>
        <w:rPr>
          <w:rFonts w:cstheme="minorHAnsi"/>
          <w:sz w:val="24"/>
          <w:szCs w:val="24"/>
        </w:rPr>
      </w:pPr>
    </w:p>
    <w:p w14:paraId="20E8AFCE" w14:textId="64B5B527" w:rsidR="00694615" w:rsidRPr="00692126" w:rsidRDefault="00134B4E" w:rsidP="00694615">
      <w:pPr>
        <w:spacing w:before="120" w:after="120" w:line="240" w:lineRule="auto"/>
        <w:rPr>
          <w:rFonts w:cstheme="minorHAnsi"/>
          <w:sz w:val="24"/>
          <w:szCs w:val="24"/>
        </w:rPr>
      </w:pPr>
      <w:r>
        <w:rPr>
          <w:rFonts w:cstheme="minorHAnsi"/>
          <w:sz w:val="24"/>
          <w:szCs w:val="24"/>
        </w:rPr>
        <w:lastRenderedPageBreak/>
        <w:t>T</w:t>
      </w:r>
      <w:r w:rsidR="009642B5">
        <w:rPr>
          <w:rFonts w:cstheme="minorHAnsi"/>
          <w:sz w:val="24"/>
          <w:szCs w:val="24"/>
        </w:rPr>
        <w:t xml:space="preserve">he Hospital has </w:t>
      </w:r>
      <w:r>
        <w:rPr>
          <w:rFonts w:cstheme="minorHAnsi"/>
          <w:sz w:val="24"/>
          <w:szCs w:val="24"/>
        </w:rPr>
        <w:t xml:space="preserve">also </w:t>
      </w:r>
      <w:r w:rsidR="009642B5">
        <w:rPr>
          <w:rFonts w:cstheme="minorHAnsi"/>
          <w:sz w:val="24"/>
          <w:szCs w:val="24"/>
        </w:rPr>
        <w:t xml:space="preserve">developed a </w:t>
      </w:r>
      <w:r w:rsidR="00EF6FA1">
        <w:rPr>
          <w:rFonts w:cstheme="minorHAnsi"/>
          <w:sz w:val="24"/>
          <w:szCs w:val="24"/>
        </w:rPr>
        <w:t>three</w:t>
      </w:r>
      <w:r w:rsidR="008C3CFA">
        <w:rPr>
          <w:rFonts w:cstheme="minorHAnsi"/>
          <w:sz w:val="24"/>
          <w:szCs w:val="24"/>
        </w:rPr>
        <w:t>-phase</w:t>
      </w:r>
      <w:r w:rsidR="009642B5">
        <w:rPr>
          <w:rFonts w:cstheme="minorHAnsi"/>
          <w:sz w:val="24"/>
          <w:szCs w:val="24"/>
        </w:rPr>
        <w:t xml:space="preserve"> plan for managing care during construction</w:t>
      </w:r>
      <w:r w:rsidR="00793E91">
        <w:rPr>
          <w:rFonts w:cstheme="minorHAnsi"/>
          <w:sz w:val="24"/>
          <w:szCs w:val="24"/>
        </w:rPr>
        <w:t xml:space="preserve"> that will use the space available in the most efficient manner</w:t>
      </w:r>
      <w:r w:rsidR="00E43C92">
        <w:rPr>
          <w:rFonts w:cstheme="minorHAnsi"/>
          <w:sz w:val="24"/>
          <w:szCs w:val="24"/>
        </w:rPr>
        <w:t xml:space="preserve"> until the expansion is completed.</w:t>
      </w:r>
      <w:r w:rsidR="00683ED5">
        <w:rPr>
          <w:rFonts w:cstheme="minorHAnsi"/>
          <w:sz w:val="24"/>
          <w:szCs w:val="24"/>
        </w:rPr>
        <w:t xml:space="preserve"> </w:t>
      </w:r>
      <w:r w:rsidR="00683ED5" w:rsidRPr="00FD3339">
        <w:rPr>
          <w:rFonts w:cstheme="minorHAnsi"/>
          <w:sz w:val="24"/>
          <w:szCs w:val="24"/>
        </w:rPr>
        <w:t>Phase I</w:t>
      </w:r>
      <w:r w:rsidR="00683ED5">
        <w:rPr>
          <w:rFonts w:cstheme="minorHAnsi"/>
          <w:sz w:val="24"/>
          <w:szCs w:val="24"/>
        </w:rPr>
        <w:t xml:space="preserve">, which </w:t>
      </w:r>
      <w:r w:rsidR="00683ED5" w:rsidRPr="00FD3339">
        <w:rPr>
          <w:rFonts w:cstheme="minorHAnsi"/>
          <w:sz w:val="24"/>
          <w:szCs w:val="24"/>
        </w:rPr>
        <w:t>will be accomplished in two sub-phases</w:t>
      </w:r>
      <w:r w:rsidR="00683ED5">
        <w:rPr>
          <w:rFonts w:cstheme="minorHAnsi"/>
          <w:sz w:val="24"/>
          <w:szCs w:val="24"/>
        </w:rPr>
        <w:t xml:space="preserve">, includes </w:t>
      </w:r>
      <w:r w:rsidR="007517BE">
        <w:rPr>
          <w:rFonts w:cstheme="minorHAnsi"/>
          <w:sz w:val="24"/>
          <w:szCs w:val="24"/>
        </w:rPr>
        <w:t xml:space="preserve">construction the new addition to the ED, and then renovating </w:t>
      </w:r>
      <w:r w:rsidR="00CB6499" w:rsidRPr="00FD3339">
        <w:rPr>
          <w:rFonts w:cstheme="minorHAnsi"/>
          <w:sz w:val="24"/>
          <w:szCs w:val="24"/>
        </w:rPr>
        <w:t xml:space="preserve">the front end of the existing emergency department taking the existing waiting area, reception, triage, four treatment bays, security office, and supporting administrative areas offline since the aforementioned areas will have moved into </w:t>
      </w:r>
      <w:r w:rsidR="00CB6499" w:rsidRPr="00916FC3">
        <w:rPr>
          <w:rFonts w:cstheme="minorHAnsi"/>
          <w:sz w:val="24"/>
          <w:szCs w:val="24"/>
        </w:rPr>
        <w:t>the new addition</w:t>
      </w:r>
      <w:r w:rsidR="00CB6499">
        <w:rPr>
          <w:rFonts w:cstheme="minorHAnsi"/>
          <w:sz w:val="24"/>
          <w:szCs w:val="24"/>
        </w:rPr>
        <w:t>. Phase II</w:t>
      </w:r>
      <w:r w:rsidR="0080453A" w:rsidRPr="00FD3339">
        <w:rPr>
          <w:rFonts w:cstheme="minorHAnsi"/>
          <w:sz w:val="24"/>
          <w:szCs w:val="24"/>
        </w:rPr>
        <w:t xml:space="preserve"> will then renovate the vacant portion of an existing infusion department to create a new secure-holding behavioral health area for the ED.</w:t>
      </w:r>
      <w:r w:rsidR="008A7254">
        <w:rPr>
          <w:rFonts w:cstheme="minorHAnsi"/>
          <w:sz w:val="24"/>
          <w:szCs w:val="24"/>
        </w:rPr>
        <w:t xml:space="preserve"> </w:t>
      </w:r>
      <w:r w:rsidR="000E40C1" w:rsidRPr="00FD3339">
        <w:rPr>
          <w:rFonts w:cstheme="minorHAnsi"/>
          <w:sz w:val="24"/>
          <w:szCs w:val="24"/>
        </w:rPr>
        <w:t xml:space="preserve">Phase </w:t>
      </w:r>
      <w:r w:rsidR="000E40C1">
        <w:rPr>
          <w:rFonts w:cstheme="minorHAnsi"/>
          <w:sz w:val="24"/>
          <w:szCs w:val="24"/>
        </w:rPr>
        <w:t xml:space="preserve">III </w:t>
      </w:r>
      <w:r w:rsidR="000E40C1" w:rsidRPr="00FD3339">
        <w:rPr>
          <w:rFonts w:cstheme="minorHAnsi"/>
          <w:sz w:val="24"/>
          <w:szCs w:val="24"/>
        </w:rPr>
        <w:t>will be accomplished in two sub-phases</w:t>
      </w:r>
      <w:r w:rsidR="000E40C1">
        <w:rPr>
          <w:rFonts w:cstheme="minorHAnsi"/>
          <w:sz w:val="24"/>
          <w:szCs w:val="24"/>
        </w:rPr>
        <w:t xml:space="preserve"> that will </w:t>
      </w:r>
      <w:r w:rsidR="002A314A" w:rsidRPr="00FD3339">
        <w:rPr>
          <w:rFonts w:cstheme="minorHAnsi"/>
          <w:sz w:val="24"/>
          <w:szCs w:val="24"/>
        </w:rPr>
        <w:t>renovate the remaining portion of the existing emergency department that does not contain the existing secure-holding behavioral health rooms</w:t>
      </w:r>
      <w:r w:rsidR="002A314A">
        <w:rPr>
          <w:rFonts w:cstheme="minorHAnsi"/>
          <w:sz w:val="24"/>
          <w:szCs w:val="24"/>
        </w:rPr>
        <w:t xml:space="preserve">, and </w:t>
      </w:r>
      <w:r w:rsidR="009442B9">
        <w:rPr>
          <w:rFonts w:cstheme="minorHAnsi"/>
          <w:sz w:val="24"/>
          <w:szCs w:val="24"/>
        </w:rPr>
        <w:t xml:space="preserve">finally </w:t>
      </w:r>
      <w:r w:rsidR="009442B9" w:rsidRPr="00FD3339">
        <w:rPr>
          <w:rFonts w:cstheme="minorHAnsi"/>
          <w:sz w:val="24"/>
          <w:szCs w:val="24"/>
        </w:rPr>
        <w:t>renovate the existing emergency department secure-holding behavioral health space</w:t>
      </w:r>
      <w:r w:rsidR="009442B9">
        <w:rPr>
          <w:rFonts w:cstheme="minorHAnsi"/>
          <w:sz w:val="24"/>
          <w:szCs w:val="24"/>
        </w:rPr>
        <w:t>.</w:t>
      </w:r>
    </w:p>
    <w:p w14:paraId="3B367F95" w14:textId="77777777" w:rsidR="00C53F46" w:rsidRDefault="00C53F46" w:rsidP="00D6491E">
      <w:pPr>
        <w:spacing w:before="120" w:after="120" w:line="240" w:lineRule="auto"/>
        <w:rPr>
          <w:rFonts w:cstheme="minorHAnsi"/>
          <w:sz w:val="24"/>
          <w:szCs w:val="24"/>
        </w:rPr>
      </w:pPr>
    </w:p>
    <w:p w14:paraId="3079D015" w14:textId="1B6788DB" w:rsidR="0086541A" w:rsidRPr="00D6491E" w:rsidRDefault="00D6491E" w:rsidP="00D6491E">
      <w:pPr>
        <w:spacing w:before="120" w:after="120" w:line="240" w:lineRule="auto"/>
        <w:rPr>
          <w:sz w:val="24"/>
          <w:szCs w:val="24"/>
        </w:rPr>
      </w:pPr>
      <w:r w:rsidRPr="24D219CA">
        <w:rPr>
          <w:sz w:val="24"/>
          <w:szCs w:val="24"/>
        </w:rPr>
        <w:t xml:space="preserve">The addition of treatment beds </w:t>
      </w:r>
      <w:r w:rsidR="003D70CE" w:rsidRPr="24D219CA">
        <w:rPr>
          <w:sz w:val="24"/>
          <w:szCs w:val="24"/>
        </w:rPr>
        <w:t>is calculated to</w:t>
      </w:r>
      <w:r w:rsidRPr="24D219CA">
        <w:rPr>
          <w:sz w:val="24"/>
          <w:szCs w:val="24"/>
        </w:rPr>
        <w:t xml:space="preserve"> allow for </w:t>
      </w:r>
      <w:r w:rsidR="00007A08" w:rsidRPr="24D219CA">
        <w:rPr>
          <w:sz w:val="24"/>
          <w:szCs w:val="24"/>
        </w:rPr>
        <w:t xml:space="preserve">up to </w:t>
      </w:r>
      <w:r w:rsidRPr="24D219CA">
        <w:rPr>
          <w:sz w:val="24"/>
          <w:szCs w:val="24"/>
        </w:rPr>
        <w:t xml:space="preserve">approximately 65,000 visits annually, as well </w:t>
      </w:r>
      <w:r w:rsidR="00007A08" w:rsidRPr="24D219CA">
        <w:rPr>
          <w:sz w:val="24"/>
          <w:szCs w:val="24"/>
        </w:rPr>
        <w:t xml:space="preserve">as </w:t>
      </w:r>
      <w:r w:rsidRPr="24D219CA">
        <w:rPr>
          <w:sz w:val="24"/>
          <w:szCs w:val="24"/>
        </w:rPr>
        <w:t xml:space="preserve">the timely movement of patients to treatment rooms from the waiting room, </w:t>
      </w:r>
      <w:r w:rsidR="00361911" w:rsidRPr="24D219CA">
        <w:rPr>
          <w:sz w:val="24"/>
          <w:szCs w:val="24"/>
        </w:rPr>
        <w:t>which is likely to</w:t>
      </w:r>
      <w:r w:rsidRPr="24D219CA">
        <w:rPr>
          <w:sz w:val="24"/>
          <w:szCs w:val="24"/>
        </w:rPr>
        <w:t xml:space="preserve"> reduc</w:t>
      </w:r>
      <w:r w:rsidR="00361911" w:rsidRPr="24D219CA">
        <w:rPr>
          <w:sz w:val="24"/>
          <w:szCs w:val="24"/>
        </w:rPr>
        <w:t xml:space="preserve">e </w:t>
      </w:r>
      <w:r w:rsidRPr="24D219CA">
        <w:rPr>
          <w:sz w:val="24"/>
          <w:szCs w:val="24"/>
        </w:rPr>
        <w:t xml:space="preserve">delays in treatment. The ability to move patients from the waiting room to a treatment room </w:t>
      </w:r>
      <w:r w:rsidR="00007A08" w:rsidRPr="24D219CA">
        <w:rPr>
          <w:sz w:val="24"/>
          <w:szCs w:val="24"/>
        </w:rPr>
        <w:t xml:space="preserve">in a timely manner </w:t>
      </w:r>
      <w:r w:rsidRPr="24D219CA">
        <w:rPr>
          <w:sz w:val="24"/>
          <w:szCs w:val="24"/>
        </w:rPr>
        <w:t xml:space="preserve">not only improves care delivery, but improves the patient experience by providing a private, more comfortable environment during what is usually a stressful time for patients experiencing a medical emergency. Through the addition of the requested beds, the ED will be able to accommodate </w:t>
      </w:r>
      <w:r w:rsidR="006B2752" w:rsidRPr="24D219CA">
        <w:rPr>
          <w:sz w:val="24"/>
          <w:szCs w:val="24"/>
        </w:rPr>
        <w:t>current community needs</w:t>
      </w:r>
      <w:r w:rsidRPr="24D219CA">
        <w:rPr>
          <w:sz w:val="24"/>
          <w:szCs w:val="24"/>
        </w:rPr>
        <w:t xml:space="preserve"> and projected growth in volume consistent with population projections. </w:t>
      </w:r>
    </w:p>
    <w:p w14:paraId="28E8D26F" w14:textId="77777777" w:rsidR="00D276EB" w:rsidRPr="00AA0F82" w:rsidRDefault="00D276EB" w:rsidP="00D276EB">
      <w:pPr>
        <w:spacing w:after="0" w:line="240" w:lineRule="auto"/>
        <w:rPr>
          <w:sz w:val="24"/>
          <w:szCs w:val="24"/>
          <w:highlight w:val="yellow"/>
        </w:rPr>
      </w:pPr>
    </w:p>
    <w:p w14:paraId="7616FFA7" w14:textId="77777777" w:rsidR="00D276EB" w:rsidRPr="00473AEB" w:rsidRDefault="00D276EB" w:rsidP="00D276EB">
      <w:pPr>
        <w:spacing w:after="0" w:line="240" w:lineRule="auto"/>
        <w:rPr>
          <w:b/>
          <w:bCs/>
          <w:i/>
          <w:iCs/>
          <w:sz w:val="24"/>
          <w:szCs w:val="24"/>
        </w:rPr>
      </w:pPr>
      <w:r w:rsidRPr="00473AEB">
        <w:rPr>
          <w:b/>
          <w:bCs/>
          <w:i/>
          <w:iCs/>
          <w:sz w:val="24"/>
          <w:szCs w:val="24"/>
        </w:rPr>
        <w:t>Analysis</w:t>
      </w:r>
    </w:p>
    <w:p w14:paraId="605AA552" w14:textId="3DD05F2E" w:rsidR="001135C3" w:rsidRDefault="006C52C8" w:rsidP="005E2209">
      <w:pPr>
        <w:rPr>
          <w:rFonts w:eastAsia="Calibri" w:cstheme="minorHAnsi"/>
          <w:sz w:val="24"/>
          <w:szCs w:val="24"/>
          <w:highlight w:val="yellow"/>
        </w:rPr>
      </w:pPr>
      <w:r w:rsidRPr="00473AEB">
        <w:rPr>
          <w:rFonts w:eastAsia="Calibri" w:cstheme="minorHAnsi"/>
          <w:sz w:val="24"/>
          <w:szCs w:val="24"/>
        </w:rPr>
        <w:t xml:space="preserve">Staff finds that the Applicant has demonstrated sufficient need for </w:t>
      </w:r>
      <w:r w:rsidR="00862D58" w:rsidRPr="00473AEB">
        <w:rPr>
          <w:rFonts w:eastAsia="Calibri" w:cstheme="minorHAnsi"/>
          <w:sz w:val="24"/>
          <w:szCs w:val="24"/>
        </w:rPr>
        <w:t xml:space="preserve">ED expansion </w:t>
      </w:r>
      <w:r w:rsidRPr="00473AEB">
        <w:rPr>
          <w:rFonts w:eastAsia="Calibri" w:cstheme="minorHAnsi"/>
          <w:sz w:val="24"/>
          <w:szCs w:val="24"/>
        </w:rPr>
        <w:t xml:space="preserve">to address the </w:t>
      </w:r>
      <w:r w:rsidR="00862D58" w:rsidRPr="00473AEB">
        <w:rPr>
          <w:rFonts w:eastAsia="Calibri" w:cstheme="minorHAnsi"/>
          <w:sz w:val="24"/>
          <w:szCs w:val="24"/>
        </w:rPr>
        <w:t xml:space="preserve">growing </w:t>
      </w:r>
      <w:r w:rsidR="00946892" w:rsidRPr="006E2A42">
        <w:rPr>
          <w:rFonts w:eastAsia="Calibri" w:cstheme="minorHAnsi"/>
          <w:sz w:val="24"/>
          <w:szCs w:val="24"/>
        </w:rPr>
        <w:t>volume of annual visits to the ED</w:t>
      </w:r>
      <w:r w:rsidR="00473AEB" w:rsidRPr="006E2A42">
        <w:rPr>
          <w:rFonts w:eastAsia="Calibri" w:cstheme="minorHAnsi"/>
          <w:sz w:val="24"/>
          <w:szCs w:val="24"/>
        </w:rPr>
        <w:t xml:space="preserve">. </w:t>
      </w:r>
      <w:r w:rsidR="00D1042B" w:rsidRPr="006E2A42">
        <w:rPr>
          <w:rFonts w:eastAsia="Calibri" w:cstheme="minorHAnsi"/>
          <w:sz w:val="24"/>
          <w:szCs w:val="24"/>
        </w:rPr>
        <w:t>The</w:t>
      </w:r>
      <w:r w:rsidRPr="006E2A42">
        <w:rPr>
          <w:rFonts w:eastAsia="Calibri" w:cstheme="minorHAnsi"/>
          <w:sz w:val="24"/>
          <w:szCs w:val="24"/>
        </w:rPr>
        <w:t xml:space="preserve"> Proposed Project will </w:t>
      </w:r>
      <w:r w:rsidR="00AC0839">
        <w:rPr>
          <w:rFonts w:eastAsia="Calibri" w:cstheme="minorHAnsi"/>
          <w:sz w:val="24"/>
          <w:szCs w:val="24"/>
        </w:rPr>
        <w:t xml:space="preserve">allow </w:t>
      </w:r>
      <w:r w:rsidRPr="006E2A42">
        <w:rPr>
          <w:rFonts w:eastAsia="Calibri" w:cstheme="minorHAnsi"/>
          <w:sz w:val="24"/>
          <w:szCs w:val="24"/>
        </w:rPr>
        <w:t xml:space="preserve">the Applicant to meet the current and future </w:t>
      </w:r>
      <w:r w:rsidR="00473AEB" w:rsidRPr="006E2A42">
        <w:rPr>
          <w:rFonts w:eastAsia="Calibri" w:cstheme="minorHAnsi"/>
          <w:sz w:val="24"/>
          <w:szCs w:val="24"/>
        </w:rPr>
        <w:t>increase in the number of patients seeking moderate to high acuity care that can</w:t>
      </w:r>
      <w:r w:rsidR="00357045" w:rsidRPr="006E2A42">
        <w:rPr>
          <w:rFonts w:eastAsia="Calibri" w:cstheme="minorHAnsi"/>
          <w:sz w:val="24"/>
          <w:szCs w:val="24"/>
        </w:rPr>
        <w:t>not be diverted to lower acuity settings</w:t>
      </w:r>
      <w:r w:rsidRPr="006E2A42">
        <w:rPr>
          <w:rFonts w:eastAsia="Calibri" w:cstheme="minorHAnsi"/>
          <w:sz w:val="24"/>
          <w:szCs w:val="24"/>
        </w:rPr>
        <w:t xml:space="preserve">. </w:t>
      </w:r>
      <w:r w:rsidR="00357045" w:rsidRPr="006E2A42">
        <w:rPr>
          <w:rFonts w:eastAsia="Calibri" w:cstheme="minorHAnsi"/>
          <w:sz w:val="24"/>
          <w:szCs w:val="24"/>
        </w:rPr>
        <w:t xml:space="preserve">The </w:t>
      </w:r>
      <w:r w:rsidR="00F31194" w:rsidRPr="006E2A42">
        <w:rPr>
          <w:rFonts w:eastAsia="Calibri" w:cstheme="minorHAnsi"/>
          <w:sz w:val="24"/>
          <w:szCs w:val="24"/>
        </w:rPr>
        <w:t>expansion would allow for greater access to emergency Behavioral Health assessment and treatment in the region</w:t>
      </w:r>
      <w:r w:rsidR="000A1751">
        <w:rPr>
          <w:rFonts w:eastAsia="Calibri" w:cstheme="minorHAnsi"/>
          <w:sz w:val="24"/>
          <w:szCs w:val="24"/>
        </w:rPr>
        <w:t>,</w:t>
      </w:r>
      <w:r w:rsidR="006E2A42" w:rsidRPr="006E2A42">
        <w:rPr>
          <w:rFonts w:eastAsia="Calibri" w:cstheme="minorHAnsi"/>
          <w:sz w:val="24"/>
          <w:szCs w:val="24"/>
        </w:rPr>
        <w:t xml:space="preserve"> and has the potential to reduce wait times for all ED patients.</w:t>
      </w:r>
      <w:r w:rsidR="007C5B2D" w:rsidRPr="006E2A42">
        <w:rPr>
          <w:rFonts w:eastAsia="Calibri" w:cstheme="minorHAnsi"/>
          <w:sz w:val="24"/>
          <w:szCs w:val="24"/>
        </w:rPr>
        <w:t xml:space="preserve"> </w:t>
      </w:r>
      <w:r w:rsidR="0096085D" w:rsidRPr="006E2A42">
        <w:rPr>
          <w:rFonts w:eastAsia="Calibri" w:cstheme="minorHAnsi"/>
          <w:sz w:val="24"/>
          <w:szCs w:val="24"/>
        </w:rPr>
        <w:t xml:space="preserve">As </w:t>
      </w:r>
      <w:r w:rsidR="005E2209" w:rsidRPr="006E2A42">
        <w:rPr>
          <w:rFonts w:eastAsia="Calibri" w:cstheme="minorHAnsi"/>
          <w:sz w:val="24"/>
          <w:szCs w:val="24"/>
        </w:rPr>
        <w:t>a result, Staff finds that the Proposed Project meets the requirements of Factor 1a.</w:t>
      </w:r>
    </w:p>
    <w:p w14:paraId="726F8F0D" w14:textId="77777777" w:rsidR="006E2A42" w:rsidRPr="00AA0F82" w:rsidRDefault="006E2A42" w:rsidP="005E2209">
      <w:pPr>
        <w:rPr>
          <w:rFonts w:eastAsia="Calibri" w:cstheme="minorHAnsi"/>
          <w:sz w:val="24"/>
          <w:szCs w:val="24"/>
          <w:highlight w:val="yellow"/>
        </w:rPr>
      </w:pPr>
    </w:p>
    <w:p w14:paraId="55B52D9C" w14:textId="76D37FEB" w:rsidR="003E1CDA" w:rsidRPr="007B5969" w:rsidRDefault="007D6615" w:rsidP="002B05B4">
      <w:pPr>
        <w:pStyle w:val="Heading1"/>
      </w:pPr>
      <w:bookmarkStart w:id="6" w:name="_Toc181784903"/>
      <w:r w:rsidRPr="007B5969">
        <w:t>F</w:t>
      </w:r>
      <w:r w:rsidR="003E1CDA" w:rsidRPr="007B5969">
        <w:t>actor 1: b) Public Health Value</w:t>
      </w:r>
      <w:r w:rsidR="006F12E9" w:rsidRPr="007B5969">
        <w:t xml:space="preserve"> through</w:t>
      </w:r>
      <w:r w:rsidR="003E1CDA" w:rsidRPr="007B5969">
        <w:t xml:space="preserve"> Improved Health Outcomes </w:t>
      </w:r>
      <w:r w:rsidR="007D602B" w:rsidRPr="007B5969">
        <w:t>and</w:t>
      </w:r>
      <w:r w:rsidR="003E1CDA" w:rsidRPr="007B5969">
        <w:t xml:space="preserve"> Quality Of Life; Assurances Of Health Equity</w:t>
      </w:r>
      <w:bookmarkEnd w:id="6"/>
    </w:p>
    <w:p w14:paraId="2128ACF9" w14:textId="1A9D9AA2" w:rsidR="003568F4" w:rsidRPr="007B5969" w:rsidRDefault="00477A2E" w:rsidP="00477A2E">
      <w:pPr>
        <w:autoSpaceDE w:val="0"/>
        <w:autoSpaceDN w:val="0"/>
        <w:adjustRightInd w:val="0"/>
        <w:rPr>
          <w:rFonts w:cstheme="minorHAnsi"/>
          <w:color w:val="000000"/>
          <w:sz w:val="24"/>
          <w:szCs w:val="24"/>
        </w:rPr>
      </w:pPr>
      <w:r w:rsidRPr="007B5969">
        <w:rPr>
          <w:rFonts w:cstheme="minorHAnsi"/>
          <w:color w:val="000000"/>
          <w:sz w:val="24"/>
          <w:szCs w:val="24"/>
        </w:rPr>
        <w:t>In</w:t>
      </w:r>
      <w:r w:rsidRPr="007B5969">
        <w:rPr>
          <w:rFonts w:cstheme="minorHAnsi"/>
          <w:sz w:val="24"/>
          <w:szCs w:val="24"/>
        </w:rPr>
        <w:t xml:space="preserve"> this section</w:t>
      </w:r>
      <w:r w:rsidR="006B437E" w:rsidRPr="007B5969">
        <w:rPr>
          <w:rFonts w:cstheme="minorHAnsi"/>
          <w:sz w:val="24"/>
          <w:szCs w:val="24"/>
        </w:rPr>
        <w:t>,</w:t>
      </w:r>
      <w:r w:rsidRPr="007B5969">
        <w:rPr>
          <w:rFonts w:cstheme="minorHAnsi"/>
          <w:sz w:val="24"/>
          <w:szCs w:val="24"/>
        </w:rPr>
        <w:t xml:space="preserve"> staff will assess if the Proposed Project </w:t>
      </w:r>
      <w:r w:rsidRPr="007B5969">
        <w:rPr>
          <w:rFonts w:cstheme="minorHAnsi"/>
          <w:color w:val="000000"/>
          <w:sz w:val="24"/>
          <w:szCs w:val="24"/>
        </w:rPr>
        <w:t xml:space="preserve">adds measurable public health value in terms of improved health outcomes and quality of life for the Applicant’s existing Patient Panel, while providing reasonable assurances of health equity. </w:t>
      </w:r>
    </w:p>
    <w:p w14:paraId="4A8C41CF" w14:textId="2CB20374" w:rsidR="005259F8" w:rsidRPr="006A4E02" w:rsidRDefault="004B6352" w:rsidP="0002054A">
      <w:pPr>
        <w:spacing w:before="240" w:after="0"/>
        <w:rPr>
          <w:sz w:val="24"/>
          <w:szCs w:val="24"/>
        </w:rPr>
      </w:pPr>
      <w:r w:rsidRPr="006A4E02">
        <w:rPr>
          <w:b/>
          <w:bCs/>
          <w:sz w:val="24"/>
          <w:szCs w:val="24"/>
        </w:rPr>
        <w:t>Health</w:t>
      </w:r>
      <w:r w:rsidR="005259F8" w:rsidRPr="006A4E02">
        <w:rPr>
          <w:b/>
          <w:bCs/>
          <w:sz w:val="24"/>
          <w:szCs w:val="24"/>
        </w:rPr>
        <w:t xml:space="preserve"> outcomes and quality of life</w:t>
      </w:r>
    </w:p>
    <w:p w14:paraId="48EB6A6F" w14:textId="43BD5B1A" w:rsidR="003568F4" w:rsidRPr="006A4E02" w:rsidRDefault="006E42B6" w:rsidP="0002054A">
      <w:pPr>
        <w:pStyle w:val="BodyText"/>
        <w:widowControl/>
        <w:spacing w:before="0"/>
        <w:ind w:left="14"/>
        <w:rPr>
          <w:rFonts w:asciiTheme="minorHAnsi" w:hAnsiTheme="minorHAnsi" w:cstheme="minorHAnsi"/>
          <w:bCs/>
          <w:kern w:val="2"/>
          <w:sz w:val="24"/>
          <w:szCs w:val="24"/>
        </w:rPr>
      </w:pPr>
      <w:r w:rsidRPr="006A4E02">
        <w:rPr>
          <w:rFonts w:asciiTheme="minorHAnsi" w:hAnsiTheme="minorHAnsi" w:cstheme="minorHAnsi"/>
          <w:bCs/>
          <w:kern w:val="2"/>
          <w:sz w:val="24"/>
          <w:szCs w:val="24"/>
        </w:rPr>
        <w:t>By expanding the ED, t</w:t>
      </w:r>
      <w:r w:rsidR="003568F4" w:rsidRPr="006A4E02">
        <w:rPr>
          <w:rFonts w:asciiTheme="minorHAnsi" w:hAnsiTheme="minorHAnsi" w:cstheme="minorHAnsi"/>
          <w:bCs/>
          <w:kern w:val="2"/>
          <w:sz w:val="24"/>
          <w:szCs w:val="24"/>
        </w:rPr>
        <w:t xml:space="preserve">he Proposed Project </w:t>
      </w:r>
      <w:r w:rsidR="000B06A1" w:rsidRPr="006A4E02">
        <w:rPr>
          <w:rFonts w:asciiTheme="minorHAnsi" w:hAnsiTheme="minorHAnsi" w:cstheme="minorHAnsi"/>
          <w:bCs/>
          <w:kern w:val="2"/>
          <w:sz w:val="24"/>
          <w:szCs w:val="24"/>
        </w:rPr>
        <w:t xml:space="preserve">will allow BID-P </w:t>
      </w:r>
      <w:r w:rsidR="009425AB">
        <w:rPr>
          <w:rFonts w:asciiTheme="minorHAnsi" w:hAnsiTheme="minorHAnsi" w:cstheme="minorHAnsi"/>
          <w:bCs/>
          <w:kern w:val="2"/>
          <w:sz w:val="24"/>
          <w:szCs w:val="24"/>
        </w:rPr>
        <w:t xml:space="preserve">to </w:t>
      </w:r>
      <w:r w:rsidR="00A06B38" w:rsidRPr="006A4E02">
        <w:rPr>
          <w:rFonts w:asciiTheme="minorHAnsi" w:hAnsiTheme="minorHAnsi" w:cstheme="minorHAnsi"/>
          <w:bCs/>
          <w:kern w:val="2"/>
          <w:sz w:val="24"/>
          <w:szCs w:val="24"/>
        </w:rPr>
        <w:t>improve health outcomes</w:t>
      </w:r>
      <w:r w:rsidR="00A24FE7" w:rsidRPr="006A4E02">
        <w:rPr>
          <w:rFonts w:asciiTheme="minorHAnsi" w:hAnsiTheme="minorHAnsi" w:cstheme="minorHAnsi"/>
          <w:bCs/>
          <w:kern w:val="2"/>
          <w:sz w:val="24"/>
          <w:szCs w:val="24"/>
        </w:rPr>
        <w:t xml:space="preserve"> associated with overcrowding</w:t>
      </w:r>
      <w:r w:rsidR="00F3687E" w:rsidRPr="006A4E02">
        <w:rPr>
          <w:rFonts w:asciiTheme="minorHAnsi" w:hAnsiTheme="minorHAnsi" w:cstheme="minorHAnsi"/>
          <w:bCs/>
          <w:kern w:val="2"/>
          <w:sz w:val="24"/>
          <w:szCs w:val="24"/>
        </w:rPr>
        <w:t xml:space="preserve">, and </w:t>
      </w:r>
      <w:r w:rsidR="00D11FC3" w:rsidRPr="006A4E02">
        <w:rPr>
          <w:rFonts w:asciiTheme="minorHAnsi" w:hAnsiTheme="minorHAnsi" w:cstheme="minorHAnsi"/>
          <w:bCs/>
          <w:kern w:val="2"/>
          <w:sz w:val="24"/>
          <w:szCs w:val="24"/>
        </w:rPr>
        <w:t>provide a dedicated Behavioral Health unit within the ED</w:t>
      </w:r>
      <w:r w:rsidR="006A4E02" w:rsidRPr="006A4E02">
        <w:rPr>
          <w:rFonts w:asciiTheme="minorHAnsi" w:hAnsiTheme="minorHAnsi" w:cstheme="minorHAnsi"/>
          <w:bCs/>
          <w:kern w:val="2"/>
          <w:sz w:val="24"/>
          <w:szCs w:val="24"/>
        </w:rPr>
        <w:t>.</w:t>
      </w:r>
      <w:r w:rsidR="00F3687E" w:rsidRPr="006A4E02">
        <w:rPr>
          <w:rFonts w:asciiTheme="minorHAnsi" w:hAnsiTheme="minorHAnsi" w:cstheme="minorHAnsi"/>
          <w:bCs/>
          <w:kern w:val="2"/>
          <w:sz w:val="24"/>
          <w:szCs w:val="24"/>
        </w:rPr>
        <w:t xml:space="preserve"> </w:t>
      </w:r>
    </w:p>
    <w:p w14:paraId="75AFB8B1" w14:textId="77777777" w:rsidR="00931426" w:rsidRPr="00AA0F82" w:rsidRDefault="00931426" w:rsidP="0002054A">
      <w:pPr>
        <w:pStyle w:val="BodyText"/>
        <w:widowControl/>
        <w:spacing w:before="0"/>
        <w:ind w:left="14"/>
        <w:rPr>
          <w:rFonts w:asciiTheme="minorHAnsi" w:hAnsiTheme="minorHAnsi" w:cstheme="minorHAnsi"/>
          <w:bCs/>
          <w:kern w:val="2"/>
          <w:sz w:val="24"/>
          <w:szCs w:val="24"/>
          <w:highlight w:val="yellow"/>
        </w:rPr>
      </w:pPr>
    </w:p>
    <w:p w14:paraId="72F00901" w14:textId="41F47C75" w:rsidR="00E53A48" w:rsidRPr="00854F8C" w:rsidRDefault="00BC47CF" w:rsidP="00082D4A">
      <w:pPr>
        <w:pStyle w:val="ListParagraph"/>
        <w:widowControl w:val="0"/>
        <w:numPr>
          <w:ilvl w:val="0"/>
          <w:numId w:val="5"/>
        </w:numPr>
        <w:spacing w:after="0" w:line="240" w:lineRule="auto"/>
        <w:rPr>
          <w:rFonts w:cstheme="minorHAnsi"/>
          <w:b/>
          <w:i/>
          <w:iCs/>
          <w:kern w:val="2"/>
          <w:sz w:val="24"/>
          <w:szCs w:val="24"/>
        </w:rPr>
      </w:pPr>
      <w:r>
        <w:rPr>
          <w:rFonts w:cstheme="minorHAnsi"/>
          <w:b/>
          <w:i/>
          <w:iCs/>
          <w:kern w:val="2"/>
          <w:sz w:val="24"/>
          <w:szCs w:val="24"/>
        </w:rPr>
        <w:lastRenderedPageBreak/>
        <w:t xml:space="preserve">Impact of Overcrowding on </w:t>
      </w:r>
      <w:r w:rsidR="00854F8C" w:rsidRPr="00854F8C">
        <w:rPr>
          <w:rFonts w:cstheme="minorHAnsi"/>
          <w:b/>
          <w:i/>
          <w:iCs/>
          <w:kern w:val="2"/>
          <w:sz w:val="24"/>
          <w:szCs w:val="24"/>
        </w:rPr>
        <w:t>Health Outcomes</w:t>
      </w:r>
    </w:p>
    <w:p w14:paraId="78EC83BA" w14:textId="6934BA74" w:rsidR="008E20CD" w:rsidRPr="001E0367" w:rsidRDefault="001E0367" w:rsidP="001E09B9">
      <w:pPr>
        <w:autoSpaceDE w:val="0"/>
        <w:autoSpaceDN w:val="0"/>
        <w:adjustRightInd w:val="0"/>
        <w:spacing w:before="120" w:after="0" w:line="240" w:lineRule="auto"/>
        <w:ind w:left="360"/>
        <w:rPr>
          <w:rFonts w:eastAsia="Times New Roman"/>
          <w:sz w:val="24"/>
          <w:szCs w:val="24"/>
        </w:rPr>
      </w:pPr>
      <w:r w:rsidRPr="2707A83D">
        <w:rPr>
          <w:rFonts w:eastAsia="Times New Roman"/>
          <w:sz w:val="24"/>
          <w:szCs w:val="24"/>
        </w:rPr>
        <w:t xml:space="preserve">Overcrowding is defined by a high volume of patients compromising </w:t>
      </w:r>
      <w:r w:rsidR="1B727931" w:rsidRPr="01CA5C7B">
        <w:rPr>
          <w:rFonts w:eastAsia="Times New Roman"/>
          <w:sz w:val="24"/>
          <w:szCs w:val="24"/>
        </w:rPr>
        <w:t xml:space="preserve">the </w:t>
      </w:r>
      <w:r w:rsidR="00B61621">
        <w:rPr>
          <w:rFonts w:eastAsia="Times New Roman"/>
          <w:sz w:val="24"/>
          <w:szCs w:val="24"/>
        </w:rPr>
        <w:t>ED’s</w:t>
      </w:r>
      <w:r w:rsidRPr="2707A83D">
        <w:rPr>
          <w:rFonts w:eastAsia="Times New Roman"/>
          <w:sz w:val="24"/>
          <w:szCs w:val="24"/>
        </w:rPr>
        <w:t xml:space="preserve"> ability to efficiently manage patient flow because of insufficient resources</w:t>
      </w:r>
      <w:r w:rsidR="00176CEF" w:rsidRPr="2707A83D">
        <w:rPr>
          <w:rFonts w:eastAsia="Times New Roman"/>
          <w:sz w:val="24"/>
          <w:szCs w:val="24"/>
        </w:rPr>
        <w:t>, with</w:t>
      </w:r>
      <w:r w:rsidR="004B589A" w:rsidRPr="2707A83D">
        <w:rPr>
          <w:rFonts w:eastAsia="Times New Roman"/>
          <w:sz w:val="24"/>
          <w:szCs w:val="24"/>
        </w:rPr>
        <w:t xml:space="preserve"> t</w:t>
      </w:r>
      <w:r w:rsidRPr="2707A83D">
        <w:rPr>
          <w:rFonts w:eastAsia="Times New Roman"/>
          <w:sz w:val="24"/>
          <w:szCs w:val="24"/>
        </w:rPr>
        <w:t xml:space="preserve">he first and most obvious consequence </w:t>
      </w:r>
      <w:r w:rsidR="004B589A" w:rsidRPr="2707A83D">
        <w:rPr>
          <w:rFonts w:eastAsia="Times New Roman"/>
          <w:sz w:val="24"/>
          <w:szCs w:val="24"/>
        </w:rPr>
        <w:t xml:space="preserve">being </w:t>
      </w:r>
      <w:r w:rsidRPr="2707A83D">
        <w:rPr>
          <w:rFonts w:eastAsia="Times New Roman"/>
          <w:sz w:val="24"/>
          <w:szCs w:val="24"/>
        </w:rPr>
        <w:t>an increase in patient wait times.</w:t>
      </w:r>
      <w:r w:rsidR="008E20CD" w:rsidRPr="2707A83D">
        <w:rPr>
          <w:rStyle w:val="EndnoteReference"/>
          <w:rFonts w:eastAsia="Times New Roman"/>
          <w:sz w:val="24"/>
          <w:szCs w:val="24"/>
        </w:rPr>
        <w:endnoteReference w:id="6"/>
      </w:r>
      <w:r w:rsidR="008E20CD" w:rsidRPr="2707A83D">
        <w:rPr>
          <w:rFonts w:eastAsia="Times New Roman"/>
          <w:sz w:val="24"/>
          <w:szCs w:val="24"/>
        </w:rPr>
        <w:t xml:space="preserve"> Significant wait times from the time a patient registers to when they are seen can reduce the quality of care provided, increase patient discomfort and dissatisfaction, increase the risk of hospital-acquired infections, and lead to more patients leaving before being seen by a physician. All of these factors contribute to reduced health outcomes.</w:t>
      </w:r>
      <w:r w:rsidR="008E20CD" w:rsidRPr="2707A83D">
        <w:rPr>
          <w:rStyle w:val="EndnoteReference"/>
          <w:rFonts w:eastAsia="Times New Roman"/>
          <w:sz w:val="24"/>
          <w:szCs w:val="24"/>
        </w:rPr>
        <w:endnoteReference w:id="7"/>
      </w:r>
      <w:r w:rsidR="008E20CD" w:rsidRPr="2707A83D">
        <w:rPr>
          <w:rFonts w:eastAsia="Times New Roman"/>
          <w:sz w:val="24"/>
          <w:szCs w:val="24"/>
        </w:rPr>
        <w:t xml:space="preserve"> The Applicant cited research showing that patients who leave without being seen are more likely to experience worsening health conditions that result in a subsequent ED visit and hospitalization.</w:t>
      </w:r>
      <w:r w:rsidR="008E20CD" w:rsidRPr="2707A83D">
        <w:rPr>
          <w:rStyle w:val="EndnoteReference"/>
          <w:rFonts w:eastAsia="Times New Roman"/>
          <w:sz w:val="24"/>
          <w:szCs w:val="24"/>
        </w:rPr>
        <w:endnoteReference w:id="8"/>
      </w:r>
      <w:r w:rsidR="008E20CD" w:rsidRPr="2707A83D">
        <w:rPr>
          <w:rFonts w:eastAsia="Times New Roman"/>
          <w:sz w:val="24"/>
          <w:szCs w:val="24"/>
        </w:rPr>
        <w:t xml:space="preserve"> Overcrowding frequently results in care being provided in ED hallways, which is associated with higher levels of patient morbidity and mortality.</w:t>
      </w:r>
      <w:r w:rsidR="00362072" w:rsidRPr="2707A83D">
        <w:rPr>
          <w:rStyle w:val="EndnoteReference"/>
          <w:rFonts w:eastAsia="Times New Roman"/>
          <w:sz w:val="24"/>
          <w:szCs w:val="24"/>
        </w:rPr>
        <w:endnoteReference w:id="9"/>
      </w:r>
      <w:r w:rsidR="008E20CD" w:rsidRPr="2707A83D">
        <w:rPr>
          <w:rFonts w:eastAsia="Times New Roman"/>
          <w:sz w:val="24"/>
          <w:szCs w:val="24"/>
        </w:rPr>
        <w:t xml:space="preserve"> These negative health outcomes are likely a result of monitoring that may not be as consistent or reliable as what is provided in permanent ED beds. </w:t>
      </w:r>
      <w:r w:rsidR="008E20CD" w:rsidRPr="2707A83D">
        <w:rPr>
          <w:kern w:val="2"/>
          <w:sz w:val="24"/>
          <w:szCs w:val="24"/>
        </w:rPr>
        <w:t>The Proposed Project will provide additional beds, as well as administrative space for clinical staff to facilitate the movement of patients more efficiently from registration to treatment space to discharge from the ED, which the Applicant asserts will ease overcrowding and improve health outcomes.</w:t>
      </w:r>
    </w:p>
    <w:p w14:paraId="2209F7BB" w14:textId="77777777" w:rsidR="008E20CD" w:rsidRPr="001E0367" w:rsidRDefault="008E20CD" w:rsidP="001E0367">
      <w:pPr>
        <w:widowControl w:val="0"/>
        <w:spacing w:after="0" w:line="240" w:lineRule="auto"/>
        <w:ind w:left="360"/>
        <w:rPr>
          <w:rFonts w:eastAsia="Times New Roman" w:cstheme="minorHAnsi"/>
          <w:bCs/>
          <w:sz w:val="24"/>
          <w:szCs w:val="24"/>
          <w:highlight w:val="yellow"/>
        </w:rPr>
      </w:pPr>
    </w:p>
    <w:p w14:paraId="3DE67ACB" w14:textId="0A3391F7" w:rsidR="008E20CD" w:rsidRPr="00B83D08" w:rsidRDefault="008E20CD" w:rsidP="00082D4A">
      <w:pPr>
        <w:pStyle w:val="ListParagraph"/>
        <w:widowControl w:val="0"/>
        <w:numPr>
          <w:ilvl w:val="0"/>
          <w:numId w:val="5"/>
        </w:numPr>
        <w:spacing w:after="0" w:line="240" w:lineRule="auto"/>
        <w:rPr>
          <w:rFonts w:eastAsia="Times New Roman" w:cstheme="minorHAnsi"/>
          <w:b/>
          <w:i/>
          <w:iCs/>
          <w:sz w:val="24"/>
          <w:szCs w:val="24"/>
        </w:rPr>
      </w:pPr>
      <w:r w:rsidRPr="00B83D08">
        <w:rPr>
          <w:rFonts w:eastAsia="Times New Roman" w:cstheme="minorHAnsi"/>
          <w:b/>
          <w:i/>
          <w:iCs/>
          <w:sz w:val="24"/>
          <w:szCs w:val="24"/>
        </w:rPr>
        <w:t>Dedicated Behavioral Health Unit</w:t>
      </w:r>
    </w:p>
    <w:p w14:paraId="0AD99AD6" w14:textId="29F9E090" w:rsidR="00633260" w:rsidRPr="00633260" w:rsidRDefault="008E20CD" w:rsidP="00AA3DEA">
      <w:pPr>
        <w:tabs>
          <w:tab w:val="left" w:pos="2073"/>
        </w:tabs>
        <w:spacing w:after="0" w:line="240" w:lineRule="auto"/>
        <w:ind w:left="360"/>
        <w:rPr>
          <w:sz w:val="24"/>
          <w:szCs w:val="24"/>
        </w:rPr>
      </w:pPr>
      <w:r w:rsidRPr="3BDCD3A6">
        <w:rPr>
          <w:sz w:val="24"/>
          <w:szCs w:val="24"/>
        </w:rPr>
        <w:t>The Applicant cites literature stating that traditional EDs are not designed for the treatment of patients experiencing acute behavioral health emergencies. The chaos and confined spaces of an ED can be distressing, contribute to a patient</w:t>
      </w:r>
      <w:r w:rsidR="4AED5D95" w:rsidRPr="3BDCD3A6">
        <w:rPr>
          <w:sz w:val="24"/>
          <w:szCs w:val="24"/>
        </w:rPr>
        <w:t>’</w:t>
      </w:r>
      <w:r w:rsidRPr="3BDCD3A6">
        <w:rPr>
          <w:sz w:val="24"/>
          <w:szCs w:val="24"/>
        </w:rPr>
        <w:t>s anxiety, and may worsen the psychiatric symptoms for which the patient is seeking treatment.</w:t>
      </w:r>
      <w:r w:rsidRPr="3BDCD3A6">
        <w:rPr>
          <w:rStyle w:val="EndnoteReference"/>
          <w:sz w:val="24"/>
          <w:szCs w:val="24"/>
        </w:rPr>
        <w:endnoteReference w:id="10"/>
      </w:r>
      <w:r w:rsidRPr="3BDCD3A6">
        <w:rPr>
          <w:sz w:val="24"/>
          <w:szCs w:val="24"/>
        </w:rPr>
        <w:t xml:space="preserve"> Compounding the stressors of the ED’s physical environment, the loss of control many patients feel in the ED can result in an escalation of symptoms.</w:t>
      </w:r>
      <w:r w:rsidRPr="3BDCD3A6">
        <w:rPr>
          <w:rStyle w:val="EndnoteReference"/>
          <w:sz w:val="24"/>
          <w:szCs w:val="24"/>
        </w:rPr>
        <w:endnoteReference w:id="11"/>
      </w:r>
      <w:r w:rsidRPr="3BDCD3A6">
        <w:rPr>
          <w:sz w:val="24"/>
          <w:szCs w:val="24"/>
        </w:rPr>
        <w:t xml:space="preserve"> As a result, these patients may actually experience worsening symptoms and health outcomes. For behavioral health patients who seek care at the ED, the Applicant noted studies about best practices for EDs to promote a more beneficial experience and improve health outcomes. The first best practice is to create a quiet, calming, dedicated space separate from the main ED.</w:t>
      </w:r>
      <w:r w:rsidRPr="3BDCD3A6">
        <w:rPr>
          <w:rStyle w:val="EndnoteReference"/>
          <w:sz w:val="24"/>
          <w:szCs w:val="24"/>
        </w:rPr>
        <w:endnoteReference w:id="12"/>
      </w:r>
      <w:r w:rsidRPr="3BDCD3A6">
        <w:rPr>
          <w:sz w:val="24"/>
          <w:szCs w:val="24"/>
        </w:rPr>
        <w:t xml:space="preserve"> When the goal is to calm the patient, the result is more likely to be a patient who can participate in their immediate treatment.</w:t>
      </w:r>
      <w:r w:rsidRPr="3BDCD3A6">
        <w:rPr>
          <w:rStyle w:val="EndnoteReference"/>
          <w:sz w:val="24"/>
          <w:szCs w:val="24"/>
        </w:rPr>
        <w:endnoteReference w:id="13"/>
      </w:r>
      <w:r w:rsidRPr="3BDCD3A6">
        <w:rPr>
          <w:sz w:val="24"/>
          <w:szCs w:val="24"/>
        </w:rPr>
        <w:t xml:space="preserve"> </w:t>
      </w:r>
      <w:r w:rsidR="00E94020" w:rsidRPr="3BDCD3A6">
        <w:rPr>
          <w:sz w:val="24"/>
          <w:szCs w:val="24"/>
        </w:rPr>
        <w:t xml:space="preserve">The expanded footprint of the ED in the Proposed Project will </w:t>
      </w:r>
      <w:r w:rsidR="003D29CB" w:rsidRPr="3BDCD3A6">
        <w:rPr>
          <w:sz w:val="24"/>
          <w:szCs w:val="24"/>
        </w:rPr>
        <w:t xml:space="preserve">provide additional beds </w:t>
      </w:r>
      <w:r w:rsidR="00D4498F" w:rsidRPr="3BDCD3A6">
        <w:rPr>
          <w:sz w:val="24"/>
          <w:szCs w:val="24"/>
        </w:rPr>
        <w:t xml:space="preserve">and staff </w:t>
      </w:r>
      <w:r w:rsidR="003D29CB" w:rsidRPr="3BDCD3A6">
        <w:rPr>
          <w:sz w:val="24"/>
          <w:szCs w:val="24"/>
        </w:rPr>
        <w:t>dedicated to behavioral health</w:t>
      </w:r>
      <w:r w:rsidR="00D4498F" w:rsidRPr="3BDCD3A6">
        <w:rPr>
          <w:sz w:val="24"/>
          <w:szCs w:val="24"/>
        </w:rPr>
        <w:t xml:space="preserve">, which the Applicant </w:t>
      </w:r>
      <w:r w:rsidR="008011B5" w:rsidRPr="3BDCD3A6">
        <w:rPr>
          <w:sz w:val="24"/>
          <w:szCs w:val="24"/>
        </w:rPr>
        <w:t>anticipates will improve outcomes for patients</w:t>
      </w:r>
      <w:r w:rsidR="00AB0E39" w:rsidRPr="3BDCD3A6">
        <w:rPr>
          <w:sz w:val="24"/>
          <w:szCs w:val="24"/>
        </w:rPr>
        <w:t xml:space="preserve"> seeking assistance at the ED.</w:t>
      </w:r>
    </w:p>
    <w:p w14:paraId="023B6913" w14:textId="7B411543" w:rsidR="00EA2BCE" w:rsidRPr="00AB0E39" w:rsidRDefault="00B107F8" w:rsidP="00B107F8">
      <w:pPr>
        <w:tabs>
          <w:tab w:val="left" w:pos="2073"/>
        </w:tabs>
        <w:spacing w:after="0" w:line="240" w:lineRule="auto"/>
        <w:ind w:left="360" w:right="720"/>
        <w:rPr>
          <w:rFonts w:cstheme="minorHAnsi"/>
          <w:sz w:val="24"/>
          <w:szCs w:val="24"/>
        </w:rPr>
      </w:pPr>
      <w:r w:rsidRPr="00AB0E39">
        <w:rPr>
          <w:rFonts w:cstheme="minorHAnsi"/>
          <w:sz w:val="24"/>
          <w:szCs w:val="24"/>
        </w:rPr>
        <w:tab/>
      </w:r>
    </w:p>
    <w:p w14:paraId="70074471" w14:textId="64DD38DD" w:rsidR="00B107F8" w:rsidRPr="007E16E5" w:rsidRDefault="006C4E66" w:rsidP="006C4E66">
      <w:pPr>
        <w:rPr>
          <w:rFonts w:cstheme="minorHAnsi"/>
          <w:sz w:val="24"/>
          <w:szCs w:val="24"/>
        </w:rPr>
      </w:pPr>
      <w:r w:rsidRPr="007E16E5">
        <w:rPr>
          <w:rFonts w:cstheme="minorHAnsi"/>
          <w:sz w:val="24"/>
          <w:szCs w:val="24"/>
        </w:rPr>
        <w:t xml:space="preserve">To assess the impact of the Proposed Project, the Applicant proposed metrics, as well as metric projections for quality indicators that will measure </w:t>
      </w:r>
      <w:r w:rsidR="00173986">
        <w:rPr>
          <w:rFonts w:cstheme="minorHAnsi"/>
          <w:sz w:val="24"/>
          <w:szCs w:val="24"/>
        </w:rPr>
        <w:t>the impact of the Proposed Project</w:t>
      </w:r>
      <w:r w:rsidRPr="007E16E5">
        <w:rPr>
          <w:rFonts w:cstheme="minorHAnsi"/>
          <w:sz w:val="24"/>
          <w:szCs w:val="24"/>
        </w:rPr>
        <w:t xml:space="preserve">. </w:t>
      </w:r>
      <w:r w:rsidR="00AB0E39" w:rsidRPr="007E16E5">
        <w:rPr>
          <w:rFonts w:cstheme="minorHAnsi"/>
          <w:sz w:val="24"/>
          <w:szCs w:val="24"/>
        </w:rPr>
        <w:t xml:space="preserve">The measures include </w:t>
      </w:r>
      <w:r w:rsidR="007E16E5" w:rsidRPr="007E16E5">
        <w:rPr>
          <w:rFonts w:cstheme="minorHAnsi"/>
          <w:sz w:val="24"/>
          <w:szCs w:val="24"/>
        </w:rPr>
        <w:t xml:space="preserve">patient satisfaction, wait times, and LWBS data. </w:t>
      </w:r>
      <w:r w:rsidRPr="007E16E5">
        <w:rPr>
          <w:rFonts w:cstheme="minorHAnsi"/>
          <w:sz w:val="24"/>
          <w:szCs w:val="24"/>
        </w:rPr>
        <w:t xml:space="preserve">The measures are presented in </w:t>
      </w:r>
      <w:r w:rsidRPr="00514444">
        <w:rPr>
          <w:rFonts w:cstheme="minorHAnsi"/>
          <w:sz w:val="24"/>
          <w:szCs w:val="24"/>
        </w:rPr>
        <w:t>Appendix I</w:t>
      </w:r>
      <w:r w:rsidRPr="007E16E5">
        <w:rPr>
          <w:rFonts w:cstheme="minorHAnsi"/>
          <w:sz w:val="24"/>
          <w:szCs w:val="24"/>
        </w:rPr>
        <w:t xml:space="preserve"> and will be reported to DPH on an annual basis following implementation of the Proposed Project. </w:t>
      </w:r>
    </w:p>
    <w:p w14:paraId="70ACFC28" w14:textId="77777777" w:rsidR="00B107F8" w:rsidRPr="00AA0F82" w:rsidRDefault="00B107F8" w:rsidP="00B107F8">
      <w:pPr>
        <w:tabs>
          <w:tab w:val="left" w:pos="2073"/>
        </w:tabs>
        <w:spacing w:after="0" w:line="240" w:lineRule="auto"/>
        <w:ind w:left="360" w:right="720"/>
        <w:rPr>
          <w:rFonts w:cstheme="minorHAnsi"/>
          <w:sz w:val="24"/>
          <w:szCs w:val="24"/>
          <w:highlight w:val="yellow"/>
        </w:rPr>
      </w:pPr>
    </w:p>
    <w:p w14:paraId="79C2F9BE" w14:textId="2886DB9A" w:rsidR="00E45334" w:rsidRPr="00385FE2" w:rsidRDefault="00E45334" w:rsidP="00B107F8">
      <w:pPr>
        <w:spacing w:after="0"/>
        <w:rPr>
          <w:rFonts w:cstheme="minorHAnsi"/>
          <w:b/>
          <w:i/>
        </w:rPr>
      </w:pPr>
      <w:r w:rsidRPr="00385FE2">
        <w:rPr>
          <w:rFonts w:cstheme="minorHAnsi"/>
          <w:b/>
          <w:i/>
        </w:rPr>
        <w:t>Analysis: Public Health Value</w:t>
      </w:r>
      <w:r w:rsidR="00955295" w:rsidRPr="00385FE2">
        <w:rPr>
          <w:rFonts w:cstheme="minorHAnsi"/>
          <w:b/>
          <w:i/>
        </w:rPr>
        <w:t>:</w:t>
      </w:r>
      <w:r w:rsidRPr="00385FE2">
        <w:rPr>
          <w:rFonts w:cstheme="minorHAnsi"/>
          <w:b/>
          <w:i/>
        </w:rPr>
        <w:t xml:space="preserve"> Health Outcomes and Quality of Life</w:t>
      </w:r>
    </w:p>
    <w:p w14:paraId="26F38E8D" w14:textId="397C7C73" w:rsidR="00A151C6" w:rsidRPr="00AA0F82" w:rsidRDefault="00A151C6" w:rsidP="00B107F8">
      <w:pPr>
        <w:spacing w:after="0"/>
        <w:rPr>
          <w:rFonts w:cstheme="minorHAnsi"/>
          <w:bCs/>
          <w:sz w:val="24"/>
          <w:szCs w:val="24"/>
          <w:highlight w:val="yellow"/>
        </w:rPr>
      </w:pPr>
      <w:r w:rsidRPr="00385FE2">
        <w:rPr>
          <w:rFonts w:cstheme="minorHAnsi"/>
          <w:bCs/>
          <w:sz w:val="24"/>
          <w:szCs w:val="24"/>
        </w:rPr>
        <w:lastRenderedPageBreak/>
        <w:t xml:space="preserve">Staff finds that adding capacity </w:t>
      </w:r>
      <w:r w:rsidR="00385FE2" w:rsidRPr="00385FE2">
        <w:rPr>
          <w:rFonts w:cstheme="minorHAnsi"/>
          <w:bCs/>
          <w:sz w:val="24"/>
          <w:szCs w:val="24"/>
        </w:rPr>
        <w:t>to the ED</w:t>
      </w:r>
      <w:r w:rsidR="002545A8" w:rsidRPr="00385FE2">
        <w:rPr>
          <w:rFonts w:cstheme="minorHAnsi"/>
          <w:bCs/>
          <w:sz w:val="24"/>
          <w:szCs w:val="24"/>
        </w:rPr>
        <w:t xml:space="preserve"> h</w:t>
      </w:r>
      <w:r w:rsidRPr="00385FE2">
        <w:rPr>
          <w:rFonts w:cstheme="minorHAnsi"/>
          <w:bCs/>
          <w:sz w:val="24"/>
          <w:szCs w:val="24"/>
        </w:rPr>
        <w:t>as the potential to improve health outcomes for the Patient Panel and the greater community.</w:t>
      </w:r>
      <w:r w:rsidRPr="00385FE2">
        <w:rPr>
          <w:rFonts w:cstheme="minorHAnsi"/>
          <w:sz w:val="24"/>
          <w:szCs w:val="24"/>
        </w:rPr>
        <w:t xml:space="preserve"> </w:t>
      </w:r>
      <w:r w:rsidR="001E3A34">
        <w:rPr>
          <w:rFonts w:cstheme="minorHAnsi"/>
          <w:sz w:val="24"/>
          <w:szCs w:val="24"/>
        </w:rPr>
        <w:t xml:space="preserve">When insufficient </w:t>
      </w:r>
      <w:r w:rsidR="00105566">
        <w:rPr>
          <w:rFonts w:cstheme="minorHAnsi"/>
          <w:sz w:val="24"/>
          <w:szCs w:val="24"/>
        </w:rPr>
        <w:t xml:space="preserve">ED capacity leads to overcrowding, </w:t>
      </w:r>
      <w:r w:rsidR="00105566" w:rsidRPr="00A07ECB">
        <w:rPr>
          <w:rFonts w:cstheme="minorHAnsi"/>
          <w:sz w:val="24"/>
          <w:szCs w:val="24"/>
        </w:rPr>
        <w:t>t</w:t>
      </w:r>
      <w:r w:rsidRPr="00A07ECB">
        <w:rPr>
          <w:rFonts w:cstheme="minorHAnsi"/>
          <w:sz w:val="24"/>
          <w:szCs w:val="24"/>
        </w:rPr>
        <w:t>he</w:t>
      </w:r>
      <w:r w:rsidR="007D190F">
        <w:rPr>
          <w:rFonts w:cstheme="minorHAnsi"/>
          <w:sz w:val="24"/>
          <w:szCs w:val="24"/>
        </w:rPr>
        <w:t xml:space="preserve"> relevant</w:t>
      </w:r>
      <w:r w:rsidRPr="00A07ECB">
        <w:rPr>
          <w:rFonts w:cstheme="minorHAnsi"/>
          <w:sz w:val="24"/>
          <w:szCs w:val="24"/>
        </w:rPr>
        <w:t xml:space="preserve"> literature suggests </w:t>
      </w:r>
      <w:r w:rsidR="0067623E" w:rsidRPr="00A07ECB">
        <w:rPr>
          <w:rFonts w:cstheme="minorHAnsi"/>
          <w:sz w:val="24"/>
          <w:szCs w:val="24"/>
        </w:rPr>
        <w:t>treatment outcomes</w:t>
      </w:r>
      <w:r w:rsidR="00105566" w:rsidRPr="00A07ECB">
        <w:rPr>
          <w:rFonts w:cstheme="minorHAnsi"/>
          <w:sz w:val="24"/>
          <w:szCs w:val="24"/>
        </w:rPr>
        <w:t xml:space="preserve"> </w:t>
      </w:r>
      <w:r w:rsidR="00105566" w:rsidRPr="00A3345D">
        <w:rPr>
          <w:rFonts w:cstheme="minorHAnsi"/>
          <w:sz w:val="24"/>
          <w:szCs w:val="24"/>
        </w:rPr>
        <w:t>suffer</w:t>
      </w:r>
      <w:r w:rsidRPr="00A3345D">
        <w:rPr>
          <w:rFonts w:cstheme="minorHAnsi"/>
          <w:sz w:val="24"/>
          <w:szCs w:val="24"/>
        </w:rPr>
        <w:t>.</w:t>
      </w:r>
      <w:r w:rsidR="00A07ECB" w:rsidRPr="00A3345D">
        <w:rPr>
          <w:rStyle w:val="EndnoteReference"/>
          <w:rFonts w:cstheme="minorHAnsi"/>
          <w:sz w:val="24"/>
          <w:szCs w:val="24"/>
        </w:rPr>
        <w:endnoteReference w:id="14"/>
      </w:r>
      <w:r w:rsidR="00A07ECB" w:rsidRPr="00A3345D">
        <w:rPr>
          <w:rFonts w:cstheme="minorHAnsi"/>
          <w:sz w:val="24"/>
          <w:szCs w:val="24"/>
          <w:vertAlign w:val="superscript"/>
        </w:rPr>
        <w:t>,</w:t>
      </w:r>
      <w:r w:rsidR="00A07ECB" w:rsidRPr="00A3345D">
        <w:rPr>
          <w:rStyle w:val="EndnoteReference"/>
          <w:rFonts w:cstheme="minorHAnsi"/>
          <w:sz w:val="24"/>
          <w:szCs w:val="24"/>
        </w:rPr>
        <w:endnoteReference w:id="15"/>
      </w:r>
      <w:r w:rsidRPr="00A3345D">
        <w:rPr>
          <w:rFonts w:cstheme="minorHAnsi"/>
          <w:sz w:val="24"/>
          <w:szCs w:val="24"/>
        </w:rPr>
        <w:t xml:space="preserve"> </w:t>
      </w:r>
      <w:r w:rsidR="00356D23" w:rsidRPr="00A3345D">
        <w:rPr>
          <w:rFonts w:cstheme="minorHAnsi"/>
          <w:sz w:val="24"/>
          <w:szCs w:val="24"/>
        </w:rPr>
        <w:t xml:space="preserve">The </w:t>
      </w:r>
      <w:r w:rsidR="00202906" w:rsidRPr="00A3345D">
        <w:rPr>
          <w:rFonts w:cstheme="minorHAnsi"/>
          <w:sz w:val="24"/>
          <w:szCs w:val="24"/>
        </w:rPr>
        <w:t>Proposed Project</w:t>
      </w:r>
      <w:r w:rsidR="00347BCB" w:rsidRPr="00A3345D">
        <w:rPr>
          <w:rFonts w:cstheme="minorHAnsi"/>
          <w:sz w:val="24"/>
          <w:szCs w:val="24"/>
        </w:rPr>
        <w:t xml:space="preserve"> will have a </w:t>
      </w:r>
      <w:r w:rsidR="00CE3C34" w:rsidRPr="00A3345D">
        <w:rPr>
          <w:rFonts w:cstheme="minorHAnsi"/>
          <w:sz w:val="24"/>
          <w:szCs w:val="24"/>
        </w:rPr>
        <w:t xml:space="preserve">dedicated Behavioral Health unit </w:t>
      </w:r>
      <w:r w:rsidR="004D35FA">
        <w:rPr>
          <w:rFonts w:cstheme="minorHAnsi"/>
          <w:sz w:val="24"/>
          <w:szCs w:val="24"/>
        </w:rPr>
        <w:t>wit</w:t>
      </w:r>
      <w:r w:rsidR="00F366BD">
        <w:rPr>
          <w:rFonts w:cstheme="minorHAnsi"/>
          <w:sz w:val="24"/>
          <w:szCs w:val="24"/>
        </w:rPr>
        <w:t xml:space="preserve">h greater bed capacity </w:t>
      </w:r>
      <w:r w:rsidR="00CE3C34" w:rsidRPr="00A3345D">
        <w:rPr>
          <w:rFonts w:cstheme="minorHAnsi"/>
          <w:sz w:val="24"/>
          <w:szCs w:val="24"/>
        </w:rPr>
        <w:t>within the ED</w:t>
      </w:r>
      <w:r w:rsidR="00347BCB" w:rsidRPr="00A3345D">
        <w:rPr>
          <w:rFonts w:cstheme="minorHAnsi"/>
          <w:sz w:val="24"/>
          <w:szCs w:val="24"/>
        </w:rPr>
        <w:t>, which</w:t>
      </w:r>
      <w:r w:rsidR="00F366BD">
        <w:rPr>
          <w:rFonts w:cstheme="minorHAnsi"/>
          <w:sz w:val="24"/>
          <w:szCs w:val="24"/>
        </w:rPr>
        <w:t xml:space="preserve"> has the potential</w:t>
      </w:r>
      <w:r w:rsidR="007332FA">
        <w:rPr>
          <w:rFonts w:cstheme="minorHAnsi"/>
          <w:sz w:val="24"/>
          <w:szCs w:val="24"/>
        </w:rPr>
        <w:t xml:space="preserve"> </w:t>
      </w:r>
      <w:r w:rsidR="00CE3C34" w:rsidRPr="00A3345D">
        <w:rPr>
          <w:rFonts w:cstheme="minorHAnsi"/>
          <w:sz w:val="24"/>
          <w:szCs w:val="24"/>
        </w:rPr>
        <w:t xml:space="preserve">to </w:t>
      </w:r>
      <w:r w:rsidR="00347BCB" w:rsidRPr="00A3345D">
        <w:rPr>
          <w:rFonts w:cstheme="minorHAnsi"/>
          <w:sz w:val="24"/>
          <w:szCs w:val="24"/>
        </w:rPr>
        <w:t>improve the patient experience</w:t>
      </w:r>
      <w:r w:rsidR="007332FA">
        <w:rPr>
          <w:rFonts w:cstheme="minorHAnsi"/>
          <w:sz w:val="24"/>
          <w:szCs w:val="24"/>
        </w:rPr>
        <w:t xml:space="preserve"> by providing treatment in a more comfortable setting</w:t>
      </w:r>
      <w:r w:rsidR="002F5367">
        <w:rPr>
          <w:rFonts w:cstheme="minorHAnsi"/>
          <w:sz w:val="24"/>
          <w:szCs w:val="24"/>
        </w:rPr>
        <w:t xml:space="preserve"> than a hallway stretcher</w:t>
      </w:r>
      <w:r w:rsidR="007332FA">
        <w:rPr>
          <w:rFonts w:cstheme="minorHAnsi"/>
          <w:sz w:val="24"/>
          <w:szCs w:val="24"/>
        </w:rPr>
        <w:t>,</w:t>
      </w:r>
      <w:r w:rsidR="00347BCB" w:rsidRPr="00A3345D">
        <w:rPr>
          <w:rFonts w:cstheme="minorHAnsi"/>
          <w:sz w:val="24"/>
          <w:szCs w:val="24"/>
        </w:rPr>
        <w:t xml:space="preserve"> and has the potential to ease congestion and wait times</w:t>
      </w:r>
      <w:r w:rsidR="00A3345D" w:rsidRPr="00A3345D">
        <w:rPr>
          <w:rFonts w:cstheme="minorHAnsi"/>
          <w:sz w:val="24"/>
          <w:szCs w:val="24"/>
        </w:rPr>
        <w:t xml:space="preserve"> in the ED.</w:t>
      </w:r>
      <w:r w:rsidR="00356D23" w:rsidRPr="00A3345D">
        <w:rPr>
          <w:rFonts w:cstheme="minorHAnsi"/>
          <w:sz w:val="24"/>
          <w:szCs w:val="24"/>
        </w:rPr>
        <w:t xml:space="preserve"> </w:t>
      </w:r>
      <w:r w:rsidRPr="00A3345D">
        <w:rPr>
          <w:rFonts w:cstheme="minorHAnsi"/>
          <w:sz w:val="24"/>
          <w:szCs w:val="24"/>
        </w:rPr>
        <w:t>As a result, Staff finds that the Applicant meets the requirements of the Public Health Value: Health Outcomes</w:t>
      </w:r>
      <w:r w:rsidR="004B6352" w:rsidRPr="00A3345D">
        <w:rPr>
          <w:rFonts w:cstheme="minorHAnsi"/>
          <w:sz w:val="24"/>
          <w:szCs w:val="24"/>
        </w:rPr>
        <w:t xml:space="preserve"> and Quality of Life</w:t>
      </w:r>
      <w:r w:rsidRPr="00A3345D">
        <w:rPr>
          <w:rFonts w:cstheme="minorHAnsi"/>
          <w:sz w:val="24"/>
          <w:szCs w:val="24"/>
        </w:rPr>
        <w:t xml:space="preserve"> part of Factor 1b.</w:t>
      </w:r>
    </w:p>
    <w:p w14:paraId="27240D88" w14:textId="77777777" w:rsidR="006C4E66" w:rsidRPr="00AA0F82" w:rsidRDefault="006C4E66" w:rsidP="003E1CDA">
      <w:pPr>
        <w:spacing w:line="240" w:lineRule="auto"/>
        <w:rPr>
          <w:rFonts w:cstheme="minorHAnsi"/>
          <w:sz w:val="24"/>
          <w:szCs w:val="24"/>
          <w:highlight w:val="yellow"/>
        </w:rPr>
      </w:pPr>
    </w:p>
    <w:p w14:paraId="49E69667" w14:textId="2ADACE2B" w:rsidR="003E1CDA" w:rsidRPr="0094745B" w:rsidRDefault="003E1CDA" w:rsidP="006C4E66">
      <w:pPr>
        <w:spacing w:after="0" w:line="240" w:lineRule="auto"/>
        <w:rPr>
          <w:b/>
          <w:bCs/>
          <w:i/>
          <w:iCs/>
          <w:sz w:val="24"/>
          <w:szCs w:val="24"/>
        </w:rPr>
      </w:pPr>
      <w:r w:rsidRPr="0094745B">
        <w:rPr>
          <w:b/>
          <w:bCs/>
          <w:i/>
          <w:iCs/>
          <w:sz w:val="24"/>
          <w:szCs w:val="24"/>
        </w:rPr>
        <w:t>Health Equity and Social Determinants of Health (SDOH)</w:t>
      </w:r>
    </w:p>
    <w:p w14:paraId="4079A031" w14:textId="7228CC20" w:rsidR="0094745B" w:rsidRPr="0034708C" w:rsidRDefault="0034708C" w:rsidP="0034708C">
      <w:pPr>
        <w:spacing w:after="120" w:line="240" w:lineRule="auto"/>
        <w:rPr>
          <w:rFonts w:ascii="Arial" w:hAnsi="Arial" w:cs="Arial"/>
          <w:sz w:val="20"/>
          <w:szCs w:val="20"/>
        </w:rPr>
      </w:pPr>
      <w:r w:rsidRPr="0034708C">
        <w:rPr>
          <w:rFonts w:cstheme="minorHAnsi"/>
          <w:sz w:val="24"/>
          <w:szCs w:val="24"/>
        </w:rPr>
        <w:t xml:space="preserve">The </w:t>
      </w:r>
      <w:r>
        <w:rPr>
          <w:rFonts w:cstheme="minorHAnsi"/>
          <w:sz w:val="24"/>
          <w:szCs w:val="24"/>
        </w:rPr>
        <w:t xml:space="preserve">Applicant states that </w:t>
      </w:r>
      <w:r w:rsidRPr="0034708C">
        <w:rPr>
          <w:rFonts w:cstheme="minorHAnsi"/>
          <w:sz w:val="24"/>
          <w:szCs w:val="24"/>
        </w:rPr>
        <w:t>Proposed Project will work to reduce health inequity through increasing and improving access to emergency services to the Plymouth community. BID-</w:t>
      </w:r>
      <w:r>
        <w:rPr>
          <w:rFonts w:cstheme="minorHAnsi"/>
          <w:sz w:val="24"/>
          <w:szCs w:val="24"/>
        </w:rPr>
        <w:t>P</w:t>
      </w:r>
      <w:r w:rsidRPr="0034708C">
        <w:rPr>
          <w:rFonts w:cstheme="minorHAnsi"/>
          <w:sz w:val="24"/>
          <w:szCs w:val="24"/>
        </w:rPr>
        <w:t xml:space="preserve"> does not discriminate on the basis of age, race, ethnicity, gender/gender-identity, physical ability, sensory or speech limitations, or religious, spiritual and cultural beliefs, nor a patient’</w:t>
      </w:r>
      <w:r w:rsidR="00150318">
        <w:rPr>
          <w:rFonts w:cstheme="minorHAnsi"/>
          <w:sz w:val="24"/>
          <w:szCs w:val="24"/>
        </w:rPr>
        <w:t xml:space="preserve">s </w:t>
      </w:r>
      <w:r w:rsidRPr="0034708C">
        <w:rPr>
          <w:rFonts w:cstheme="minorHAnsi"/>
          <w:sz w:val="24"/>
          <w:szCs w:val="24"/>
        </w:rPr>
        <w:t>ability to pay or payer source. BID-P has implemented t</w:t>
      </w:r>
      <w:r>
        <w:rPr>
          <w:rFonts w:cstheme="minorHAnsi"/>
          <w:sz w:val="24"/>
          <w:szCs w:val="24"/>
        </w:rPr>
        <w:t>he</w:t>
      </w:r>
      <w:r w:rsidRPr="0034708C">
        <w:rPr>
          <w:rFonts w:cstheme="minorHAnsi"/>
          <w:sz w:val="24"/>
          <w:szCs w:val="24"/>
        </w:rPr>
        <w:t xml:space="preserve"> following initiatives to facilitate equitable access to its services</w:t>
      </w:r>
      <w:r>
        <w:rPr>
          <w:rFonts w:cstheme="minorHAnsi"/>
          <w:sz w:val="24"/>
          <w:szCs w:val="24"/>
        </w:rPr>
        <w:t>:</w:t>
      </w:r>
    </w:p>
    <w:p w14:paraId="7C83A6E0" w14:textId="0DB46026" w:rsidR="00DF5FF4" w:rsidRDefault="0094745B" w:rsidP="4E898A69">
      <w:pPr>
        <w:widowControl w:val="0"/>
        <w:tabs>
          <w:tab w:val="left" w:pos="839"/>
          <w:tab w:val="left" w:pos="840"/>
        </w:tabs>
        <w:autoSpaceDE w:val="0"/>
        <w:autoSpaceDN w:val="0"/>
        <w:spacing w:before="78"/>
        <w:ind w:left="720" w:right="191"/>
        <w:rPr>
          <w:sz w:val="24"/>
          <w:szCs w:val="24"/>
        </w:rPr>
      </w:pPr>
      <w:r w:rsidRPr="4E898A69">
        <w:rPr>
          <w:b/>
          <w:bCs/>
          <w:sz w:val="24"/>
          <w:szCs w:val="24"/>
        </w:rPr>
        <w:t>Language Accessibility:</w:t>
      </w:r>
      <w:r w:rsidRPr="4E898A69">
        <w:rPr>
          <w:sz w:val="24"/>
          <w:szCs w:val="24"/>
        </w:rPr>
        <w:t xml:space="preserve"> Interpretation services are available at </w:t>
      </w:r>
      <w:r w:rsidR="00EC6DD0" w:rsidRPr="0034708C">
        <w:rPr>
          <w:rFonts w:cstheme="minorHAnsi"/>
          <w:sz w:val="24"/>
          <w:szCs w:val="24"/>
        </w:rPr>
        <w:t xml:space="preserve">BID-P </w:t>
      </w:r>
      <w:r w:rsidR="00EC6DD0">
        <w:rPr>
          <w:rFonts w:cstheme="minorHAnsi"/>
          <w:sz w:val="24"/>
          <w:szCs w:val="24"/>
        </w:rPr>
        <w:t xml:space="preserve">at </w:t>
      </w:r>
      <w:r w:rsidRPr="4E898A69">
        <w:rPr>
          <w:sz w:val="24"/>
          <w:szCs w:val="24"/>
        </w:rPr>
        <w:t xml:space="preserve">no charge. </w:t>
      </w:r>
      <w:r w:rsidR="00EC6DD0">
        <w:rPr>
          <w:sz w:val="24"/>
          <w:szCs w:val="24"/>
        </w:rPr>
        <w:t>These s</w:t>
      </w:r>
      <w:r w:rsidRPr="4E898A69">
        <w:rPr>
          <w:sz w:val="24"/>
          <w:szCs w:val="24"/>
        </w:rPr>
        <w:t>ervices are offered in person, by video, and by telephone</w:t>
      </w:r>
      <w:r w:rsidR="00824963">
        <w:rPr>
          <w:sz w:val="24"/>
          <w:szCs w:val="24"/>
        </w:rPr>
        <w:t xml:space="preserve"> </w:t>
      </w:r>
      <w:r w:rsidRPr="4E898A69">
        <w:rPr>
          <w:sz w:val="24"/>
          <w:szCs w:val="24"/>
        </w:rPr>
        <w:t xml:space="preserve">for over </w:t>
      </w:r>
      <w:r w:rsidR="00104BD5" w:rsidRPr="4E898A69">
        <w:rPr>
          <w:sz w:val="24"/>
          <w:szCs w:val="24"/>
        </w:rPr>
        <w:t>1</w:t>
      </w:r>
      <w:r w:rsidRPr="4E898A69">
        <w:rPr>
          <w:sz w:val="24"/>
          <w:szCs w:val="24"/>
        </w:rPr>
        <w:t xml:space="preserve">00 different languages, and can be used 24 hours a day. Trained interpreters assist during hospitalization and inform patients and their facilities about procedures, medication, and other important information. </w:t>
      </w:r>
      <w:r w:rsidR="008F7468" w:rsidRPr="4E898A69">
        <w:rPr>
          <w:sz w:val="24"/>
          <w:szCs w:val="24"/>
        </w:rPr>
        <w:t>BID-P’s medical interpreters also assist patients and family members with outpatient testing and treatment, during hospitalizations and in the E</w:t>
      </w:r>
      <w:r w:rsidR="0064626A">
        <w:rPr>
          <w:sz w:val="24"/>
          <w:szCs w:val="24"/>
        </w:rPr>
        <w:t>D</w:t>
      </w:r>
      <w:r w:rsidR="008F7468" w:rsidRPr="4E898A69">
        <w:rPr>
          <w:sz w:val="24"/>
          <w:szCs w:val="24"/>
        </w:rPr>
        <w:t xml:space="preserve">. </w:t>
      </w:r>
      <w:r w:rsidR="00DF5FF4" w:rsidRPr="4E898A69">
        <w:rPr>
          <w:sz w:val="24"/>
          <w:szCs w:val="24"/>
        </w:rPr>
        <w:t>BID-P</w:t>
      </w:r>
      <w:r w:rsidR="00BE530D">
        <w:rPr>
          <w:sz w:val="24"/>
          <w:szCs w:val="24"/>
        </w:rPr>
        <w:t xml:space="preserve"> </w:t>
      </w:r>
      <w:r w:rsidR="00DF5FF4" w:rsidRPr="4E898A69">
        <w:rPr>
          <w:sz w:val="24"/>
          <w:szCs w:val="24"/>
        </w:rPr>
        <w:t>currently employs one full time medical interpreter/coordinator and one per diem medical interpreter</w:t>
      </w:r>
      <w:r w:rsidR="00A13325">
        <w:rPr>
          <w:sz w:val="24"/>
          <w:szCs w:val="24"/>
        </w:rPr>
        <w:t xml:space="preserve"> (a resource shared </w:t>
      </w:r>
      <w:r w:rsidR="001E3080">
        <w:rPr>
          <w:sz w:val="24"/>
          <w:szCs w:val="24"/>
        </w:rPr>
        <w:t>across all hospital departments</w:t>
      </w:r>
      <w:r w:rsidR="00A13325">
        <w:rPr>
          <w:sz w:val="24"/>
          <w:szCs w:val="24"/>
        </w:rPr>
        <w:t xml:space="preserve">). </w:t>
      </w:r>
      <w:r w:rsidR="00DF5FF4" w:rsidRPr="4E898A69">
        <w:rPr>
          <w:sz w:val="24"/>
          <w:szCs w:val="24"/>
        </w:rPr>
        <w:t>In addition, BID-P has 12 iPads, at least one for each unit, used for video remote interpreting (VRI), which helps reduce wait times and increases effectiveness and efficiency of language services. BID-P is also currently contracted with three vendors to meet language demands: two that provide VRI and OPI (over the phone) language services and two that provide in person/on site interpreters. In addition, assistive listening devices, such as PocketTalkers and telephone volume amplifiers, are available to assist deaf and hard of hearing patients and family members.</w:t>
      </w:r>
    </w:p>
    <w:p w14:paraId="1BC8B6B1" w14:textId="0FB00DC0" w:rsidR="00014974" w:rsidRPr="002A51AD" w:rsidRDefault="00014974" w:rsidP="20CCA75D">
      <w:pPr>
        <w:pStyle w:val="NormalWeb"/>
        <w:shd w:val="clear" w:color="auto" w:fill="FFFFFF" w:themeFill="background1"/>
        <w:spacing w:after="120"/>
        <w:ind w:left="720"/>
        <w:rPr>
          <w:rFonts w:asciiTheme="minorHAnsi" w:hAnsiTheme="minorHAnsi" w:cstheme="minorBidi"/>
        </w:rPr>
      </w:pPr>
      <w:r w:rsidRPr="20CCA75D">
        <w:rPr>
          <w:rFonts w:asciiTheme="minorHAnsi" w:hAnsiTheme="minorHAnsi" w:cstheme="minorBidi"/>
          <w:b/>
        </w:rPr>
        <w:t>Connection to Local Resources:</w:t>
      </w:r>
      <w:r w:rsidRPr="20CCA75D">
        <w:rPr>
          <w:rFonts w:cstheme="minorBidi"/>
          <w:b/>
        </w:rPr>
        <w:t xml:space="preserve"> </w:t>
      </w:r>
      <w:r w:rsidR="00EB6943" w:rsidRPr="20CCA75D">
        <w:rPr>
          <w:rFonts w:asciiTheme="minorHAnsi" w:hAnsiTheme="minorHAnsi" w:cstheme="minorBidi"/>
        </w:rPr>
        <w:t>Through patient screenings designed to address Social Determinants of Health (SDoH)</w:t>
      </w:r>
      <w:r w:rsidR="00620D0B" w:rsidRPr="20CCA75D">
        <w:rPr>
          <w:rFonts w:asciiTheme="minorHAnsi" w:hAnsiTheme="minorHAnsi" w:cstheme="minorBidi"/>
        </w:rPr>
        <w:t xml:space="preserve">, BID-P </w:t>
      </w:r>
      <w:r w:rsidR="0089557C" w:rsidRPr="20CCA75D">
        <w:rPr>
          <w:rFonts w:asciiTheme="minorHAnsi" w:hAnsiTheme="minorHAnsi" w:cstheme="minorBidi"/>
        </w:rPr>
        <w:t>connects patients with resources that may assist the patient</w:t>
      </w:r>
      <w:r w:rsidR="007D4961" w:rsidRPr="20CCA75D">
        <w:rPr>
          <w:rFonts w:asciiTheme="minorHAnsi" w:hAnsiTheme="minorHAnsi" w:cstheme="minorBidi"/>
        </w:rPr>
        <w:t>. The Hospital has partnered with NeighborWorks, the Plymouth Coalition for the Homeless, and Harbor Community Health to support the medical, social, physical, and economic needs of newly settled migrants in the community. Through its partnership, BID-P has donated over-the-counter medications, infant formula from its birth center as well as baby items collected from a Hospital drive and funding for diaper</w:t>
      </w:r>
      <w:r w:rsidR="02609164" w:rsidRPr="20CCA75D">
        <w:rPr>
          <w:rFonts w:asciiTheme="minorHAnsi" w:hAnsiTheme="minorHAnsi" w:cstheme="minorBidi"/>
        </w:rPr>
        <w:t>s</w:t>
      </w:r>
      <w:r w:rsidR="007D4961" w:rsidRPr="20CCA75D">
        <w:rPr>
          <w:rFonts w:asciiTheme="minorHAnsi" w:hAnsiTheme="minorHAnsi" w:cstheme="minorBidi"/>
        </w:rPr>
        <w:t xml:space="preserve">, wipes and other infant care products. </w:t>
      </w:r>
      <w:r w:rsidR="00BB41DB" w:rsidRPr="20CCA75D">
        <w:rPr>
          <w:rFonts w:asciiTheme="minorHAnsi" w:hAnsiTheme="minorHAnsi" w:cstheme="minorBidi"/>
        </w:rPr>
        <w:t xml:space="preserve">BILH recently launched a resource guide for newly arrived migrants, </w:t>
      </w:r>
      <w:r w:rsidR="00BB41DB" w:rsidRPr="20CCA75D">
        <w:rPr>
          <w:rFonts w:asciiTheme="minorHAnsi" w:hAnsiTheme="minorHAnsi" w:cstheme="minorBidi"/>
          <w:i/>
        </w:rPr>
        <w:t xml:space="preserve">Healthcare in Massachusetts: Important Information for </w:t>
      </w:r>
      <w:r w:rsidR="00BB41DB" w:rsidRPr="20CCA75D">
        <w:rPr>
          <w:rFonts w:asciiTheme="minorHAnsi" w:hAnsiTheme="minorHAnsi" w:cstheme="minorBidi"/>
          <w:i/>
        </w:rPr>
        <w:lastRenderedPageBreak/>
        <w:t>Your First Few Months.</w:t>
      </w:r>
      <w:r w:rsidR="00BB41DB" w:rsidRPr="20CCA75D">
        <w:rPr>
          <w:rFonts w:asciiTheme="minorHAnsi" w:hAnsiTheme="minorHAnsi" w:cstheme="minorBidi"/>
        </w:rPr>
        <w:t xml:space="preserve"> The resource guide, which is available in English, Spanish, and Haitian Creole, provides an explanation of care available in the state, how and when to access various levels of care, and other important information such as health insurance enrollment and cash assistance programs. </w:t>
      </w:r>
    </w:p>
    <w:p w14:paraId="73811431" w14:textId="096AED12" w:rsidR="0094745B" w:rsidRPr="00AE43D0" w:rsidRDefault="0094745B" w:rsidP="00AE43D0">
      <w:pPr>
        <w:pStyle w:val="NormalWeb"/>
        <w:shd w:val="clear" w:color="auto" w:fill="FFFFFF"/>
        <w:spacing w:after="120"/>
        <w:ind w:left="720"/>
        <w:rPr>
          <w:rFonts w:asciiTheme="minorHAnsi" w:hAnsiTheme="minorHAnsi" w:cstheme="minorHAnsi"/>
          <w:sz w:val="20"/>
          <w:szCs w:val="20"/>
        </w:rPr>
      </w:pPr>
      <w:r w:rsidRPr="00AE43D0">
        <w:rPr>
          <w:rFonts w:asciiTheme="minorHAnsi" w:hAnsiTheme="minorHAnsi" w:cstheme="minorHAnsi"/>
          <w:b/>
          <w:bCs/>
        </w:rPr>
        <w:t>Data Collection</w:t>
      </w:r>
      <w:r w:rsidR="00E50F35" w:rsidRPr="00AE43D0">
        <w:rPr>
          <w:rFonts w:asciiTheme="minorHAnsi" w:hAnsiTheme="minorHAnsi" w:cstheme="minorHAnsi"/>
          <w:b/>
          <w:bCs/>
        </w:rPr>
        <w:t xml:space="preserve"> and Research</w:t>
      </w:r>
      <w:r w:rsidRPr="00AE43D0">
        <w:rPr>
          <w:rFonts w:asciiTheme="minorHAnsi" w:hAnsiTheme="minorHAnsi" w:cstheme="minorHAnsi"/>
          <w:b/>
          <w:bCs/>
        </w:rPr>
        <w:t>:</w:t>
      </w:r>
      <w:r w:rsidRPr="00AE43D0">
        <w:rPr>
          <w:rFonts w:asciiTheme="minorHAnsi" w:hAnsiTheme="minorHAnsi" w:cstheme="minorHAnsi"/>
        </w:rPr>
        <w:t xml:space="preserve"> BILH</w:t>
      </w:r>
      <w:r w:rsidRPr="00AE43D0">
        <w:rPr>
          <w:rFonts w:asciiTheme="minorHAnsi" w:hAnsiTheme="minorHAnsi" w:cstheme="minorHAnsi"/>
          <w:spacing w:val="-3"/>
        </w:rPr>
        <w:t xml:space="preserve"> </w:t>
      </w:r>
      <w:r w:rsidRPr="00AE43D0">
        <w:rPr>
          <w:rFonts w:asciiTheme="minorHAnsi" w:hAnsiTheme="minorHAnsi" w:cstheme="minorHAnsi"/>
        </w:rPr>
        <w:t>is</w:t>
      </w:r>
      <w:r w:rsidRPr="00AE43D0">
        <w:rPr>
          <w:rFonts w:asciiTheme="minorHAnsi" w:hAnsiTheme="minorHAnsi" w:cstheme="minorHAnsi"/>
          <w:spacing w:val="-3"/>
        </w:rPr>
        <w:t xml:space="preserve"> </w:t>
      </w:r>
      <w:r w:rsidRPr="00AE43D0">
        <w:rPr>
          <w:rFonts w:asciiTheme="minorHAnsi" w:hAnsiTheme="minorHAnsi" w:cstheme="minorHAnsi"/>
        </w:rPr>
        <w:t>working</w:t>
      </w:r>
      <w:r w:rsidRPr="00AE43D0">
        <w:rPr>
          <w:rFonts w:asciiTheme="minorHAnsi" w:hAnsiTheme="minorHAnsi" w:cstheme="minorHAnsi"/>
          <w:spacing w:val="-5"/>
        </w:rPr>
        <w:t xml:space="preserve"> </w:t>
      </w:r>
      <w:r w:rsidRPr="00AE43D0">
        <w:rPr>
          <w:rFonts w:asciiTheme="minorHAnsi" w:hAnsiTheme="minorHAnsi" w:cstheme="minorHAnsi"/>
        </w:rPr>
        <w:t>to</w:t>
      </w:r>
      <w:r w:rsidRPr="00AE43D0">
        <w:rPr>
          <w:rFonts w:asciiTheme="minorHAnsi" w:hAnsiTheme="minorHAnsi" w:cstheme="minorHAnsi"/>
          <w:spacing w:val="-2"/>
        </w:rPr>
        <w:t xml:space="preserve"> </w:t>
      </w:r>
      <w:r w:rsidRPr="00AE43D0">
        <w:rPr>
          <w:rFonts w:asciiTheme="minorHAnsi" w:hAnsiTheme="minorHAnsi" w:cstheme="minorHAnsi"/>
        </w:rPr>
        <w:t>reduce</w:t>
      </w:r>
      <w:r w:rsidRPr="00AE43D0">
        <w:rPr>
          <w:rFonts w:asciiTheme="minorHAnsi" w:hAnsiTheme="minorHAnsi" w:cstheme="minorHAnsi"/>
          <w:spacing w:val="-2"/>
        </w:rPr>
        <w:t xml:space="preserve"> </w:t>
      </w:r>
      <w:r w:rsidRPr="00AE43D0">
        <w:rPr>
          <w:rFonts w:asciiTheme="minorHAnsi" w:hAnsiTheme="minorHAnsi" w:cstheme="minorHAnsi"/>
        </w:rPr>
        <w:t>health</w:t>
      </w:r>
      <w:r w:rsidRPr="00AE43D0">
        <w:rPr>
          <w:rFonts w:asciiTheme="minorHAnsi" w:hAnsiTheme="minorHAnsi" w:cstheme="minorHAnsi"/>
          <w:spacing w:val="-4"/>
        </w:rPr>
        <w:t xml:space="preserve"> </w:t>
      </w:r>
      <w:r w:rsidRPr="00AE43D0">
        <w:rPr>
          <w:rFonts w:asciiTheme="minorHAnsi" w:hAnsiTheme="minorHAnsi" w:cstheme="minorHAnsi"/>
        </w:rPr>
        <w:t>inequities</w:t>
      </w:r>
      <w:r w:rsidRPr="00AE43D0">
        <w:rPr>
          <w:rFonts w:asciiTheme="minorHAnsi" w:hAnsiTheme="minorHAnsi" w:cstheme="minorHAnsi"/>
          <w:spacing w:val="-5"/>
        </w:rPr>
        <w:t xml:space="preserve"> </w:t>
      </w:r>
      <w:r w:rsidRPr="00AE43D0">
        <w:rPr>
          <w:rFonts w:asciiTheme="minorHAnsi" w:hAnsiTheme="minorHAnsi" w:cstheme="minorHAnsi"/>
        </w:rPr>
        <w:t>through</w:t>
      </w:r>
      <w:r w:rsidRPr="00AE43D0">
        <w:rPr>
          <w:rFonts w:asciiTheme="minorHAnsi" w:hAnsiTheme="minorHAnsi" w:cstheme="minorHAnsi"/>
          <w:spacing w:val="-2"/>
        </w:rPr>
        <w:t xml:space="preserve"> </w:t>
      </w:r>
      <w:r w:rsidRPr="00AE43D0">
        <w:rPr>
          <w:rFonts w:asciiTheme="minorHAnsi" w:hAnsiTheme="minorHAnsi" w:cstheme="minorHAnsi"/>
        </w:rPr>
        <w:t>the</w:t>
      </w:r>
      <w:r w:rsidRPr="00AE43D0">
        <w:rPr>
          <w:rFonts w:asciiTheme="minorHAnsi" w:hAnsiTheme="minorHAnsi" w:cstheme="minorHAnsi"/>
          <w:spacing w:val="-2"/>
        </w:rPr>
        <w:t xml:space="preserve"> </w:t>
      </w:r>
      <w:r w:rsidRPr="00AE43D0">
        <w:rPr>
          <w:rFonts w:asciiTheme="minorHAnsi" w:hAnsiTheme="minorHAnsi" w:cstheme="minorHAnsi"/>
        </w:rPr>
        <w:t>collection</w:t>
      </w:r>
      <w:r w:rsidRPr="00AE43D0">
        <w:rPr>
          <w:rFonts w:asciiTheme="minorHAnsi" w:hAnsiTheme="minorHAnsi" w:cstheme="minorHAnsi"/>
          <w:spacing w:val="-2"/>
        </w:rPr>
        <w:t xml:space="preserve"> </w:t>
      </w:r>
      <w:r w:rsidRPr="00AE43D0">
        <w:rPr>
          <w:rFonts w:asciiTheme="minorHAnsi" w:hAnsiTheme="minorHAnsi" w:cstheme="minorHAnsi"/>
        </w:rPr>
        <w:t>of</w:t>
      </w:r>
      <w:r w:rsidRPr="00AE43D0">
        <w:rPr>
          <w:rFonts w:asciiTheme="minorHAnsi" w:hAnsiTheme="minorHAnsi" w:cstheme="minorHAnsi"/>
          <w:spacing w:val="-4"/>
        </w:rPr>
        <w:t xml:space="preserve"> </w:t>
      </w:r>
      <w:r w:rsidRPr="00AE43D0">
        <w:rPr>
          <w:rFonts w:asciiTheme="minorHAnsi" w:hAnsiTheme="minorHAnsi" w:cstheme="minorHAnsi"/>
        </w:rPr>
        <w:t>demographic</w:t>
      </w:r>
      <w:r w:rsidRPr="00AE43D0">
        <w:rPr>
          <w:rFonts w:asciiTheme="minorHAnsi" w:hAnsiTheme="minorHAnsi" w:cstheme="minorHAnsi"/>
          <w:spacing w:val="-6"/>
        </w:rPr>
        <w:t xml:space="preserve"> </w:t>
      </w:r>
      <w:r w:rsidRPr="00AE43D0">
        <w:rPr>
          <w:rFonts w:asciiTheme="minorHAnsi" w:hAnsiTheme="minorHAnsi" w:cstheme="minorHAnsi"/>
        </w:rPr>
        <w:t>data (Race, Ethnicity and Language (REAL) data). BILH launched a new initiative to request more detailed and complete demographic information from patients and created a multidisciplinary team of representatives from across the System to develop best practices</w:t>
      </w:r>
      <w:r w:rsidRPr="00AE43D0">
        <w:rPr>
          <w:rFonts w:asciiTheme="minorHAnsi" w:hAnsiTheme="minorHAnsi" w:cstheme="minorHAnsi"/>
          <w:spacing w:val="-2"/>
        </w:rPr>
        <w:t xml:space="preserve"> </w:t>
      </w:r>
      <w:r w:rsidRPr="00AE43D0">
        <w:rPr>
          <w:rFonts w:asciiTheme="minorHAnsi" w:hAnsiTheme="minorHAnsi" w:cstheme="minorHAnsi"/>
        </w:rPr>
        <w:t>and</w:t>
      </w:r>
      <w:r w:rsidRPr="00AE43D0">
        <w:rPr>
          <w:rFonts w:asciiTheme="minorHAnsi" w:hAnsiTheme="minorHAnsi" w:cstheme="minorHAnsi"/>
          <w:spacing w:val="-3"/>
        </w:rPr>
        <w:t xml:space="preserve"> </w:t>
      </w:r>
      <w:r w:rsidRPr="00AE43D0">
        <w:rPr>
          <w:rFonts w:asciiTheme="minorHAnsi" w:hAnsiTheme="minorHAnsi" w:cstheme="minorHAnsi"/>
        </w:rPr>
        <w:t>processes to support consistent capture of data in the electronic medical record (EMR).</w:t>
      </w:r>
      <w:r w:rsidR="00AE43D0" w:rsidRPr="00AE43D0">
        <w:rPr>
          <w:rFonts w:asciiTheme="minorHAnsi" w:hAnsiTheme="minorHAnsi" w:cstheme="minorHAnsi"/>
        </w:rPr>
        <w:t xml:space="preserve"> In addition, BILH recently created the Massachusetts Institute for Equity-Focused Learning Health System Science in collaboration with leaders from other Massachusetts healthcare systems. Funded by a grant from the federal Agency for Healthcare Research and Quality (AHRQ), the Institute seeks to expedite equity-focused research to address health disparities and will work to ensure research of equity measures and social determinants of health is guided by common data standards and led by a diverse group of researchers representative of the Commonwealth’s residents and their lived experiences.</w:t>
      </w:r>
      <w:r w:rsidR="00AE43D0" w:rsidRPr="00AE43D0">
        <w:rPr>
          <w:rFonts w:asciiTheme="minorHAnsi" w:hAnsiTheme="minorHAnsi" w:cstheme="minorHAnsi"/>
          <w:sz w:val="20"/>
          <w:szCs w:val="20"/>
        </w:rPr>
        <w:t xml:space="preserve"> </w:t>
      </w:r>
    </w:p>
    <w:p w14:paraId="23F9B7A0" w14:textId="77777777" w:rsidR="003D4FB2" w:rsidRPr="006D73BA" w:rsidRDefault="003D4FB2" w:rsidP="003E1CDA">
      <w:pPr>
        <w:spacing w:line="240" w:lineRule="auto"/>
        <w:rPr>
          <w:b/>
          <w:bCs/>
          <w:i/>
          <w:iCs/>
          <w:sz w:val="24"/>
          <w:szCs w:val="24"/>
        </w:rPr>
      </w:pPr>
    </w:p>
    <w:p w14:paraId="60787DF4" w14:textId="77777777" w:rsidR="003A6616" w:rsidRPr="006D73BA" w:rsidRDefault="003A6616" w:rsidP="003A6616">
      <w:pPr>
        <w:contextualSpacing/>
        <w:rPr>
          <w:rFonts w:cstheme="minorHAnsi"/>
          <w:b/>
          <w:i/>
          <w:sz w:val="24"/>
          <w:szCs w:val="24"/>
        </w:rPr>
      </w:pPr>
      <w:r w:rsidRPr="006D73BA">
        <w:rPr>
          <w:rFonts w:cstheme="minorHAnsi"/>
          <w:b/>
          <w:i/>
          <w:sz w:val="24"/>
          <w:szCs w:val="24"/>
        </w:rPr>
        <w:t>Analysis: Health Equity and SDoH</w:t>
      </w:r>
    </w:p>
    <w:p w14:paraId="038D5E89" w14:textId="6C2E913E" w:rsidR="006D73BA" w:rsidRPr="006D73BA" w:rsidRDefault="006D73BA" w:rsidP="006D73BA">
      <w:pPr>
        <w:rPr>
          <w:rFonts w:cstheme="minorHAnsi"/>
          <w:bCs/>
          <w:sz w:val="24"/>
          <w:szCs w:val="24"/>
        </w:rPr>
      </w:pPr>
      <w:r w:rsidRPr="006D73BA">
        <w:rPr>
          <w:rFonts w:cstheme="minorHAnsi"/>
          <w:color w:val="000000"/>
          <w:sz w:val="24"/>
          <w:szCs w:val="24"/>
        </w:rPr>
        <w:t xml:space="preserve">The DoN Staff reviewed the Applicant’s efforts to ensure equitable care. The Applicant demonstrates efforts to achieve health equity through language accessibility, </w:t>
      </w:r>
      <w:r>
        <w:rPr>
          <w:rFonts w:cstheme="minorHAnsi"/>
          <w:color w:val="000000"/>
          <w:sz w:val="24"/>
          <w:szCs w:val="24"/>
        </w:rPr>
        <w:t xml:space="preserve">connection to local resources, </w:t>
      </w:r>
      <w:r w:rsidRPr="006D73BA">
        <w:rPr>
          <w:rFonts w:cstheme="minorHAnsi"/>
          <w:color w:val="000000"/>
          <w:sz w:val="24"/>
          <w:szCs w:val="24"/>
        </w:rPr>
        <w:t>and data collection</w:t>
      </w:r>
      <w:r>
        <w:rPr>
          <w:rFonts w:cstheme="minorHAnsi"/>
          <w:color w:val="000000"/>
          <w:sz w:val="24"/>
          <w:szCs w:val="24"/>
        </w:rPr>
        <w:t>/research</w:t>
      </w:r>
      <w:r w:rsidRPr="006D73BA">
        <w:rPr>
          <w:rFonts w:cstheme="minorHAnsi"/>
          <w:color w:val="000000"/>
          <w:sz w:val="24"/>
          <w:szCs w:val="24"/>
        </w:rPr>
        <w:t xml:space="preserve"> that provides a more accurate understanding of the race, ethnicity, and language of their patient population. Staff finds that the Applicant has sufficiently outlined ongoing efforts to achieve health equity. </w:t>
      </w:r>
      <w:r w:rsidRPr="006D73BA">
        <w:rPr>
          <w:rFonts w:cstheme="minorHAnsi"/>
          <w:sz w:val="24"/>
          <w:szCs w:val="24"/>
        </w:rPr>
        <w:t>As a result, Staff finds that the Applicant meets the requirements of the Public Health Value: Health Equity part of Factor 1b.</w:t>
      </w:r>
    </w:p>
    <w:p w14:paraId="228842D4" w14:textId="77777777" w:rsidR="003A6616" w:rsidRPr="00AA0F82" w:rsidRDefault="003A6616" w:rsidP="003E1CDA">
      <w:pPr>
        <w:spacing w:line="240" w:lineRule="auto"/>
        <w:rPr>
          <w:sz w:val="24"/>
          <w:szCs w:val="24"/>
          <w:highlight w:val="yellow"/>
        </w:rPr>
      </w:pPr>
    </w:p>
    <w:p w14:paraId="41ED1AEB" w14:textId="5898B75C" w:rsidR="003E1CDA" w:rsidRPr="00AD36F0" w:rsidRDefault="003E1CDA" w:rsidP="002B05B4">
      <w:pPr>
        <w:pStyle w:val="Heading1"/>
      </w:pPr>
      <w:bookmarkStart w:id="7" w:name="_Toc181784904"/>
      <w:r w:rsidRPr="00AD36F0">
        <w:t>Factor 1: c) Efficiency, Continuity of Care, Coordination of Care</w:t>
      </w:r>
      <w:bookmarkEnd w:id="7"/>
    </w:p>
    <w:p w14:paraId="32F45B2D" w14:textId="58A045FE" w:rsidR="007C2FC0" w:rsidRPr="00AD36F0" w:rsidRDefault="00C67247" w:rsidP="00AD36F0">
      <w:pPr>
        <w:spacing w:after="0" w:line="240" w:lineRule="auto"/>
        <w:rPr>
          <w:rFonts w:cstheme="minorHAnsi"/>
          <w:bCs/>
          <w:sz w:val="24"/>
          <w:szCs w:val="24"/>
        </w:rPr>
      </w:pPr>
      <w:r w:rsidRPr="00AD36F0">
        <w:rPr>
          <w:bCs/>
          <w:sz w:val="24"/>
          <w:szCs w:val="24"/>
        </w:rPr>
        <w:t xml:space="preserve">The Applicant asserts the </w:t>
      </w:r>
      <w:r w:rsidR="00AD36F0" w:rsidRPr="00AD36F0">
        <w:rPr>
          <w:bCs/>
          <w:sz w:val="24"/>
          <w:szCs w:val="24"/>
        </w:rPr>
        <w:t>Proposed Project will promote</w:t>
      </w:r>
      <w:r w:rsidRPr="00AD36F0">
        <w:rPr>
          <w:bCs/>
          <w:sz w:val="24"/>
          <w:szCs w:val="24"/>
        </w:rPr>
        <w:t xml:space="preserve"> continuity of care, improved </w:t>
      </w:r>
      <w:r w:rsidR="003A5696" w:rsidRPr="00AD36F0">
        <w:rPr>
          <w:bCs/>
          <w:sz w:val="24"/>
          <w:szCs w:val="24"/>
        </w:rPr>
        <w:t>health outcomes</w:t>
      </w:r>
      <w:r w:rsidRPr="00AD36F0">
        <w:rPr>
          <w:bCs/>
          <w:sz w:val="24"/>
          <w:szCs w:val="24"/>
        </w:rPr>
        <w:t>, and enhanced quality of lif</w:t>
      </w:r>
      <w:r w:rsidR="00043B60" w:rsidRPr="00AD36F0">
        <w:rPr>
          <w:bCs/>
          <w:sz w:val="24"/>
          <w:szCs w:val="24"/>
        </w:rPr>
        <w:t>e through</w:t>
      </w:r>
      <w:r w:rsidR="006A4A62" w:rsidRPr="00AD36F0">
        <w:rPr>
          <w:bCs/>
          <w:sz w:val="24"/>
          <w:szCs w:val="24"/>
        </w:rPr>
        <w:t xml:space="preserve"> its</w:t>
      </w:r>
      <w:r w:rsidR="00043B60" w:rsidRPr="00AD36F0">
        <w:rPr>
          <w:bCs/>
          <w:sz w:val="24"/>
          <w:szCs w:val="24"/>
        </w:rPr>
        <w:t xml:space="preserve"> 1) </w:t>
      </w:r>
      <w:r w:rsidR="00AD36F0" w:rsidRPr="00AD36F0">
        <w:rPr>
          <w:bCs/>
          <w:sz w:val="24"/>
          <w:szCs w:val="24"/>
        </w:rPr>
        <w:t>Efficient Use of Space to Support Treatment</w:t>
      </w:r>
      <w:r w:rsidR="00223374" w:rsidRPr="00AD36F0">
        <w:rPr>
          <w:bCs/>
          <w:sz w:val="24"/>
          <w:szCs w:val="24"/>
        </w:rPr>
        <w:t>, 2)</w:t>
      </w:r>
      <w:r w:rsidR="003C718B" w:rsidRPr="00AD36F0">
        <w:rPr>
          <w:bCs/>
          <w:sz w:val="24"/>
          <w:szCs w:val="24"/>
        </w:rPr>
        <w:t xml:space="preserve"> </w:t>
      </w:r>
      <w:r w:rsidR="00AD36F0" w:rsidRPr="00AD36F0">
        <w:rPr>
          <w:bCs/>
          <w:sz w:val="24"/>
          <w:szCs w:val="24"/>
        </w:rPr>
        <w:t>Technology Infrastructure</w:t>
      </w:r>
      <w:r w:rsidR="003C718B" w:rsidRPr="00AD36F0">
        <w:rPr>
          <w:bCs/>
          <w:sz w:val="24"/>
          <w:szCs w:val="24"/>
        </w:rPr>
        <w:t>,</w:t>
      </w:r>
      <w:r w:rsidR="00223374" w:rsidRPr="00AD36F0">
        <w:rPr>
          <w:bCs/>
          <w:sz w:val="24"/>
          <w:szCs w:val="24"/>
        </w:rPr>
        <w:t xml:space="preserve"> </w:t>
      </w:r>
      <w:r w:rsidR="00223374" w:rsidRPr="00AD36F0">
        <w:rPr>
          <w:rFonts w:cstheme="minorHAnsi"/>
          <w:bCs/>
          <w:sz w:val="24"/>
          <w:szCs w:val="24"/>
        </w:rPr>
        <w:t>and 3)</w:t>
      </w:r>
      <w:r w:rsidR="003D4E85" w:rsidRPr="00AD36F0">
        <w:rPr>
          <w:rFonts w:cstheme="minorHAnsi"/>
          <w:bCs/>
          <w:sz w:val="24"/>
          <w:szCs w:val="24"/>
        </w:rPr>
        <w:t xml:space="preserve"> </w:t>
      </w:r>
      <w:r w:rsidR="00AD36F0" w:rsidRPr="00AD36F0">
        <w:rPr>
          <w:rFonts w:cstheme="minorHAnsi"/>
          <w:bCs/>
          <w:sz w:val="24"/>
          <w:szCs w:val="24"/>
        </w:rPr>
        <w:t>MassHealth ACO Program</w:t>
      </w:r>
      <w:r w:rsidR="003D4E85" w:rsidRPr="00AD36F0">
        <w:rPr>
          <w:rFonts w:cstheme="minorHAnsi"/>
          <w:bCs/>
          <w:sz w:val="24"/>
          <w:szCs w:val="24"/>
        </w:rPr>
        <w:t xml:space="preserve">. </w:t>
      </w:r>
    </w:p>
    <w:p w14:paraId="59346C3E" w14:textId="77777777" w:rsidR="000A269B" w:rsidRDefault="000A269B" w:rsidP="007C2FC0">
      <w:pPr>
        <w:spacing w:after="0" w:line="240" w:lineRule="auto"/>
        <w:jc w:val="both"/>
        <w:rPr>
          <w:rFonts w:cstheme="minorHAnsi"/>
          <w:sz w:val="24"/>
          <w:szCs w:val="24"/>
          <w:highlight w:val="yellow"/>
        </w:rPr>
      </w:pPr>
    </w:p>
    <w:p w14:paraId="093DC2C5" w14:textId="702A6C9A" w:rsidR="00782566" w:rsidRDefault="00913B5E" w:rsidP="00082D4A">
      <w:pPr>
        <w:pStyle w:val="BodyText"/>
        <w:widowControl/>
        <w:numPr>
          <w:ilvl w:val="0"/>
          <w:numId w:val="8"/>
        </w:numPr>
        <w:spacing w:before="0" w:after="120"/>
        <w:ind w:right="136"/>
        <w:rPr>
          <w:rFonts w:ascii="Arial" w:hAnsi="Arial" w:cs="Arial"/>
          <w:bCs/>
          <w:kern w:val="2"/>
          <w:sz w:val="20"/>
          <w:szCs w:val="20"/>
        </w:rPr>
      </w:pPr>
      <w:r>
        <w:rPr>
          <w:rFonts w:asciiTheme="minorHAnsi" w:hAnsiTheme="minorHAnsi" w:cstheme="minorHAnsi"/>
          <w:b/>
          <w:bCs/>
          <w:sz w:val="24"/>
          <w:szCs w:val="24"/>
        </w:rPr>
        <w:t>Efficient Use of Space to Support Treatment</w:t>
      </w:r>
      <w:r w:rsidR="006839D1" w:rsidRPr="006839D1">
        <w:rPr>
          <w:rFonts w:asciiTheme="minorHAnsi" w:hAnsiTheme="minorHAnsi" w:cstheme="minorHAnsi"/>
          <w:b/>
          <w:bCs/>
          <w:sz w:val="24"/>
          <w:szCs w:val="24"/>
        </w:rPr>
        <w:t>:</w:t>
      </w:r>
      <w:r w:rsidR="006839D1" w:rsidRPr="006839D1">
        <w:rPr>
          <w:rFonts w:asciiTheme="minorHAnsi" w:hAnsiTheme="minorHAnsi" w:cstheme="minorHAnsi"/>
          <w:sz w:val="24"/>
          <w:szCs w:val="24"/>
        </w:rPr>
        <w:t xml:space="preserve"> </w:t>
      </w:r>
      <w:r w:rsidR="006839D1">
        <w:rPr>
          <w:rFonts w:asciiTheme="minorHAnsi" w:hAnsiTheme="minorHAnsi" w:cstheme="minorHAnsi"/>
          <w:sz w:val="24"/>
          <w:szCs w:val="24"/>
        </w:rPr>
        <w:t>The</w:t>
      </w:r>
      <w:r w:rsidR="009A4A70" w:rsidRPr="006839D1">
        <w:rPr>
          <w:rFonts w:asciiTheme="minorHAnsi" w:hAnsiTheme="minorHAnsi" w:cstheme="minorHAnsi"/>
          <w:sz w:val="24"/>
          <w:szCs w:val="24"/>
        </w:rPr>
        <w:t xml:space="preserve"> redesigned </w:t>
      </w:r>
      <w:r w:rsidR="006839D1">
        <w:rPr>
          <w:rFonts w:asciiTheme="minorHAnsi" w:hAnsiTheme="minorHAnsi" w:cstheme="minorHAnsi"/>
          <w:sz w:val="24"/>
          <w:szCs w:val="24"/>
        </w:rPr>
        <w:t xml:space="preserve">ED </w:t>
      </w:r>
      <w:r w:rsidR="009A4A70" w:rsidRPr="006839D1">
        <w:rPr>
          <w:rFonts w:asciiTheme="minorHAnsi" w:hAnsiTheme="minorHAnsi" w:cstheme="minorHAnsi"/>
          <w:sz w:val="24"/>
          <w:szCs w:val="24"/>
        </w:rPr>
        <w:t xml:space="preserve">space will include physiologic patient monitoring with medical gas capabilities at each treatment bed, allowing greater flexibility to treat more complex and higher acuity patients in all spaces rather than waiting for an appropriately resourced bed to become available. </w:t>
      </w:r>
      <w:r w:rsidR="006839D1">
        <w:rPr>
          <w:rFonts w:asciiTheme="minorHAnsi" w:hAnsiTheme="minorHAnsi" w:cstheme="minorHAnsi"/>
          <w:sz w:val="24"/>
          <w:szCs w:val="24"/>
        </w:rPr>
        <w:t>T</w:t>
      </w:r>
      <w:r w:rsidR="009A4A70" w:rsidRPr="006839D1">
        <w:rPr>
          <w:rFonts w:asciiTheme="minorHAnsi" w:hAnsiTheme="minorHAnsi" w:cstheme="minorHAnsi"/>
          <w:sz w:val="24"/>
          <w:szCs w:val="24"/>
        </w:rPr>
        <w:t xml:space="preserve">he expansion of a vertical treatment unit will </w:t>
      </w:r>
      <w:r w:rsidR="006839D1">
        <w:rPr>
          <w:rFonts w:asciiTheme="minorHAnsi" w:hAnsiTheme="minorHAnsi" w:cstheme="minorHAnsi"/>
          <w:sz w:val="24"/>
          <w:szCs w:val="24"/>
        </w:rPr>
        <w:t xml:space="preserve">also </w:t>
      </w:r>
      <w:r w:rsidR="009A4A70" w:rsidRPr="006839D1">
        <w:rPr>
          <w:rFonts w:asciiTheme="minorHAnsi" w:hAnsiTheme="minorHAnsi" w:cstheme="minorHAnsi"/>
          <w:sz w:val="24"/>
          <w:szCs w:val="24"/>
        </w:rPr>
        <w:t xml:space="preserve">allow staff to quickly move patients out of the waiting room and initiate treatment for low and moderate acuity patients. By cohorting patients of similar severity, the Hospital will be able to utilize private treatment beds for higher acuity patients, while also ensuring that the ED can flex the vertical treatment space as needed when demand for more complex care is higher </w:t>
      </w:r>
      <w:r w:rsidR="009A4A70" w:rsidRPr="006839D1">
        <w:rPr>
          <w:rFonts w:asciiTheme="minorHAnsi" w:hAnsiTheme="minorHAnsi" w:cstheme="minorHAnsi"/>
          <w:sz w:val="24"/>
          <w:szCs w:val="24"/>
        </w:rPr>
        <w:lastRenderedPageBreak/>
        <w:t xml:space="preserve">than normal. </w:t>
      </w:r>
      <w:r w:rsidR="00782566">
        <w:rPr>
          <w:rFonts w:asciiTheme="minorHAnsi" w:hAnsiTheme="minorHAnsi" w:cstheme="minorHAnsi"/>
          <w:sz w:val="24"/>
          <w:szCs w:val="24"/>
        </w:rPr>
        <w:t>The Proposed Project provides a</w:t>
      </w:r>
      <w:r w:rsidR="00782566" w:rsidRPr="00782566">
        <w:rPr>
          <w:rFonts w:asciiTheme="minorHAnsi" w:hAnsiTheme="minorHAnsi" w:cstheme="minorHAnsi"/>
          <w:sz w:val="24"/>
          <w:szCs w:val="24"/>
        </w:rPr>
        <w:t xml:space="preserve"> dedicated space </w:t>
      </w:r>
      <w:r w:rsidR="00782566">
        <w:rPr>
          <w:rFonts w:asciiTheme="minorHAnsi" w:hAnsiTheme="minorHAnsi" w:cstheme="minorHAnsi"/>
          <w:sz w:val="24"/>
          <w:szCs w:val="24"/>
        </w:rPr>
        <w:t>for</w:t>
      </w:r>
      <w:r w:rsidR="00782566" w:rsidRPr="00782566">
        <w:rPr>
          <w:rFonts w:asciiTheme="minorHAnsi" w:hAnsiTheme="minorHAnsi" w:cstheme="minorHAnsi"/>
          <w:sz w:val="24"/>
          <w:szCs w:val="24"/>
        </w:rPr>
        <w:t xml:space="preserve"> patients experiencing a behavioral health emergency. The behavioral health unit will be designed to best meet the needs of this patient population during an acute emergency and establish a smooth transition to the next appropriate level of care through an inpatient admission or in the community. </w:t>
      </w:r>
      <w:r w:rsidR="00654F7A">
        <w:rPr>
          <w:rFonts w:asciiTheme="minorHAnsi" w:hAnsiTheme="minorHAnsi" w:cstheme="minorHAnsi"/>
          <w:sz w:val="24"/>
          <w:szCs w:val="24"/>
        </w:rPr>
        <w:t xml:space="preserve">The main goal </w:t>
      </w:r>
      <w:r w:rsidR="00782566" w:rsidRPr="00782566">
        <w:rPr>
          <w:rFonts w:asciiTheme="minorHAnsi" w:hAnsiTheme="minorHAnsi" w:cstheme="minorHAnsi"/>
          <w:sz w:val="24"/>
          <w:szCs w:val="24"/>
        </w:rPr>
        <w:t xml:space="preserve">of the care provided in the behavioral health unit is to stabilize the patient so that they can be referred to the least intensive setting </w:t>
      </w:r>
      <w:r w:rsidR="00654F7A">
        <w:rPr>
          <w:rFonts w:asciiTheme="minorHAnsi" w:hAnsiTheme="minorHAnsi" w:cstheme="minorHAnsi"/>
          <w:sz w:val="24"/>
          <w:szCs w:val="24"/>
        </w:rPr>
        <w:t xml:space="preserve">necessary </w:t>
      </w:r>
      <w:r w:rsidR="00782566" w:rsidRPr="00782566">
        <w:rPr>
          <w:rFonts w:asciiTheme="minorHAnsi" w:hAnsiTheme="minorHAnsi" w:cstheme="minorHAnsi"/>
          <w:sz w:val="24"/>
          <w:szCs w:val="24"/>
        </w:rPr>
        <w:t>following the ED.</w:t>
      </w:r>
      <w:r w:rsidR="00782566">
        <w:rPr>
          <w:rFonts w:ascii="Arial" w:hAnsi="Arial" w:cs="Arial"/>
          <w:bCs/>
          <w:kern w:val="2"/>
          <w:sz w:val="20"/>
          <w:szCs w:val="20"/>
        </w:rPr>
        <w:t xml:space="preserve"> </w:t>
      </w:r>
    </w:p>
    <w:p w14:paraId="3D6ED29C" w14:textId="77777777" w:rsidR="00B818B6" w:rsidRPr="00AA0F82" w:rsidRDefault="00B818B6" w:rsidP="007C2FC0">
      <w:pPr>
        <w:spacing w:after="0" w:line="240" w:lineRule="auto"/>
        <w:jc w:val="both"/>
        <w:rPr>
          <w:rFonts w:cstheme="minorHAnsi"/>
          <w:sz w:val="24"/>
          <w:szCs w:val="24"/>
          <w:highlight w:val="yellow"/>
        </w:rPr>
      </w:pPr>
    </w:p>
    <w:p w14:paraId="6DBF8C05" w14:textId="08BD0987" w:rsidR="000A269B" w:rsidRPr="000A269B" w:rsidRDefault="000A269B" w:rsidP="00082D4A">
      <w:pPr>
        <w:pStyle w:val="BodyText"/>
        <w:numPr>
          <w:ilvl w:val="0"/>
          <w:numId w:val="8"/>
        </w:numPr>
        <w:ind w:right="136"/>
        <w:rPr>
          <w:rFonts w:asciiTheme="minorHAnsi" w:hAnsiTheme="minorHAnsi"/>
          <w:kern w:val="2"/>
          <w:sz w:val="20"/>
          <w:szCs w:val="20"/>
        </w:rPr>
      </w:pPr>
      <w:r w:rsidRPr="637DAF94">
        <w:rPr>
          <w:rFonts w:asciiTheme="minorHAnsi" w:hAnsiTheme="minorHAnsi"/>
          <w:b/>
          <w:sz w:val="24"/>
          <w:szCs w:val="24"/>
        </w:rPr>
        <w:t>Technology Infrastructure:</w:t>
      </w:r>
      <w:r w:rsidRPr="637DAF94">
        <w:rPr>
          <w:rFonts w:asciiTheme="minorHAnsi" w:hAnsiTheme="minorHAnsi"/>
          <w:color w:val="231F20"/>
          <w:spacing w:val="39"/>
          <w:sz w:val="24"/>
          <w:szCs w:val="24"/>
        </w:rPr>
        <w:t xml:space="preserve"> </w:t>
      </w:r>
      <w:r w:rsidRPr="637DAF94">
        <w:rPr>
          <w:rFonts w:asciiTheme="minorHAnsi" w:hAnsiTheme="minorHAnsi"/>
          <w:sz w:val="24"/>
          <w:szCs w:val="24"/>
        </w:rPr>
        <w:t xml:space="preserve">The technology infrastructure for the Proposed Project streamlines access for patients and facilitates improved coordination of care among physicians and other professionals on a patient’s care team. BID-P’s EMR serves as the primary link between </w:t>
      </w:r>
      <w:r w:rsidR="00B150D2" w:rsidRPr="637DAF94">
        <w:rPr>
          <w:rFonts w:asciiTheme="minorHAnsi" w:hAnsiTheme="minorHAnsi"/>
          <w:sz w:val="24"/>
          <w:szCs w:val="24"/>
        </w:rPr>
        <w:t xml:space="preserve">the Hospital’s ED, inpatient floors, affiliated specialists, and community primary care providers (PCP). The Hospital’s EMR allows for patients’ medical information created in the ED to be immediately accessible by other Hospital providers, allowing the real-time transfer of information as patients move from the ED to an inpatient floor. Similarly, information is available to community providers once a patient is discharged from the ED or an inpatient admission for follow-up either with a specialist or their PCP. </w:t>
      </w:r>
      <w:r w:rsidRPr="637DAF94">
        <w:rPr>
          <w:rFonts w:asciiTheme="minorHAnsi" w:hAnsiTheme="minorHAnsi"/>
          <w:sz w:val="24"/>
          <w:szCs w:val="24"/>
        </w:rPr>
        <w:t>The EMR also allows authorized providers outside of BID-P to view patient records and send progress notes back for continuity of care.</w:t>
      </w:r>
    </w:p>
    <w:p w14:paraId="686B8E9B" w14:textId="77777777" w:rsidR="000A269B" w:rsidRPr="000A269B" w:rsidRDefault="000A269B" w:rsidP="000A269B">
      <w:pPr>
        <w:pStyle w:val="BodyText"/>
        <w:ind w:right="136"/>
        <w:rPr>
          <w:rFonts w:asciiTheme="minorHAnsi" w:hAnsiTheme="minorHAnsi" w:cstheme="minorHAnsi"/>
          <w:bCs/>
          <w:kern w:val="2"/>
          <w:sz w:val="20"/>
          <w:szCs w:val="20"/>
        </w:rPr>
      </w:pPr>
    </w:p>
    <w:p w14:paraId="014AB4A4" w14:textId="19C1F096" w:rsidR="000A269B" w:rsidRPr="000A269B" w:rsidRDefault="000A269B" w:rsidP="00082D4A">
      <w:pPr>
        <w:pStyle w:val="BodyText"/>
        <w:numPr>
          <w:ilvl w:val="0"/>
          <w:numId w:val="8"/>
        </w:numPr>
        <w:ind w:right="136"/>
        <w:rPr>
          <w:rFonts w:asciiTheme="minorHAnsi" w:hAnsiTheme="minorHAnsi" w:cstheme="minorHAnsi"/>
          <w:sz w:val="24"/>
          <w:szCs w:val="24"/>
        </w:rPr>
      </w:pPr>
      <w:r w:rsidRPr="000A269B">
        <w:rPr>
          <w:rFonts w:asciiTheme="minorHAnsi" w:hAnsiTheme="minorHAnsi" w:cstheme="minorHAnsi"/>
          <w:b/>
          <w:bCs/>
          <w:sz w:val="24"/>
          <w:szCs w:val="24"/>
        </w:rPr>
        <w:t>MassHealth ACO Program:</w:t>
      </w:r>
      <w:r w:rsidRPr="000A269B">
        <w:rPr>
          <w:rFonts w:asciiTheme="minorHAnsi" w:hAnsiTheme="minorHAnsi" w:cstheme="minorHAnsi"/>
          <w:sz w:val="24"/>
          <w:szCs w:val="24"/>
        </w:rPr>
        <w:t xml:space="preserve"> </w:t>
      </w:r>
      <w:r>
        <w:rPr>
          <w:rFonts w:asciiTheme="minorHAnsi" w:hAnsiTheme="minorHAnsi" w:cstheme="minorHAnsi"/>
          <w:sz w:val="24"/>
          <w:szCs w:val="24"/>
        </w:rPr>
        <w:t>BID-P</w:t>
      </w:r>
      <w:r w:rsidRPr="000A269B">
        <w:rPr>
          <w:rFonts w:asciiTheme="minorHAnsi" w:hAnsiTheme="minorHAnsi" w:cstheme="minorHAnsi"/>
          <w:sz w:val="24"/>
          <w:szCs w:val="24"/>
        </w:rPr>
        <w:t xml:space="preserve"> participates in the MassHealth ACO Program through Beth Israel </w:t>
      </w:r>
      <w:r w:rsidR="00E738A9" w:rsidRPr="000A269B">
        <w:rPr>
          <w:rFonts w:asciiTheme="minorHAnsi" w:hAnsiTheme="minorHAnsi" w:cstheme="minorHAnsi"/>
          <w:sz w:val="24"/>
          <w:szCs w:val="24"/>
        </w:rPr>
        <w:t>Deaconess</w:t>
      </w:r>
      <w:r w:rsidRPr="000A269B">
        <w:rPr>
          <w:rFonts w:asciiTheme="minorHAnsi" w:hAnsiTheme="minorHAnsi" w:cstheme="minorHAnsi"/>
          <w:sz w:val="24"/>
          <w:szCs w:val="24"/>
        </w:rPr>
        <w:t xml:space="preserve"> Care Organization (BIDCO), part of Beth Israel Lahey Health Performance Network (BILHPN) and its clinically integrated network. BIDCO strives to increase access to high quality care for members who are more likely to have unmet SDoH needs than the commercially insured population. The Applicant notes that a significant portion of BIDCO’s efforts to improve health care are accomplished through care coordination. Specifically, BIDCO’s data analysis and risk management tools are provided to </w:t>
      </w:r>
      <w:r>
        <w:rPr>
          <w:rFonts w:asciiTheme="minorHAnsi" w:hAnsiTheme="minorHAnsi" w:cstheme="minorHAnsi"/>
          <w:sz w:val="24"/>
          <w:szCs w:val="24"/>
        </w:rPr>
        <w:t>BID-P</w:t>
      </w:r>
      <w:r w:rsidRPr="000A269B">
        <w:rPr>
          <w:rFonts w:asciiTheme="minorHAnsi" w:hAnsiTheme="minorHAnsi" w:cstheme="minorHAnsi"/>
          <w:sz w:val="24"/>
          <w:szCs w:val="24"/>
        </w:rPr>
        <w:t xml:space="preserve"> providers, including a Population Health Management Tool that helps primary care physicians monitor patients’ health and manage chronic conditions. These primary care linkages will continue to enhance care for </w:t>
      </w:r>
      <w:r>
        <w:rPr>
          <w:rFonts w:asciiTheme="minorHAnsi" w:hAnsiTheme="minorHAnsi" w:cstheme="minorHAnsi"/>
          <w:sz w:val="24"/>
          <w:szCs w:val="24"/>
        </w:rPr>
        <w:t>BID-P</w:t>
      </w:r>
      <w:r w:rsidRPr="000A269B">
        <w:rPr>
          <w:rFonts w:asciiTheme="minorHAnsi" w:hAnsiTheme="minorHAnsi" w:cstheme="minorHAnsi"/>
          <w:sz w:val="24"/>
          <w:szCs w:val="24"/>
        </w:rPr>
        <w:t>’s patients, including timely access to radiology services that will be achieved through the Proposed Project.</w:t>
      </w:r>
    </w:p>
    <w:p w14:paraId="5E392FF1" w14:textId="77777777" w:rsidR="00F45407" w:rsidRPr="00AA0F82" w:rsidRDefault="00F45407" w:rsidP="00F45407">
      <w:pPr>
        <w:spacing w:after="0" w:line="240" w:lineRule="auto"/>
        <w:rPr>
          <w:rFonts w:cstheme="minorHAnsi"/>
          <w:sz w:val="24"/>
          <w:szCs w:val="24"/>
          <w:highlight w:val="yellow"/>
        </w:rPr>
      </w:pPr>
    </w:p>
    <w:p w14:paraId="7CE10DB2" w14:textId="73563019" w:rsidR="00C67247" w:rsidRPr="0089714E" w:rsidRDefault="00C67247" w:rsidP="00656FAD">
      <w:pPr>
        <w:spacing w:after="0"/>
        <w:rPr>
          <w:b/>
          <w:bCs/>
          <w:i/>
          <w:iCs/>
          <w:color w:val="FF0000"/>
        </w:rPr>
      </w:pPr>
      <w:r w:rsidRPr="0089714E">
        <w:rPr>
          <w:b/>
          <w:bCs/>
          <w:i/>
          <w:iCs/>
        </w:rPr>
        <w:t>A</w:t>
      </w:r>
      <w:r w:rsidR="00656FAD" w:rsidRPr="0089714E">
        <w:rPr>
          <w:b/>
          <w:bCs/>
          <w:i/>
          <w:iCs/>
        </w:rPr>
        <w:t>nalysis</w:t>
      </w:r>
    </w:p>
    <w:p w14:paraId="288D8350" w14:textId="005EDD8E" w:rsidR="00C87188" w:rsidRPr="00AA0F82" w:rsidRDefault="000325FE" w:rsidP="00656FAD">
      <w:pPr>
        <w:autoSpaceDE w:val="0"/>
        <w:autoSpaceDN w:val="0"/>
        <w:adjustRightInd w:val="0"/>
        <w:spacing w:after="0"/>
        <w:rPr>
          <w:rFonts w:ascii="Calibri" w:hAnsi="Calibri" w:cs="Calibri"/>
          <w:color w:val="FF0000"/>
          <w:sz w:val="24"/>
          <w:szCs w:val="24"/>
          <w:highlight w:val="yellow"/>
        </w:rPr>
      </w:pPr>
      <w:r w:rsidRPr="0089714E">
        <w:rPr>
          <w:sz w:val="24"/>
          <w:szCs w:val="24"/>
        </w:rPr>
        <w:t xml:space="preserve">Staff </w:t>
      </w:r>
      <w:r w:rsidR="00BA0CD7" w:rsidRPr="0089714E">
        <w:rPr>
          <w:sz w:val="24"/>
          <w:szCs w:val="24"/>
        </w:rPr>
        <w:t xml:space="preserve">finds </w:t>
      </w:r>
      <w:r w:rsidR="00BA0CD7" w:rsidRPr="0089714E">
        <w:rPr>
          <w:rFonts w:ascii="Calibri" w:hAnsi="Calibri" w:cs="Calibri"/>
          <w:color w:val="000000"/>
          <w:sz w:val="24"/>
          <w:szCs w:val="24"/>
        </w:rPr>
        <w:t xml:space="preserve">that the </w:t>
      </w:r>
      <w:r w:rsidR="00CF03AB" w:rsidRPr="0089714E">
        <w:rPr>
          <w:rFonts w:ascii="Calibri" w:hAnsi="Calibri" w:cs="Calibri"/>
          <w:color w:val="000000"/>
          <w:sz w:val="24"/>
          <w:szCs w:val="24"/>
        </w:rPr>
        <w:t xml:space="preserve">Proposed Project’s </w:t>
      </w:r>
      <w:r w:rsidR="00C90E78" w:rsidRPr="0089714E">
        <w:rPr>
          <w:rFonts w:ascii="Calibri" w:hAnsi="Calibri" w:cs="Calibri"/>
          <w:color w:val="000000"/>
          <w:sz w:val="24"/>
          <w:szCs w:val="24"/>
        </w:rPr>
        <w:t xml:space="preserve">expanded and redesigned </w:t>
      </w:r>
      <w:r w:rsidR="0089714E" w:rsidRPr="0089714E">
        <w:rPr>
          <w:rFonts w:ascii="Calibri" w:hAnsi="Calibri" w:cs="Calibri"/>
          <w:color w:val="000000"/>
          <w:sz w:val="24"/>
          <w:szCs w:val="24"/>
        </w:rPr>
        <w:t xml:space="preserve">physical space will allow for cohorting patients, which </w:t>
      </w:r>
      <w:r w:rsidR="00BA0CD7" w:rsidRPr="0089714E">
        <w:rPr>
          <w:rFonts w:ascii="Calibri" w:hAnsi="Calibri" w:cs="Calibri"/>
          <w:color w:val="000000"/>
          <w:sz w:val="24"/>
          <w:szCs w:val="24"/>
        </w:rPr>
        <w:t>will contribute positively to efficiency, continuity, and coordination of care.</w:t>
      </w:r>
      <w:r w:rsidR="00C87188" w:rsidRPr="0089714E">
        <w:rPr>
          <w:rFonts w:ascii="Calibri" w:hAnsi="Calibri" w:cs="Calibri"/>
          <w:color w:val="000000"/>
          <w:sz w:val="24"/>
          <w:szCs w:val="24"/>
        </w:rPr>
        <w:t xml:space="preserve"> </w:t>
      </w:r>
      <w:r w:rsidR="001A6EB9">
        <w:rPr>
          <w:rFonts w:ascii="Calibri" w:hAnsi="Calibri" w:cs="Calibri"/>
          <w:color w:val="000000"/>
          <w:sz w:val="24"/>
          <w:szCs w:val="24"/>
        </w:rPr>
        <w:t xml:space="preserve">The </w:t>
      </w:r>
      <w:r w:rsidR="004037BD">
        <w:rPr>
          <w:rFonts w:ascii="Calibri" w:hAnsi="Calibri" w:cs="Calibri"/>
          <w:color w:val="000000"/>
          <w:sz w:val="24"/>
          <w:szCs w:val="24"/>
        </w:rPr>
        <w:t xml:space="preserve">technology infrastructure for real time communication among </w:t>
      </w:r>
      <w:r w:rsidR="00200F75">
        <w:rPr>
          <w:rFonts w:ascii="Calibri" w:hAnsi="Calibri" w:cs="Calibri"/>
          <w:color w:val="000000"/>
          <w:sz w:val="24"/>
          <w:szCs w:val="24"/>
        </w:rPr>
        <w:t xml:space="preserve">the network of providers as well as the ACO program </w:t>
      </w:r>
      <w:r w:rsidR="00E26F4F">
        <w:rPr>
          <w:rFonts w:ascii="Calibri" w:hAnsi="Calibri" w:cs="Calibri"/>
          <w:color w:val="000000"/>
          <w:sz w:val="24"/>
          <w:szCs w:val="24"/>
        </w:rPr>
        <w:t xml:space="preserve">will </w:t>
      </w:r>
      <w:r w:rsidR="00696E87">
        <w:rPr>
          <w:rFonts w:ascii="Calibri" w:hAnsi="Calibri" w:cs="Calibri"/>
          <w:color w:val="000000"/>
          <w:sz w:val="24"/>
          <w:szCs w:val="24"/>
        </w:rPr>
        <w:t>likely improve the care coor</w:t>
      </w:r>
      <w:r w:rsidR="00696E87" w:rsidRPr="00DE0C5D">
        <w:rPr>
          <w:rFonts w:ascii="Calibri" w:hAnsi="Calibri" w:cs="Calibri"/>
          <w:color w:val="000000"/>
          <w:sz w:val="24"/>
          <w:szCs w:val="24"/>
        </w:rPr>
        <w:t xml:space="preserve">dination for patients. </w:t>
      </w:r>
      <w:r w:rsidR="00C87188" w:rsidRPr="00DE0C5D">
        <w:rPr>
          <w:rFonts w:cstheme="minorHAnsi"/>
          <w:sz w:val="24"/>
          <w:szCs w:val="24"/>
        </w:rPr>
        <w:t>As a result, Staff finds that the Proposed Project meets the requirements of Factor 1c</w:t>
      </w:r>
      <w:r w:rsidR="005B06AF" w:rsidRPr="00DE0C5D">
        <w:rPr>
          <w:rFonts w:cstheme="minorHAnsi"/>
          <w:sz w:val="24"/>
          <w:szCs w:val="24"/>
        </w:rPr>
        <w:t>.</w:t>
      </w:r>
    </w:p>
    <w:p w14:paraId="691B5040" w14:textId="57F36608" w:rsidR="004A5F26" w:rsidRPr="00AA0F82" w:rsidRDefault="004A5F26" w:rsidP="004A5F26">
      <w:pPr>
        <w:spacing w:line="240" w:lineRule="auto"/>
        <w:rPr>
          <w:sz w:val="24"/>
          <w:szCs w:val="24"/>
          <w:highlight w:val="yellow"/>
        </w:rPr>
      </w:pPr>
    </w:p>
    <w:p w14:paraId="57E2886E" w14:textId="5DA7694D" w:rsidR="004A5F26" w:rsidRPr="00A9725F" w:rsidRDefault="004A5F26" w:rsidP="004A5F26">
      <w:pPr>
        <w:pStyle w:val="Heading1"/>
      </w:pPr>
      <w:bookmarkStart w:id="8" w:name="_Toc181784905"/>
      <w:r w:rsidRPr="00A9725F">
        <w:lastRenderedPageBreak/>
        <w:t>Factor 1: d) Consultation</w:t>
      </w:r>
      <w:bookmarkEnd w:id="8"/>
    </w:p>
    <w:p w14:paraId="55E98F5A" w14:textId="77777777" w:rsidR="00EF6D82" w:rsidRPr="00A9725F" w:rsidRDefault="00EF6D82" w:rsidP="00EF6D82">
      <w:pPr>
        <w:autoSpaceDE w:val="0"/>
        <w:autoSpaceDN w:val="0"/>
        <w:adjustRightInd w:val="0"/>
        <w:spacing w:after="0"/>
        <w:rPr>
          <w:rFonts w:cstheme="minorHAnsi"/>
          <w:sz w:val="24"/>
          <w:szCs w:val="24"/>
        </w:rPr>
      </w:pPr>
      <w:r w:rsidRPr="00A9725F">
        <w:rPr>
          <w:rFonts w:cstheme="minorHAnsi"/>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077BABD1" w14:textId="77777777" w:rsidR="00B74C6F" w:rsidRPr="00AA0F82" w:rsidRDefault="00B74C6F" w:rsidP="00A40EEF">
      <w:pPr>
        <w:autoSpaceDE w:val="0"/>
        <w:autoSpaceDN w:val="0"/>
        <w:adjustRightInd w:val="0"/>
        <w:rPr>
          <w:rStyle w:val="Heading1Char"/>
          <w:rFonts w:eastAsiaTheme="minorHAnsi" w:cstheme="minorHAnsi"/>
          <w:b w:val="0"/>
          <w:color w:val="000000"/>
          <w:sz w:val="24"/>
          <w:szCs w:val="24"/>
          <w:highlight w:val="yellow"/>
        </w:rPr>
      </w:pPr>
    </w:p>
    <w:p w14:paraId="5B905C39" w14:textId="624EB39B" w:rsidR="00B700D1" w:rsidRPr="00A9725F" w:rsidRDefault="003E1CDA" w:rsidP="00B44DD3">
      <w:pPr>
        <w:pStyle w:val="Heading1"/>
      </w:pPr>
      <w:bookmarkStart w:id="9" w:name="_Toc181784906"/>
      <w:r w:rsidRPr="00A9725F">
        <w:t>Factor 1: e) Evidence of Sound Community Engagement</w:t>
      </w:r>
      <w:bookmarkEnd w:id="9"/>
    </w:p>
    <w:p w14:paraId="1E6DE275" w14:textId="264E0A48" w:rsidR="008D7CB9" w:rsidRPr="00A9725F" w:rsidRDefault="003E1CDA" w:rsidP="008D7CB9">
      <w:pPr>
        <w:spacing w:after="0" w:line="240" w:lineRule="auto"/>
        <w:rPr>
          <w:sz w:val="24"/>
          <w:szCs w:val="24"/>
        </w:rPr>
      </w:pPr>
      <w:r w:rsidRPr="00A9725F">
        <w:rPr>
          <w:sz w:val="24"/>
          <w:szCs w:val="24"/>
        </w:rPr>
        <w:t>The Department’s Guideline</w:t>
      </w:r>
      <w:r w:rsidRPr="00A9725F">
        <w:rPr>
          <w:sz w:val="24"/>
          <w:szCs w:val="24"/>
          <w:vertAlign w:val="superscript"/>
        </w:rPr>
        <w:footnoteReference w:id="18"/>
      </w:r>
      <w:r w:rsidRPr="00A9725F">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A9725F">
        <w:rPr>
          <w:sz w:val="24"/>
          <w:szCs w:val="24"/>
          <w:vertAlign w:val="superscript"/>
        </w:rPr>
        <w:footnoteReference w:id="19"/>
      </w:r>
      <w:bookmarkStart w:id="10" w:name="_Hlk140505850"/>
    </w:p>
    <w:p w14:paraId="1AED331E" w14:textId="77777777" w:rsidR="008D7CB9" w:rsidRPr="0090778D" w:rsidRDefault="008D7CB9" w:rsidP="008D7CB9">
      <w:pPr>
        <w:spacing w:after="0" w:line="240" w:lineRule="auto"/>
        <w:rPr>
          <w:sz w:val="24"/>
          <w:szCs w:val="24"/>
        </w:rPr>
      </w:pPr>
    </w:p>
    <w:p w14:paraId="662B319A" w14:textId="181529A9" w:rsidR="002052AB" w:rsidRPr="0090778D" w:rsidRDefault="002052AB" w:rsidP="008D7CB9">
      <w:pPr>
        <w:spacing w:after="0" w:line="240" w:lineRule="auto"/>
        <w:rPr>
          <w:sz w:val="24"/>
          <w:szCs w:val="24"/>
        </w:rPr>
      </w:pPr>
      <w:r w:rsidRPr="0090778D">
        <w:rPr>
          <w:sz w:val="24"/>
          <w:szCs w:val="24"/>
        </w:rPr>
        <w:t>The Applicant presented the Proposed Project presented to the following groups:</w:t>
      </w:r>
    </w:p>
    <w:p w14:paraId="431BC4BD" w14:textId="258C0839" w:rsidR="002052AB" w:rsidRPr="0090778D" w:rsidRDefault="002052AB" w:rsidP="00082D4A">
      <w:pPr>
        <w:pStyle w:val="ListParagraph"/>
        <w:numPr>
          <w:ilvl w:val="0"/>
          <w:numId w:val="3"/>
        </w:numPr>
        <w:spacing w:after="0" w:line="240" w:lineRule="auto"/>
        <w:jc w:val="both"/>
        <w:rPr>
          <w:rFonts w:eastAsia="Arial" w:cstheme="minorHAnsi"/>
          <w:sz w:val="24"/>
          <w:szCs w:val="24"/>
        </w:rPr>
      </w:pPr>
      <w:r w:rsidRPr="0090778D">
        <w:rPr>
          <w:rFonts w:eastAsia="Arial" w:cstheme="minorHAnsi"/>
          <w:sz w:val="24"/>
          <w:szCs w:val="24"/>
        </w:rPr>
        <w:t>Hospital’s Patient and Family Advisory Committee</w:t>
      </w:r>
      <w:r w:rsidR="008D7CB9" w:rsidRPr="0090778D">
        <w:rPr>
          <w:rFonts w:eastAsia="Arial" w:cstheme="minorHAnsi"/>
          <w:sz w:val="24"/>
          <w:szCs w:val="24"/>
        </w:rPr>
        <w:t xml:space="preserve"> (PFAC)</w:t>
      </w:r>
    </w:p>
    <w:p w14:paraId="1B575F01" w14:textId="3992025E" w:rsidR="002052AB" w:rsidRDefault="00B402C8" w:rsidP="00082D4A">
      <w:pPr>
        <w:pStyle w:val="ListParagraph"/>
        <w:numPr>
          <w:ilvl w:val="0"/>
          <w:numId w:val="3"/>
        </w:numPr>
        <w:spacing w:after="0" w:line="240" w:lineRule="auto"/>
        <w:jc w:val="both"/>
        <w:rPr>
          <w:rFonts w:eastAsia="Arial" w:cstheme="minorHAnsi"/>
          <w:sz w:val="24"/>
          <w:szCs w:val="24"/>
        </w:rPr>
      </w:pPr>
      <w:r w:rsidRPr="00B402C8">
        <w:rPr>
          <w:rFonts w:eastAsia="Arial" w:cstheme="minorHAnsi"/>
          <w:sz w:val="24"/>
          <w:szCs w:val="24"/>
        </w:rPr>
        <w:t>Hospital’s Community Benefits Advisory Committee (CBAC)</w:t>
      </w:r>
    </w:p>
    <w:p w14:paraId="17C61BD9" w14:textId="513108B2" w:rsidR="00716319" w:rsidRDefault="002A51AD" w:rsidP="00082D4A">
      <w:pPr>
        <w:pStyle w:val="ListParagraph"/>
        <w:numPr>
          <w:ilvl w:val="0"/>
          <w:numId w:val="3"/>
        </w:numPr>
        <w:spacing w:after="0" w:line="240" w:lineRule="auto"/>
        <w:jc w:val="both"/>
        <w:rPr>
          <w:rFonts w:eastAsia="Arial" w:cstheme="minorHAnsi"/>
          <w:sz w:val="24"/>
          <w:szCs w:val="24"/>
        </w:rPr>
      </w:pPr>
      <w:r>
        <w:rPr>
          <w:rFonts w:eastAsia="Arial" w:cstheme="minorHAnsi"/>
          <w:sz w:val="24"/>
          <w:szCs w:val="24"/>
        </w:rPr>
        <w:t>Public Community Meeting</w:t>
      </w:r>
    </w:p>
    <w:p w14:paraId="53477F96" w14:textId="77777777" w:rsidR="00B402C8" w:rsidRPr="00B402C8" w:rsidRDefault="00B402C8" w:rsidP="006F55A0">
      <w:pPr>
        <w:spacing w:after="0" w:line="240" w:lineRule="auto"/>
        <w:ind w:left="1080"/>
        <w:rPr>
          <w:rFonts w:eastAsia="Arial" w:cstheme="minorHAnsi"/>
          <w:sz w:val="24"/>
          <w:szCs w:val="24"/>
        </w:rPr>
      </w:pPr>
    </w:p>
    <w:p w14:paraId="01E462C3" w14:textId="28E83212" w:rsidR="002052AB" w:rsidRPr="001B6CE8" w:rsidRDefault="000B41C2" w:rsidP="006F55A0">
      <w:pPr>
        <w:rPr>
          <w:rFonts w:eastAsia="Arial" w:cstheme="minorHAnsi"/>
          <w:kern w:val="2"/>
          <w:sz w:val="24"/>
          <w:szCs w:val="24"/>
        </w:rPr>
      </w:pPr>
      <w:r w:rsidRPr="006F55A0">
        <w:rPr>
          <w:rFonts w:eastAsia="Arial" w:cstheme="minorHAnsi"/>
          <w:kern w:val="2"/>
          <w:sz w:val="24"/>
          <w:szCs w:val="24"/>
        </w:rPr>
        <w:t xml:space="preserve">During each of the presentations described below, attendees were educated on the Applicant’s proposed plans, including how the Proposed Project will benefit the Hospital’s Patient Panel. </w:t>
      </w:r>
      <w:r w:rsidRPr="001B6CE8">
        <w:rPr>
          <w:rFonts w:eastAsia="Arial" w:cstheme="minorHAnsi"/>
          <w:kern w:val="2"/>
          <w:sz w:val="24"/>
          <w:szCs w:val="24"/>
        </w:rPr>
        <w:t>Following the presentation, attendees were able to share feedback and ask the presenters questions.</w:t>
      </w:r>
      <w:r w:rsidRPr="001B6CE8">
        <w:rPr>
          <w:rFonts w:ascii="Arial" w:eastAsia="Arial" w:hAnsi="Arial" w:cs="Arial"/>
          <w:kern w:val="2"/>
          <w:sz w:val="20"/>
          <w:szCs w:val="20"/>
        </w:rPr>
        <w:t xml:space="preserve"> </w:t>
      </w:r>
    </w:p>
    <w:p w14:paraId="701FC6C3" w14:textId="64FEF5F6" w:rsidR="006674E1" w:rsidRPr="001B6CE8" w:rsidRDefault="005670A8" w:rsidP="00082D4A">
      <w:pPr>
        <w:pStyle w:val="Default"/>
        <w:numPr>
          <w:ilvl w:val="0"/>
          <w:numId w:val="4"/>
        </w:numPr>
        <w:rPr>
          <w:rFonts w:asciiTheme="minorHAnsi" w:hAnsiTheme="minorHAnsi" w:cstheme="minorHAnsi"/>
        </w:rPr>
      </w:pPr>
      <w:r w:rsidRPr="001B6CE8">
        <w:rPr>
          <w:rFonts w:asciiTheme="minorHAnsi" w:eastAsia="Arial" w:hAnsiTheme="minorHAnsi" w:cstheme="minorHAnsi"/>
          <w:b/>
          <w:bCs/>
        </w:rPr>
        <w:t>Hospital’s Patient and Family Advisory Committee (PFAC)</w:t>
      </w:r>
      <w:r w:rsidRPr="001B6CE8">
        <w:rPr>
          <w:rFonts w:asciiTheme="minorHAnsi" w:eastAsia="Arial" w:hAnsiTheme="minorHAnsi" w:cstheme="minorHAnsi"/>
          <w:b/>
          <w:bCs/>
          <w:kern w:val="2"/>
        </w:rPr>
        <w:t xml:space="preserve">: </w:t>
      </w:r>
      <w:r w:rsidR="006674E1" w:rsidRPr="001B6CE8">
        <w:rPr>
          <w:rFonts w:asciiTheme="minorHAnsi" w:eastAsia="Arial" w:hAnsiTheme="minorHAnsi" w:cstheme="minorHAnsi"/>
          <w:kern w:val="2"/>
        </w:rPr>
        <w:t xml:space="preserve">The Proposed Project was presented to the PFAC in </w:t>
      </w:r>
      <w:r w:rsidR="00560B6D" w:rsidRPr="001B6CE8">
        <w:rPr>
          <w:rFonts w:asciiTheme="minorHAnsi" w:eastAsia="Arial" w:hAnsiTheme="minorHAnsi" w:cstheme="minorHAnsi"/>
          <w:kern w:val="2"/>
        </w:rPr>
        <w:t>January 2024</w:t>
      </w:r>
      <w:r w:rsidR="006674E1" w:rsidRPr="001B6CE8">
        <w:rPr>
          <w:rFonts w:asciiTheme="minorHAnsi" w:eastAsia="Arial" w:hAnsiTheme="minorHAnsi" w:cstheme="minorHAnsi"/>
          <w:kern w:val="2"/>
        </w:rPr>
        <w:t xml:space="preserve">. </w:t>
      </w:r>
      <w:r w:rsidR="000D3F21" w:rsidRPr="001B6CE8">
        <w:rPr>
          <w:rFonts w:asciiTheme="minorHAnsi" w:eastAsia="Arial" w:hAnsiTheme="minorHAnsi" w:cstheme="minorHAnsi"/>
          <w:kern w:val="2"/>
        </w:rPr>
        <w:t xml:space="preserve">The presentation was attended by nine individuals, including four members of the PFAC. Members </w:t>
      </w:r>
      <w:r w:rsidR="00041CBB" w:rsidRPr="001B6CE8">
        <w:rPr>
          <w:rFonts w:asciiTheme="minorHAnsi" w:eastAsia="Arial" w:hAnsiTheme="minorHAnsi" w:cstheme="minorHAnsi"/>
          <w:kern w:val="2"/>
        </w:rPr>
        <w:t xml:space="preserve">inquired about </w:t>
      </w:r>
      <w:r w:rsidR="000D3F21" w:rsidRPr="001B6CE8">
        <w:rPr>
          <w:rFonts w:asciiTheme="minorHAnsi" w:eastAsia="Arial" w:hAnsiTheme="minorHAnsi" w:cstheme="minorHAnsi"/>
          <w:kern w:val="2"/>
        </w:rPr>
        <w:t>measures to take pressure off the ED. Examples provided were the Hospital’s new Clinical Decision Unit, new urgent care locations in Plymouth and Middleboro, and an initiative led by the Hospital asking primary care and urgent care providers to encourage patients to utilize urgent care centers as first option for health concerns that do not require emergency care.</w:t>
      </w:r>
    </w:p>
    <w:p w14:paraId="3EA004C6" w14:textId="392FE22D" w:rsidR="00041CBB" w:rsidRPr="00605C73" w:rsidRDefault="00041CBB" w:rsidP="00082D4A">
      <w:pPr>
        <w:pStyle w:val="Default"/>
        <w:numPr>
          <w:ilvl w:val="0"/>
          <w:numId w:val="4"/>
        </w:numPr>
        <w:rPr>
          <w:rFonts w:asciiTheme="minorHAnsi" w:eastAsia="Arial" w:hAnsiTheme="minorHAnsi" w:cstheme="minorHAnsi"/>
          <w:kern w:val="2"/>
        </w:rPr>
      </w:pPr>
      <w:r w:rsidRPr="00605C73">
        <w:rPr>
          <w:rFonts w:asciiTheme="minorHAnsi" w:eastAsia="Arial" w:hAnsiTheme="minorHAnsi" w:cstheme="minorHAnsi"/>
          <w:b/>
          <w:bCs/>
          <w:kern w:val="2"/>
        </w:rPr>
        <w:t>H</w:t>
      </w:r>
      <w:r w:rsidRPr="00605C73">
        <w:rPr>
          <w:rFonts w:asciiTheme="minorHAnsi" w:eastAsia="Arial" w:hAnsiTheme="minorHAnsi" w:cstheme="minorHAnsi"/>
          <w:b/>
          <w:bCs/>
        </w:rPr>
        <w:t xml:space="preserve">ospital’s Community Benefits Advisory Committee (CBAC): </w:t>
      </w:r>
      <w:r w:rsidR="00605C73" w:rsidRPr="00560B6D">
        <w:rPr>
          <w:rFonts w:asciiTheme="minorHAnsi" w:eastAsia="Arial" w:hAnsiTheme="minorHAnsi" w:cstheme="minorHAnsi"/>
          <w:kern w:val="2"/>
        </w:rPr>
        <w:t xml:space="preserve">The Proposed Project was presented to the </w:t>
      </w:r>
      <w:r w:rsidR="00605C73" w:rsidRPr="00605C73">
        <w:rPr>
          <w:rFonts w:asciiTheme="minorHAnsi" w:eastAsia="Arial" w:hAnsiTheme="minorHAnsi" w:cstheme="minorHAnsi"/>
          <w:kern w:val="2"/>
        </w:rPr>
        <w:t>CBAC</w:t>
      </w:r>
      <w:r w:rsidR="00605C73" w:rsidRPr="00560B6D">
        <w:rPr>
          <w:rFonts w:asciiTheme="minorHAnsi" w:eastAsia="Arial" w:hAnsiTheme="minorHAnsi" w:cstheme="minorHAnsi"/>
          <w:kern w:val="2"/>
        </w:rPr>
        <w:t xml:space="preserve"> in </w:t>
      </w:r>
      <w:r w:rsidR="00605C73" w:rsidRPr="00605C73">
        <w:rPr>
          <w:rFonts w:asciiTheme="minorHAnsi" w:eastAsia="Arial" w:hAnsiTheme="minorHAnsi" w:cstheme="minorHAnsi"/>
          <w:kern w:val="2"/>
        </w:rPr>
        <w:t>December 2023</w:t>
      </w:r>
      <w:r w:rsidR="00605C73" w:rsidRPr="00560B6D">
        <w:rPr>
          <w:rFonts w:asciiTheme="minorHAnsi" w:eastAsia="Arial" w:hAnsiTheme="minorHAnsi" w:cstheme="minorHAnsi"/>
          <w:kern w:val="2"/>
        </w:rPr>
        <w:t xml:space="preserve">. </w:t>
      </w:r>
      <w:r w:rsidR="00605C73" w:rsidRPr="00605C73">
        <w:rPr>
          <w:rFonts w:asciiTheme="minorHAnsi" w:eastAsia="Arial" w:hAnsiTheme="minorHAnsi" w:cstheme="minorHAnsi"/>
          <w:kern w:val="2"/>
        </w:rPr>
        <w:t xml:space="preserve">The presentation was attended by 12 members of the CBAC. Committee members asked about utilization trends and how the Proposed Project will meet the community’s need for emergency, inpatient, and behavioral health care.  </w:t>
      </w:r>
    </w:p>
    <w:p w14:paraId="30111C69" w14:textId="26956920" w:rsidR="002B4EB9" w:rsidRPr="002B4EB9" w:rsidRDefault="00233D71" w:rsidP="00082D4A">
      <w:pPr>
        <w:pStyle w:val="Default"/>
        <w:numPr>
          <w:ilvl w:val="0"/>
          <w:numId w:val="4"/>
        </w:numPr>
        <w:rPr>
          <w:rFonts w:asciiTheme="minorHAnsi" w:eastAsia="Arial" w:hAnsiTheme="minorHAnsi" w:cstheme="minorHAnsi"/>
          <w:kern w:val="2"/>
        </w:rPr>
      </w:pPr>
      <w:r w:rsidRPr="001B6CE8">
        <w:rPr>
          <w:rFonts w:asciiTheme="minorHAnsi" w:eastAsia="Arial" w:hAnsiTheme="minorHAnsi" w:cstheme="minorHAnsi"/>
          <w:b/>
          <w:bCs/>
          <w:kern w:val="2"/>
        </w:rPr>
        <w:t>Presentation to the Community</w:t>
      </w:r>
      <w:r w:rsidR="00B662A0" w:rsidRPr="001B6CE8">
        <w:rPr>
          <w:rFonts w:asciiTheme="minorHAnsi" w:eastAsia="Arial" w:hAnsiTheme="minorHAnsi" w:cstheme="minorHAnsi"/>
          <w:b/>
          <w:bCs/>
          <w:kern w:val="2"/>
        </w:rPr>
        <w:t>:</w:t>
      </w:r>
      <w:r w:rsidR="00E90538" w:rsidRPr="002B4EB9">
        <w:rPr>
          <w:rFonts w:asciiTheme="minorHAnsi" w:eastAsia="Arial" w:hAnsiTheme="minorHAnsi" w:cstheme="minorHAnsi"/>
          <w:kern w:val="2"/>
        </w:rPr>
        <w:t xml:space="preserve"> </w:t>
      </w:r>
      <w:bookmarkEnd w:id="10"/>
      <w:r w:rsidR="00D32784">
        <w:rPr>
          <w:rFonts w:asciiTheme="minorHAnsi" w:eastAsia="Arial" w:hAnsiTheme="minorHAnsi" w:cstheme="minorHAnsi"/>
          <w:kern w:val="2"/>
        </w:rPr>
        <w:t>T</w:t>
      </w:r>
      <w:r w:rsidR="002B4EB9" w:rsidRPr="002B4EB9">
        <w:rPr>
          <w:rFonts w:asciiTheme="minorHAnsi" w:eastAsia="Arial" w:hAnsiTheme="minorHAnsi" w:cstheme="minorHAnsi"/>
          <w:kern w:val="2"/>
        </w:rPr>
        <w:t xml:space="preserve">he Hospital hosted a public meeting </w:t>
      </w:r>
      <w:r w:rsidR="00D32784">
        <w:rPr>
          <w:rFonts w:asciiTheme="minorHAnsi" w:eastAsia="Arial" w:hAnsiTheme="minorHAnsi" w:cstheme="minorHAnsi"/>
          <w:kern w:val="2"/>
        </w:rPr>
        <w:t xml:space="preserve">in </w:t>
      </w:r>
      <w:r w:rsidR="002B4EB9" w:rsidRPr="002B4EB9">
        <w:rPr>
          <w:rFonts w:asciiTheme="minorHAnsi" w:eastAsia="Arial" w:hAnsiTheme="minorHAnsi" w:cstheme="minorHAnsi"/>
          <w:kern w:val="2"/>
        </w:rPr>
        <w:t>January 2024. Ten members of the community joined the virtual presentation. Feedback was overwhelming</w:t>
      </w:r>
      <w:r w:rsidR="00D32784">
        <w:rPr>
          <w:rFonts w:asciiTheme="minorHAnsi" w:eastAsia="Arial" w:hAnsiTheme="minorHAnsi" w:cstheme="minorHAnsi"/>
          <w:kern w:val="2"/>
        </w:rPr>
        <w:t>ly</w:t>
      </w:r>
      <w:r w:rsidR="002B4EB9" w:rsidRPr="002B4EB9">
        <w:rPr>
          <w:rFonts w:asciiTheme="minorHAnsi" w:eastAsia="Arial" w:hAnsiTheme="minorHAnsi" w:cstheme="minorHAnsi"/>
          <w:kern w:val="2"/>
        </w:rPr>
        <w:t xml:space="preserve"> positive </w:t>
      </w:r>
      <w:r w:rsidR="001B6CE8">
        <w:rPr>
          <w:rFonts w:asciiTheme="minorHAnsi" w:eastAsia="Arial" w:hAnsiTheme="minorHAnsi" w:cstheme="minorHAnsi"/>
          <w:kern w:val="2"/>
        </w:rPr>
        <w:t>for</w:t>
      </w:r>
      <w:r w:rsidR="002B4EB9" w:rsidRPr="002B4EB9">
        <w:rPr>
          <w:rFonts w:asciiTheme="minorHAnsi" w:eastAsia="Arial" w:hAnsiTheme="minorHAnsi" w:cstheme="minorHAnsi"/>
          <w:kern w:val="2"/>
        </w:rPr>
        <w:t xml:space="preserve"> the Proposed Project, and the community is excited about the Hospital’s plans for emergency care. </w:t>
      </w:r>
    </w:p>
    <w:p w14:paraId="01A433D5" w14:textId="1B7BA297" w:rsidR="00233D71" w:rsidRPr="001B6CE8" w:rsidRDefault="00233D71" w:rsidP="001B6CE8">
      <w:pPr>
        <w:spacing w:after="0" w:line="240" w:lineRule="auto"/>
        <w:rPr>
          <w:b/>
          <w:bCs/>
          <w:i/>
          <w:iCs/>
          <w:sz w:val="24"/>
          <w:szCs w:val="24"/>
        </w:rPr>
      </w:pPr>
    </w:p>
    <w:p w14:paraId="351C8F1D" w14:textId="48E12DBB" w:rsidR="003E1CDA" w:rsidRPr="001B6CE8" w:rsidRDefault="003E1CDA" w:rsidP="00233D71">
      <w:pPr>
        <w:spacing w:after="0" w:line="240" w:lineRule="auto"/>
        <w:rPr>
          <w:b/>
          <w:bCs/>
          <w:i/>
          <w:iCs/>
          <w:sz w:val="24"/>
          <w:szCs w:val="24"/>
        </w:rPr>
      </w:pPr>
      <w:r w:rsidRPr="001B6CE8">
        <w:rPr>
          <w:b/>
          <w:bCs/>
          <w:i/>
          <w:iCs/>
          <w:sz w:val="24"/>
          <w:szCs w:val="24"/>
        </w:rPr>
        <w:lastRenderedPageBreak/>
        <w:t xml:space="preserve">Analysis </w:t>
      </w:r>
    </w:p>
    <w:p w14:paraId="4F343094" w14:textId="7FE45149" w:rsidR="003E1CDA" w:rsidRPr="001B6CE8" w:rsidRDefault="003E1CDA" w:rsidP="003A5696">
      <w:pPr>
        <w:spacing w:after="0" w:line="240" w:lineRule="auto"/>
        <w:rPr>
          <w:sz w:val="24"/>
          <w:szCs w:val="24"/>
        </w:rPr>
      </w:pPr>
      <w:r w:rsidRPr="001B6CE8">
        <w:rPr>
          <w:sz w:val="24"/>
          <w:szCs w:val="24"/>
        </w:rPr>
        <w:t>Staff finds that the</w:t>
      </w:r>
      <w:r w:rsidR="005B68F6" w:rsidRPr="001B6CE8">
        <w:rPr>
          <w:sz w:val="24"/>
          <w:szCs w:val="24"/>
        </w:rPr>
        <w:t xml:space="preserve"> Applicant sought to engage the community to elicit feedback from patients and families regarding the Proposed Project and thereby the </w:t>
      </w:r>
      <w:r w:rsidRPr="001B6CE8">
        <w:rPr>
          <w:sz w:val="24"/>
          <w:szCs w:val="24"/>
        </w:rPr>
        <w:t xml:space="preserve">Applicant </w:t>
      </w:r>
      <w:r w:rsidR="005B68F6" w:rsidRPr="001B6CE8">
        <w:rPr>
          <w:sz w:val="24"/>
          <w:szCs w:val="24"/>
        </w:rPr>
        <w:t xml:space="preserve">has </w:t>
      </w:r>
      <w:r w:rsidRPr="001B6CE8">
        <w:rPr>
          <w:sz w:val="24"/>
          <w:szCs w:val="24"/>
        </w:rPr>
        <w:t>met the minimum required community engagement standard of Consult in the planning phase of the Proposed Project.</w:t>
      </w:r>
    </w:p>
    <w:p w14:paraId="750F636A" w14:textId="77777777" w:rsidR="00C16731" w:rsidRPr="00AA0F82" w:rsidRDefault="00C16731" w:rsidP="003A5696">
      <w:pPr>
        <w:spacing w:after="0" w:line="240" w:lineRule="auto"/>
        <w:rPr>
          <w:sz w:val="24"/>
          <w:szCs w:val="24"/>
          <w:highlight w:val="yellow"/>
        </w:rPr>
      </w:pPr>
    </w:p>
    <w:p w14:paraId="75C893D6" w14:textId="76DB5DBC" w:rsidR="00F3518F" w:rsidRPr="002A51AD" w:rsidRDefault="003E1CDA" w:rsidP="00E90538">
      <w:pPr>
        <w:pStyle w:val="Heading1"/>
      </w:pPr>
      <w:bookmarkStart w:id="11" w:name="_Toc181784907"/>
      <w:r w:rsidRPr="002A51AD">
        <w:t>Factor 1: f) Competition On Price, Total Medical Expenses (TME), Costs And Other Measures Of Health Care Spending</w:t>
      </w:r>
      <w:bookmarkEnd w:id="11"/>
      <w:r w:rsidR="009C6041" w:rsidRPr="002A51AD">
        <w:t xml:space="preserve"> </w:t>
      </w:r>
    </w:p>
    <w:p w14:paraId="0050146C" w14:textId="3F183980" w:rsidR="00C7592A" w:rsidRDefault="00655AC6" w:rsidP="0016497D">
      <w:pPr>
        <w:pStyle w:val="Default"/>
        <w:spacing w:before="120" w:after="120"/>
        <w:rPr>
          <w:rFonts w:asciiTheme="minorHAnsi" w:hAnsiTheme="minorHAnsi" w:cstheme="minorHAnsi"/>
        </w:rPr>
      </w:pPr>
      <w:r w:rsidRPr="00E85C24">
        <w:rPr>
          <w:rFonts w:asciiTheme="minorHAnsi" w:hAnsiTheme="minorHAnsi" w:cstheme="minorHAnsi"/>
        </w:rPr>
        <w:t xml:space="preserve">The Applicant asserts that the Proposed Project </w:t>
      </w:r>
      <w:r w:rsidR="001C02E9" w:rsidRPr="00E85C24">
        <w:rPr>
          <w:rFonts w:asciiTheme="minorHAnsi" w:hAnsiTheme="minorHAnsi" w:cstheme="minorHAnsi"/>
        </w:rPr>
        <w:t>will compete on the basis of price, total medical expenses, provider costs, and other recognized measures of health care spending by improving access to emergency care without negatively impacting health care spending.</w:t>
      </w:r>
      <w:r w:rsidR="00C7592A" w:rsidRPr="00E85C24">
        <w:rPr>
          <w:rFonts w:asciiTheme="minorHAnsi" w:hAnsiTheme="minorHAnsi" w:cstheme="minorHAnsi"/>
        </w:rPr>
        <w:t xml:space="preserve"> The Proposed Project </w:t>
      </w:r>
      <w:r w:rsidR="00C92055" w:rsidRPr="00C92055">
        <w:rPr>
          <w:rFonts w:asciiTheme="minorHAnsi" w:hAnsiTheme="minorHAnsi" w:cstheme="minorHAnsi"/>
        </w:rPr>
        <w:t>seeks to ensure the physical footprint of the Hospital’s ED matches the needs of the community</w:t>
      </w:r>
      <w:r w:rsidR="00C208C3">
        <w:rPr>
          <w:rFonts w:asciiTheme="minorHAnsi" w:hAnsiTheme="minorHAnsi" w:cstheme="minorHAnsi"/>
        </w:rPr>
        <w:t xml:space="preserve"> </w:t>
      </w:r>
      <w:r w:rsidR="008F5DAF" w:rsidRPr="00E85C24">
        <w:rPr>
          <w:rFonts w:asciiTheme="minorHAnsi" w:hAnsiTheme="minorHAnsi" w:cstheme="minorHAnsi"/>
        </w:rPr>
        <w:t>to</w:t>
      </w:r>
      <w:r w:rsidR="00C7592A" w:rsidRPr="00E85C24">
        <w:rPr>
          <w:rFonts w:asciiTheme="minorHAnsi" w:hAnsiTheme="minorHAnsi" w:cstheme="minorHAnsi"/>
        </w:rPr>
        <w:t xml:space="preserve"> accommodate current and projected demand. </w:t>
      </w:r>
      <w:r w:rsidR="008F5DAF" w:rsidRPr="00E85C24">
        <w:rPr>
          <w:rFonts w:asciiTheme="minorHAnsi" w:hAnsiTheme="minorHAnsi" w:cstheme="minorHAnsi"/>
        </w:rPr>
        <w:t xml:space="preserve">The Applicant asserts that the </w:t>
      </w:r>
      <w:r w:rsidR="006408CA" w:rsidRPr="00E85C24">
        <w:rPr>
          <w:rFonts w:asciiTheme="minorHAnsi" w:hAnsiTheme="minorHAnsi" w:cstheme="minorHAnsi"/>
        </w:rPr>
        <w:t>expansion will</w:t>
      </w:r>
      <w:r w:rsidR="00C7592A" w:rsidRPr="00E85C24">
        <w:rPr>
          <w:rFonts w:asciiTheme="minorHAnsi" w:hAnsiTheme="minorHAnsi" w:cstheme="minorHAnsi"/>
        </w:rPr>
        <w:t xml:space="preserve"> create a physical environment that enhances care delivery and promotes positive health outcomes. </w:t>
      </w:r>
      <w:r w:rsidR="00367033" w:rsidRPr="00E85C24">
        <w:rPr>
          <w:rFonts w:asciiTheme="minorHAnsi" w:hAnsiTheme="minorHAnsi" w:cstheme="minorHAnsi"/>
        </w:rPr>
        <w:t>The</w:t>
      </w:r>
      <w:r w:rsidR="00C7592A" w:rsidRPr="00E85C24">
        <w:rPr>
          <w:rFonts w:asciiTheme="minorHAnsi" w:hAnsiTheme="minorHAnsi" w:cstheme="minorHAnsi"/>
        </w:rPr>
        <w:t xml:space="preserve"> Hospital </w:t>
      </w:r>
      <w:r w:rsidR="00367033" w:rsidRPr="00E85C24">
        <w:rPr>
          <w:rFonts w:asciiTheme="minorHAnsi" w:hAnsiTheme="minorHAnsi" w:cstheme="minorHAnsi"/>
        </w:rPr>
        <w:t>aims to ensure</w:t>
      </w:r>
      <w:r w:rsidR="00C7592A" w:rsidRPr="00E85C24">
        <w:rPr>
          <w:rFonts w:asciiTheme="minorHAnsi" w:hAnsiTheme="minorHAnsi" w:cstheme="minorHAnsi"/>
        </w:rPr>
        <w:t xml:space="preserve"> timely access </w:t>
      </w:r>
      <w:r w:rsidR="00367033" w:rsidRPr="00E85C24">
        <w:rPr>
          <w:rFonts w:asciiTheme="minorHAnsi" w:hAnsiTheme="minorHAnsi" w:cstheme="minorHAnsi"/>
        </w:rPr>
        <w:t xml:space="preserve">to emergency services in </w:t>
      </w:r>
      <w:r w:rsidR="00C7592A" w:rsidRPr="00E85C24">
        <w:rPr>
          <w:rFonts w:asciiTheme="minorHAnsi" w:hAnsiTheme="minorHAnsi" w:cstheme="minorHAnsi"/>
        </w:rPr>
        <w:t xml:space="preserve">appropriate care settings to best serve </w:t>
      </w:r>
      <w:r w:rsidR="00367033" w:rsidRPr="00E85C24">
        <w:rPr>
          <w:rFonts w:asciiTheme="minorHAnsi" w:hAnsiTheme="minorHAnsi" w:cstheme="minorHAnsi"/>
        </w:rPr>
        <w:t xml:space="preserve">its </w:t>
      </w:r>
      <w:r w:rsidR="00C7592A" w:rsidRPr="00E85C24">
        <w:rPr>
          <w:rFonts w:asciiTheme="minorHAnsi" w:hAnsiTheme="minorHAnsi" w:cstheme="minorHAnsi"/>
        </w:rPr>
        <w:t xml:space="preserve">Patient Panel without negatively impacting health care costs. </w:t>
      </w:r>
    </w:p>
    <w:p w14:paraId="7EB3C11E" w14:textId="77777777" w:rsidR="003C1C47" w:rsidRPr="00E85C24" w:rsidRDefault="003C1C47" w:rsidP="0016497D">
      <w:pPr>
        <w:pStyle w:val="Default"/>
        <w:spacing w:before="120" w:after="120"/>
        <w:rPr>
          <w:rFonts w:asciiTheme="minorHAnsi" w:hAnsiTheme="minorHAnsi" w:cstheme="minorHAnsi"/>
        </w:rPr>
      </w:pPr>
    </w:p>
    <w:p w14:paraId="233C5170" w14:textId="2C6D6250" w:rsidR="00E85C24" w:rsidRPr="00E85C24" w:rsidRDefault="00E85C24" w:rsidP="0016497D">
      <w:pPr>
        <w:pStyle w:val="Default"/>
        <w:spacing w:before="120" w:after="120"/>
        <w:rPr>
          <w:rFonts w:asciiTheme="minorHAnsi" w:hAnsiTheme="minorHAnsi" w:cstheme="minorHAnsi"/>
          <w:i/>
          <w:iCs/>
        </w:rPr>
      </w:pPr>
      <w:r w:rsidRPr="00E85C24">
        <w:rPr>
          <w:rFonts w:asciiTheme="minorHAnsi" w:hAnsiTheme="minorHAnsi" w:cstheme="minorHAnsi"/>
        </w:rPr>
        <w:t xml:space="preserve">The </w:t>
      </w:r>
      <w:r w:rsidR="003C1C47">
        <w:rPr>
          <w:rFonts w:asciiTheme="minorHAnsi" w:hAnsiTheme="minorHAnsi" w:cstheme="minorHAnsi"/>
        </w:rPr>
        <w:t xml:space="preserve">Proposed Project is expected to reduce overcrowding, which the </w:t>
      </w:r>
      <w:r w:rsidRPr="00E85C24">
        <w:rPr>
          <w:rFonts w:asciiTheme="minorHAnsi" w:hAnsiTheme="minorHAnsi" w:cstheme="minorHAnsi"/>
        </w:rPr>
        <w:t>Applicant anticipates will reduce</w:t>
      </w:r>
      <w:r w:rsidR="000812F0">
        <w:rPr>
          <w:rFonts w:asciiTheme="minorHAnsi" w:hAnsiTheme="minorHAnsi" w:cstheme="minorHAnsi"/>
        </w:rPr>
        <w:t xml:space="preserve"> the Hospital’s</w:t>
      </w:r>
      <w:r w:rsidRPr="00E85C24">
        <w:rPr>
          <w:rFonts w:asciiTheme="minorHAnsi" w:hAnsiTheme="minorHAnsi" w:cstheme="minorHAnsi"/>
        </w:rPr>
        <w:t xml:space="preserve"> unnecessary spending. </w:t>
      </w:r>
      <w:r w:rsidR="003C1C47">
        <w:rPr>
          <w:rFonts w:asciiTheme="minorHAnsi" w:hAnsiTheme="minorHAnsi" w:cstheme="minorHAnsi"/>
        </w:rPr>
        <w:t>The Applicant cites studies showing that w</w:t>
      </w:r>
      <w:r w:rsidRPr="00E85C24">
        <w:rPr>
          <w:rFonts w:asciiTheme="minorHAnsi" w:hAnsiTheme="minorHAnsi" w:cstheme="minorHAnsi"/>
        </w:rPr>
        <w:t>ait times in the ED have been shown to have a significant impact on the total cost of care for patients</w:t>
      </w:r>
      <w:r w:rsidRPr="00A24EAA">
        <w:rPr>
          <w:rFonts w:asciiTheme="minorHAnsi" w:hAnsiTheme="minorHAnsi" w:cstheme="minorHAnsi"/>
        </w:rPr>
        <w:t>.</w:t>
      </w:r>
      <w:r w:rsidR="00D43A61" w:rsidRPr="00802C46">
        <w:rPr>
          <w:rStyle w:val="EndnoteReference"/>
          <w:rFonts w:asciiTheme="minorHAnsi" w:hAnsiTheme="minorHAnsi" w:cstheme="minorHAnsi"/>
        </w:rPr>
        <w:endnoteReference w:id="16"/>
      </w:r>
      <w:r w:rsidR="00D43A61" w:rsidRPr="00802C46">
        <w:rPr>
          <w:rFonts w:asciiTheme="minorHAnsi" w:hAnsiTheme="minorHAnsi" w:cstheme="minorHAnsi"/>
        </w:rPr>
        <w:t xml:space="preserve"> </w:t>
      </w:r>
      <w:r w:rsidRPr="00802C46">
        <w:rPr>
          <w:rFonts w:asciiTheme="minorHAnsi" w:hAnsiTheme="minorHAnsi" w:cstheme="minorHAnsi"/>
        </w:rPr>
        <w:t>For patients with the most acute conditions, a 60-minute increase in wait time increases the hospital's cost to care for the patient by an average of 30%. For those with moderately acute conditions, a 60-minute increase in wait time increases the hospital's cost to care for the patient by an average of 21 %.</w:t>
      </w:r>
      <w:r w:rsidR="00FF0C5D" w:rsidRPr="00802C46">
        <w:rPr>
          <w:rStyle w:val="EndnoteReference"/>
          <w:rFonts w:asciiTheme="minorHAnsi" w:hAnsiTheme="minorHAnsi" w:cstheme="minorHAnsi"/>
        </w:rPr>
        <w:endnoteReference w:id="17"/>
      </w:r>
      <w:r w:rsidRPr="00E85C24">
        <w:rPr>
          <w:rFonts w:asciiTheme="minorHAnsi" w:hAnsiTheme="minorHAnsi" w:cstheme="minorHAnsi"/>
        </w:rPr>
        <w:t xml:space="preserve"> </w:t>
      </w:r>
      <w:r w:rsidR="0094710B">
        <w:rPr>
          <w:rFonts w:asciiTheme="minorHAnsi" w:hAnsiTheme="minorHAnsi" w:cstheme="minorHAnsi"/>
        </w:rPr>
        <w:t>D</w:t>
      </w:r>
      <w:r w:rsidRPr="00E85C24">
        <w:rPr>
          <w:rFonts w:asciiTheme="minorHAnsi" w:hAnsiTheme="minorHAnsi" w:cstheme="minorHAnsi"/>
        </w:rPr>
        <w:t>uring times of high volume, including Code Help</w:t>
      </w:r>
      <w:r w:rsidRPr="00E85C24">
        <w:rPr>
          <w:rStyle w:val="FootnoteReference"/>
          <w:rFonts w:asciiTheme="minorHAnsi" w:hAnsiTheme="minorHAnsi" w:cstheme="minorHAnsi"/>
        </w:rPr>
        <w:footnoteReference w:id="20"/>
      </w:r>
      <w:r w:rsidRPr="00E85C24">
        <w:rPr>
          <w:rFonts w:asciiTheme="minorHAnsi" w:hAnsiTheme="minorHAnsi" w:cstheme="minorHAnsi"/>
        </w:rPr>
        <w:t xml:space="preserve">, the ED must bring on additional staff, relying on per diem staff or overtime staff. </w:t>
      </w:r>
      <w:r w:rsidR="007071CB">
        <w:rPr>
          <w:rFonts w:asciiTheme="minorHAnsi" w:hAnsiTheme="minorHAnsi" w:cstheme="minorHAnsi"/>
        </w:rPr>
        <w:t>The research suggests that r</w:t>
      </w:r>
      <w:r w:rsidRPr="00E85C24">
        <w:rPr>
          <w:rFonts w:asciiTheme="minorHAnsi" w:hAnsiTheme="minorHAnsi" w:cstheme="minorHAnsi"/>
        </w:rPr>
        <w:t xml:space="preserve">educing waiting times by 60 minutes after will likely reduce the overall cost of care for ED patients by a significant portion, thereby reducing TME. </w:t>
      </w:r>
      <w:bookmarkStart w:id="12" w:name="_Hlk161402275"/>
      <w:r w:rsidR="00EC68C9">
        <w:rPr>
          <w:rFonts w:asciiTheme="minorHAnsi" w:hAnsiTheme="minorHAnsi" w:cstheme="minorHAnsi"/>
        </w:rPr>
        <w:t>T</w:t>
      </w:r>
      <w:r w:rsidRPr="00E85C24">
        <w:rPr>
          <w:rFonts w:asciiTheme="minorHAnsi" w:hAnsiTheme="minorHAnsi" w:cstheme="minorHAnsi"/>
        </w:rPr>
        <w:t xml:space="preserve">he </w:t>
      </w:r>
      <w:r w:rsidR="006D5EC6">
        <w:rPr>
          <w:rFonts w:asciiTheme="minorHAnsi" w:hAnsiTheme="minorHAnsi" w:cstheme="minorHAnsi"/>
        </w:rPr>
        <w:t xml:space="preserve">Applicant </w:t>
      </w:r>
      <w:r w:rsidR="00EC68C9">
        <w:rPr>
          <w:rFonts w:asciiTheme="minorHAnsi" w:hAnsiTheme="minorHAnsi" w:cstheme="minorHAnsi"/>
        </w:rPr>
        <w:t xml:space="preserve">also </w:t>
      </w:r>
      <w:r w:rsidR="006D5EC6">
        <w:rPr>
          <w:rFonts w:asciiTheme="minorHAnsi" w:hAnsiTheme="minorHAnsi" w:cstheme="minorHAnsi"/>
        </w:rPr>
        <w:t xml:space="preserve">anticipates reduction of </w:t>
      </w:r>
      <w:r w:rsidR="006D5EC6" w:rsidRPr="00E85C24">
        <w:rPr>
          <w:rFonts w:asciiTheme="minorHAnsi" w:hAnsiTheme="minorHAnsi" w:cstheme="minorHAnsi"/>
        </w:rPr>
        <w:t>ancillary resources needed to care for this patient population</w:t>
      </w:r>
      <w:r w:rsidR="006D5EC6">
        <w:rPr>
          <w:rFonts w:asciiTheme="minorHAnsi" w:hAnsiTheme="minorHAnsi" w:cstheme="minorHAnsi"/>
        </w:rPr>
        <w:t xml:space="preserve"> (</w:t>
      </w:r>
      <w:r w:rsidR="006D5EC6" w:rsidRPr="00E85C24">
        <w:rPr>
          <w:rFonts w:asciiTheme="minorHAnsi" w:hAnsiTheme="minorHAnsi" w:cstheme="minorHAnsi"/>
        </w:rPr>
        <w:t>such as sitters, security officers, etc.</w:t>
      </w:r>
      <w:r w:rsidR="006D5EC6">
        <w:rPr>
          <w:rFonts w:asciiTheme="minorHAnsi" w:hAnsiTheme="minorHAnsi" w:cstheme="minorHAnsi"/>
        </w:rPr>
        <w:t xml:space="preserve">) </w:t>
      </w:r>
      <w:r w:rsidR="00EC68C9">
        <w:rPr>
          <w:rFonts w:asciiTheme="minorHAnsi" w:hAnsiTheme="minorHAnsi" w:cstheme="minorHAnsi"/>
        </w:rPr>
        <w:t>due to</w:t>
      </w:r>
      <w:r w:rsidR="0006441C">
        <w:rPr>
          <w:rFonts w:asciiTheme="minorHAnsi" w:hAnsiTheme="minorHAnsi" w:cstheme="minorHAnsi"/>
        </w:rPr>
        <w:t xml:space="preserve"> the </w:t>
      </w:r>
      <w:r w:rsidR="00E27BD4">
        <w:rPr>
          <w:rFonts w:asciiTheme="minorHAnsi" w:hAnsiTheme="minorHAnsi" w:cstheme="minorHAnsi"/>
        </w:rPr>
        <w:t xml:space="preserve">calming environment </w:t>
      </w:r>
      <w:r w:rsidR="00064E42">
        <w:rPr>
          <w:rFonts w:asciiTheme="minorHAnsi" w:hAnsiTheme="minorHAnsi" w:cstheme="minorHAnsi"/>
        </w:rPr>
        <w:t xml:space="preserve">proposed for the </w:t>
      </w:r>
      <w:r w:rsidRPr="00E85C24">
        <w:rPr>
          <w:rFonts w:asciiTheme="minorHAnsi" w:hAnsiTheme="minorHAnsi" w:cstheme="minorHAnsi"/>
        </w:rPr>
        <w:t>dedicated behavioral health unit within the ED</w:t>
      </w:r>
      <w:r w:rsidR="007A0E2F">
        <w:rPr>
          <w:rFonts w:asciiTheme="minorHAnsi" w:hAnsiTheme="minorHAnsi" w:cstheme="minorHAnsi"/>
        </w:rPr>
        <w:t>.</w:t>
      </w:r>
      <w:r w:rsidRPr="00E85C24">
        <w:rPr>
          <w:rFonts w:asciiTheme="minorHAnsi" w:hAnsiTheme="minorHAnsi" w:cstheme="minorHAnsi"/>
        </w:rPr>
        <w:t xml:space="preserve"> </w:t>
      </w:r>
      <w:bookmarkEnd w:id="12"/>
      <w:r w:rsidR="007A0E2F">
        <w:rPr>
          <w:rFonts w:asciiTheme="minorHAnsi" w:hAnsiTheme="minorHAnsi" w:cstheme="minorHAnsi"/>
        </w:rPr>
        <w:t>T</w:t>
      </w:r>
      <w:r w:rsidRPr="00E85C24">
        <w:rPr>
          <w:rFonts w:asciiTheme="minorHAnsi" w:hAnsiTheme="minorHAnsi" w:cstheme="minorHAnsi"/>
        </w:rPr>
        <w:t xml:space="preserve">he </w:t>
      </w:r>
      <w:r w:rsidR="0016497D">
        <w:rPr>
          <w:rFonts w:asciiTheme="minorHAnsi" w:hAnsiTheme="minorHAnsi" w:cstheme="minorHAnsi"/>
        </w:rPr>
        <w:t xml:space="preserve">Applicant asserts that the </w:t>
      </w:r>
      <w:r w:rsidRPr="00E85C24">
        <w:rPr>
          <w:rFonts w:asciiTheme="minorHAnsi" w:hAnsiTheme="minorHAnsi" w:cstheme="minorHAnsi"/>
        </w:rPr>
        <w:t>reduction of wait times through the Proposed Project’s expansion of more appropriate care settings will reduce health care spending resulting from greater throughput and more expeditious care.</w:t>
      </w:r>
    </w:p>
    <w:p w14:paraId="3462CB17" w14:textId="77777777" w:rsidR="003A5696" w:rsidRPr="00AA0F82" w:rsidRDefault="003A5696" w:rsidP="003A5696">
      <w:pPr>
        <w:spacing w:after="0" w:line="240" w:lineRule="auto"/>
        <w:rPr>
          <w:sz w:val="24"/>
          <w:szCs w:val="24"/>
          <w:highlight w:val="yellow"/>
        </w:rPr>
      </w:pPr>
    </w:p>
    <w:p w14:paraId="59650E2A" w14:textId="7D85E5B4" w:rsidR="003E1CDA" w:rsidRPr="00C54114" w:rsidRDefault="003E1CDA" w:rsidP="00D850AF">
      <w:pPr>
        <w:spacing w:after="0" w:line="240" w:lineRule="auto"/>
        <w:rPr>
          <w:b/>
          <w:bCs/>
          <w:i/>
          <w:iCs/>
          <w:sz w:val="24"/>
          <w:szCs w:val="24"/>
        </w:rPr>
      </w:pPr>
      <w:r w:rsidRPr="00C54114">
        <w:rPr>
          <w:b/>
          <w:bCs/>
          <w:i/>
          <w:iCs/>
          <w:sz w:val="24"/>
          <w:szCs w:val="24"/>
        </w:rPr>
        <w:t>Analysis</w:t>
      </w:r>
      <w:r w:rsidR="00A62447" w:rsidRPr="00C54114">
        <w:rPr>
          <w:b/>
          <w:bCs/>
          <w:i/>
          <w:iCs/>
          <w:sz w:val="24"/>
          <w:szCs w:val="24"/>
        </w:rPr>
        <w:t xml:space="preserve"> </w:t>
      </w:r>
    </w:p>
    <w:p w14:paraId="0E1C4893" w14:textId="4F602D9A" w:rsidR="00716282" w:rsidRPr="00C54114" w:rsidRDefault="00F5041A" w:rsidP="00D850AF">
      <w:pPr>
        <w:spacing w:after="0"/>
        <w:ind w:right="114"/>
        <w:rPr>
          <w:rFonts w:cstheme="minorHAnsi"/>
          <w:sz w:val="24"/>
          <w:szCs w:val="24"/>
        </w:rPr>
      </w:pPr>
      <w:r w:rsidRPr="00C54114">
        <w:rPr>
          <w:rFonts w:cstheme="minorHAnsi"/>
          <w:sz w:val="24"/>
          <w:szCs w:val="24"/>
        </w:rPr>
        <w:lastRenderedPageBreak/>
        <w:t xml:space="preserve">Staff </w:t>
      </w:r>
      <w:r w:rsidR="001F0639" w:rsidRPr="00C54114">
        <w:rPr>
          <w:rFonts w:cstheme="minorHAnsi"/>
          <w:sz w:val="24"/>
          <w:szCs w:val="24"/>
        </w:rPr>
        <w:t>finds that the</w:t>
      </w:r>
      <w:r w:rsidR="00F804E0" w:rsidRPr="00C54114">
        <w:rPr>
          <w:rFonts w:cstheme="minorHAnsi"/>
          <w:sz w:val="24"/>
          <w:szCs w:val="24"/>
        </w:rPr>
        <w:t xml:space="preserve"> Proposed Project</w:t>
      </w:r>
      <w:r w:rsidRPr="00C54114">
        <w:rPr>
          <w:rFonts w:cstheme="minorHAnsi"/>
          <w:sz w:val="24"/>
          <w:szCs w:val="24"/>
        </w:rPr>
        <w:t xml:space="preserve"> </w:t>
      </w:r>
      <w:r w:rsidR="00F804E0" w:rsidRPr="00C54114">
        <w:rPr>
          <w:rFonts w:cstheme="minorHAnsi"/>
          <w:sz w:val="24"/>
          <w:szCs w:val="24"/>
        </w:rPr>
        <w:t xml:space="preserve">will </w:t>
      </w:r>
      <w:r w:rsidRPr="00C54114">
        <w:rPr>
          <w:rFonts w:cstheme="minorHAnsi"/>
          <w:sz w:val="24"/>
          <w:szCs w:val="24"/>
        </w:rPr>
        <w:t xml:space="preserve">improve patient access to </w:t>
      </w:r>
      <w:r w:rsidR="00D85968" w:rsidRPr="00C54114">
        <w:rPr>
          <w:rFonts w:cstheme="minorHAnsi"/>
          <w:sz w:val="24"/>
          <w:szCs w:val="24"/>
        </w:rPr>
        <w:t>emergency services</w:t>
      </w:r>
      <w:r w:rsidR="0085396B" w:rsidRPr="00C54114">
        <w:rPr>
          <w:rFonts w:cstheme="minorHAnsi"/>
          <w:sz w:val="24"/>
          <w:szCs w:val="24"/>
        </w:rPr>
        <w:t xml:space="preserve">. </w:t>
      </w:r>
      <w:r w:rsidR="00754737" w:rsidRPr="00C54114">
        <w:rPr>
          <w:rFonts w:cstheme="minorHAnsi"/>
          <w:sz w:val="24"/>
          <w:szCs w:val="24"/>
        </w:rPr>
        <w:t xml:space="preserve">The Applicant </w:t>
      </w:r>
      <w:r w:rsidR="008354C8" w:rsidRPr="00C54114">
        <w:rPr>
          <w:rFonts w:cstheme="minorHAnsi"/>
          <w:sz w:val="24"/>
          <w:szCs w:val="24"/>
        </w:rPr>
        <w:t xml:space="preserve">anticipates </w:t>
      </w:r>
      <w:r w:rsidR="00C54114" w:rsidRPr="00C54114">
        <w:rPr>
          <w:rFonts w:cstheme="minorHAnsi"/>
          <w:sz w:val="24"/>
          <w:szCs w:val="24"/>
        </w:rPr>
        <w:t xml:space="preserve">a reduction in wait times and overcrowding, </w:t>
      </w:r>
      <w:r w:rsidR="0061377B" w:rsidRPr="00C54114">
        <w:rPr>
          <w:rFonts w:cstheme="minorHAnsi"/>
          <w:sz w:val="24"/>
          <w:szCs w:val="24"/>
        </w:rPr>
        <w:t>which can result in an overall reduction in healthcare costs.</w:t>
      </w:r>
      <w:r w:rsidR="00716282" w:rsidRPr="00C54114">
        <w:rPr>
          <w:rFonts w:cstheme="minorHAnsi"/>
          <w:sz w:val="24"/>
          <w:szCs w:val="24"/>
        </w:rPr>
        <w:t xml:space="preserve"> Staff finds that the Proposed Project will likely compete on the basis of price, TME provider costs, and other measures of health care spending.</w:t>
      </w:r>
    </w:p>
    <w:p w14:paraId="00F42AD4" w14:textId="3FB99874" w:rsidR="00BD178D" w:rsidRPr="00AA0F82" w:rsidRDefault="00BD178D" w:rsidP="003A5696">
      <w:pPr>
        <w:spacing w:after="0" w:line="240" w:lineRule="auto"/>
        <w:rPr>
          <w:sz w:val="24"/>
          <w:szCs w:val="24"/>
          <w:highlight w:val="yellow"/>
        </w:rPr>
      </w:pPr>
    </w:p>
    <w:p w14:paraId="69F11E0F" w14:textId="77777777" w:rsidR="00841236" w:rsidRPr="00E14986" w:rsidRDefault="00841236" w:rsidP="00841236">
      <w:pPr>
        <w:pStyle w:val="Heading2"/>
        <w:spacing w:before="0" w:line="240" w:lineRule="auto"/>
        <w:ind w:left="180"/>
        <w:contextualSpacing/>
        <w:rPr>
          <w:rFonts w:asciiTheme="minorHAnsi" w:hAnsiTheme="minorHAnsi" w:cstheme="minorHAnsi"/>
          <w:i/>
          <w:iCs/>
          <w:sz w:val="24"/>
          <w:szCs w:val="24"/>
        </w:rPr>
      </w:pPr>
      <w:bookmarkStart w:id="13" w:name="_Toc99993058"/>
      <w:bookmarkStart w:id="14" w:name="_Toc144207774"/>
      <w:bookmarkStart w:id="15" w:name="_Toc181784908"/>
      <w:r w:rsidRPr="00E14986">
        <w:rPr>
          <w:rFonts w:asciiTheme="minorHAnsi" w:hAnsiTheme="minorHAnsi" w:cstheme="minorHAnsi"/>
          <w:i/>
          <w:iCs/>
          <w:sz w:val="24"/>
          <w:szCs w:val="24"/>
        </w:rPr>
        <w:t>Summary, FACTOR 1</w:t>
      </w:r>
      <w:bookmarkEnd w:id="13"/>
      <w:bookmarkEnd w:id="14"/>
      <w:bookmarkEnd w:id="15"/>
      <w:r w:rsidRPr="00E14986">
        <w:rPr>
          <w:rFonts w:asciiTheme="minorHAnsi" w:hAnsiTheme="minorHAnsi" w:cstheme="minorHAnsi"/>
          <w:i/>
          <w:iCs/>
          <w:sz w:val="24"/>
          <w:szCs w:val="24"/>
        </w:rPr>
        <w:t xml:space="preserve"> </w:t>
      </w:r>
    </w:p>
    <w:p w14:paraId="621B07D4" w14:textId="6A10C226" w:rsidR="00841236" w:rsidRPr="00E14986" w:rsidRDefault="00841236" w:rsidP="00841236">
      <w:pPr>
        <w:ind w:left="180"/>
        <w:rPr>
          <w:rFonts w:cstheme="minorHAnsi"/>
          <w:sz w:val="24"/>
          <w:szCs w:val="24"/>
        </w:rPr>
      </w:pPr>
      <w:r w:rsidRPr="00E14986">
        <w:rPr>
          <w:rFonts w:cstheme="minorHAnsi"/>
          <w:sz w:val="24"/>
          <w:szCs w:val="24"/>
        </w:rPr>
        <w:t xml:space="preserve">As a result of the information provided by the Applicant and additional analysis, staff finds that the Applicant has demonstrated that the Proposed Project meets Factor 1. </w:t>
      </w:r>
    </w:p>
    <w:p w14:paraId="1FF517A1" w14:textId="77777777" w:rsidR="000E6F21" w:rsidRPr="00AA0F82" w:rsidRDefault="000E6F21" w:rsidP="00841236">
      <w:pPr>
        <w:ind w:left="180"/>
        <w:rPr>
          <w:rFonts w:cstheme="minorHAnsi"/>
          <w:sz w:val="24"/>
          <w:szCs w:val="24"/>
          <w:highlight w:val="yellow"/>
        </w:rPr>
      </w:pPr>
    </w:p>
    <w:p w14:paraId="0ADE0888" w14:textId="0D74C428" w:rsidR="003E1CDA" w:rsidRPr="00E14986" w:rsidRDefault="003E1CDA" w:rsidP="0024289A">
      <w:pPr>
        <w:pStyle w:val="Heading1"/>
      </w:pPr>
      <w:bookmarkStart w:id="16" w:name="_Toc181784909"/>
      <w:r w:rsidRPr="00E14986">
        <w:t xml:space="preserve">Factor 2: Cost </w:t>
      </w:r>
      <w:r w:rsidR="00B675A1" w:rsidRPr="00E14986">
        <w:t>C</w:t>
      </w:r>
      <w:r w:rsidRPr="00E14986">
        <w:t>ontainment, Improved Public Health Outcomes and Delivery System Transformation</w:t>
      </w:r>
      <w:bookmarkEnd w:id="16"/>
    </w:p>
    <w:p w14:paraId="3717ACFE" w14:textId="77777777" w:rsidR="0022028B" w:rsidRPr="00AA0F82" w:rsidRDefault="0022028B" w:rsidP="0022028B">
      <w:pPr>
        <w:rPr>
          <w:highlight w:val="yellow"/>
        </w:rPr>
      </w:pPr>
    </w:p>
    <w:p w14:paraId="02F9F013" w14:textId="77777777" w:rsidR="003E1CDA" w:rsidRPr="007B7E42" w:rsidRDefault="003E1CDA" w:rsidP="00656FAD">
      <w:pPr>
        <w:spacing w:after="0" w:line="240" w:lineRule="auto"/>
        <w:rPr>
          <w:b/>
          <w:bCs/>
          <w:sz w:val="24"/>
          <w:szCs w:val="24"/>
        </w:rPr>
      </w:pPr>
      <w:r w:rsidRPr="007B7E42">
        <w:rPr>
          <w:b/>
          <w:bCs/>
          <w:sz w:val="24"/>
          <w:szCs w:val="24"/>
        </w:rPr>
        <w:t>Cost Containment</w:t>
      </w:r>
    </w:p>
    <w:p w14:paraId="628C7592" w14:textId="4E6FB33F" w:rsidR="00CD77DD" w:rsidRPr="007B7E42" w:rsidRDefault="006D7347" w:rsidP="00C54114">
      <w:pPr>
        <w:autoSpaceDE w:val="0"/>
        <w:autoSpaceDN w:val="0"/>
        <w:adjustRightInd w:val="0"/>
        <w:rPr>
          <w:rFonts w:cstheme="minorHAnsi"/>
          <w:sz w:val="24"/>
          <w:szCs w:val="24"/>
        </w:rPr>
      </w:pPr>
      <w:r w:rsidRPr="007B7E42">
        <w:rPr>
          <w:rFonts w:cstheme="minorHAnsi"/>
          <w:sz w:val="24"/>
          <w:szCs w:val="24"/>
        </w:rPr>
        <w:t>The Applicant states that t</w:t>
      </w:r>
      <w:r w:rsidRPr="007B7E42">
        <w:rPr>
          <w:rFonts w:cstheme="minorHAnsi"/>
          <w:bCs/>
          <w:sz w:val="24"/>
          <w:szCs w:val="24"/>
        </w:rPr>
        <w:t xml:space="preserve">he Proposed Project will meaningfully contribute to the Commonwealth’s goals for cost containment </w:t>
      </w:r>
      <w:r w:rsidR="00CD77DD" w:rsidRPr="007B7E42">
        <w:rPr>
          <w:rFonts w:cstheme="minorHAnsi"/>
          <w:sz w:val="24"/>
          <w:szCs w:val="24"/>
        </w:rPr>
        <w:t>by ensuring timely and equitable access to emergency services</w:t>
      </w:r>
      <w:r w:rsidR="00743051" w:rsidRPr="007B7E42">
        <w:rPr>
          <w:rFonts w:cstheme="minorHAnsi"/>
          <w:sz w:val="24"/>
          <w:szCs w:val="24"/>
        </w:rPr>
        <w:t xml:space="preserve">. </w:t>
      </w:r>
      <w:r w:rsidR="00CB4F73" w:rsidRPr="007B7E42">
        <w:rPr>
          <w:rFonts w:cstheme="minorHAnsi"/>
          <w:sz w:val="24"/>
          <w:szCs w:val="24"/>
        </w:rPr>
        <w:t>T</w:t>
      </w:r>
      <w:r w:rsidR="00CD77DD" w:rsidRPr="007B7E42">
        <w:rPr>
          <w:rFonts w:cstheme="minorHAnsi"/>
          <w:sz w:val="24"/>
          <w:szCs w:val="24"/>
        </w:rPr>
        <w:t xml:space="preserve">he Proposed Project seeks to improve access to an essential component of health care that, when impacted by inefficiency, can negatively impact health outcomes and increase health care </w:t>
      </w:r>
      <w:r w:rsidR="00CD77DD" w:rsidRPr="008C54A0">
        <w:rPr>
          <w:rFonts w:cstheme="minorHAnsi"/>
          <w:sz w:val="24"/>
          <w:szCs w:val="24"/>
        </w:rPr>
        <w:t xml:space="preserve">costs. </w:t>
      </w:r>
      <w:r w:rsidR="00CB4F73" w:rsidRPr="008C54A0">
        <w:rPr>
          <w:rFonts w:cstheme="minorHAnsi"/>
          <w:sz w:val="24"/>
          <w:szCs w:val="24"/>
        </w:rPr>
        <w:t>As previously noted in Factor 1F</w:t>
      </w:r>
      <w:r w:rsidR="00CD77DD" w:rsidRPr="008C54A0">
        <w:rPr>
          <w:rFonts w:cstheme="minorHAnsi"/>
          <w:sz w:val="24"/>
          <w:szCs w:val="24"/>
        </w:rPr>
        <w:t>,</w:t>
      </w:r>
      <w:r w:rsidR="00CD77DD" w:rsidRPr="007B7E42">
        <w:rPr>
          <w:rFonts w:cstheme="minorHAnsi"/>
          <w:sz w:val="24"/>
          <w:szCs w:val="24"/>
        </w:rPr>
        <w:t xml:space="preserve"> timely access to emergency care can reduce the cost of care and improve health outcomes, </w:t>
      </w:r>
      <w:r w:rsidR="00CB4F73" w:rsidRPr="007B7E42">
        <w:rPr>
          <w:rFonts w:cstheme="minorHAnsi"/>
          <w:sz w:val="24"/>
          <w:szCs w:val="24"/>
        </w:rPr>
        <w:t>resulting in a reduction of</w:t>
      </w:r>
      <w:r w:rsidR="00CD77DD" w:rsidRPr="007B7E42">
        <w:rPr>
          <w:rFonts w:cstheme="minorHAnsi"/>
          <w:sz w:val="24"/>
          <w:szCs w:val="24"/>
        </w:rPr>
        <w:t xml:space="preserve"> health care spending.</w:t>
      </w:r>
      <w:r w:rsidR="00E74919">
        <w:rPr>
          <w:rStyle w:val="EndnoteReference"/>
          <w:rFonts w:cstheme="minorHAnsi"/>
          <w:sz w:val="24"/>
          <w:szCs w:val="24"/>
        </w:rPr>
        <w:endnoteReference w:id="18"/>
      </w:r>
      <w:r w:rsidR="00CD77DD" w:rsidRPr="007B7E42">
        <w:rPr>
          <w:rFonts w:cstheme="minorHAnsi"/>
          <w:sz w:val="24"/>
          <w:szCs w:val="24"/>
        </w:rPr>
        <w:t xml:space="preserve"> Additionally, expanding dedicated behavioral health resources is expected to reduce spending for ancillary services</w:t>
      </w:r>
      <w:r w:rsidR="00CB4F73" w:rsidRPr="007B7E42">
        <w:rPr>
          <w:rFonts w:cstheme="minorHAnsi"/>
          <w:sz w:val="24"/>
          <w:szCs w:val="24"/>
        </w:rPr>
        <w:t xml:space="preserve"> (compared to when care for this patient population is provided in the ED’s main area</w:t>
      </w:r>
      <w:r w:rsidR="00CD77DD" w:rsidRPr="007B7E42">
        <w:rPr>
          <w:rFonts w:cstheme="minorHAnsi"/>
          <w:sz w:val="24"/>
          <w:szCs w:val="24"/>
        </w:rPr>
        <w:t>.</w:t>
      </w:r>
      <w:r w:rsidR="00CB4F73" w:rsidRPr="007B7E42">
        <w:rPr>
          <w:rFonts w:cstheme="minorHAnsi"/>
          <w:sz w:val="24"/>
          <w:szCs w:val="24"/>
        </w:rPr>
        <w:t>)</w:t>
      </w:r>
      <w:r w:rsidR="00143587">
        <w:rPr>
          <w:rStyle w:val="EndnoteReference"/>
          <w:rFonts w:cstheme="minorHAnsi"/>
          <w:sz w:val="24"/>
          <w:szCs w:val="24"/>
        </w:rPr>
        <w:endnoteReference w:id="19"/>
      </w:r>
      <w:r w:rsidR="00CD77DD" w:rsidRPr="007B7E42">
        <w:rPr>
          <w:rFonts w:cstheme="minorHAnsi"/>
          <w:sz w:val="24"/>
          <w:szCs w:val="24"/>
        </w:rPr>
        <w:t xml:space="preserve"> </w:t>
      </w:r>
      <w:r w:rsidR="00BA6512">
        <w:rPr>
          <w:rFonts w:cstheme="minorHAnsi"/>
          <w:sz w:val="24"/>
          <w:szCs w:val="24"/>
        </w:rPr>
        <w:t>Based on the</w:t>
      </w:r>
      <w:r w:rsidR="009D708A">
        <w:rPr>
          <w:rFonts w:cstheme="minorHAnsi"/>
          <w:sz w:val="24"/>
          <w:szCs w:val="24"/>
        </w:rPr>
        <w:t xml:space="preserve"> research cited, t</w:t>
      </w:r>
      <w:r w:rsidR="00CB4F73" w:rsidRPr="007B7E42">
        <w:rPr>
          <w:rFonts w:cstheme="minorHAnsi"/>
          <w:sz w:val="24"/>
          <w:szCs w:val="24"/>
        </w:rPr>
        <w:t xml:space="preserve">he Applicant asserts that </w:t>
      </w:r>
      <w:r w:rsidR="00C54114">
        <w:rPr>
          <w:rFonts w:cstheme="minorHAnsi"/>
          <w:sz w:val="24"/>
          <w:szCs w:val="24"/>
        </w:rPr>
        <w:t>i</w:t>
      </w:r>
      <w:r w:rsidR="00CD77DD" w:rsidRPr="007B7E42">
        <w:rPr>
          <w:rFonts w:cstheme="minorHAnsi"/>
          <w:sz w:val="24"/>
          <w:szCs w:val="24"/>
        </w:rPr>
        <w:t xml:space="preserve">mproving access to emergency care in the most appropriate setting </w:t>
      </w:r>
      <w:r w:rsidR="007B7E42" w:rsidRPr="007B7E42">
        <w:rPr>
          <w:rFonts w:cstheme="minorHAnsi"/>
          <w:sz w:val="24"/>
          <w:szCs w:val="24"/>
        </w:rPr>
        <w:t>is likely to</w:t>
      </w:r>
      <w:r w:rsidR="00CD77DD" w:rsidRPr="007B7E42">
        <w:rPr>
          <w:rFonts w:cstheme="minorHAnsi"/>
          <w:sz w:val="24"/>
          <w:szCs w:val="24"/>
        </w:rPr>
        <w:t xml:space="preserve"> lower the overall cost of care.</w:t>
      </w:r>
    </w:p>
    <w:p w14:paraId="060E72A1" w14:textId="418748B1" w:rsidR="00BB7632" w:rsidRPr="00AA0F82" w:rsidRDefault="00BB7632" w:rsidP="00CD77DD">
      <w:pPr>
        <w:widowControl w:val="0"/>
        <w:spacing w:after="0" w:line="240" w:lineRule="auto"/>
        <w:rPr>
          <w:sz w:val="24"/>
          <w:szCs w:val="24"/>
          <w:highlight w:val="yellow"/>
        </w:rPr>
      </w:pPr>
      <w:r w:rsidRPr="00AA0F82">
        <w:rPr>
          <w:sz w:val="24"/>
          <w:szCs w:val="24"/>
          <w:highlight w:val="yellow"/>
        </w:rPr>
        <w:t xml:space="preserve"> </w:t>
      </w:r>
    </w:p>
    <w:p w14:paraId="4CB620D7" w14:textId="77777777" w:rsidR="00910898" w:rsidRPr="00C54114" w:rsidRDefault="003E1CDA" w:rsidP="00910898">
      <w:pPr>
        <w:spacing w:after="0" w:line="240" w:lineRule="auto"/>
        <w:rPr>
          <w:b/>
          <w:bCs/>
          <w:i/>
          <w:iCs/>
          <w:sz w:val="24"/>
          <w:szCs w:val="24"/>
        </w:rPr>
      </w:pPr>
      <w:r w:rsidRPr="00C54114">
        <w:rPr>
          <w:b/>
          <w:bCs/>
          <w:i/>
          <w:iCs/>
          <w:sz w:val="24"/>
          <w:szCs w:val="24"/>
        </w:rPr>
        <w:t>Analysis: Cost Containment</w:t>
      </w:r>
    </w:p>
    <w:p w14:paraId="60986E5C" w14:textId="3CF269EE" w:rsidR="003E1CDA" w:rsidRPr="00AA0F82" w:rsidRDefault="00D528B7" w:rsidP="003815A0">
      <w:pPr>
        <w:spacing w:after="0" w:line="240" w:lineRule="auto"/>
        <w:contextualSpacing/>
        <w:rPr>
          <w:rFonts w:cstheme="minorHAnsi"/>
          <w:sz w:val="24"/>
          <w:szCs w:val="24"/>
          <w:highlight w:val="yellow"/>
        </w:rPr>
      </w:pPr>
      <w:r w:rsidRPr="00E73E91">
        <w:rPr>
          <w:rFonts w:cstheme="minorHAnsi"/>
          <w:sz w:val="24"/>
          <w:szCs w:val="24"/>
        </w:rPr>
        <w:t xml:space="preserve">Through the expedient and efficient </w:t>
      </w:r>
      <w:r w:rsidR="001665B1" w:rsidRPr="00E73E91">
        <w:rPr>
          <w:rFonts w:cstheme="minorHAnsi"/>
          <w:sz w:val="24"/>
          <w:szCs w:val="24"/>
        </w:rPr>
        <w:t>access to ED services, the Proposed Project has the potential to achieve cost containment goals</w:t>
      </w:r>
      <w:r w:rsidR="0057706F" w:rsidRPr="00E73E91">
        <w:rPr>
          <w:rFonts w:cstheme="minorHAnsi"/>
          <w:sz w:val="24"/>
          <w:szCs w:val="24"/>
        </w:rPr>
        <w:t xml:space="preserve"> by reducing wait time</w:t>
      </w:r>
      <w:r w:rsidR="00E73E91" w:rsidRPr="00E73E91">
        <w:rPr>
          <w:rFonts w:cstheme="minorHAnsi"/>
          <w:sz w:val="24"/>
          <w:szCs w:val="24"/>
        </w:rPr>
        <w:t>s and improving health outcomes</w:t>
      </w:r>
      <w:r w:rsidR="004E727C" w:rsidRPr="00E73E91">
        <w:rPr>
          <w:rFonts w:cstheme="minorHAnsi"/>
          <w:sz w:val="24"/>
          <w:szCs w:val="24"/>
        </w:rPr>
        <w:t xml:space="preserve">. </w:t>
      </w:r>
      <w:r w:rsidR="00E73E91" w:rsidRPr="00E73E91">
        <w:rPr>
          <w:sz w:val="24"/>
          <w:szCs w:val="24"/>
        </w:rPr>
        <w:t>As a result, s</w:t>
      </w:r>
      <w:r w:rsidR="00304DFB" w:rsidRPr="00E73E91">
        <w:rPr>
          <w:sz w:val="24"/>
          <w:szCs w:val="24"/>
        </w:rPr>
        <w:t xml:space="preserve">taff </w:t>
      </w:r>
      <w:r w:rsidR="000B5D27" w:rsidRPr="00E73E91">
        <w:rPr>
          <w:sz w:val="24"/>
          <w:szCs w:val="24"/>
        </w:rPr>
        <w:t xml:space="preserve">can </w:t>
      </w:r>
      <w:r w:rsidR="00C12878" w:rsidRPr="00E73E91">
        <w:rPr>
          <w:sz w:val="24"/>
          <w:szCs w:val="24"/>
        </w:rPr>
        <w:t xml:space="preserve">conclude that </w:t>
      </w:r>
      <w:r w:rsidR="000B5D27" w:rsidRPr="00E73E91">
        <w:rPr>
          <w:sz w:val="24"/>
          <w:szCs w:val="24"/>
        </w:rPr>
        <w:t xml:space="preserve">the </w:t>
      </w:r>
      <w:r w:rsidR="00C12878" w:rsidRPr="00E73E91">
        <w:rPr>
          <w:sz w:val="24"/>
          <w:szCs w:val="24"/>
        </w:rPr>
        <w:t xml:space="preserve">Proposed Project will likely meet the cost containment </w:t>
      </w:r>
      <w:r w:rsidR="0026798D" w:rsidRPr="00E73E91">
        <w:rPr>
          <w:sz w:val="24"/>
          <w:szCs w:val="24"/>
        </w:rPr>
        <w:t>elements of F</w:t>
      </w:r>
      <w:r w:rsidR="00C12878" w:rsidRPr="00E73E91">
        <w:rPr>
          <w:sz w:val="24"/>
          <w:szCs w:val="24"/>
        </w:rPr>
        <w:t>actor</w:t>
      </w:r>
      <w:r w:rsidR="0026798D" w:rsidRPr="00E73E91">
        <w:rPr>
          <w:sz w:val="24"/>
          <w:szCs w:val="24"/>
        </w:rPr>
        <w:t xml:space="preserve"> 2</w:t>
      </w:r>
      <w:r w:rsidR="00C12878" w:rsidRPr="00E73E91">
        <w:rPr>
          <w:sz w:val="24"/>
          <w:szCs w:val="24"/>
        </w:rPr>
        <w:t>.</w:t>
      </w:r>
    </w:p>
    <w:p w14:paraId="3C01249E" w14:textId="77777777" w:rsidR="00910898" w:rsidRPr="00151D86" w:rsidRDefault="00910898" w:rsidP="00151D86">
      <w:pPr>
        <w:spacing w:line="240" w:lineRule="auto"/>
        <w:rPr>
          <w:rFonts w:cstheme="minorHAnsi"/>
          <w:sz w:val="24"/>
          <w:szCs w:val="24"/>
          <w:highlight w:val="yellow"/>
        </w:rPr>
      </w:pPr>
    </w:p>
    <w:p w14:paraId="60B81E73" w14:textId="53047A36" w:rsidR="003E1CDA" w:rsidRPr="009507EA" w:rsidRDefault="003E1CDA" w:rsidP="00151D86">
      <w:pPr>
        <w:spacing w:after="0" w:line="240" w:lineRule="auto"/>
        <w:rPr>
          <w:rFonts w:cstheme="minorHAnsi"/>
          <w:b/>
          <w:bCs/>
          <w:sz w:val="24"/>
          <w:szCs w:val="24"/>
        </w:rPr>
      </w:pPr>
      <w:r w:rsidRPr="009507EA">
        <w:rPr>
          <w:rFonts w:cstheme="minorHAnsi"/>
          <w:b/>
          <w:bCs/>
          <w:sz w:val="24"/>
          <w:szCs w:val="24"/>
        </w:rPr>
        <w:t>Improved Public Health Outcomes</w:t>
      </w:r>
      <w:r w:rsidR="008C3357" w:rsidRPr="009507EA">
        <w:rPr>
          <w:rFonts w:cstheme="minorHAnsi"/>
          <w:b/>
          <w:bCs/>
          <w:sz w:val="24"/>
          <w:szCs w:val="24"/>
        </w:rPr>
        <w:t xml:space="preserve"> </w:t>
      </w:r>
    </w:p>
    <w:p w14:paraId="33BA8217" w14:textId="649DF349" w:rsidR="00151D86" w:rsidRPr="00151D86" w:rsidRDefault="00151D86" w:rsidP="00151D86">
      <w:pPr>
        <w:autoSpaceDE w:val="0"/>
        <w:autoSpaceDN w:val="0"/>
        <w:adjustRightInd w:val="0"/>
        <w:rPr>
          <w:sz w:val="24"/>
          <w:szCs w:val="24"/>
        </w:rPr>
      </w:pPr>
      <w:bookmarkStart w:id="17" w:name="_Hlk101967270"/>
      <w:r w:rsidRPr="063869C5">
        <w:rPr>
          <w:sz w:val="24"/>
          <w:szCs w:val="24"/>
        </w:rPr>
        <w:t xml:space="preserve">The Proposed Project will improve public health outcomes by providing patients timely access to emergency care in the most appropriate care environment for their condition, in turn reducing delays in diagnosis and treatment. </w:t>
      </w:r>
      <w:r w:rsidR="0022028B" w:rsidRPr="063869C5">
        <w:rPr>
          <w:sz w:val="24"/>
          <w:szCs w:val="24"/>
        </w:rPr>
        <w:t xml:space="preserve">As discussed in </w:t>
      </w:r>
      <w:r w:rsidR="00910898" w:rsidRPr="063869C5">
        <w:rPr>
          <w:sz w:val="24"/>
          <w:szCs w:val="24"/>
        </w:rPr>
        <w:t>the Patient Panel Need section</w:t>
      </w:r>
      <w:r w:rsidR="0022028B" w:rsidRPr="063869C5">
        <w:rPr>
          <w:sz w:val="24"/>
          <w:szCs w:val="24"/>
        </w:rPr>
        <w:t>,</w:t>
      </w:r>
      <w:bookmarkEnd w:id="17"/>
      <w:r w:rsidRPr="063869C5">
        <w:rPr>
          <w:sz w:val="24"/>
          <w:szCs w:val="24"/>
        </w:rPr>
        <w:t xml:space="preserve"> BID-P’s ED was built to serve </w:t>
      </w:r>
      <w:r w:rsidR="00D274CA" w:rsidRPr="063869C5">
        <w:rPr>
          <w:sz w:val="24"/>
          <w:szCs w:val="24"/>
        </w:rPr>
        <w:t xml:space="preserve">only </w:t>
      </w:r>
      <w:r w:rsidRPr="063869C5">
        <w:rPr>
          <w:sz w:val="24"/>
          <w:szCs w:val="24"/>
        </w:rPr>
        <w:t xml:space="preserve">25,000 visits annually. Thirty years later, the ED sees almost twice as many visits as it was built to accommodate. This mismatch between capacity and volume </w:t>
      </w:r>
      <w:r w:rsidR="008537CB" w:rsidRPr="063869C5">
        <w:rPr>
          <w:sz w:val="24"/>
          <w:szCs w:val="24"/>
        </w:rPr>
        <w:t>has</w:t>
      </w:r>
      <w:r w:rsidRPr="063869C5">
        <w:rPr>
          <w:sz w:val="24"/>
          <w:szCs w:val="24"/>
        </w:rPr>
        <w:t xml:space="preserve"> increased</w:t>
      </w:r>
      <w:r w:rsidR="002C18C5" w:rsidRPr="063869C5">
        <w:rPr>
          <w:sz w:val="24"/>
          <w:szCs w:val="24"/>
        </w:rPr>
        <w:t xml:space="preserve"> </w:t>
      </w:r>
      <w:r w:rsidRPr="063869C5">
        <w:rPr>
          <w:sz w:val="24"/>
          <w:szCs w:val="24"/>
        </w:rPr>
        <w:t xml:space="preserve">wait times, </w:t>
      </w:r>
      <w:r w:rsidR="002C18C5" w:rsidRPr="063869C5">
        <w:rPr>
          <w:sz w:val="24"/>
          <w:szCs w:val="24"/>
        </w:rPr>
        <w:t>the number of</w:t>
      </w:r>
      <w:r w:rsidRPr="063869C5">
        <w:rPr>
          <w:sz w:val="24"/>
          <w:szCs w:val="24"/>
        </w:rPr>
        <w:t xml:space="preserve"> patients leaving without being seen, </w:t>
      </w:r>
      <w:r w:rsidRPr="43A5B1DC">
        <w:rPr>
          <w:sz w:val="24"/>
          <w:szCs w:val="24"/>
        </w:rPr>
        <w:t>a</w:t>
      </w:r>
      <w:r w:rsidR="2349C83E" w:rsidRPr="43A5B1DC">
        <w:rPr>
          <w:sz w:val="24"/>
          <w:szCs w:val="24"/>
        </w:rPr>
        <w:t xml:space="preserve">nd the </w:t>
      </w:r>
      <w:r w:rsidRPr="063869C5">
        <w:rPr>
          <w:sz w:val="24"/>
          <w:szCs w:val="24"/>
        </w:rPr>
        <w:t>level</w:t>
      </w:r>
      <w:r w:rsidRPr="43A5B1DC">
        <w:rPr>
          <w:sz w:val="24"/>
          <w:szCs w:val="24"/>
        </w:rPr>
        <w:t xml:space="preserve"> </w:t>
      </w:r>
      <w:r w:rsidRPr="063869C5">
        <w:rPr>
          <w:sz w:val="24"/>
          <w:szCs w:val="24"/>
        </w:rPr>
        <w:t xml:space="preserve">of </w:t>
      </w:r>
      <w:r w:rsidRPr="063869C5">
        <w:rPr>
          <w:sz w:val="24"/>
          <w:szCs w:val="24"/>
        </w:rPr>
        <w:lastRenderedPageBreak/>
        <w:t xml:space="preserve">patient dissatisfaction. Historical utilization trends coupled with population projections demonstrate a need for the Hospital to expand capacity in order to meet current and future demand for emergency care in the community. In addition to improved access to address volume, the Proposed Project will also address the need of the community for dedicated behavioral health resources within the ED to ensure care is available for all emergency situations. These specialized behavioral health services will better equip the ED to provide high-quality care for all patients, driving improved health outcomes. Improved access to medical and behavioral health emergency services will reduce wait </w:t>
      </w:r>
      <w:r w:rsidR="00C50D9D" w:rsidRPr="063869C5">
        <w:rPr>
          <w:sz w:val="24"/>
          <w:szCs w:val="24"/>
        </w:rPr>
        <w:t>times and</w:t>
      </w:r>
      <w:r w:rsidRPr="063869C5">
        <w:rPr>
          <w:sz w:val="24"/>
          <w:szCs w:val="24"/>
        </w:rPr>
        <w:t xml:space="preserve"> improv</w:t>
      </w:r>
      <w:r w:rsidR="008358F8" w:rsidRPr="063869C5">
        <w:rPr>
          <w:sz w:val="24"/>
          <w:szCs w:val="24"/>
        </w:rPr>
        <w:t>e</w:t>
      </w:r>
      <w:r w:rsidRPr="063869C5">
        <w:rPr>
          <w:sz w:val="24"/>
          <w:szCs w:val="24"/>
        </w:rPr>
        <w:t xml:space="preserve"> the patient care experience and health outcomes through more timely treatment. </w:t>
      </w:r>
    </w:p>
    <w:p w14:paraId="09170416" w14:textId="151D7497" w:rsidR="00910898" w:rsidRPr="00AA0F82" w:rsidRDefault="00910898" w:rsidP="00151D86">
      <w:pPr>
        <w:spacing w:after="0" w:line="240" w:lineRule="auto"/>
        <w:rPr>
          <w:b/>
          <w:bCs/>
          <w:sz w:val="24"/>
          <w:szCs w:val="24"/>
          <w:highlight w:val="yellow"/>
        </w:rPr>
      </w:pPr>
    </w:p>
    <w:p w14:paraId="1E443B61" w14:textId="264A3D1B" w:rsidR="003E1CDA" w:rsidRPr="003B39F5" w:rsidRDefault="0022028B" w:rsidP="000E6F21">
      <w:pPr>
        <w:spacing w:after="0" w:line="240" w:lineRule="auto"/>
        <w:rPr>
          <w:b/>
          <w:bCs/>
          <w:sz w:val="24"/>
          <w:szCs w:val="24"/>
        </w:rPr>
      </w:pPr>
      <w:r w:rsidRPr="003B39F5">
        <w:rPr>
          <w:b/>
          <w:bCs/>
          <w:sz w:val="24"/>
          <w:szCs w:val="24"/>
        </w:rPr>
        <w:t>A</w:t>
      </w:r>
      <w:r w:rsidR="003E1CDA" w:rsidRPr="003B39F5">
        <w:rPr>
          <w:b/>
          <w:bCs/>
          <w:sz w:val="24"/>
          <w:szCs w:val="24"/>
        </w:rPr>
        <w:t>nalysis: Public Health Outcomes</w:t>
      </w:r>
    </w:p>
    <w:p w14:paraId="24A46422" w14:textId="1BE6780E" w:rsidR="00F13A0C" w:rsidRPr="003B39F5" w:rsidRDefault="009F5D5A" w:rsidP="000E6F21">
      <w:pPr>
        <w:spacing w:after="0" w:line="240" w:lineRule="auto"/>
        <w:rPr>
          <w:rFonts w:cstheme="minorHAnsi"/>
          <w:sz w:val="24"/>
          <w:szCs w:val="24"/>
        </w:rPr>
      </w:pPr>
      <w:r w:rsidRPr="003B39F5">
        <w:rPr>
          <w:rFonts w:cstheme="minorHAnsi"/>
          <w:sz w:val="24"/>
          <w:szCs w:val="24"/>
        </w:rPr>
        <w:t xml:space="preserve">Staff finds that, </w:t>
      </w:r>
      <w:r w:rsidR="008358F8" w:rsidRPr="003B39F5">
        <w:rPr>
          <w:rFonts w:cstheme="minorHAnsi"/>
          <w:sz w:val="24"/>
          <w:szCs w:val="24"/>
        </w:rPr>
        <w:t>the expansion of the ED</w:t>
      </w:r>
      <w:r w:rsidR="00DE7810" w:rsidRPr="003B39F5">
        <w:rPr>
          <w:rFonts w:cstheme="minorHAnsi"/>
          <w:sz w:val="24"/>
          <w:szCs w:val="24"/>
        </w:rPr>
        <w:t xml:space="preserve"> will</w:t>
      </w:r>
      <w:r w:rsidR="00180871" w:rsidRPr="003B39F5">
        <w:rPr>
          <w:rFonts w:cstheme="minorHAnsi"/>
          <w:sz w:val="24"/>
          <w:szCs w:val="24"/>
        </w:rPr>
        <w:t xml:space="preserve"> help ensure timely access to care and</w:t>
      </w:r>
      <w:r w:rsidR="00F13A0C" w:rsidRPr="003B39F5">
        <w:rPr>
          <w:rFonts w:cstheme="minorHAnsi"/>
          <w:sz w:val="24"/>
          <w:szCs w:val="24"/>
        </w:rPr>
        <w:t xml:space="preserve"> avoid delays</w:t>
      </w:r>
      <w:r w:rsidR="00E644D7" w:rsidRPr="003B39F5">
        <w:rPr>
          <w:rFonts w:cstheme="minorHAnsi"/>
          <w:sz w:val="24"/>
          <w:szCs w:val="24"/>
        </w:rPr>
        <w:t xml:space="preserve"> in treatment that can adversely impact health outcomes</w:t>
      </w:r>
      <w:r w:rsidR="005B5F98" w:rsidRPr="003B39F5">
        <w:rPr>
          <w:rFonts w:cstheme="minorHAnsi"/>
          <w:sz w:val="24"/>
          <w:szCs w:val="24"/>
        </w:rPr>
        <w:t xml:space="preserve">. </w:t>
      </w:r>
      <w:r w:rsidR="00180871" w:rsidRPr="003B39F5">
        <w:rPr>
          <w:rFonts w:cstheme="minorHAnsi"/>
          <w:sz w:val="24"/>
          <w:szCs w:val="24"/>
        </w:rPr>
        <w:t xml:space="preserve">The </w:t>
      </w:r>
      <w:r w:rsidR="00E444A9" w:rsidRPr="003B39F5">
        <w:rPr>
          <w:rFonts w:cstheme="minorHAnsi"/>
          <w:sz w:val="24"/>
          <w:szCs w:val="24"/>
        </w:rPr>
        <w:t xml:space="preserve">additional </w:t>
      </w:r>
      <w:r w:rsidR="00C87568" w:rsidRPr="003B39F5">
        <w:rPr>
          <w:rFonts w:cstheme="minorHAnsi"/>
          <w:sz w:val="24"/>
          <w:szCs w:val="24"/>
        </w:rPr>
        <w:t xml:space="preserve">treatment areas will provide the Hospital with the ability to both serve the </w:t>
      </w:r>
      <w:r w:rsidR="00D42E68" w:rsidRPr="003B39F5">
        <w:rPr>
          <w:rFonts w:cstheme="minorHAnsi"/>
          <w:sz w:val="24"/>
          <w:szCs w:val="24"/>
        </w:rPr>
        <w:t xml:space="preserve">current volume of ED visits, </w:t>
      </w:r>
      <w:r w:rsidR="003B39F5" w:rsidRPr="003B39F5">
        <w:rPr>
          <w:rFonts w:cstheme="minorHAnsi"/>
          <w:sz w:val="24"/>
          <w:szCs w:val="24"/>
        </w:rPr>
        <w:t xml:space="preserve">as well as the growing needs of the community for many years to come. </w:t>
      </w:r>
      <w:r w:rsidR="00F13A0C" w:rsidRPr="003B39F5">
        <w:rPr>
          <w:rFonts w:cstheme="minorHAnsi"/>
          <w:sz w:val="24"/>
          <w:szCs w:val="24"/>
        </w:rPr>
        <w:t>Therefore, DoN Staff can conclude that the Proposed Project will likely meet the Public Health Outcomes component of Factor 2.</w:t>
      </w:r>
    </w:p>
    <w:p w14:paraId="2A24C433" w14:textId="77777777" w:rsidR="007D53F6" w:rsidRPr="00AA0F82" w:rsidRDefault="007D53F6" w:rsidP="003E1CDA">
      <w:pPr>
        <w:spacing w:line="240" w:lineRule="auto"/>
        <w:rPr>
          <w:b/>
          <w:bCs/>
          <w:sz w:val="24"/>
          <w:szCs w:val="24"/>
          <w:highlight w:val="yellow"/>
        </w:rPr>
      </w:pPr>
    </w:p>
    <w:p w14:paraId="3B0953A6" w14:textId="647641F7" w:rsidR="0022028B" w:rsidRPr="008D5C22" w:rsidRDefault="00B134DF" w:rsidP="000E6F21">
      <w:pPr>
        <w:spacing w:after="0" w:line="240" w:lineRule="auto"/>
        <w:rPr>
          <w:b/>
          <w:bCs/>
          <w:sz w:val="24"/>
          <w:szCs w:val="24"/>
        </w:rPr>
      </w:pPr>
      <w:r w:rsidRPr="008D5C22">
        <w:rPr>
          <w:b/>
          <w:bCs/>
          <w:sz w:val="24"/>
          <w:szCs w:val="24"/>
        </w:rPr>
        <w:t>D</w:t>
      </w:r>
      <w:r w:rsidR="003E1CDA" w:rsidRPr="008D5C22">
        <w:rPr>
          <w:b/>
          <w:bCs/>
          <w:sz w:val="24"/>
          <w:szCs w:val="24"/>
        </w:rPr>
        <w:t>elivery System Transformation</w:t>
      </w:r>
    </w:p>
    <w:p w14:paraId="5299B38A" w14:textId="2E3C55EC" w:rsidR="00DD1B43" w:rsidRDefault="00784FFD" w:rsidP="00DD1B43">
      <w:pPr>
        <w:autoSpaceDE w:val="0"/>
        <w:autoSpaceDN w:val="0"/>
        <w:adjustRightInd w:val="0"/>
        <w:rPr>
          <w:sz w:val="24"/>
          <w:szCs w:val="24"/>
        </w:rPr>
      </w:pPr>
      <w:r w:rsidRPr="40DC48FE">
        <w:rPr>
          <w:sz w:val="24"/>
          <w:szCs w:val="24"/>
        </w:rPr>
        <w:t xml:space="preserve">Patients seen in the ED receive problem-specific assessments that may indicate the need for the completion of a comprehensive admissions screening. </w:t>
      </w:r>
      <w:r w:rsidR="00A86503" w:rsidRPr="40DC48FE">
        <w:rPr>
          <w:sz w:val="24"/>
          <w:szCs w:val="24"/>
        </w:rPr>
        <w:t xml:space="preserve">If indicated, </w:t>
      </w:r>
      <w:r w:rsidR="00CA395A" w:rsidRPr="4E898A69">
        <w:rPr>
          <w:sz w:val="24"/>
          <w:szCs w:val="24"/>
        </w:rPr>
        <w:t xml:space="preserve">BID-P </w:t>
      </w:r>
      <w:r w:rsidR="007E3270">
        <w:rPr>
          <w:sz w:val="24"/>
          <w:szCs w:val="24"/>
        </w:rPr>
        <w:t>will then conduct a</w:t>
      </w:r>
      <w:r w:rsidR="00CA395A" w:rsidRPr="4E898A69">
        <w:rPr>
          <w:sz w:val="24"/>
          <w:szCs w:val="24"/>
        </w:rPr>
        <w:t xml:space="preserve"> comprehensive admission screening that </w:t>
      </w:r>
      <w:r w:rsidR="00CA395A" w:rsidRPr="50CB77F1">
        <w:rPr>
          <w:sz w:val="24"/>
          <w:szCs w:val="24"/>
        </w:rPr>
        <w:t>address</w:t>
      </w:r>
      <w:r w:rsidR="2B11D84E" w:rsidRPr="50CB77F1">
        <w:rPr>
          <w:sz w:val="24"/>
          <w:szCs w:val="24"/>
        </w:rPr>
        <w:t>es</w:t>
      </w:r>
      <w:r w:rsidR="00CA395A" w:rsidRPr="4E898A69">
        <w:rPr>
          <w:sz w:val="24"/>
          <w:szCs w:val="24"/>
        </w:rPr>
        <w:t xml:space="preserve"> social determinants of health, including financial barriers to care, social support, housing and transportation issues, mental health problems, and other barriers to access. </w:t>
      </w:r>
      <w:r w:rsidR="00106091" w:rsidRPr="4E898A69">
        <w:rPr>
          <w:sz w:val="24"/>
          <w:szCs w:val="24"/>
        </w:rPr>
        <w:t xml:space="preserve">Patients are screened to determine their home situation, smoking status, any drug and/or alcohol usage, and supportive services, including family members and any transportation barriers. Patients are also screened for mental health concerns during this visit. Based on these assessments, appropriate interventions are arranged as needed. Social Work referrals may be made to connect patients with services, including financial counseling, mental health services in the community, ride assistance programs, and physical therapy programs for patients who qualify. </w:t>
      </w:r>
      <w:r w:rsidR="00FB0FF9" w:rsidRPr="4E898A69">
        <w:rPr>
          <w:sz w:val="24"/>
          <w:szCs w:val="24"/>
        </w:rPr>
        <w:t xml:space="preserve"> </w:t>
      </w:r>
    </w:p>
    <w:p w14:paraId="1C2DD266" w14:textId="77777777" w:rsidR="004E0268" w:rsidRDefault="004E0268" w:rsidP="00064DC2">
      <w:pPr>
        <w:autoSpaceDE w:val="0"/>
        <w:autoSpaceDN w:val="0"/>
        <w:adjustRightInd w:val="0"/>
        <w:spacing w:after="0"/>
        <w:rPr>
          <w:sz w:val="24"/>
          <w:szCs w:val="24"/>
        </w:rPr>
      </w:pPr>
    </w:p>
    <w:p w14:paraId="547CF4AA" w14:textId="74F5A2DF" w:rsidR="00C465F4" w:rsidRDefault="00064DC2" w:rsidP="00064DC2">
      <w:pPr>
        <w:autoSpaceDE w:val="0"/>
        <w:autoSpaceDN w:val="0"/>
        <w:adjustRightInd w:val="0"/>
        <w:spacing w:after="0"/>
        <w:rPr>
          <w:sz w:val="24"/>
          <w:szCs w:val="24"/>
        </w:rPr>
      </w:pPr>
      <w:r>
        <w:rPr>
          <w:sz w:val="24"/>
          <w:szCs w:val="24"/>
        </w:rPr>
        <w:t>The Applicant states that the most</w:t>
      </w:r>
      <w:r w:rsidR="00DD1B43" w:rsidRPr="00DD1B43">
        <w:rPr>
          <w:sz w:val="24"/>
          <w:szCs w:val="24"/>
        </w:rPr>
        <w:t xml:space="preserve"> significant improvement to patient care resulting from the Proposed Project is </w:t>
      </w:r>
      <w:r w:rsidR="007662AE">
        <w:rPr>
          <w:sz w:val="24"/>
          <w:szCs w:val="24"/>
        </w:rPr>
        <w:t>that a</w:t>
      </w:r>
      <w:r w:rsidR="00DD1B43" w:rsidRPr="00DD1B43">
        <w:rPr>
          <w:sz w:val="24"/>
          <w:szCs w:val="24"/>
        </w:rPr>
        <w:t xml:space="preserve"> larger, dedicated behavioral health unit with ability to serve multiple populations in a secure and ligature resistant environment will allow the Hospital to address the needs of this population in an expanded environment that provides for improved patient experience, which in turn may improve outcomes.</w:t>
      </w:r>
      <w:r w:rsidR="00D555ED">
        <w:rPr>
          <w:sz w:val="24"/>
          <w:szCs w:val="24"/>
        </w:rPr>
        <w:t xml:space="preserve"> </w:t>
      </w:r>
    </w:p>
    <w:p w14:paraId="4ABE38F6" w14:textId="77777777" w:rsidR="00C465F4" w:rsidRDefault="00C465F4" w:rsidP="00DD1B43">
      <w:pPr>
        <w:autoSpaceDE w:val="0"/>
        <w:autoSpaceDN w:val="0"/>
        <w:adjustRightInd w:val="0"/>
        <w:rPr>
          <w:sz w:val="24"/>
          <w:szCs w:val="24"/>
        </w:rPr>
      </w:pPr>
    </w:p>
    <w:p w14:paraId="5360DF8E" w14:textId="64BC1805" w:rsidR="00DD1B43" w:rsidRPr="008D5C22" w:rsidRDefault="00C465F4" w:rsidP="00DD1B43">
      <w:pPr>
        <w:autoSpaceDE w:val="0"/>
        <w:autoSpaceDN w:val="0"/>
        <w:adjustRightInd w:val="0"/>
        <w:rPr>
          <w:sz w:val="24"/>
          <w:szCs w:val="24"/>
        </w:rPr>
      </w:pPr>
      <w:r>
        <w:rPr>
          <w:sz w:val="24"/>
          <w:szCs w:val="24"/>
        </w:rPr>
        <w:t xml:space="preserve">The Proposed Project will also continue to </w:t>
      </w:r>
      <w:r w:rsidR="009E2B0C">
        <w:rPr>
          <w:sz w:val="24"/>
          <w:szCs w:val="24"/>
        </w:rPr>
        <w:t xml:space="preserve">advance </w:t>
      </w:r>
      <w:r w:rsidR="00DD1B43" w:rsidRPr="00DD1B43">
        <w:rPr>
          <w:sz w:val="24"/>
          <w:szCs w:val="24"/>
        </w:rPr>
        <w:t xml:space="preserve">BID-Plymouth’s Mobile Integrated Health (MIH) program. Patients presenting to the ED that are determined to need additional support but not necessarily an admission or observation stay are referred to the MIH program to </w:t>
      </w:r>
      <w:r w:rsidR="00DD1B43" w:rsidRPr="00DD1B43">
        <w:rPr>
          <w:sz w:val="24"/>
          <w:szCs w:val="24"/>
        </w:rPr>
        <w:lastRenderedPageBreak/>
        <w:t>manage their care. This program is designed to allow for care management that avoids the use of the ED</w:t>
      </w:r>
      <w:r w:rsidR="00E1097B">
        <w:rPr>
          <w:sz w:val="24"/>
          <w:szCs w:val="24"/>
        </w:rPr>
        <w:t>, which improves ED access for the most acute patients presenting at the ED.</w:t>
      </w:r>
    </w:p>
    <w:p w14:paraId="7EC9F9E2" w14:textId="77777777" w:rsidR="007D53F6" w:rsidRPr="00AA0F82" w:rsidRDefault="007D53F6" w:rsidP="0022028B">
      <w:pPr>
        <w:spacing w:line="240" w:lineRule="auto"/>
        <w:rPr>
          <w:b/>
          <w:bCs/>
          <w:sz w:val="24"/>
          <w:szCs w:val="24"/>
          <w:highlight w:val="yellow"/>
        </w:rPr>
      </w:pPr>
    </w:p>
    <w:p w14:paraId="5B8F822F" w14:textId="0083977D" w:rsidR="003E1CDA" w:rsidRPr="0000729A" w:rsidRDefault="003E1CDA" w:rsidP="00E570B0">
      <w:pPr>
        <w:spacing w:after="0" w:line="240" w:lineRule="auto"/>
        <w:rPr>
          <w:b/>
          <w:bCs/>
          <w:i/>
          <w:iCs/>
          <w:sz w:val="24"/>
          <w:szCs w:val="24"/>
        </w:rPr>
      </w:pPr>
      <w:r w:rsidRPr="0000729A">
        <w:rPr>
          <w:b/>
          <w:bCs/>
          <w:i/>
          <w:iCs/>
          <w:sz w:val="24"/>
          <w:szCs w:val="24"/>
        </w:rPr>
        <w:t>Analysis: Delivery System Transformation</w:t>
      </w:r>
    </w:p>
    <w:p w14:paraId="449A046C" w14:textId="3D11DE7E" w:rsidR="00F56096" w:rsidRPr="0000729A" w:rsidRDefault="00C12878" w:rsidP="00062574">
      <w:pPr>
        <w:spacing w:after="0" w:line="240" w:lineRule="auto"/>
        <w:rPr>
          <w:rFonts w:cstheme="minorHAnsi"/>
          <w:sz w:val="24"/>
          <w:szCs w:val="24"/>
        </w:rPr>
      </w:pPr>
      <w:r w:rsidRPr="0000729A">
        <w:rPr>
          <w:sz w:val="24"/>
          <w:szCs w:val="24"/>
        </w:rPr>
        <w:t xml:space="preserve">Central to the goal of Delivery System Transformation is the integration of social services and community-based expertise. </w:t>
      </w:r>
      <w:r w:rsidR="0039705E" w:rsidRPr="0000729A">
        <w:rPr>
          <w:sz w:val="24"/>
          <w:szCs w:val="24"/>
        </w:rPr>
        <w:t xml:space="preserve">SDoH screening </w:t>
      </w:r>
      <w:r w:rsidR="00CC46A2" w:rsidRPr="0000729A">
        <w:rPr>
          <w:sz w:val="24"/>
          <w:szCs w:val="24"/>
        </w:rPr>
        <w:t>is integrated in</w:t>
      </w:r>
      <w:r w:rsidR="001002AD" w:rsidRPr="0000729A">
        <w:rPr>
          <w:sz w:val="24"/>
          <w:szCs w:val="24"/>
        </w:rPr>
        <w:t xml:space="preserve">to </w:t>
      </w:r>
      <w:r w:rsidR="00D63342" w:rsidRPr="0000729A">
        <w:rPr>
          <w:sz w:val="24"/>
          <w:szCs w:val="24"/>
        </w:rPr>
        <w:t xml:space="preserve">the Applicant’s </w:t>
      </w:r>
      <w:r w:rsidR="0039705E" w:rsidRPr="0000729A">
        <w:rPr>
          <w:sz w:val="24"/>
          <w:szCs w:val="24"/>
        </w:rPr>
        <w:t>care processes</w:t>
      </w:r>
      <w:r w:rsidR="00B35B33" w:rsidRPr="0000729A">
        <w:rPr>
          <w:sz w:val="24"/>
          <w:szCs w:val="24"/>
        </w:rPr>
        <w:t xml:space="preserve"> so that </w:t>
      </w:r>
      <w:r w:rsidR="000139A7" w:rsidRPr="0000729A">
        <w:rPr>
          <w:sz w:val="24"/>
          <w:szCs w:val="24"/>
        </w:rPr>
        <w:t>linkages</w:t>
      </w:r>
      <w:r w:rsidR="00B35B33" w:rsidRPr="0000729A">
        <w:rPr>
          <w:sz w:val="24"/>
          <w:szCs w:val="24"/>
        </w:rPr>
        <w:t xml:space="preserve"> can be made to community resources </w:t>
      </w:r>
      <w:r w:rsidR="00ED73D4" w:rsidRPr="0000729A">
        <w:rPr>
          <w:sz w:val="24"/>
          <w:szCs w:val="24"/>
        </w:rPr>
        <w:t>to</w:t>
      </w:r>
      <w:r w:rsidR="0039705E" w:rsidRPr="0000729A">
        <w:rPr>
          <w:sz w:val="24"/>
          <w:szCs w:val="24"/>
        </w:rPr>
        <w:t xml:space="preserve"> address health risks and improve health outcomes</w:t>
      </w:r>
      <w:r w:rsidRPr="0000729A">
        <w:rPr>
          <w:sz w:val="24"/>
          <w:szCs w:val="24"/>
        </w:rPr>
        <w:t>.</w:t>
      </w:r>
      <w:r w:rsidR="00CC46A2" w:rsidRPr="0000729A">
        <w:rPr>
          <w:sz w:val="24"/>
          <w:szCs w:val="24"/>
        </w:rPr>
        <w:t xml:space="preserve"> </w:t>
      </w:r>
      <w:r w:rsidR="00EF01F7" w:rsidRPr="0000729A">
        <w:rPr>
          <w:rFonts w:cstheme="minorHAnsi"/>
          <w:sz w:val="24"/>
          <w:szCs w:val="24"/>
        </w:rPr>
        <w:t>Therefore, DoN Staff can conclude that the Proposed Project will likely meet the Delivery System Transformation component of Factor 2.</w:t>
      </w:r>
    </w:p>
    <w:p w14:paraId="0B5DA248" w14:textId="7BDC8FE1" w:rsidR="00F962C6" w:rsidRPr="008D5C22" w:rsidRDefault="00F962C6" w:rsidP="003E1CDA">
      <w:pPr>
        <w:spacing w:after="0"/>
        <w:rPr>
          <w:b/>
          <w:bCs/>
          <w:sz w:val="28"/>
          <w:szCs w:val="28"/>
        </w:rPr>
      </w:pPr>
    </w:p>
    <w:p w14:paraId="38E2DB45" w14:textId="77777777" w:rsidR="00BB377E" w:rsidRPr="008D5C22" w:rsidRDefault="00BB377E" w:rsidP="00BB377E">
      <w:pPr>
        <w:pStyle w:val="Heading1"/>
        <w:spacing w:before="0" w:line="240" w:lineRule="auto"/>
        <w:ind w:left="180"/>
        <w:rPr>
          <w:rFonts w:cstheme="minorHAnsi"/>
          <w:b w:val="0"/>
          <w:bCs/>
          <w:sz w:val="24"/>
          <w:szCs w:val="24"/>
        </w:rPr>
      </w:pPr>
      <w:bookmarkStart w:id="18" w:name="_Toc99993060"/>
      <w:bookmarkStart w:id="19" w:name="_Toc144207776"/>
      <w:bookmarkStart w:id="20" w:name="_Toc181784910"/>
      <w:r w:rsidRPr="008D5C22">
        <w:rPr>
          <w:rFonts w:cstheme="minorHAnsi"/>
          <w:b w:val="0"/>
          <w:bCs/>
          <w:sz w:val="24"/>
          <w:szCs w:val="24"/>
        </w:rPr>
        <w:t>Summary, FACTOR 2</w:t>
      </w:r>
      <w:bookmarkEnd w:id="18"/>
      <w:bookmarkEnd w:id="19"/>
      <w:bookmarkEnd w:id="20"/>
      <w:r w:rsidRPr="008D5C22">
        <w:rPr>
          <w:rFonts w:cstheme="minorHAnsi"/>
          <w:b w:val="0"/>
          <w:bCs/>
          <w:sz w:val="24"/>
          <w:szCs w:val="24"/>
        </w:rPr>
        <w:t xml:space="preserve"> </w:t>
      </w:r>
    </w:p>
    <w:p w14:paraId="7202A886" w14:textId="383E3908" w:rsidR="00BB377E" w:rsidRPr="008D5C22" w:rsidRDefault="00BB377E" w:rsidP="00BB377E">
      <w:pPr>
        <w:tabs>
          <w:tab w:val="left" w:pos="3240"/>
        </w:tabs>
        <w:ind w:left="180"/>
        <w:rPr>
          <w:rFonts w:cstheme="minorHAnsi"/>
        </w:rPr>
      </w:pPr>
      <w:r w:rsidRPr="008D5C22">
        <w:rPr>
          <w:rFonts w:cstheme="minorHAnsi"/>
          <w:sz w:val="24"/>
          <w:szCs w:val="24"/>
        </w:rPr>
        <w:t>As a result of information provided, staff finds that the Proposed Project has sufficiently met the requirements of Factor 2</w:t>
      </w:r>
      <w:r w:rsidRPr="008D5C22">
        <w:rPr>
          <w:rFonts w:cstheme="minorHAnsi"/>
        </w:rPr>
        <w:t>.</w:t>
      </w:r>
    </w:p>
    <w:p w14:paraId="461EA7E5" w14:textId="77777777" w:rsidR="00BB377E" w:rsidRPr="00AA0F82" w:rsidRDefault="00BB377E" w:rsidP="00BB377E">
      <w:pPr>
        <w:tabs>
          <w:tab w:val="left" w:pos="3240"/>
        </w:tabs>
        <w:ind w:left="180"/>
        <w:rPr>
          <w:rFonts w:cstheme="minorHAnsi"/>
          <w:highlight w:val="yellow"/>
        </w:rPr>
      </w:pPr>
    </w:p>
    <w:p w14:paraId="37B182AD" w14:textId="73B9E1E1" w:rsidR="003E1CDA" w:rsidRPr="008D5C22" w:rsidRDefault="003E1CDA" w:rsidP="00BB377E">
      <w:pPr>
        <w:pStyle w:val="Heading1"/>
        <w:spacing w:before="0"/>
      </w:pPr>
      <w:bookmarkStart w:id="21" w:name="_Toc181784911"/>
      <w:r w:rsidRPr="008D5C22">
        <w:t>Factor 3: Relevant Licensure/Oversight Compliance</w:t>
      </w:r>
      <w:bookmarkEnd w:id="21"/>
    </w:p>
    <w:p w14:paraId="04E73BEA" w14:textId="7A7CAD73" w:rsidR="00FB4DD9" w:rsidRPr="008D5C22" w:rsidRDefault="00FB4DD9" w:rsidP="00FB4DD9">
      <w:pPr>
        <w:contextualSpacing/>
        <w:rPr>
          <w:rFonts w:cstheme="minorHAnsi"/>
          <w:sz w:val="24"/>
          <w:szCs w:val="24"/>
        </w:rPr>
      </w:pPr>
      <w:r w:rsidRPr="008D5C22">
        <w:rPr>
          <w:rFonts w:cstheme="minorHAnsi"/>
          <w:sz w:val="24"/>
          <w:szCs w:val="24"/>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1C16FDE7" w14:textId="77777777" w:rsidR="0056497E" w:rsidRPr="00AA0F82" w:rsidRDefault="0056497E" w:rsidP="00FB4DD9">
      <w:pPr>
        <w:contextualSpacing/>
        <w:rPr>
          <w:rFonts w:cstheme="minorHAnsi"/>
          <w:sz w:val="24"/>
          <w:szCs w:val="24"/>
          <w:highlight w:val="yellow"/>
        </w:rPr>
      </w:pPr>
    </w:p>
    <w:p w14:paraId="5C31A63B" w14:textId="78FEF267" w:rsidR="00494346" w:rsidRPr="000A55E1" w:rsidRDefault="003E1CDA" w:rsidP="00494346">
      <w:pPr>
        <w:pStyle w:val="Heading1"/>
      </w:pPr>
      <w:bookmarkStart w:id="22" w:name="_Toc181784912"/>
      <w:r w:rsidRPr="000A55E1">
        <w:t xml:space="preserve">Factor 4: </w:t>
      </w:r>
      <w:r w:rsidR="002B05B4" w:rsidRPr="000A55E1">
        <w:t>Financial Feasibility</w:t>
      </w:r>
      <w:bookmarkEnd w:id="22"/>
    </w:p>
    <w:p w14:paraId="4DE74A3C" w14:textId="5113D8DE" w:rsidR="004E6193" w:rsidRPr="000A55E1" w:rsidRDefault="00A20EEE" w:rsidP="0056497E">
      <w:pPr>
        <w:spacing w:after="0"/>
        <w:rPr>
          <w:rFonts w:cstheme="minorHAnsi"/>
          <w:sz w:val="24"/>
          <w:szCs w:val="24"/>
        </w:rPr>
      </w:pPr>
      <w:r w:rsidRPr="000A55E1">
        <w:rPr>
          <w:rFonts w:cstheme="minorHAnsi"/>
          <w:sz w:val="24"/>
          <w:szCs w:val="24"/>
        </w:rPr>
        <w:t xml:space="preserve">Under </w:t>
      </w:r>
      <w:r w:rsidR="00C00F7E">
        <w:rPr>
          <w:rFonts w:cstheme="minorHAnsi"/>
          <w:sz w:val="24"/>
          <w:szCs w:val="24"/>
        </w:rPr>
        <w:t>F</w:t>
      </w:r>
      <w:r w:rsidRPr="000A55E1">
        <w:rPr>
          <w:rFonts w:cstheme="minorHAnsi"/>
          <w:sz w:val="24"/>
          <w:szCs w:val="24"/>
        </w:rPr>
        <w:t>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1C7AE9AC" w14:textId="77777777" w:rsidR="0056497E" w:rsidRPr="00AA0F82" w:rsidRDefault="0056497E" w:rsidP="0056497E">
      <w:pPr>
        <w:spacing w:after="0"/>
        <w:rPr>
          <w:rFonts w:cstheme="minorHAnsi"/>
          <w:sz w:val="24"/>
          <w:szCs w:val="24"/>
          <w:highlight w:val="yellow"/>
        </w:rPr>
      </w:pPr>
    </w:p>
    <w:p w14:paraId="174CD454" w14:textId="2CBE3116" w:rsidR="00705B6C" w:rsidRPr="00F37F44" w:rsidRDefault="008E4932" w:rsidP="0056497E">
      <w:pPr>
        <w:autoSpaceDE w:val="0"/>
        <w:autoSpaceDN w:val="0"/>
        <w:adjustRightInd w:val="0"/>
        <w:spacing w:after="0"/>
        <w:rPr>
          <w:sz w:val="24"/>
          <w:szCs w:val="24"/>
        </w:rPr>
      </w:pPr>
      <w:r w:rsidRPr="00F37F44">
        <w:rPr>
          <w:sz w:val="24"/>
          <w:szCs w:val="24"/>
        </w:rPr>
        <w:t xml:space="preserve">The Applicant submitted a CPA report compiled by </w:t>
      </w:r>
      <w:r w:rsidR="00A41C08" w:rsidRPr="00F37F44">
        <w:rPr>
          <w:sz w:val="24"/>
          <w:szCs w:val="24"/>
        </w:rPr>
        <w:t xml:space="preserve">Meyers Brothers Kalicka, </w:t>
      </w:r>
      <w:r w:rsidR="000C5F89" w:rsidRPr="00F37F44">
        <w:rPr>
          <w:sz w:val="24"/>
          <w:szCs w:val="24"/>
        </w:rPr>
        <w:t>Certified Public Accountants</w:t>
      </w:r>
      <w:r w:rsidRPr="00F37F44">
        <w:rPr>
          <w:sz w:val="24"/>
          <w:szCs w:val="24"/>
        </w:rPr>
        <w:t>. The scope of the analysis included review of the five-year financial projections</w:t>
      </w:r>
      <w:r w:rsidR="006F0202" w:rsidRPr="00F37F44">
        <w:rPr>
          <w:sz w:val="24"/>
          <w:szCs w:val="24"/>
        </w:rPr>
        <w:t>,</w:t>
      </w:r>
      <w:r w:rsidR="003F518B" w:rsidRPr="00F37F44">
        <w:rPr>
          <w:sz w:val="24"/>
          <w:szCs w:val="24"/>
        </w:rPr>
        <w:t xml:space="preserve"> five-year projected cash flow statements, </w:t>
      </w:r>
      <w:r w:rsidR="00ED1205" w:rsidRPr="00F37F44">
        <w:rPr>
          <w:sz w:val="24"/>
          <w:szCs w:val="24"/>
        </w:rPr>
        <w:t xml:space="preserve">historical </w:t>
      </w:r>
      <w:r w:rsidR="00674978" w:rsidRPr="00F37F44">
        <w:rPr>
          <w:sz w:val="24"/>
          <w:szCs w:val="24"/>
        </w:rPr>
        <w:t>ED volumes</w:t>
      </w:r>
      <w:r w:rsidR="00DD5045" w:rsidRPr="00F37F44">
        <w:rPr>
          <w:sz w:val="24"/>
          <w:szCs w:val="24"/>
        </w:rPr>
        <w:t xml:space="preserve"> (</w:t>
      </w:r>
      <w:r w:rsidR="005D362D" w:rsidRPr="00F37F44">
        <w:rPr>
          <w:sz w:val="24"/>
          <w:szCs w:val="24"/>
        </w:rPr>
        <w:t>FY2022 and FY2023)</w:t>
      </w:r>
      <w:r w:rsidR="00546FD9" w:rsidRPr="00F37F44">
        <w:rPr>
          <w:sz w:val="24"/>
          <w:szCs w:val="24"/>
        </w:rPr>
        <w:t xml:space="preserve">, </w:t>
      </w:r>
      <w:r w:rsidR="005D362D" w:rsidRPr="00F37F44">
        <w:rPr>
          <w:sz w:val="24"/>
          <w:szCs w:val="24"/>
        </w:rPr>
        <w:t>historical ED revenues and expenses (FY2022</w:t>
      </w:r>
      <w:r w:rsidR="00814D58" w:rsidRPr="00F37F44">
        <w:rPr>
          <w:sz w:val="24"/>
          <w:szCs w:val="24"/>
        </w:rPr>
        <w:t xml:space="preserve">, </w:t>
      </w:r>
      <w:r w:rsidR="005D362D" w:rsidRPr="00F37F44">
        <w:rPr>
          <w:sz w:val="24"/>
          <w:szCs w:val="24"/>
        </w:rPr>
        <w:t>FY2023</w:t>
      </w:r>
      <w:r w:rsidR="00814D58" w:rsidRPr="00F37F44">
        <w:rPr>
          <w:sz w:val="24"/>
          <w:szCs w:val="24"/>
        </w:rPr>
        <w:t xml:space="preserve">, and first two quarters </w:t>
      </w:r>
      <w:r w:rsidR="00565202" w:rsidRPr="00F37F44">
        <w:rPr>
          <w:sz w:val="24"/>
          <w:szCs w:val="24"/>
        </w:rPr>
        <w:t>FY2024</w:t>
      </w:r>
      <w:r w:rsidR="005D362D" w:rsidRPr="00F37F44">
        <w:rPr>
          <w:sz w:val="24"/>
          <w:szCs w:val="24"/>
        </w:rPr>
        <w:t xml:space="preserve">), </w:t>
      </w:r>
      <w:r w:rsidR="00653BC2" w:rsidRPr="00F37F44">
        <w:rPr>
          <w:sz w:val="24"/>
          <w:szCs w:val="24"/>
        </w:rPr>
        <w:t>Beth Israel Lahey Health, Inc. and Affiliates audited consolidated financial statements</w:t>
      </w:r>
      <w:r w:rsidR="006A7670" w:rsidRPr="00F37F44">
        <w:rPr>
          <w:sz w:val="24"/>
          <w:szCs w:val="24"/>
        </w:rPr>
        <w:t xml:space="preserve"> (F</w:t>
      </w:r>
      <w:r w:rsidR="003F518B" w:rsidRPr="00F37F44">
        <w:rPr>
          <w:sz w:val="24"/>
          <w:szCs w:val="24"/>
        </w:rPr>
        <w:t>Y</w:t>
      </w:r>
      <w:r w:rsidR="006A7670" w:rsidRPr="00F37F44">
        <w:rPr>
          <w:sz w:val="24"/>
          <w:szCs w:val="24"/>
        </w:rPr>
        <w:t>2022 and F</w:t>
      </w:r>
      <w:r w:rsidR="003F518B" w:rsidRPr="00F37F44">
        <w:rPr>
          <w:sz w:val="24"/>
          <w:szCs w:val="24"/>
        </w:rPr>
        <w:t>Y</w:t>
      </w:r>
      <w:r w:rsidR="006A7670" w:rsidRPr="00F37F44">
        <w:rPr>
          <w:sz w:val="24"/>
          <w:szCs w:val="24"/>
        </w:rPr>
        <w:t>2023)</w:t>
      </w:r>
      <w:r w:rsidR="00DF1B77" w:rsidRPr="00F37F44">
        <w:rPr>
          <w:sz w:val="24"/>
          <w:szCs w:val="24"/>
        </w:rPr>
        <w:t>,</w:t>
      </w:r>
      <w:r w:rsidRPr="00F37F44">
        <w:rPr>
          <w:sz w:val="24"/>
          <w:szCs w:val="24"/>
        </w:rPr>
        <w:t xml:space="preserve"> </w:t>
      </w:r>
      <w:r w:rsidR="0093695D" w:rsidRPr="00F37F44">
        <w:rPr>
          <w:sz w:val="24"/>
          <w:szCs w:val="24"/>
        </w:rPr>
        <w:t>capital project</w:t>
      </w:r>
      <w:r w:rsidR="00976E75" w:rsidRPr="00F37F44">
        <w:rPr>
          <w:sz w:val="24"/>
          <w:szCs w:val="24"/>
        </w:rPr>
        <w:t xml:space="preserve"> budget, and BID Plymouth </w:t>
      </w:r>
      <w:r w:rsidR="00F37F44" w:rsidRPr="00F37F44">
        <w:rPr>
          <w:sz w:val="24"/>
          <w:szCs w:val="24"/>
        </w:rPr>
        <w:t>FY</w:t>
      </w:r>
      <w:r w:rsidR="00976E75" w:rsidRPr="00F37F44">
        <w:rPr>
          <w:sz w:val="24"/>
          <w:szCs w:val="24"/>
        </w:rPr>
        <w:t>2025 ED budget.</w:t>
      </w:r>
      <w:r w:rsidR="00F37F44" w:rsidRPr="00F37F44">
        <w:rPr>
          <w:sz w:val="24"/>
          <w:szCs w:val="24"/>
        </w:rPr>
        <w:t xml:space="preserve"> </w:t>
      </w:r>
      <w:r w:rsidRPr="00F37F44">
        <w:rPr>
          <w:sz w:val="24"/>
          <w:szCs w:val="24"/>
        </w:rPr>
        <w:t>The CPA assessed the reasonableness</w:t>
      </w:r>
      <w:r w:rsidRPr="00F37F44">
        <w:rPr>
          <w:rStyle w:val="FootnoteReference"/>
          <w:sz w:val="24"/>
          <w:szCs w:val="24"/>
        </w:rPr>
        <w:footnoteReference w:id="21"/>
      </w:r>
      <w:r w:rsidRPr="00F37F44">
        <w:rPr>
          <w:sz w:val="24"/>
          <w:szCs w:val="24"/>
        </w:rPr>
        <w:t xml:space="preserve"> of assumptions used in the preparation and feasibility</w:t>
      </w:r>
      <w:r w:rsidRPr="00F37F44">
        <w:rPr>
          <w:rStyle w:val="FootnoteReference"/>
          <w:sz w:val="24"/>
          <w:szCs w:val="24"/>
        </w:rPr>
        <w:footnoteReference w:id="22"/>
      </w:r>
      <w:r w:rsidRPr="00F37F44">
        <w:rPr>
          <w:sz w:val="24"/>
          <w:szCs w:val="24"/>
        </w:rPr>
        <w:t xml:space="preserve"> of the projections with regards to the Proposed Project. </w:t>
      </w:r>
    </w:p>
    <w:p w14:paraId="67B60F37" w14:textId="77777777" w:rsidR="0056497E" w:rsidRPr="00AA0F82" w:rsidRDefault="0056497E" w:rsidP="0056497E">
      <w:pPr>
        <w:autoSpaceDE w:val="0"/>
        <w:autoSpaceDN w:val="0"/>
        <w:adjustRightInd w:val="0"/>
        <w:spacing w:after="0"/>
        <w:rPr>
          <w:rFonts w:cstheme="minorHAnsi"/>
          <w:sz w:val="24"/>
          <w:szCs w:val="24"/>
          <w:highlight w:val="yellow"/>
        </w:rPr>
      </w:pPr>
    </w:p>
    <w:p w14:paraId="30DC0D0E" w14:textId="77777777" w:rsidR="008E4932" w:rsidRPr="005C6EF4" w:rsidRDefault="008E4932" w:rsidP="00D7401D">
      <w:pPr>
        <w:spacing w:after="0"/>
        <w:rPr>
          <w:rFonts w:cstheme="minorHAnsi"/>
          <w:b/>
          <w:sz w:val="24"/>
          <w:szCs w:val="24"/>
        </w:rPr>
      </w:pPr>
      <w:r w:rsidRPr="005C6EF4">
        <w:rPr>
          <w:rFonts w:cstheme="minorHAnsi"/>
          <w:b/>
          <w:sz w:val="24"/>
          <w:szCs w:val="24"/>
        </w:rPr>
        <w:lastRenderedPageBreak/>
        <w:t>Revenues</w:t>
      </w:r>
    </w:p>
    <w:p w14:paraId="69A25B43" w14:textId="28DD9148" w:rsidR="00A40347" w:rsidRPr="005C6EF4" w:rsidRDefault="00705254" w:rsidP="005C6EF4">
      <w:pPr>
        <w:spacing w:after="0"/>
        <w:textAlignment w:val="baseline"/>
        <w:rPr>
          <w:sz w:val="24"/>
          <w:szCs w:val="24"/>
        </w:rPr>
      </w:pPr>
      <w:r w:rsidRPr="005C6EF4">
        <w:rPr>
          <w:sz w:val="24"/>
          <w:szCs w:val="24"/>
        </w:rPr>
        <w:t xml:space="preserve">The CPA reviewed and analyzed the net operating revenues in the historical and projected financial information. </w:t>
      </w:r>
      <w:r w:rsidR="00325DAD" w:rsidRPr="005C6EF4">
        <w:rPr>
          <w:sz w:val="24"/>
          <w:szCs w:val="24"/>
        </w:rPr>
        <w:t xml:space="preserve">For FY2026-2033, </w:t>
      </w:r>
      <w:r w:rsidR="00544FF5" w:rsidRPr="005C6EF4">
        <w:rPr>
          <w:sz w:val="24"/>
          <w:szCs w:val="24"/>
        </w:rPr>
        <w:t xml:space="preserve">the volume of </w:t>
      </w:r>
      <w:r w:rsidR="00325DAD" w:rsidRPr="005C6EF4">
        <w:rPr>
          <w:sz w:val="24"/>
          <w:szCs w:val="24"/>
        </w:rPr>
        <w:t xml:space="preserve">ED cases </w:t>
      </w:r>
      <w:r w:rsidR="00CD5995" w:rsidRPr="005C6EF4">
        <w:rPr>
          <w:sz w:val="24"/>
          <w:szCs w:val="24"/>
        </w:rPr>
        <w:t xml:space="preserve">projected an increase </w:t>
      </w:r>
      <w:r w:rsidR="00325DAD" w:rsidRPr="005C6EF4">
        <w:rPr>
          <w:sz w:val="24"/>
          <w:szCs w:val="24"/>
        </w:rPr>
        <w:t>of 2% annually</w:t>
      </w:r>
      <w:r w:rsidR="007A554C" w:rsidRPr="005C6EF4">
        <w:rPr>
          <w:sz w:val="24"/>
          <w:szCs w:val="24"/>
        </w:rPr>
        <w:t>.</w:t>
      </w:r>
      <w:r w:rsidR="00325DAD" w:rsidRPr="005C6EF4">
        <w:rPr>
          <w:sz w:val="24"/>
          <w:szCs w:val="24"/>
        </w:rPr>
        <w:t xml:space="preserve"> </w:t>
      </w:r>
      <w:r w:rsidR="005C36E0" w:rsidRPr="005C6EF4">
        <w:rPr>
          <w:sz w:val="24"/>
          <w:szCs w:val="24"/>
        </w:rPr>
        <w:t>Projection</w:t>
      </w:r>
      <w:r w:rsidR="00F6332C" w:rsidRPr="005C6EF4">
        <w:rPr>
          <w:sz w:val="24"/>
          <w:szCs w:val="24"/>
        </w:rPr>
        <w:t xml:space="preserve">s </w:t>
      </w:r>
      <w:r w:rsidR="00230883" w:rsidRPr="005C6EF4">
        <w:rPr>
          <w:sz w:val="24"/>
          <w:szCs w:val="24"/>
        </w:rPr>
        <w:t>assumed</w:t>
      </w:r>
      <w:r w:rsidR="005C36E0" w:rsidRPr="005C6EF4">
        <w:rPr>
          <w:sz w:val="24"/>
          <w:szCs w:val="24"/>
        </w:rPr>
        <w:t xml:space="preserve"> annual increases of 2.0% to 3.5% in net revenue per case for the </w:t>
      </w:r>
      <w:r w:rsidR="006C3975" w:rsidRPr="005C6EF4">
        <w:rPr>
          <w:sz w:val="24"/>
          <w:szCs w:val="24"/>
        </w:rPr>
        <w:t>FY2025-FY2033</w:t>
      </w:r>
      <w:r w:rsidR="005C36E0" w:rsidRPr="005C6EF4">
        <w:rPr>
          <w:sz w:val="24"/>
          <w:szCs w:val="24"/>
        </w:rPr>
        <w:t>.</w:t>
      </w:r>
      <w:r w:rsidR="00A40347" w:rsidRPr="005C6EF4">
        <w:rPr>
          <w:sz w:val="24"/>
          <w:szCs w:val="24"/>
        </w:rPr>
        <w:t xml:space="preserve"> The CPA’s opinion is that the revenue projected by Management is a reasonable estimation and conservative based primarily upon the historical case volume.</w:t>
      </w:r>
    </w:p>
    <w:p w14:paraId="7A0B5E06" w14:textId="77777777" w:rsidR="00D7401D" w:rsidRPr="00AA0F82" w:rsidRDefault="00D7401D" w:rsidP="00D7401D">
      <w:pPr>
        <w:spacing w:after="0"/>
        <w:textAlignment w:val="baseline"/>
        <w:rPr>
          <w:rFonts w:eastAsia="Trebuchet MS"/>
          <w:color w:val="000000"/>
          <w:sz w:val="24"/>
          <w:szCs w:val="24"/>
          <w:highlight w:val="yellow"/>
        </w:rPr>
      </w:pPr>
    </w:p>
    <w:p w14:paraId="5C9A50FD" w14:textId="77777777" w:rsidR="008E4932" w:rsidRPr="00771116" w:rsidRDefault="008E4932" w:rsidP="00D7401D">
      <w:pPr>
        <w:spacing w:after="0"/>
        <w:rPr>
          <w:rFonts w:cstheme="minorHAnsi"/>
          <w:b/>
          <w:sz w:val="24"/>
          <w:szCs w:val="24"/>
        </w:rPr>
      </w:pPr>
      <w:r w:rsidRPr="00771116">
        <w:rPr>
          <w:rFonts w:cstheme="minorHAnsi"/>
          <w:b/>
          <w:sz w:val="24"/>
          <w:szCs w:val="24"/>
        </w:rPr>
        <w:t>Operating Expenses</w:t>
      </w:r>
    </w:p>
    <w:p w14:paraId="5C938712" w14:textId="51DCF645" w:rsidR="008E4932" w:rsidRPr="00771116" w:rsidRDefault="008E4932" w:rsidP="008F0717">
      <w:pPr>
        <w:autoSpaceDE w:val="0"/>
        <w:autoSpaceDN w:val="0"/>
        <w:adjustRightInd w:val="0"/>
        <w:spacing w:after="0"/>
        <w:rPr>
          <w:rFonts w:cstheme="minorHAnsi"/>
          <w:sz w:val="24"/>
          <w:szCs w:val="24"/>
        </w:rPr>
      </w:pPr>
      <w:r w:rsidRPr="00771116">
        <w:rPr>
          <w:rFonts w:cstheme="minorHAnsi"/>
          <w:sz w:val="24"/>
          <w:szCs w:val="24"/>
        </w:rPr>
        <w:t xml:space="preserve">The CPA analyzed Salaries and Benefits, </w:t>
      </w:r>
      <w:r w:rsidR="00C530BF" w:rsidRPr="00771116">
        <w:rPr>
          <w:rFonts w:cstheme="minorHAnsi"/>
          <w:sz w:val="24"/>
          <w:szCs w:val="24"/>
        </w:rPr>
        <w:t xml:space="preserve">Supplies, </w:t>
      </w:r>
      <w:r w:rsidR="00D51DF0" w:rsidRPr="00771116">
        <w:rPr>
          <w:rFonts w:cstheme="minorHAnsi"/>
          <w:sz w:val="24"/>
          <w:szCs w:val="24"/>
        </w:rPr>
        <w:t xml:space="preserve">Physician Expenses, Psychology Services, </w:t>
      </w:r>
      <w:r w:rsidR="00771116" w:rsidRPr="00771116">
        <w:rPr>
          <w:rFonts w:cstheme="minorHAnsi"/>
          <w:sz w:val="24"/>
          <w:szCs w:val="24"/>
        </w:rPr>
        <w:t>Fees</w:t>
      </w:r>
      <w:r w:rsidRPr="00771116">
        <w:rPr>
          <w:rFonts w:cstheme="minorHAnsi"/>
          <w:sz w:val="24"/>
          <w:szCs w:val="24"/>
        </w:rPr>
        <w:t xml:space="preserve">, </w:t>
      </w:r>
      <w:r w:rsidR="00771116" w:rsidRPr="00771116">
        <w:rPr>
          <w:rFonts w:cstheme="minorHAnsi"/>
          <w:sz w:val="24"/>
          <w:szCs w:val="24"/>
        </w:rPr>
        <w:t xml:space="preserve">and </w:t>
      </w:r>
      <w:r w:rsidRPr="00771116">
        <w:rPr>
          <w:rFonts w:cstheme="minorHAnsi"/>
          <w:sz w:val="24"/>
          <w:szCs w:val="24"/>
        </w:rPr>
        <w:t xml:space="preserve">Depreciation Expense for reasonableness and feasibility as related to the Proposed Project. </w:t>
      </w:r>
    </w:p>
    <w:p w14:paraId="39395352" w14:textId="77777777" w:rsidR="008F0717" w:rsidRPr="00AA0F82" w:rsidRDefault="008F0717" w:rsidP="008F0717">
      <w:pPr>
        <w:autoSpaceDE w:val="0"/>
        <w:autoSpaceDN w:val="0"/>
        <w:adjustRightInd w:val="0"/>
        <w:spacing w:after="0"/>
        <w:rPr>
          <w:rFonts w:cstheme="minorHAnsi"/>
          <w:sz w:val="24"/>
          <w:szCs w:val="24"/>
          <w:highlight w:val="yellow"/>
        </w:rPr>
      </w:pPr>
    </w:p>
    <w:p w14:paraId="3CD18BC9" w14:textId="5BB91700" w:rsidR="0031700D" w:rsidRPr="00296B5B" w:rsidRDefault="008E4932" w:rsidP="008F0717">
      <w:pPr>
        <w:autoSpaceDE w:val="0"/>
        <w:autoSpaceDN w:val="0"/>
        <w:adjustRightInd w:val="0"/>
        <w:spacing w:after="0"/>
        <w:rPr>
          <w:rFonts w:eastAsia="Trebuchet MS"/>
          <w:bCs/>
          <w:color w:val="000000"/>
          <w:spacing w:val="3"/>
          <w:sz w:val="24"/>
          <w:szCs w:val="24"/>
        </w:rPr>
      </w:pPr>
      <w:r w:rsidRPr="004A42D5">
        <w:rPr>
          <w:rFonts w:cstheme="minorHAnsi"/>
          <w:i/>
          <w:iCs/>
          <w:sz w:val="24"/>
          <w:szCs w:val="24"/>
        </w:rPr>
        <w:t xml:space="preserve">Salaries </w:t>
      </w:r>
      <w:r w:rsidR="004A42D5" w:rsidRPr="004A42D5">
        <w:rPr>
          <w:rFonts w:cstheme="minorHAnsi"/>
          <w:i/>
          <w:iCs/>
          <w:sz w:val="24"/>
          <w:szCs w:val="24"/>
        </w:rPr>
        <w:t xml:space="preserve">and Benefits: </w:t>
      </w:r>
      <w:r w:rsidR="00296B5B">
        <w:rPr>
          <w:rFonts w:cstheme="minorHAnsi"/>
          <w:i/>
          <w:iCs/>
          <w:sz w:val="24"/>
          <w:szCs w:val="24"/>
        </w:rPr>
        <w:t>S</w:t>
      </w:r>
      <w:r w:rsidR="004A42D5" w:rsidRPr="00296B5B">
        <w:rPr>
          <w:rFonts w:eastAsia="Trebuchet MS"/>
          <w:bCs/>
          <w:color w:val="000000"/>
          <w:spacing w:val="3"/>
          <w:sz w:val="24"/>
          <w:szCs w:val="24"/>
        </w:rPr>
        <w:t xml:space="preserve">alaries </w:t>
      </w:r>
      <w:r w:rsidR="0089304F" w:rsidRPr="00296B5B">
        <w:rPr>
          <w:rFonts w:eastAsia="Trebuchet MS"/>
          <w:bCs/>
          <w:color w:val="000000"/>
          <w:spacing w:val="3"/>
          <w:sz w:val="24"/>
          <w:szCs w:val="24"/>
        </w:rPr>
        <w:t xml:space="preserve">were </w:t>
      </w:r>
      <w:r w:rsidR="00A61A04" w:rsidRPr="00296B5B">
        <w:rPr>
          <w:rFonts w:eastAsia="Trebuchet MS"/>
          <w:bCs/>
          <w:color w:val="000000"/>
          <w:spacing w:val="3"/>
          <w:sz w:val="24"/>
          <w:szCs w:val="24"/>
        </w:rPr>
        <w:t xml:space="preserve">based on an estimate of 107 full time employees (FTE) </w:t>
      </w:r>
      <w:r w:rsidR="009A4E12" w:rsidRPr="00296B5B">
        <w:rPr>
          <w:rFonts w:eastAsia="Trebuchet MS"/>
          <w:bCs/>
          <w:color w:val="000000"/>
          <w:spacing w:val="3"/>
          <w:sz w:val="24"/>
          <w:szCs w:val="24"/>
        </w:rPr>
        <w:t xml:space="preserve">and </w:t>
      </w:r>
      <w:r w:rsidR="0089304F" w:rsidRPr="00296B5B">
        <w:rPr>
          <w:rFonts w:eastAsia="Trebuchet MS"/>
          <w:bCs/>
          <w:color w:val="000000"/>
          <w:spacing w:val="3"/>
          <w:sz w:val="24"/>
          <w:szCs w:val="24"/>
        </w:rPr>
        <w:t>Benefits were calculated as a percentage of salaries using historical data</w:t>
      </w:r>
      <w:r w:rsidR="009A4E12" w:rsidRPr="00296B5B">
        <w:rPr>
          <w:rFonts w:eastAsia="Trebuchet MS"/>
          <w:bCs/>
          <w:color w:val="000000"/>
          <w:spacing w:val="3"/>
          <w:sz w:val="24"/>
          <w:szCs w:val="24"/>
        </w:rPr>
        <w:t xml:space="preserve">. </w:t>
      </w:r>
      <w:r w:rsidR="00AB337F" w:rsidRPr="00296B5B">
        <w:rPr>
          <w:rFonts w:eastAsia="Trebuchet MS"/>
          <w:bCs/>
          <w:color w:val="000000"/>
          <w:spacing w:val="3"/>
          <w:sz w:val="24"/>
          <w:szCs w:val="24"/>
        </w:rPr>
        <w:t>Projected salaries and wages are based on actual figures from FY2023</w:t>
      </w:r>
      <w:r w:rsidR="00300FC7" w:rsidRPr="00296B5B">
        <w:rPr>
          <w:rFonts w:eastAsia="Trebuchet MS"/>
          <w:bCs/>
          <w:color w:val="000000"/>
          <w:spacing w:val="3"/>
          <w:sz w:val="24"/>
          <w:szCs w:val="24"/>
        </w:rPr>
        <w:t xml:space="preserve"> and ass</w:t>
      </w:r>
      <w:r w:rsidR="00001B5A" w:rsidRPr="00296B5B">
        <w:rPr>
          <w:rFonts w:eastAsia="Trebuchet MS"/>
          <w:bCs/>
          <w:color w:val="000000"/>
          <w:spacing w:val="3"/>
          <w:sz w:val="24"/>
          <w:szCs w:val="24"/>
        </w:rPr>
        <w:t>umed an</w:t>
      </w:r>
      <w:r w:rsidR="00300FC7" w:rsidRPr="00296B5B">
        <w:rPr>
          <w:rFonts w:eastAsia="Trebuchet MS"/>
          <w:bCs/>
          <w:color w:val="000000"/>
          <w:spacing w:val="3"/>
          <w:sz w:val="24"/>
          <w:szCs w:val="24"/>
        </w:rPr>
        <w:t xml:space="preserve"> increase</w:t>
      </w:r>
      <w:r w:rsidR="00001B5A" w:rsidRPr="00296B5B">
        <w:rPr>
          <w:rFonts w:eastAsia="Trebuchet MS"/>
          <w:bCs/>
          <w:color w:val="000000"/>
          <w:spacing w:val="3"/>
          <w:sz w:val="24"/>
          <w:szCs w:val="24"/>
        </w:rPr>
        <w:t xml:space="preserve"> of</w:t>
      </w:r>
      <w:r w:rsidR="00300FC7" w:rsidRPr="00296B5B">
        <w:rPr>
          <w:rFonts w:eastAsia="Trebuchet MS"/>
          <w:bCs/>
          <w:color w:val="000000"/>
          <w:spacing w:val="3"/>
          <w:sz w:val="24"/>
          <w:szCs w:val="24"/>
        </w:rPr>
        <w:t xml:space="preserve"> approximately 5.5% annually for </w:t>
      </w:r>
      <w:r w:rsidR="00001B5A" w:rsidRPr="00296B5B">
        <w:rPr>
          <w:rFonts w:eastAsia="Trebuchet MS"/>
          <w:bCs/>
          <w:color w:val="000000"/>
          <w:spacing w:val="3"/>
          <w:sz w:val="24"/>
          <w:szCs w:val="24"/>
        </w:rPr>
        <w:t>FY2024 and FY2025</w:t>
      </w:r>
      <w:r w:rsidR="00300FC7" w:rsidRPr="00296B5B">
        <w:rPr>
          <w:rFonts w:eastAsia="Trebuchet MS"/>
          <w:bCs/>
          <w:color w:val="000000"/>
          <w:spacing w:val="3"/>
          <w:sz w:val="24"/>
          <w:szCs w:val="24"/>
        </w:rPr>
        <w:t xml:space="preserve">, and 2% annually for the </w:t>
      </w:r>
      <w:r w:rsidR="00001B5A" w:rsidRPr="00296B5B">
        <w:rPr>
          <w:rFonts w:eastAsia="Trebuchet MS"/>
          <w:bCs/>
          <w:color w:val="000000"/>
          <w:spacing w:val="3"/>
          <w:sz w:val="24"/>
          <w:szCs w:val="24"/>
        </w:rPr>
        <w:t>FY2026 to FY2033</w:t>
      </w:r>
      <w:r w:rsidR="00300FC7" w:rsidRPr="00296B5B">
        <w:rPr>
          <w:rFonts w:eastAsia="Trebuchet MS"/>
          <w:bCs/>
          <w:color w:val="000000"/>
          <w:spacing w:val="3"/>
          <w:sz w:val="24"/>
          <w:szCs w:val="24"/>
        </w:rPr>
        <w:t xml:space="preserve">. In addition to the increase in FTEs, management also assumes an approximate 4% cost of living adjustment annually. </w:t>
      </w:r>
      <w:r w:rsidR="00296B5B" w:rsidRPr="00296B5B">
        <w:rPr>
          <w:rFonts w:eastAsia="Trebuchet MS"/>
          <w:bCs/>
          <w:color w:val="000000"/>
          <w:spacing w:val="3"/>
          <w:sz w:val="24"/>
          <w:szCs w:val="24"/>
        </w:rPr>
        <w:t>F</w:t>
      </w:r>
      <w:r w:rsidR="009E34F6" w:rsidRPr="00296B5B">
        <w:rPr>
          <w:rFonts w:eastAsia="Trebuchet MS"/>
          <w:bCs/>
          <w:color w:val="000000"/>
          <w:spacing w:val="3"/>
          <w:sz w:val="24"/>
          <w:szCs w:val="24"/>
        </w:rPr>
        <w:t>ringe benefit</w:t>
      </w:r>
      <w:r w:rsidR="00296B5B" w:rsidRPr="00296B5B">
        <w:rPr>
          <w:rFonts w:eastAsia="Trebuchet MS"/>
          <w:bCs/>
          <w:color w:val="000000"/>
          <w:spacing w:val="3"/>
          <w:sz w:val="24"/>
          <w:szCs w:val="24"/>
        </w:rPr>
        <w:t xml:space="preserve"> projections are based on historical </w:t>
      </w:r>
      <w:r w:rsidR="00E738A9" w:rsidRPr="00296B5B">
        <w:rPr>
          <w:rFonts w:eastAsia="Trebuchet MS"/>
          <w:bCs/>
          <w:color w:val="000000"/>
          <w:spacing w:val="3"/>
          <w:sz w:val="24"/>
          <w:szCs w:val="24"/>
        </w:rPr>
        <w:t>figures of</w:t>
      </w:r>
      <w:r w:rsidR="009E34F6" w:rsidRPr="00296B5B">
        <w:rPr>
          <w:rFonts w:eastAsia="Trebuchet MS"/>
          <w:bCs/>
          <w:color w:val="000000"/>
          <w:spacing w:val="3"/>
          <w:sz w:val="24"/>
          <w:szCs w:val="24"/>
        </w:rPr>
        <w:t xml:space="preserve"> approximately 23% of total wages, plus an anticipated increase in benefit costs of 1.5% for the years ending </w:t>
      </w:r>
      <w:r w:rsidR="00296B5B" w:rsidRPr="00296B5B">
        <w:rPr>
          <w:rFonts w:eastAsia="Trebuchet MS"/>
          <w:bCs/>
          <w:color w:val="000000"/>
          <w:spacing w:val="3"/>
          <w:sz w:val="24"/>
          <w:szCs w:val="24"/>
        </w:rPr>
        <w:t>from FY2025 to FY2033</w:t>
      </w:r>
      <w:r w:rsidR="009E34F6" w:rsidRPr="00296B5B">
        <w:rPr>
          <w:rFonts w:eastAsia="Trebuchet MS"/>
          <w:bCs/>
          <w:color w:val="000000"/>
          <w:spacing w:val="3"/>
          <w:sz w:val="24"/>
          <w:szCs w:val="24"/>
        </w:rPr>
        <w:t>.</w:t>
      </w:r>
    </w:p>
    <w:p w14:paraId="4811ED45" w14:textId="77777777" w:rsidR="008F0717" w:rsidRPr="008A6285" w:rsidRDefault="008F0717" w:rsidP="008F0717">
      <w:pPr>
        <w:autoSpaceDE w:val="0"/>
        <w:autoSpaceDN w:val="0"/>
        <w:adjustRightInd w:val="0"/>
        <w:spacing w:after="0"/>
        <w:rPr>
          <w:rFonts w:eastAsia="Trebuchet MS"/>
          <w:bCs/>
          <w:color w:val="000000"/>
          <w:spacing w:val="3"/>
          <w:sz w:val="24"/>
          <w:szCs w:val="24"/>
        </w:rPr>
      </w:pPr>
    </w:p>
    <w:p w14:paraId="2B73268A" w14:textId="5B0860F8" w:rsidR="0000676E" w:rsidRDefault="0031700D" w:rsidP="008F0717">
      <w:pPr>
        <w:spacing w:after="0"/>
        <w:textAlignment w:val="baseline"/>
        <w:rPr>
          <w:rFonts w:cstheme="minorHAnsi"/>
          <w:sz w:val="24"/>
          <w:szCs w:val="24"/>
        </w:rPr>
      </w:pPr>
      <w:r w:rsidRPr="008A6285">
        <w:rPr>
          <w:rFonts w:eastAsia="Trebuchet MS"/>
          <w:bCs/>
          <w:i/>
          <w:iCs/>
          <w:color w:val="000000"/>
          <w:spacing w:val="3"/>
          <w:sz w:val="24"/>
          <w:szCs w:val="24"/>
        </w:rPr>
        <w:t>Supplies</w:t>
      </w:r>
      <w:r w:rsidR="00184C33" w:rsidRPr="008A6285">
        <w:rPr>
          <w:rFonts w:eastAsia="Trebuchet MS"/>
          <w:bCs/>
          <w:i/>
          <w:iCs/>
          <w:color w:val="000000"/>
          <w:spacing w:val="3"/>
          <w:sz w:val="24"/>
          <w:szCs w:val="24"/>
        </w:rPr>
        <w:t>:</w:t>
      </w:r>
      <w:r w:rsidRPr="008A6285">
        <w:rPr>
          <w:rFonts w:eastAsia="Trebuchet MS"/>
          <w:bCs/>
          <w:color w:val="000000"/>
          <w:spacing w:val="3"/>
          <w:sz w:val="24"/>
          <w:szCs w:val="24"/>
        </w:rPr>
        <w:t xml:space="preserve"> </w:t>
      </w:r>
      <w:r w:rsidR="00184C33" w:rsidRPr="008A6285">
        <w:rPr>
          <w:rFonts w:cstheme="minorHAnsi"/>
          <w:sz w:val="24"/>
          <w:szCs w:val="24"/>
        </w:rPr>
        <w:t>Supplies include medical, cleaning, housekeeping, pharmaceutical, equipment leases, small equipment purchases, and miscellaneous other items needed to operate the ED.</w:t>
      </w:r>
      <w:r w:rsidR="008A6285" w:rsidRPr="008A6285">
        <w:rPr>
          <w:rFonts w:cstheme="minorHAnsi"/>
          <w:sz w:val="24"/>
          <w:szCs w:val="24"/>
        </w:rPr>
        <w:t xml:space="preserve"> Projections are based on historical supply expenses, plus projected inflation of costs of approximately 3% to 4% annually for FY2025-2033.</w:t>
      </w:r>
    </w:p>
    <w:p w14:paraId="60BE0650" w14:textId="77777777" w:rsidR="008A6285" w:rsidRDefault="008A6285" w:rsidP="008F0717">
      <w:pPr>
        <w:spacing w:after="0"/>
        <w:textAlignment w:val="baseline"/>
        <w:rPr>
          <w:rFonts w:eastAsia="Trebuchet MS" w:cstheme="minorHAnsi"/>
          <w:bCs/>
          <w:color w:val="000000"/>
          <w:spacing w:val="3"/>
          <w:sz w:val="24"/>
          <w:szCs w:val="24"/>
        </w:rPr>
      </w:pPr>
    </w:p>
    <w:p w14:paraId="45ADADCD" w14:textId="041FDAC8" w:rsidR="005C510D" w:rsidRPr="005C510D" w:rsidRDefault="00267470" w:rsidP="005C510D">
      <w:pPr>
        <w:widowControl w:val="0"/>
        <w:spacing w:after="0" w:line="240" w:lineRule="auto"/>
        <w:jc w:val="both"/>
        <w:rPr>
          <w:rFonts w:ascii="Times New Roman" w:hAnsi="Times New Roman" w:cs="Times New Roman"/>
        </w:rPr>
      </w:pPr>
      <w:r w:rsidRPr="00AD45DE">
        <w:rPr>
          <w:rFonts w:eastAsia="Trebuchet MS" w:cstheme="minorHAnsi"/>
          <w:bCs/>
          <w:i/>
          <w:iCs/>
          <w:color w:val="000000"/>
          <w:spacing w:val="3"/>
          <w:sz w:val="24"/>
          <w:szCs w:val="24"/>
        </w:rPr>
        <w:t xml:space="preserve">Physician Expenses and Psychology Services: </w:t>
      </w:r>
      <w:r w:rsidR="000256C3" w:rsidRPr="005C510D">
        <w:rPr>
          <w:rFonts w:cstheme="minorHAnsi"/>
          <w:sz w:val="24"/>
          <w:szCs w:val="24"/>
        </w:rPr>
        <w:t>Physician expenses include costs associated with the use of Harvard Medical Faculty Physicians (HMFP) in the ED.</w:t>
      </w:r>
      <w:r w:rsidR="009C76FC" w:rsidRPr="005C510D">
        <w:rPr>
          <w:rFonts w:cstheme="minorHAnsi"/>
          <w:sz w:val="24"/>
          <w:szCs w:val="24"/>
        </w:rPr>
        <w:t xml:space="preserve"> Management anticipates an increase in increases of approximately 4% for the </w:t>
      </w:r>
      <w:r w:rsidR="00564FF3" w:rsidRPr="005C510D">
        <w:rPr>
          <w:rFonts w:cstheme="minorHAnsi"/>
          <w:sz w:val="24"/>
          <w:szCs w:val="24"/>
        </w:rPr>
        <w:t>FY2026</w:t>
      </w:r>
      <w:r w:rsidR="003C24B0" w:rsidRPr="005C510D">
        <w:rPr>
          <w:rFonts w:cstheme="minorHAnsi"/>
          <w:sz w:val="24"/>
          <w:szCs w:val="24"/>
        </w:rPr>
        <w:t>-2033</w:t>
      </w:r>
      <w:r w:rsidR="009C76FC" w:rsidRPr="005C510D">
        <w:rPr>
          <w:rFonts w:cstheme="minorHAnsi"/>
          <w:sz w:val="24"/>
          <w:szCs w:val="24"/>
        </w:rPr>
        <w:t>.</w:t>
      </w:r>
      <w:r w:rsidR="00CC2645" w:rsidRPr="005C510D">
        <w:rPr>
          <w:rFonts w:cstheme="minorHAnsi"/>
          <w:sz w:val="24"/>
          <w:szCs w:val="24"/>
        </w:rPr>
        <w:t xml:space="preserve"> Psychology service expenses are intercompany fees charged by Beth Israel Lahey Health for psychology services provided to ED patients. </w:t>
      </w:r>
      <w:r w:rsidR="005C510D">
        <w:rPr>
          <w:rFonts w:cstheme="minorHAnsi"/>
          <w:sz w:val="24"/>
          <w:szCs w:val="24"/>
        </w:rPr>
        <w:t>M</w:t>
      </w:r>
      <w:r w:rsidR="005C510D" w:rsidRPr="005C510D">
        <w:rPr>
          <w:rFonts w:cstheme="minorHAnsi"/>
          <w:sz w:val="24"/>
          <w:szCs w:val="24"/>
        </w:rPr>
        <w:t xml:space="preserve">anagement has projected an annual cost per case increase of approximately 4% for </w:t>
      </w:r>
      <w:r w:rsidR="00AD45DE">
        <w:rPr>
          <w:rFonts w:cstheme="minorHAnsi"/>
          <w:sz w:val="24"/>
          <w:szCs w:val="24"/>
        </w:rPr>
        <w:t>FY2026-2033</w:t>
      </w:r>
      <w:r w:rsidR="005C510D" w:rsidRPr="005C510D">
        <w:rPr>
          <w:rFonts w:cstheme="minorHAnsi"/>
          <w:sz w:val="24"/>
          <w:szCs w:val="24"/>
        </w:rPr>
        <w:t>.</w:t>
      </w:r>
    </w:p>
    <w:p w14:paraId="300B3323" w14:textId="77777777" w:rsidR="008F0717" w:rsidRPr="00AA0F82" w:rsidRDefault="008F0717" w:rsidP="008F0717">
      <w:pPr>
        <w:spacing w:after="0"/>
        <w:textAlignment w:val="baseline"/>
        <w:rPr>
          <w:rFonts w:eastAsia="Trebuchet MS"/>
          <w:bCs/>
          <w:color w:val="000000"/>
          <w:spacing w:val="3"/>
          <w:highlight w:val="yellow"/>
        </w:rPr>
      </w:pPr>
    </w:p>
    <w:p w14:paraId="6A17CC2E" w14:textId="66B433CA" w:rsidR="0000676E" w:rsidRPr="00AA0F82" w:rsidRDefault="008E4932" w:rsidP="008F0717">
      <w:pPr>
        <w:autoSpaceDE w:val="0"/>
        <w:autoSpaceDN w:val="0"/>
        <w:adjustRightInd w:val="0"/>
        <w:spacing w:after="0"/>
        <w:rPr>
          <w:rFonts w:eastAsia="Trebuchet MS"/>
          <w:bCs/>
          <w:color w:val="000000"/>
          <w:spacing w:val="3"/>
          <w:sz w:val="24"/>
          <w:szCs w:val="24"/>
          <w:highlight w:val="yellow"/>
        </w:rPr>
      </w:pPr>
      <w:r w:rsidRPr="00590B4F">
        <w:rPr>
          <w:rFonts w:cstheme="minorHAnsi"/>
          <w:i/>
          <w:iCs/>
          <w:sz w:val="24"/>
          <w:szCs w:val="24"/>
        </w:rPr>
        <w:t>Depreciation Expense</w:t>
      </w:r>
      <w:r w:rsidR="008C2783" w:rsidRPr="00590B4F">
        <w:rPr>
          <w:rFonts w:cstheme="minorHAnsi"/>
          <w:i/>
          <w:iCs/>
          <w:sz w:val="24"/>
          <w:szCs w:val="24"/>
        </w:rPr>
        <w:t xml:space="preserve"> and Fees:</w:t>
      </w:r>
      <w:r w:rsidRPr="00590B4F">
        <w:rPr>
          <w:rFonts w:cstheme="minorHAnsi"/>
          <w:i/>
          <w:iCs/>
          <w:sz w:val="24"/>
          <w:szCs w:val="24"/>
        </w:rPr>
        <w:t xml:space="preserve"> </w:t>
      </w:r>
      <w:r w:rsidR="00611079" w:rsidRPr="00590B4F">
        <w:rPr>
          <w:rFonts w:cstheme="minorHAnsi"/>
          <w:sz w:val="24"/>
          <w:szCs w:val="24"/>
        </w:rPr>
        <w:t xml:space="preserve">Estimated renovation costs, plus a 5% fee </w:t>
      </w:r>
      <w:r w:rsidR="00972864" w:rsidRPr="00590B4F">
        <w:rPr>
          <w:rFonts w:cstheme="minorHAnsi"/>
          <w:sz w:val="24"/>
          <w:szCs w:val="24"/>
        </w:rPr>
        <w:t>for</w:t>
      </w:r>
      <w:r w:rsidR="00611079" w:rsidRPr="00590B4F">
        <w:rPr>
          <w:rFonts w:cstheme="minorHAnsi"/>
          <w:sz w:val="24"/>
          <w:szCs w:val="24"/>
        </w:rPr>
        <w:t xml:space="preserve"> community health initiative (“CHI”) payment will be capitalized and will be depreciated over 30 years, beginning </w:t>
      </w:r>
      <w:r w:rsidR="00590B4F" w:rsidRPr="00590B4F">
        <w:rPr>
          <w:rFonts w:cstheme="minorHAnsi"/>
          <w:sz w:val="24"/>
          <w:szCs w:val="24"/>
        </w:rPr>
        <w:t>FY2029</w:t>
      </w:r>
      <w:r w:rsidR="00611079" w:rsidRPr="00590B4F">
        <w:rPr>
          <w:rFonts w:cstheme="minorHAnsi"/>
          <w:sz w:val="24"/>
          <w:szCs w:val="24"/>
        </w:rPr>
        <w:t>.</w:t>
      </w:r>
      <w:r w:rsidR="00611079">
        <w:rPr>
          <w:rFonts w:ascii="Times New Roman" w:hAnsi="Times New Roman" w:cs="Times New Roman"/>
        </w:rPr>
        <w:t xml:space="preserve"> </w:t>
      </w:r>
    </w:p>
    <w:p w14:paraId="0B9BBD26" w14:textId="77777777" w:rsidR="008F0717" w:rsidRPr="00AE6F76" w:rsidRDefault="008F0717" w:rsidP="008F0717">
      <w:pPr>
        <w:autoSpaceDE w:val="0"/>
        <w:autoSpaceDN w:val="0"/>
        <w:adjustRightInd w:val="0"/>
        <w:spacing w:after="0"/>
        <w:rPr>
          <w:rFonts w:eastAsia="Trebuchet MS" w:cstheme="minorHAnsi"/>
          <w:bCs/>
          <w:color w:val="000000"/>
          <w:spacing w:val="3"/>
          <w:sz w:val="24"/>
          <w:szCs w:val="24"/>
        </w:rPr>
      </w:pPr>
    </w:p>
    <w:p w14:paraId="0AC8A1F8" w14:textId="61E93E5E" w:rsidR="008E4932" w:rsidRPr="00AE6F76" w:rsidRDefault="008E4932" w:rsidP="008F0717">
      <w:pPr>
        <w:autoSpaceDE w:val="0"/>
        <w:autoSpaceDN w:val="0"/>
        <w:adjustRightInd w:val="0"/>
        <w:spacing w:after="0"/>
        <w:rPr>
          <w:rFonts w:cstheme="minorHAnsi"/>
          <w:sz w:val="24"/>
          <w:szCs w:val="24"/>
        </w:rPr>
      </w:pPr>
      <w:r w:rsidRPr="00AE6F76">
        <w:rPr>
          <w:rFonts w:cstheme="minorHAnsi"/>
          <w:sz w:val="24"/>
          <w:szCs w:val="24"/>
        </w:rPr>
        <w:t>The CPA concludes that the</w:t>
      </w:r>
      <w:r w:rsidR="00AE6F76">
        <w:rPr>
          <w:rFonts w:cstheme="minorHAnsi"/>
          <w:sz w:val="24"/>
          <w:szCs w:val="24"/>
        </w:rPr>
        <w:t xml:space="preserve"> </w:t>
      </w:r>
      <w:r w:rsidR="00AE6F76" w:rsidRPr="00AE6F76">
        <w:rPr>
          <w:rFonts w:cstheme="minorHAnsi"/>
          <w:sz w:val="24"/>
          <w:szCs w:val="24"/>
        </w:rPr>
        <w:t>total expenses projected by Management are a reasonable estimation.</w:t>
      </w:r>
    </w:p>
    <w:p w14:paraId="3FAB0C19" w14:textId="77777777" w:rsidR="008F0717" w:rsidRPr="00AA0F82" w:rsidRDefault="008F0717" w:rsidP="008F0717">
      <w:pPr>
        <w:autoSpaceDE w:val="0"/>
        <w:autoSpaceDN w:val="0"/>
        <w:adjustRightInd w:val="0"/>
        <w:spacing w:after="0"/>
        <w:rPr>
          <w:rFonts w:cstheme="minorHAnsi"/>
          <w:sz w:val="24"/>
          <w:szCs w:val="24"/>
          <w:highlight w:val="yellow"/>
        </w:rPr>
      </w:pPr>
    </w:p>
    <w:p w14:paraId="4DFA6A87" w14:textId="48A2E376" w:rsidR="008E4932" w:rsidRPr="00CD09BA" w:rsidRDefault="00026DE6" w:rsidP="008F0717">
      <w:pPr>
        <w:spacing w:after="0"/>
        <w:rPr>
          <w:rFonts w:cstheme="minorHAnsi"/>
          <w:b/>
          <w:sz w:val="24"/>
          <w:szCs w:val="24"/>
        </w:rPr>
      </w:pPr>
      <w:r w:rsidRPr="00CD09BA">
        <w:rPr>
          <w:rFonts w:cstheme="minorHAnsi"/>
          <w:b/>
          <w:sz w:val="24"/>
          <w:szCs w:val="24"/>
        </w:rPr>
        <w:t>Cash Flows</w:t>
      </w:r>
    </w:p>
    <w:p w14:paraId="476B0373" w14:textId="177651DC" w:rsidR="00430D1C" w:rsidRPr="00430D1C" w:rsidRDefault="008E4932" w:rsidP="00430D1C">
      <w:pPr>
        <w:autoSpaceDE w:val="0"/>
        <w:autoSpaceDN w:val="0"/>
        <w:adjustRightInd w:val="0"/>
        <w:spacing w:after="0"/>
        <w:rPr>
          <w:rFonts w:cstheme="minorHAnsi"/>
          <w:sz w:val="24"/>
          <w:szCs w:val="24"/>
        </w:rPr>
      </w:pPr>
      <w:r w:rsidRPr="00430D1C">
        <w:rPr>
          <w:rFonts w:cstheme="minorHAnsi"/>
          <w:sz w:val="24"/>
          <w:szCs w:val="24"/>
        </w:rPr>
        <w:lastRenderedPageBreak/>
        <w:t xml:space="preserve">The CPA reviewed the </w:t>
      </w:r>
      <w:r w:rsidR="008E3F2B" w:rsidRPr="00430D1C">
        <w:rPr>
          <w:rFonts w:cstheme="minorHAnsi"/>
          <w:sz w:val="24"/>
          <w:szCs w:val="24"/>
        </w:rPr>
        <w:t>cash flow</w:t>
      </w:r>
      <w:r w:rsidRPr="00430D1C">
        <w:rPr>
          <w:rFonts w:cstheme="minorHAnsi"/>
          <w:sz w:val="24"/>
          <w:szCs w:val="24"/>
        </w:rPr>
        <w:t xml:space="preserve"> for the project</w:t>
      </w:r>
      <w:r w:rsidR="008E3F2B" w:rsidRPr="000A4AC4">
        <w:rPr>
          <w:rFonts w:cstheme="minorHAnsi"/>
          <w:sz w:val="24"/>
          <w:szCs w:val="24"/>
        </w:rPr>
        <w:t xml:space="preserve">, noting </w:t>
      </w:r>
      <w:r w:rsidR="008E3F2B" w:rsidRPr="00430D1C">
        <w:rPr>
          <w:rFonts w:cstheme="minorHAnsi"/>
          <w:sz w:val="24"/>
          <w:szCs w:val="24"/>
        </w:rPr>
        <w:t>there is no expected financing for the project. The total capital expenditures for the project will be funded by available capital funds of the Applicant.</w:t>
      </w:r>
      <w:r w:rsidR="00430D1C" w:rsidRPr="00430D1C">
        <w:rPr>
          <w:rFonts w:cstheme="minorHAnsi"/>
          <w:sz w:val="24"/>
          <w:szCs w:val="24"/>
        </w:rPr>
        <w:t xml:space="preserve"> </w:t>
      </w:r>
      <w:r w:rsidR="004C1EDD">
        <w:rPr>
          <w:rFonts w:cstheme="minorHAnsi"/>
          <w:sz w:val="24"/>
          <w:szCs w:val="24"/>
        </w:rPr>
        <w:t>T</w:t>
      </w:r>
      <w:r w:rsidR="00430D1C" w:rsidRPr="00430D1C">
        <w:rPr>
          <w:rFonts w:cstheme="minorHAnsi"/>
          <w:sz w:val="24"/>
          <w:szCs w:val="24"/>
        </w:rPr>
        <w:t>he capital needs and ongoing operating costs required for the renovation and expansion of the ED at BID</w:t>
      </w:r>
      <w:r w:rsidR="004C1EDD">
        <w:rPr>
          <w:rFonts w:cstheme="minorHAnsi"/>
          <w:sz w:val="24"/>
          <w:szCs w:val="24"/>
        </w:rPr>
        <w:t xml:space="preserve">-P </w:t>
      </w:r>
      <w:r w:rsidR="00430D1C" w:rsidRPr="00430D1C">
        <w:rPr>
          <w:rFonts w:cstheme="minorHAnsi"/>
          <w:sz w:val="24"/>
          <w:szCs w:val="24"/>
        </w:rPr>
        <w:t xml:space="preserve">are not likely to result in a scenario where there is negative cash flow over the </w:t>
      </w:r>
      <w:r w:rsidR="00DF70C3" w:rsidRPr="00430D1C">
        <w:rPr>
          <w:rFonts w:cstheme="minorHAnsi"/>
          <w:sz w:val="24"/>
          <w:szCs w:val="24"/>
        </w:rPr>
        <w:t>five-year</w:t>
      </w:r>
      <w:r w:rsidR="00430D1C" w:rsidRPr="00430D1C">
        <w:rPr>
          <w:rFonts w:cstheme="minorHAnsi"/>
          <w:sz w:val="24"/>
          <w:szCs w:val="24"/>
        </w:rPr>
        <w:t xml:space="preserve"> projected period. The </w:t>
      </w:r>
      <w:r w:rsidR="0007282F">
        <w:rPr>
          <w:rFonts w:cstheme="minorHAnsi"/>
          <w:sz w:val="24"/>
          <w:szCs w:val="24"/>
        </w:rPr>
        <w:t xml:space="preserve">CPA stated that the </w:t>
      </w:r>
      <w:r w:rsidR="00430D1C" w:rsidRPr="00430D1C">
        <w:rPr>
          <w:rFonts w:cstheme="minorHAnsi"/>
          <w:sz w:val="24"/>
          <w:szCs w:val="24"/>
        </w:rPr>
        <w:t xml:space="preserve">Applicant has the resources to fund the capital needs and ongoing operating costs of the ED. </w:t>
      </w:r>
    </w:p>
    <w:p w14:paraId="6DBE5839" w14:textId="77777777" w:rsidR="008F0717" w:rsidRPr="00AA0F82" w:rsidRDefault="008F0717" w:rsidP="008F0717">
      <w:pPr>
        <w:spacing w:after="0"/>
        <w:textAlignment w:val="baseline"/>
        <w:rPr>
          <w:rFonts w:eastAsia="Trebuchet MS"/>
          <w:color w:val="000000"/>
          <w:highlight w:val="yellow"/>
        </w:rPr>
      </w:pPr>
    </w:p>
    <w:p w14:paraId="2FA7CBA4" w14:textId="77777777" w:rsidR="008E4932" w:rsidRPr="007A4F3A" w:rsidRDefault="008E4932" w:rsidP="008E4932">
      <w:pPr>
        <w:rPr>
          <w:rFonts w:cstheme="minorHAnsi"/>
          <w:sz w:val="24"/>
          <w:szCs w:val="24"/>
        </w:rPr>
      </w:pPr>
      <w:r w:rsidRPr="007A4F3A">
        <w:rPr>
          <w:rFonts w:cstheme="minorHAnsi"/>
          <w:sz w:val="24"/>
          <w:szCs w:val="24"/>
        </w:rPr>
        <w:t xml:space="preserve">As a result of its analysis, the CPA concluded the following: </w:t>
      </w:r>
    </w:p>
    <w:p w14:paraId="3F71343D" w14:textId="61E6BAFB" w:rsidR="007A4F3A" w:rsidRPr="007A4F3A" w:rsidRDefault="007A4F3A" w:rsidP="007A4F3A">
      <w:pPr>
        <w:spacing w:after="0" w:line="240" w:lineRule="auto"/>
        <w:ind w:left="360"/>
        <w:jc w:val="both"/>
        <w:rPr>
          <w:rFonts w:cstheme="minorHAnsi"/>
          <w:i/>
          <w:iCs/>
          <w:sz w:val="24"/>
          <w:szCs w:val="24"/>
        </w:rPr>
      </w:pPr>
      <w:r>
        <w:rPr>
          <w:rFonts w:cstheme="minorHAnsi"/>
          <w:i/>
          <w:iCs/>
          <w:sz w:val="24"/>
          <w:szCs w:val="24"/>
        </w:rPr>
        <w:t>“</w:t>
      </w:r>
      <w:r w:rsidRPr="007A4F3A">
        <w:rPr>
          <w:rFonts w:cstheme="minorHAnsi"/>
          <w:i/>
          <w:iCs/>
          <w:sz w:val="24"/>
          <w:szCs w:val="24"/>
        </w:rPr>
        <w:t>We determined that the projections were not likely to result in insufficient funds available for ongoing operating costs necessary to support the Project. Based upon our review of the projections and relevant supporting documentation, we determined the renovation and expansion of the ED at BID Plymouth is financially feasible and within the financial capability of the Applicant</w:t>
      </w:r>
      <w:r>
        <w:rPr>
          <w:rFonts w:cstheme="minorHAnsi"/>
          <w:i/>
          <w:iCs/>
          <w:sz w:val="24"/>
          <w:szCs w:val="24"/>
        </w:rPr>
        <w:t>.”</w:t>
      </w:r>
      <w:r w:rsidRPr="007A4F3A">
        <w:rPr>
          <w:rFonts w:cstheme="minorHAnsi"/>
          <w:i/>
          <w:iCs/>
          <w:sz w:val="24"/>
          <w:szCs w:val="24"/>
        </w:rPr>
        <w:t xml:space="preserve"> </w:t>
      </w:r>
    </w:p>
    <w:p w14:paraId="5AC49CC2" w14:textId="77777777" w:rsidR="007A4F3A" w:rsidRDefault="007A4F3A" w:rsidP="007A4F3A">
      <w:pPr>
        <w:spacing w:after="0" w:line="240" w:lineRule="auto"/>
        <w:ind w:left="360"/>
        <w:jc w:val="both"/>
        <w:rPr>
          <w:rFonts w:ascii="Times New Roman" w:hAnsi="Times New Roman" w:cs="Times New Roman"/>
        </w:rPr>
      </w:pPr>
    </w:p>
    <w:p w14:paraId="00FA6168" w14:textId="77777777" w:rsidR="008E4932" w:rsidRPr="007A4F3A" w:rsidRDefault="008E4932" w:rsidP="008E4932">
      <w:pPr>
        <w:pStyle w:val="NormalWeb"/>
        <w:rPr>
          <w:rFonts w:asciiTheme="minorHAnsi" w:hAnsiTheme="minorHAnsi" w:cstheme="minorHAnsi"/>
          <w:b/>
          <w:bCs/>
          <w:i/>
          <w:iCs/>
        </w:rPr>
      </w:pPr>
      <w:r w:rsidRPr="007A4F3A">
        <w:rPr>
          <w:rFonts w:asciiTheme="minorHAnsi" w:hAnsiTheme="minorHAnsi" w:cstheme="minorHAnsi"/>
          <w:b/>
          <w:bCs/>
          <w:i/>
          <w:iCs/>
        </w:rPr>
        <w:t xml:space="preserve">Factor 4 Analysis </w:t>
      </w:r>
    </w:p>
    <w:p w14:paraId="54615B0E" w14:textId="29B0F4B7" w:rsidR="004E6193" w:rsidRPr="007A4F3A" w:rsidRDefault="008E4932" w:rsidP="008E4932">
      <w:pPr>
        <w:rPr>
          <w:rFonts w:cstheme="minorHAnsi"/>
          <w:sz w:val="24"/>
          <w:szCs w:val="24"/>
        </w:rPr>
      </w:pPr>
      <w:r w:rsidRPr="007A4F3A">
        <w:rPr>
          <w:sz w:val="24"/>
          <w:szCs w:val="24"/>
        </w:rPr>
        <w:t xml:space="preserve">Staff is satisfied with the CPA’s analysis of the Proposed Project’s projections. </w:t>
      </w:r>
      <w:r w:rsidRPr="007A4F3A">
        <w:rPr>
          <w:rFonts w:cstheme="minorHAnsi"/>
          <w:sz w:val="24"/>
          <w:szCs w:val="24"/>
        </w:rPr>
        <w:t>As a result of information provided by the Applicant and additional analysis, staff finds that the Applicant has demonstrated that the Proposed Project has met Factor 4.</w:t>
      </w:r>
    </w:p>
    <w:p w14:paraId="04A8E531" w14:textId="77777777" w:rsidR="0026036D" w:rsidRPr="008D5C22" w:rsidRDefault="0026036D" w:rsidP="008E4932">
      <w:pPr>
        <w:rPr>
          <w:rFonts w:cstheme="minorHAnsi"/>
          <w:sz w:val="24"/>
          <w:szCs w:val="24"/>
        </w:rPr>
      </w:pPr>
    </w:p>
    <w:p w14:paraId="610A41C9" w14:textId="5EA4B2DA" w:rsidR="006578AD" w:rsidRPr="008D5C22" w:rsidRDefault="003E1CDA" w:rsidP="008F0717">
      <w:pPr>
        <w:pStyle w:val="Heading1"/>
        <w:spacing w:before="0"/>
      </w:pPr>
      <w:bookmarkStart w:id="23" w:name="_Toc181784913"/>
      <w:r w:rsidRPr="008D5C22">
        <w:t>Factor 5: Assessment of the Proposed Project’s Relative Merit</w:t>
      </w:r>
      <w:bookmarkEnd w:id="23"/>
    </w:p>
    <w:p w14:paraId="5321C190" w14:textId="43C3F01A" w:rsidR="008C35B2" w:rsidRPr="008D5C22" w:rsidRDefault="003E1CDA" w:rsidP="00373E72">
      <w:pPr>
        <w:spacing w:after="0" w:line="240" w:lineRule="auto"/>
        <w:rPr>
          <w:sz w:val="24"/>
          <w:szCs w:val="24"/>
        </w:rPr>
      </w:pPr>
      <w:r w:rsidRPr="008D5C22">
        <w:rPr>
          <w:sz w:val="24"/>
          <w:szCs w:val="24"/>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r w:rsidR="00625877" w:rsidRPr="008D5C22">
        <w:rPr>
          <w:sz w:val="24"/>
          <w:szCs w:val="24"/>
        </w:rPr>
        <w:t>The Applicant must provide sufficient evidence that the Proposed Project, on balance, is superior to alternative and substitute methods for meeting the existing Patient Panel needs identified by the Applicant pursuant to 105 CMR 100.210(A)(1).</w:t>
      </w:r>
    </w:p>
    <w:p w14:paraId="4EDF0038" w14:textId="77777777" w:rsidR="00373E72" w:rsidRPr="00AA0F82" w:rsidRDefault="00373E72" w:rsidP="00373E72">
      <w:pPr>
        <w:spacing w:after="0" w:line="240" w:lineRule="auto"/>
        <w:rPr>
          <w:sz w:val="24"/>
          <w:szCs w:val="24"/>
          <w:highlight w:val="yellow"/>
        </w:rPr>
      </w:pPr>
    </w:p>
    <w:p w14:paraId="66F80AE7" w14:textId="6C10DE5A" w:rsidR="00D53EE1" w:rsidRPr="00AA0F82" w:rsidRDefault="008C35B2" w:rsidP="00373E72">
      <w:pPr>
        <w:spacing w:after="0"/>
        <w:rPr>
          <w:rFonts w:cstheme="minorHAnsi"/>
          <w:sz w:val="24"/>
          <w:szCs w:val="24"/>
          <w:highlight w:val="yellow"/>
        </w:rPr>
      </w:pPr>
      <w:r w:rsidRPr="008D5C22">
        <w:rPr>
          <w:rFonts w:cstheme="minorHAnsi"/>
          <w:sz w:val="24"/>
          <w:szCs w:val="24"/>
        </w:rPr>
        <w:t xml:space="preserve">The Applicant considered and rejected </w:t>
      </w:r>
      <w:r w:rsidR="00E1097B">
        <w:rPr>
          <w:rFonts w:cstheme="minorHAnsi"/>
          <w:sz w:val="24"/>
          <w:szCs w:val="24"/>
        </w:rPr>
        <w:t>two</w:t>
      </w:r>
      <w:r w:rsidR="009A2B48">
        <w:rPr>
          <w:rFonts w:cstheme="minorHAnsi"/>
          <w:sz w:val="24"/>
          <w:szCs w:val="24"/>
        </w:rPr>
        <w:t xml:space="preserve"> </w:t>
      </w:r>
      <w:r w:rsidRPr="008D5C22">
        <w:rPr>
          <w:rFonts w:cstheme="minorHAnsi"/>
          <w:sz w:val="24"/>
          <w:szCs w:val="24"/>
        </w:rPr>
        <w:t>alternative</w:t>
      </w:r>
      <w:r w:rsidR="00E6069E" w:rsidRPr="008D5C22">
        <w:rPr>
          <w:rFonts w:cstheme="minorHAnsi"/>
          <w:sz w:val="24"/>
          <w:szCs w:val="24"/>
        </w:rPr>
        <w:t>s</w:t>
      </w:r>
      <w:r w:rsidRPr="008D5C22">
        <w:rPr>
          <w:rFonts w:cstheme="minorHAnsi"/>
          <w:sz w:val="24"/>
          <w:szCs w:val="24"/>
        </w:rPr>
        <w:t xml:space="preserve"> to the Proposed Project:</w:t>
      </w:r>
    </w:p>
    <w:p w14:paraId="2827CD7B" w14:textId="77777777" w:rsidR="00373E72" w:rsidRPr="00AA0F82" w:rsidRDefault="00373E72" w:rsidP="00373E72">
      <w:pPr>
        <w:spacing w:after="0"/>
        <w:rPr>
          <w:rFonts w:cstheme="minorHAnsi"/>
          <w:sz w:val="24"/>
          <w:szCs w:val="24"/>
          <w:highlight w:val="yellow"/>
        </w:rPr>
      </w:pPr>
    </w:p>
    <w:p w14:paraId="17AFD27E" w14:textId="45F266D5" w:rsidR="00B14349" w:rsidRDefault="00D53EE1" w:rsidP="00B14349">
      <w:pPr>
        <w:autoSpaceDE w:val="0"/>
        <w:autoSpaceDN w:val="0"/>
        <w:adjustRightInd w:val="0"/>
        <w:spacing w:before="120" w:after="120"/>
        <w:rPr>
          <w:rFonts w:eastAsia="Times New Roman"/>
          <w:kern w:val="2"/>
          <w:sz w:val="24"/>
          <w:szCs w:val="24"/>
        </w:rPr>
      </w:pPr>
      <w:r w:rsidRPr="05263CBD">
        <w:rPr>
          <w:b/>
          <w:color w:val="000000"/>
          <w:sz w:val="24"/>
          <w:szCs w:val="24"/>
        </w:rPr>
        <w:t xml:space="preserve">Alternative Option 1: </w:t>
      </w:r>
      <w:r w:rsidR="00AD384C" w:rsidRPr="05263CBD">
        <w:rPr>
          <w:rFonts w:eastAsia="Calibri"/>
          <w:b/>
          <w:kern w:val="2"/>
          <w:sz w:val="24"/>
          <w:szCs w:val="24"/>
        </w:rPr>
        <w:t>Continue to serve patients in the existing ED</w:t>
      </w:r>
      <w:r w:rsidR="00AD384C" w:rsidRPr="05263CBD">
        <w:rPr>
          <w:b/>
          <w:sz w:val="24"/>
          <w:szCs w:val="24"/>
        </w:rPr>
        <w:t xml:space="preserve"> without expansion</w:t>
      </w:r>
      <w:r w:rsidR="00B14349" w:rsidRPr="05263CBD">
        <w:rPr>
          <w:rFonts w:eastAsia="Calibri"/>
          <w:b/>
          <w:kern w:val="2"/>
          <w:sz w:val="24"/>
          <w:szCs w:val="24"/>
        </w:rPr>
        <w:t xml:space="preserve">: </w:t>
      </w:r>
      <w:r w:rsidR="00B06D96" w:rsidRPr="05263CBD">
        <w:rPr>
          <w:rFonts w:eastAsia="Times New Roman"/>
          <w:kern w:val="2"/>
          <w:sz w:val="24"/>
          <w:szCs w:val="24"/>
        </w:rPr>
        <w:t>Th</w:t>
      </w:r>
      <w:r w:rsidR="00CF01A5" w:rsidRPr="05263CBD">
        <w:rPr>
          <w:rFonts w:eastAsia="Times New Roman"/>
          <w:kern w:val="2"/>
          <w:sz w:val="24"/>
          <w:szCs w:val="24"/>
        </w:rPr>
        <w:t xml:space="preserve">is option carries </w:t>
      </w:r>
      <w:r w:rsidR="00CB528B" w:rsidRPr="05263CBD">
        <w:rPr>
          <w:rFonts w:eastAsia="Times New Roman"/>
          <w:kern w:val="2"/>
          <w:sz w:val="24"/>
          <w:szCs w:val="24"/>
        </w:rPr>
        <w:t xml:space="preserve">no increase </w:t>
      </w:r>
      <w:r w:rsidR="00856C2C" w:rsidRPr="05263CBD">
        <w:rPr>
          <w:rFonts w:eastAsia="Times New Roman"/>
          <w:kern w:val="2"/>
          <w:sz w:val="24"/>
          <w:szCs w:val="24"/>
        </w:rPr>
        <w:t xml:space="preserve">in </w:t>
      </w:r>
      <w:r w:rsidR="00CB528B" w:rsidRPr="05263CBD">
        <w:rPr>
          <w:rFonts w:eastAsia="Times New Roman"/>
          <w:kern w:val="2"/>
          <w:sz w:val="24"/>
          <w:szCs w:val="24"/>
        </w:rPr>
        <w:t>capital expenditure.</w:t>
      </w:r>
      <w:r w:rsidR="007179DD" w:rsidRPr="05263CBD">
        <w:rPr>
          <w:rFonts w:eastAsia="Times New Roman"/>
          <w:kern w:val="2"/>
          <w:sz w:val="24"/>
          <w:szCs w:val="24"/>
        </w:rPr>
        <w:t xml:space="preserve"> </w:t>
      </w:r>
      <w:r w:rsidR="0057259D" w:rsidRPr="05263CBD">
        <w:rPr>
          <w:rFonts w:eastAsia="Times New Roman"/>
          <w:kern w:val="2"/>
          <w:sz w:val="24"/>
          <w:szCs w:val="24"/>
        </w:rPr>
        <w:t>Operating costs would include expenses for temporary staff needed to accommodate higher periods of volume which will be eliminated by the use of permanent staff under the Proposed Project.</w:t>
      </w:r>
      <w:r w:rsidR="002F478F" w:rsidRPr="05263CBD">
        <w:rPr>
          <w:rFonts w:eastAsia="Times New Roman"/>
          <w:kern w:val="2"/>
          <w:sz w:val="24"/>
          <w:szCs w:val="24"/>
        </w:rPr>
        <w:t xml:space="preserve"> </w:t>
      </w:r>
      <w:r w:rsidR="00856C2C" w:rsidRPr="05263CBD">
        <w:rPr>
          <w:rFonts w:eastAsia="Times New Roman"/>
          <w:kern w:val="2"/>
          <w:sz w:val="24"/>
          <w:szCs w:val="24"/>
        </w:rPr>
        <w:t xml:space="preserve">BID-Plymouth resources are significantly strained through the operation of the existing ED and will continue to be strained under this alternative. Because the ED was built to serve half as many </w:t>
      </w:r>
      <w:r w:rsidR="00B55AC8">
        <w:rPr>
          <w:rFonts w:eastAsia="Times New Roman"/>
          <w:kern w:val="2"/>
          <w:sz w:val="24"/>
          <w:szCs w:val="24"/>
        </w:rPr>
        <w:t>visits</w:t>
      </w:r>
      <w:r w:rsidR="00856C2C" w:rsidRPr="05263CBD">
        <w:rPr>
          <w:rFonts w:eastAsia="Times New Roman"/>
          <w:kern w:val="2"/>
          <w:sz w:val="24"/>
          <w:szCs w:val="24"/>
        </w:rPr>
        <w:t xml:space="preserve">, it cannot accommodate current demand for care and as a result, patients must wait longer to be seen, which negatively impacts care delivery and places significant pressure on staff to manage large numbers of patients in a space designed for less patients. </w:t>
      </w:r>
      <w:r w:rsidR="00B14349" w:rsidRPr="05263CBD">
        <w:rPr>
          <w:rFonts w:eastAsia="Times New Roman"/>
          <w:kern w:val="2"/>
          <w:sz w:val="24"/>
          <w:szCs w:val="24"/>
        </w:rPr>
        <w:t xml:space="preserve">This option would continue to drive wait times and ED overcrowding, resulting in decreased patient satisfaction, worse patient outcomes, and reduced quality of life. </w:t>
      </w:r>
    </w:p>
    <w:p w14:paraId="3F56BE1F" w14:textId="7DC87E6E" w:rsidR="00E6069E" w:rsidRPr="00AA0F82" w:rsidRDefault="00E6069E" w:rsidP="00AA69EC">
      <w:pPr>
        <w:tabs>
          <w:tab w:val="left" w:pos="0"/>
        </w:tabs>
        <w:autoSpaceDE w:val="0"/>
        <w:autoSpaceDN w:val="0"/>
        <w:adjustRightInd w:val="0"/>
        <w:spacing w:after="0" w:line="240" w:lineRule="auto"/>
        <w:rPr>
          <w:rFonts w:eastAsia="Times New Roman" w:cstheme="minorHAnsi"/>
          <w:kern w:val="2"/>
          <w:sz w:val="24"/>
          <w:szCs w:val="24"/>
          <w:highlight w:val="yellow"/>
        </w:rPr>
      </w:pPr>
    </w:p>
    <w:p w14:paraId="0FA733A1" w14:textId="2B05B959" w:rsidR="00E6069E" w:rsidRPr="00583D62" w:rsidRDefault="00E6069E" w:rsidP="3A13F404">
      <w:pPr>
        <w:autoSpaceDE w:val="0"/>
        <w:autoSpaceDN w:val="0"/>
        <w:adjustRightInd w:val="0"/>
        <w:spacing w:after="0" w:line="240" w:lineRule="auto"/>
        <w:rPr>
          <w:rFonts w:eastAsia="Times New Roman"/>
          <w:kern w:val="2"/>
          <w:sz w:val="24"/>
          <w:szCs w:val="24"/>
        </w:rPr>
      </w:pPr>
      <w:r w:rsidRPr="3A13F404">
        <w:rPr>
          <w:rFonts w:eastAsia="Times New Roman"/>
          <w:b/>
          <w:kern w:val="2"/>
          <w:sz w:val="24"/>
          <w:szCs w:val="24"/>
        </w:rPr>
        <w:t xml:space="preserve">Alternative Option </w:t>
      </w:r>
      <w:r w:rsidR="00E1097B" w:rsidRPr="3A13F404">
        <w:rPr>
          <w:rFonts w:eastAsia="Times New Roman"/>
          <w:b/>
          <w:kern w:val="2"/>
          <w:sz w:val="24"/>
          <w:szCs w:val="24"/>
        </w:rPr>
        <w:t>2</w:t>
      </w:r>
      <w:r w:rsidRPr="3A13F404">
        <w:rPr>
          <w:rFonts w:eastAsia="Times New Roman"/>
          <w:b/>
          <w:kern w:val="2"/>
          <w:sz w:val="24"/>
          <w:szCs w:val="24"/>
        </w:rPr>
        <w:t xml:space="preserve">: </w:t>
      </w:r>
      <w:r w:rsidR="00583D62" w:rsidRPr="3A13F404">
        <w:rPr>
          <w:rFonts w:eastAsia="Times New Roman"/>
          <w:b/>
          <w:kern w:val="2"/>
          <w:sz w:val="24"/>
          <w:szCs w:val="24"/>
        </w:rPr>
        <w:t>Build an entirely new ED</w:t>
      </w:r>
      <w:r w:rsidRPr="3A13F404">
        <w:rPr>
          <w:rFonts w:eastAsia="Times New Roman"/>
          <w:b/>
          <w:kern w:val="2"/>
          <w:sz w:val="24"/>
          <w:szCs w:val="24"/>
        </w:rPr>
        <w:t>.</w:t>
      </w:r>
      <w:r w:rsidRPr="3A13F404">
        <w:rPr>
          <w:rFonts w:eastAsia="Times New Roman"/>
          <w:kern w:val="2"/>
          <w:sz w:val="24"/>
          <w:szCs w:val="24"/>
        </w:rPr>
        <w:t xml:space="preserve"> </w:t>
      </w:r>
      <w:r w:rsidR="00A61486" w:rsidRPr="3A13F404">
        <w:rPr>
          <w:rFonts w:eastAsia="Times New Roman"/>
          <w:kern w:val="2"/>
          <w:sz w:val="24"/>
          <w:szCs w:val="24"/>
        </w:rPr>
        <w:t xml:space="preserve">This alternative was rejected because it would have </w:t>
      </w:r>
      <w:r w:rsidR="0077783D" w:rsidRPr="3A13F404">
        <w:rPr>
          <w:rFonts w:eastAsia="Times New Roman"/>
          <w:kern w:val="2"/>
          <w:sz w:val="24"/>
          <w:szCs w:val="24"/>
        </w:rPr>
        <w:t xml:space="preserve">required entirely new construction, as opposed to renovating an existing location. </w:t>
      </w:r>
      <w:r w:rsidR="00E11998" w:rsidRPr="3A13F404">
        <w:rPr>
          <w:rFonts w:eastAsia="Times New Roman"/>
          <w:kern w:val="2"/>
          <w:sz w:val="24"/>
          <w:szCs w:val="24"/>
        </w:rPr>
        <w:t xml:space="preserve">As a </w:t>
      </w:r>
      <w:r w:rsidR="00D33F51" w:rsidRPr="3A13F404">
        <w:rPr>
          <w:rFonts w:eastAsia="Times New Roman"/>
          <w:kern w:val="2"/>
          <w:sz w:val="24"/>
          <w:szCs w:val="24"/>
        </w:rPr>
        <w:t>result, capital expenditures would</w:t>
      </w:r>
      <w:r w:rsidR="007C5537" w:rsidRPr="3A13F404">
        <w:rPr>
          <w:rFonts w:eastAsia="Times New Roman"/>
          <w:kern w:val="2"/>
          <w:sz w:val="24"/>
          <w:szCs w:val="24"/>
        </w:rPr>
        <w:t xml:space="preserve"> have </w:t>
      </w:r>
      <w:r w:rsidR="4A2E4AA2" w:rsidRPr="0AFEBC43">
        <w:rPr>
          <w:rFonts w:eastAsia="Times New Roman"/>
          <w:kern w:val="2"/>
          <w:sz w:val="24"/>
          <w:szCs w:val="24"/>
        </w:rPr>
        <w:t xml:space="preserve">been </w:t>
      </w:r>
      <w:r w:rsidR="005520B7" w:rsidRPr="0AFEBC43">
        <w:rPr>
          <w:rFonts w:eastAsia="Times New Roman"/>
          <w:kern w:val="2"/>
          <w:sz w:val="24"/>
          <w:szCs w:val="24"/>
        </w:rPr>
        <w:t>much</w:t>
      </w:r>
      <w:r w:rsidR="005520B7" w:rsidRPr="3A13F404">
        <w:rPr>
          <w:rFonts w:eastAsia="Times New Roman"/>
          <w:kern w:val="2"/>
          <w:sz w:val="24"/>
          <w:szCs w:val="24"/>
        </w:rPr>
        <w:t xml:space="preserve"> higher, making it a far</w:t>
      </w:r>
      <w:r w:rsidR="00583D62" w:rsidRPr="3A13F404">
        <w:rPr>
          <w:rFonts w:eastAsia="Times New Roman"/>
          <w:kern w:val="2"/>
          <w:sz w:val="24"/>
          <w:szCs w:val="24"/>
        </w:rPr>
        <w:t xml:space="preserve"> </w:t>
      </w:r>
      <w:r w:rsidR="00A61486" w:rsidRPr="3A13F404">
        <w:rPr>
          <w:rFonts w:eastAsia="Times New Roman"/>
          <w:kern w:val="2"/>
          <w:sz w:val="24"/>
          <w:szCs w:val="24"/>
        </w:rPr>
        <w:t>more costly alternative t</w:t>
      </w:r>
      <w:r w:rsidR="005520B7" w:rsidRPr="3A13F404">
        <w:rPr>
          <w:rFonts w:eastAsia="Times New Roman"/>
          <w:kern w:val="2"/>
          <w:sz w:val="24"/>
          <w:szCs w:val="24"/>
        </w:rPr>
        <w:t>o the Proposed Project.</w:t>
      </w:r>
    </w:p>
    <w:p w14:paraId="683854D4" w14:textId="77777777" w:rsidR="00A91BA2" w:rsidRPr="00AA0F82" w:rsidRDefault="00A91BA2" w:rsidP="00AA69EC">
      <w:pPr>
        <w:tabs>
          <w:tab w:val="left" w:pos="0"/>
        </w:tabs>
        <w:autoSpaceDE w:val="0"/>
        <w:autoSpaceDN w:val="0"/>
        <w:adjustRightInd w:val="0"/>
        <w:spacing w:after="0" w:line="240" w:lineRule="auto"/>
        <w:rPr>
          <w:rFonts w:eastAsia="Calibri" w:cstheme="minorHAnsi"/>
          <w:bCs/>
          <w:kern w:val="2"/>
          <w:sz w:val="24"/>
          <w:szCs w:val="24"/>
          <w:highlight w:val="yellow"/>
        </w:rPr>
      </w:pPr>
    </w:p>
    <w:p w14:paraId="634575E0" w14:textId="77777777" w:rsidR="00600415" w:rsidRPr="00B14349" w:rsidRDefault="00600415" w:rsidP="0026036D">
      <w:pPr>
        <w:spacing w:after="0" w:line="240" w:lineRule="auto"/>
        <w:rPr>
          <w:b/>
          <w:bCs/>
          <w:i/>
          <w:iCs/>
          <w:sz w:val="24"/>
          <w:szCs w:val="24"/>
        </w:rPr>
      </w:pPr>
      <w:r w:rsidRPr="00B14349">
        <w:rPr>
          <w:b/>
          <w:bCs/>
          <w:i/>
          <w:iCs/>
          <w:sz w:val="24"/>
          <w:szCs w:val="24"/>
        </w:rPr>
        <w:t>Analysis</w:t>
      </w:r>
    </w:p>
    <w:p w14:paraId="634995B1" w14:textId="1570CC5E" w:rsidR="003E1CDA" w:rsidRPr="00B14349" w:rsidRDefault="00600415" w:rsidP="0026036D">
      <w:pPr>
        <w:spacing w:after="0" w:line="240" w:lineRule="auto"/>
        <w:rPr>
          <w:sz w:val="24"/>
          <w:szCs w:val="24"/>
        </w:rPr>
      </w:pPr>
      <w:r w:rsidRPr="00B14349">
        <w:rPr>
          <w:sz w:val="24"/>
          <w:szCs w:val="24"/>
        </w:rPr>
        <w:t>S</w:t>
      </w:r>
      <w:r w:rsidR="003E1CDA" w:rsidRPr="00B14349">
        <w:rPr>
          <w:sz w:val="24"/>
          <w:szCs w:val="24"/>
        </w:rPr>
        <w:t xml:space="preserve">taff finds that the Applicant has appropriately considered the quality, efficiency, and capital and operating costs of the Proposed Project relative to </w:t>
      </w:r>
      <w:r w:rsidR="00B630AD" w:rsidRPr="00B14349">
        <w:rPr>
          <w:sz w:val="24"/>
          <w:szCs w:val="24"/>
        </w:rPr>
        <w:t xml:space="preserve">the </w:t>
      </w:r>
      <w:r w:rsidR="003E1CDA" w:rsidRPr="00B14349">
        <w:rPr>
          <w:sz w:val="24"/>
          <w:szCs w:val="24"/>
        </w:rPr>
        <w:t>potential alternative. As a result of information provided by the Applicant and additional analysis, staff finds the Applicant has reasonably met the standards of Factor 5.</w:t>
      </w:r>
    </w:p>
    <w:p w14:paraId="57F0E0A7" w14:textId="77777777" w:rsidR="001D570C" w:rsidRPr="00AA0F82" w:rsidRDefault="001D570C" w:rsidP="0026036D">
      <w:pPr>
        <w:spacing w:after="0" w:line="240" w:lineRule="auto"/>
        <w:rPr>
          <w:sz w:val="24"/>
          <w:szCs w:val="24"/>
          <w:highlight w:val="yellow"/>
        </w:rPr>
      </w:pPr>
    </w:p>
    <w:p w14:paraId="28CCA38F" w14:textId="17C4E6B9" w:rsidR="008213E7" w:rsidRPr="0088016D" w:rsidRDefault="00FA6CD1" w:rsidP="0024289A">
      <w:pPr>
        <w:pStyle w:val="Heading1"/>
      </w:pPr>
      <w:bookmarkStart w:id="24" w:name="_Toc181784914"/>
      <w:r w:rsidRPr="0088016D">
        <w:t>Factor 6: Fulfillment of DPH Community-based Health Initiatives</w:t>
      </w:r>
      <w:bookmarkEnd w:id="24"/>
    </w:p>
    <w:p w14:paraId="17C0C37D"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i/>
          <w:iCs/>
          <w:color w:val="000000"/>
          <w:sz w:val="24"/>
          <w:szCs w:val="24"/>
          <w:shd w:val="clear" w:color="auto" w:fill="FFFFFF"/>
        </w:rPr>
        <w:t>Summary, relevant background and context for this application:</w:t>
      </w:r>
      <w:r w:rsidRPr="0088016D">
        <w:rPr>
          <w:rFonts w:ascii="Calibri" w:hAnsi="Calibri" w:cs="Calibri"/>
          <w:color w:val="000000"/>
          <w:sz w:val="24"/>
          <w:szCs w:val="24"/>
          <w:shd w:val="clear" w:color="auto" w:fill="FFFFFF"/>
        </w:rPr>
        <w:t xml:space="preserve"> The Applicant, Beth Israel Leahy Health at BID Plymouth, will pool the local CHI funding with an existing DoN project (#22062915-AS approved in July 2024). The Applicant will also contribute to the Statewide Community Health and Healthy Aging Fund.  </w:t>
      </w:r>
    </w:p>
    <w:p w14:paraId="591852FF"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 </w:t>
      </w:r>
    </w:p>
    <w:p w14:paraId="1534F082"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Since the local CHI funding will be pooled with an existing project, DPH agreed that the Applicant could utilize the CHI required documents submitted for DoN project #22062915-AS to fulfill Factor 6 requirements. The Applicant provided a CHI Narrative, Self-Assessment, 2022 Community Health Needs Assessment (CHNA), 2023-2025 Implementation Strategy and Partner Assessments. BID Plymouth will work with its Community Benefits Advisory Committee (CBAC) to select priorities and approve implementation strategies. DPH staff have determined that if the Applicant agrees to address community conditions and root causes while engaging in ongoing work with their CBAC, the CHI investment will align appropriately with the Health Priorities Guideline. </w:t>
      </w:r>
    </w:p>
    <w:p w14:paraId="2AFB65F9"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 </w:t>
      </w:r>
    </w:p>
    <w:p w14:paraId="0983C486" w14:textId="61F8D668"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b/>
          <w:bCs/>
          <w:color w:val="000000"/>
          <w:sz w:val="24"/>
          <w:szCs w:val="24"/>
          <w:shd w:val="clear" w:color="auto" w:fill="FFFFFF"/>
        </w:rPr>
        <w:t>The Community Health Needs Assessment</w:t>
      </w:r>
      <w:r w:rsidRPr="0088016D">
        <w:rPr>
          <w:rFonts w:ascii="Calibri" w:hAnsi="Calibri" w:cs="Calibri"/>
          <w:color w:val="000000"/>
          <w:sz w:val="24"/>
          <w:szCs w:val="24"/>
          <w:shd w:val="clear" w:color="auto" w:fill="FFFFFF"/>
        </w:rPr>
        <w:t xml:space="preserve"> (CHNA) was released in 2022 and assessed the communities of Duxbury, Kingston, Carver and Plymouth. Collectively, these cities and towns reflect diverse communities in terms of demographics (e.g., race, ethnicity, and age), socioeconomics (e.g., income, education, employment) and geography (e.g., suburban and semi-rural), which influences community needs. Using a health equity framework, the CHNA focused on better understanding the needs of underserved communities, including individuals who speak a language other than English, those who are in substance use recovery and those who experience barriers and disparities due to their race, ethnicity, gender identity, age, disability status or other personal characteristics. With a focus on community engagement, the CHNA analyzed primary and secondary quantitative and qualitative data capturing key demographics and social determinants of health. This process included community listening sessions, a community health survey, focus groups</w:t>
      </w:r>
      <w:r w:rsidR="0093794D">
        <w:rPr>
          <w:rFonts w:ascii="Calibri" w:hAnsi="Calibri" w:cs="Calibri"/>
          <w:color w:val="000000"/>
          <w:sz w:val="24"/>
          <w:szCs w:val="24"/>
          <w:shd w:val="clear" w:color="auto" w:fill="FFFFFF"/>
        </w:rPr>
        <w:t>,</w:t>
      </w:r>
      <w:r w:rsidRPr="0088016D">
        <w:rPr>
          <w:rFonts w:ascii="Calibri" w:hAnsi="Calibri" w:cs="Calibri"/>
          <w:color w:val="000000"/>
          <w:sz w:val="24"/>
          <w:szCs w:val="24"/>
          <w:shd w:val="clear" w:color="auto" w:fill="FFFFFF"/>
        </w:rPr>
        <w:t xml:space="preserve"> and key informant interviews.  </w:t>
      </w:r>
    </w:p>
    <w:p w14:paraId="1F16EB99"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 </w:t>
      </w:r>
    </w:p>
    <w:p w14:paraId="4D5918C9"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lastRenderedPageBreak/>
        <w:t xml:space="preserve">Guided by the CHNA findings, the Applicant’s </w:t>
      </w:r>
      <w:r w:rsidRPr="0088016D">
        <w:rPr>
          <w:rFonts w:ascii="Calibri" w:hAnsi="Calibri" w:cs="Calibri"/>
          <w:b/>
          <w:bCs/>
          <w:color w:val="000000"/>
          <w:sz w:val="24"/>
          <w:szCs w:val="24"/>
          <w:shd w:val="clear" w:color="auto" w:fill="FFFFFF"/>
        </w:rPr>
        <w:t>2023-2025 Implementation Strategy</w:t>
      </w:r>
      <w:r w:rsidRPr="0088016D">
        <w:rPr>
          <w:rFonts w:ascii="Calibri" w:hAnsi="Calibri" w:cs="Calibri"/>
          <w:color w:val="000000"/>
          <w:sz w:val="24"/>
          <w:szCs w:val="24"/>
          <w:shd w:val="clear" w:color="auto" w:fill="FFFFFF"/>
        </w:rPr>
        <w:t xml:space="preserve"> health priority needs include equitable access to care, social determinants of health, mental health and substance use and complex and chronic conditions across the priority populations of young people, low resourced populations, older adults, individuals with disabilities and racially, ethnically and linguistically diverse populations. </w:t>
      </w:r>
    </w:p>
    <w:p w14:paraId="6E18A671"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 </w:t>
      </w:r>
    </w:p>
    <w:p w14:paraId="42B62B92"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Using the CHNA/IS, the Applicant will engage its CHI Community Benefits Advisory Committee (CBAC) to select priorities and identify strategies for implementation with the funds associated with this proposed project. </w:t>
      </w:r>
    </w:p>
    <w:p w14:paraId="61B256E1"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 </w:t>
      </w:r>
    </w:p>
    <w:p w14:paraId="11BBE396" w14:textId="0CB5EC0D"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b/>
          <w:bCs/>
          <w:color w:val="000000"/>
          <w:sz w:val="24"/>
          <w:szCs w:val="24"/>
          <w:shd w:val="clear" w:color="auto" w:fill="FFFFFF"/>
        </w:rPr>
        <w:t xml:space="preserve">The Self-Assessment </w:t>
      </w:r>
      <w:r w:rsidRPr="0088016D">
        <w:rPr>
          <w:rFonts w:ascii="Calibri" w:hAnsi="Calibri" w:cs="Calibri"/>
          <w:color w:val="000000"/>
          <w:sz w:val="24"/>
          <w:szCs w:val="24"/>
          <w:shd w:val="clear" w:color="auto" w:fill="FFFFFF"/>
        </w:rPr>
        <w:t>provided a summary of community engagement processes and socio-demographic information, data and highlights related to topics and themes of community needs related to the existing CHNA and IS. Through primary data collection</w:t>
      </w:r>
      <w:r w:rsidR="00D62BD4">
        <w:rPr>
          <w:rFonts w:ascii="Calibri" w:hAnsi="Calibri" w:cs="Calibri"/>
          <w:color w:val="000000"/>
          <w:sz w:val="24"/>
          <w:szCs w:val="24"/>
          <w:shd w:val="clear" w:color="auto" w:fill="FFFFFF"/>
        </w:rPr>
        <w:t>,</w:t>
      </w:r>
      <w:r w:rsidRPr="0088016D">
        <w:rPr>
          <w:rFonts w:ascii="Calibri" w:hAnsi="Calibri" w:cs="Calibri"/>
          <w:color w:val="000000"/>
          <w:sz w:val="24"/>
          <w:szCs w:val="24"/>
          <w:shd w:val="clear" w:color="auto" w:fill="FFFFFF"/>
        </w:rPr>
        <w:t xml:space="preserve"> such as community listening sessions, a community health survey, focus groups, key informant interviews and data analysis, the Applicant and participating community partners identified the key needs outlined in the CHNA/IS.  </w:t>
      </w:r>
    </w:p>
    <w:p w14:paraId="7016AFE8"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 </w:t>
      </w:r>
    </w:p>
    <w:p w14:paraId="31673CE3"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b/>
          <w:bCs/>
          <w:color w:val="000000"/>
          <w:sz w:val="24"/>
          <w:szCs w:val="24"/>
          <w:shd w:val="clear" w:color="auto" w:fill="FFFFFF"/>
        </w:rPr>
        <w:t>Partner Assessments</w:t>
      </w:r>
      <w:r w:rsidRPr="0088016D">
        <w:rPr>
          <w:rFonts w:ascii="Calibri" w:hAnsi="Calibri" w:cs="Calibri"/>
          <w:color w:val="000000"/>
          <w:sz w:val="24"/>
          <w:szCs w:val="24"/>
          <w:shd w:val="clear" w:color="auto" w:fill="FFFFFF"/>
        </w:rPr>
        <w:t xml:space="preserve"> (formally known as Stakeholder Assessments) submitted provided information on the individuals’ engagement levels (e.g. their personal participation and role) and their analysis of how the Applicant engaged the community in community health improvement planning processes. The information provided in these forms were largely consistent with the self-assessment conducted by the Applicant. </w:t>
      </w:r>
    </w:p>
    <w:p w14:paraId="60978FA1" w14:textId="7777777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 </w:t>
      </w:r>
    </w:p>
    <w:p w14:paraId="316DF20D" w14:textId="1BE3FA37"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b/>
          <w:bCs/>
          <w:color w:val="000000"/>
          <w:sz w:val="24"/>
          <w:szCs w:val="24"/>
          <w:shd w:val="clear" w:color="auto" w:fill="FFFFFF"/>
        </w:rPr>
        <w:t>The CHI Narrative</w:t>
      </w:r>
      <w:r w:rsidRPr="0088016D">
        <w:rPr>
          <w:rFonts w:ascii="Calibri" w:hAnsi="Calibri" w:cs="Calibri"/>
          <w:color w:val="000000"/>
          <w:sz w:val="24"/>
          <w:szCs w:val="24"/>
          <w:shd w:val="clear" w:color="auto" w:fill="FFFFFF"/>
        </w:rPr>
        <w:t xml:space="preserve"> provided background and overview information for the CHI processes. The narrative also outlines advisory duties for the CBAC, and planned use of funding for evaluation and administrative activities. Additionally, the narrative outlines the CHI funds breakdown and the anticipated timeline for CHI activities. With the administrative funds, the applicant’s early plans are to develop and disseminate communication materials and support participation through meeting promotion and engagement barrier reduction activities. The timeline, RFP processes, and use of evaluation and administrative funds are all appropriate and in line with CHI planning guidelines.    </w:t>
      </w:r>
    </w:p>
    <w:p w14:paraId="3B395DA5" w14:textId="6A3A8C07" w:rsid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 </w:t>
      </w:r>
    </w:p>
    <w:p w14:paraId="043D6D77" w14:textId="77777777" w:rsidR="0088016D" w:rsidRPr="0088016D" w:rsidRDefault="0088016D" w:rsidP="0088016D">
      <w:pPr>
        <w:spacing w:after="0" w:line="240" w:lineRule="auto"/>
        <w:ind w:right="540"/>
        <w:rPr>
          <w:rFonts w:ascii="Calibri" w:hAnsi="Calibri" w:cs="Calibri"/>
          <w:b/>
          <w:bCs/>
          <w:color w:val="000000"/>
          <w:sz w:val="24"/>
          <w:szCs w:val="24"/>
          <w:shd w:val="clear" w:color="auto" w:fill="FFFFFF"/>
        </w:rPr>
      </w:pPr>
      <w:r w:rsidRPr="0088016D">
        <w:rPr>
          <w:rFonts w:ascii="Calibri" w:hAnsi="Calibri" w:cs="Calibri"/>
          <w:b/>
          <w:bCs/>
          <w:i/>
          <w:iCs/>
          <w:color w:val="000000"/>
          <w:sz w:val="24"/>
          <w:szCs w:val="24"/>
          <w:shd w:val="clear" w:color="auto" w:fill="FFFFFF"/>
        </w:rPr>
        <w:t>Analysis</w:t>
      </w:r>
    </w:p>
    <w:p w14:paraId="0AC03B05" w14:textId="4D328B71" w:rsidR="0088016D" w:rsidRPr="0088016D" w:rsidRDefault="0088016D" w:rsidP="0088016D">
      <w:pPr>
        <w:spacing w:after="0" w:line="240" w:lineRule="auto"/>
        <w:ind w:right="540"/>
        <w:rPr>
          <w:rFonts w:ascii="Calibri" w:hAnsi="Calibri" w:cs="Calibri"/>
          <w:color w:val="000000"/>
          <w:sz w:val="24"/>
          <w:szCs w:val="24"/>
          <w:shd w:val="clear" w:color="auto" w:fill="FFFFFF"/>
        </w:rPr>
      </w:pPr>
      <w:r w:rsidRPr="0088016D">
        <w:rPr>
          <w:rFonts w:ascii="Calibri" w:hAnsi="Calibri" w:cs="Calibri"/>
          <w:color w:val="000000"/>
          <w:sz w:val="24"/>
          <w:szCs w:val="24"/>
          <w:shd w:val="clear" w:color="auto" w:fill="FFFFFF"/>
        </w:rPr>
        <w:t>As a result of information provided by the Applicant and additional analysis, staff finds that with the conditions outlined below, and the ongoing communication on items for improvement outlined above, the Applicant will have demonstrated that the Proposed Project has met Factor 6.    </w:t>
      </w:r>
    </w:p>
    <w:p w14:paraId="054EC057" w14:textId="77777777" w:rsidR="000E3CCB" w:rsidRPr="00AA0F82" w:rsidRDefault="000E3CCB" w:rsidP="00FA74CC">
      <w:pPr>
        <w:spacing w:after="0" w:line="240" w:lineRule="auto"/>
        <w:ind w:right="540"/>
        <w:rPr>
          <w:rFonts w:ascii="Calibri" w:eastAsia="Times New Roman" w:hAnsi="Calibri" w:cs="Times New Roman"/>
          <w:b/>
          <w:bCs/>
          <w:i/>
          <w:iCs/>
          <w:color w:val="000000"/>
          <w:sz w:val="24"/>
          <w:szCs w:val="24"/>
          <w:highlight w:val="yellow"/>
        </w:rPr>
      </w:pPr>
    </w:p>
    <w:p w14:paraId="36ACF3A1" w14:textId="10DCD567" w:rsidR="003E1CDA" w:rsidRPr="00B14349" w:rsidRDefault="006578AD" w:rsidP="0024289A">
      <w:pPr>
        <w:pStyle w:val="Heading1"/>
      </w:pPr>
      <w:bookmarkStart w:id="25" w:name="_Toc181784915"/>
      <w:r w:rsidRPr="00B14349">
        <w:t xml:space="preserve">Overall </w:t>
      </w:r>
      <w:r w:rsidR="003E1CDA" w:rsidRPr="00B14349">
        <w:t>Findings and Recommendations</w:t>
      </w:r>
      <w:bookmarkEnd w:id="25"/>
      <w:r w:rsidR="003E1CDA" w:rsidRPr="00B14349">
        <w:t xml:space="preserve"> </w:t>
      </w:r>
    </w:p>
    <w:p w14:paraId="240B4334" w14:textId="33B2D95C" w:rsidR="003E1CDA" w:rsidRPr="00B14349" w:rsidRDefault="003E1CDA" w:rsidP="003E1CDA">
      <w:pPr>
        <w:spacing w:after="0" w:line="240" w:lineRule="auto"/>
        <w:rPr>
          <w:sz w:val="24"/>
          <w:szCs w:val="24"/>
        </w:rPr>
      </w:pPr>
      <w:r w:rsidRPr="00B14349">
        <w:rPr>
          <w:sz w:val="24"/>
          <w:szCs w:val="24"/>
        </w:rPr>
        <w:t xml:space="preserve">Based upon a review of the materials submitted, Staff finds that, with the addition of the recommended conditions detailed below, the Applicant has met each DoN Factor for the Proposed </w:t>
      </w:r>
      <w:r w:rsidR="003D35D8" w:rsidRPr="00B14349">
        <w:rPr>
          <w:sz w:val="24"/>
          <w:szCs w:val="24"/>
        </w:rPr>
        <w:t>Project and</w:t>
      </w:r>
      <w:r w:rsidRPr="00B14349">
        <w:rPr>
          <w:sz w:val="24"/>
          <w:szCs w:val="24"/>
        </w:rPr>
        <w:t xml:space="preserve"> recommends that the Department approve this Determination of Need, subject to all applicable standard and Other Conditions. </w:t>
      </w:r>
    </w:p>
    <w:p w14:paraId="6809D2AC" w14:textId="56FBA335" w:rsidR="005F2DE7" w:rsidRPr="00AA0F82" w:rsidRDefault="005F2DE7" w:rsidP="003E1CDA">
      <w:pPr>
        <w:spacing w:line="240" w:lineRule="auto"/>
        <w:rPr>
          <w:b/>
          <w:bCs/>
          <w:sz w:val="24"/>
          <w:szCs w:val="24"/>
          <w:highlight w:val="yellow"/>
        </w:rPr>
      </w:pPr>
    </w:p>
    <w:p w14:paraId="4264FCD5" w14:textId="3D1A43DC" w:rsidR="0088016D" w:rsidRDefault="00FA6CD1" w:rsidP="0088016D">
      <w:pPr>
        <w:pStyle w:val="Heading1"/>
      </w:pPr>
      <w:bookmarkStart w:id="26" w:name="_Toc181784916"/>
      <w:r w:rsidRPr="0088016D">
        <w:t>Conditions to the DoN</w:t>
      </w:r>
      <w:bookmarkEnd w:id="26"/>
    </w:p>
    <w:p w14:paraId="0B61C0A5" w14:textId="77777777" w:rsidR="0088016D" w:rsidRPr="0088016D" w:rsidRDefault="0088016D" w:rsidP="00082D4A">
      <w:pPr>
        <w:numPr>
          <w:ilvl w:val="0"/>
          <w:numId w:val="9"/>
        </w:numPr>
        <w:spacing w:after="0"/>
      </w:pPr>
      <w:r w:rsidRPr="0088016D">
        <w:t>Of the total required CHI contribution of $2,511,854.55 </w:t>
      </w:r>
    </w:p>
    <w:p w14:paraId="40283968" w14:textId="77777777" w:rsidR="0088016D" w:rsidRPr="0088016D" w:rsidRDefault="0088016D" w:rsidP="00082D4A">
      <w:pPr>
        <w:numPr>
          <w:ilvl w:val="0"/>
          <w:numId w:val="10"/>
        </w:numPr>
        <w:tabs>
          <w:tab w:val="clear" w:pos="720"/>
          <w:tab w:val="num" w:pos="1080"/>
        </w:tabs>
        <w:spacing w:after="0"/>
        <w:ind w:left="1080"/>
      </w:pPr>
      <w:r w:rsidRPr="0088016D">
        <w:t>$609,124.73 will be directed to the CHI Statewide Initiative. </w:t>
      </w:r>
    </w:p>
    <w:p w14:paraId="622F1ED9" w14:textId="77777777" w:rsidR="0088016D" w:rsidRPr="0088016D" w:rsidRDefault="0088016D" w:rsidP="00082D4A">
      <w:pPr>
        <w:numPr>
          <w:ilvl w:val="0"/>
          <w:numId w:val="11"/>
        </w:numPr>
        <w:tabs>
          <w:tab w:val="clear" w:pos="720"/>
          <w:tab w:val="num" w:pos="1080"/>
        </w:tabs>
        <w:spacing w:after="0"/>
        <w:ind w:left="1080"/>
      </w:pPr>
      <w:r w:rsidRPr="0088016D">
        <w:t>$1,827,374.18 will be dedicated to local approaches to the DoN Health Priorities.   </w:t>
      </w:r>
    </w:p>
    <w:p w14:paraId="7D54D721" w14:textId="5E2E4F54" w:rsidR="0088016D" w:rsidRDefault="0088016D" w:rsidP="00082D4A">
      <w:pPr>
        <w:numPr>
          <w:ilvl w:val="0"/>
          <w:numId w:val="12"/>
        </w:numPr>
        <w:tabs>
          <w:tab w:val="clear" w:pos="720"/>
          <w:tab w:val="num" w:pos="1080"/>
        </w:tabs>
        <w:spacing w:after="0"/>
        <w:ind w:left="1080"/>
      </w:pPr>
      <w:r w:rsidRPr="0088016D">
        <w:t>$75,355.64 will be designated as the administrative fee.  </w:t>
      </w:r>
    </w:p>
    <w:p w14:paraId="50282EE4" w14:textId="77777777" w:rsidR="0088016D" w:rsidRPr="0088016D" w:rsidRDefault="0088016D" w:rsidP="0088016D">
      <w:pPr>
        <w:spacing w:after="0"/>
        <w:ind w:left="720"/>
      </w:pPr>
    </w:p>
    <w:p w14:paraId="3ACE0B18" w14:textId="77777777" w:rsidR="0088016D" w:rsidRPr="0088016D" w:rsidRDefault="0088016D" w:rsidP="00082D4A">
      <w:pPr>
        <w:numPr>
          <w:ilvl w:val="0"/>
          <w:numId w:val="13"/>
        </w:numPr>
        <w:spacing w:after="0"/>
      </w:pPr>
      <w:r w:rsidRPr="0088016D">
        <w:t xml:space="preserve">To comply with the Holder’s obligation to contribute to the CHI Statewide Initiative, the Holder must submit a check for $609,124.73 to Health Resources in Action (the fiscal agent for the CHI Statewide Initiative) </w:t>
      </w:r>
      <w:r w:rsidRPr="0088016D">
        <w:rPr>
          <w:b/>
          <w:bCs/>
        </w:rPr>
        <w:t>within 30 days</w:t>
      </w:r>
      <w:r w:rsidRPr="0088016D">
        <w:t xml:space="preserve"> from the date of the Notice of Approval.   </w:t>
      </w:r>
    </w:p>
    <w:p w14:paraId="0D8C662C" w14:textId="77777777" w:rsidR="0088016D" w:rsidRPr="0088016D" w:rsidRDefault="0088016D" w:rsidP="00082D4A">
      <w:pPr>
        <w:numPr>
          <w:ilvl w:val="0"/>
          <w:numId w:val="14"/>
        </w:numPr>
        <w:tabs>
          <w:tab w:val="num" w:pos="720"/>
        </w:tabs>
        <w:spacing w:after="0"/>
      </w:pPr>
      <w:r w:rsidRPr="0088016D">
        <w:t>Payments should be made out to: </w:t>
      </w:r>
    </w:p>
    <w:p w14:paraId="5E386047" w14:textId="77777777" w:rsidR="0088016D" w:rsidRPr="0088016D" w:rsidRDefault="0088016D" w:rsidP="0088016D">
      <w:pPr>
        <w:spacing w:after="0"/>
        <w:ind w:left="1440"/>
      </w:pPr>
      <w:r w:rsidRPr="0088016D">
        <w:t>Health Resources in Action, Inc. (HRiA)  </w:t>
      </w:r>
    </w:p>
    <w:p w14:paraId="33D269C5" w14:textId="77777777" w:rsidR="0088016D" w:rsidRPr="0088016D" w:rsidRDefault="0088016D" w:rsidP="0088016D">
      <w:pPr>
        <w:spacing w:after="0"/>
        <w:ind w:left="1440"/>
      </w:pPr>
      <w:r w:rsidRPr="0088016D">
        <w:t>2 Boylston Street, 4th Floor  </w:t>
      </w:r>
    </w:p>
    <w:p w14:paraId="2A308C93" w14:textId="77777777" w:rsidR="0088016D" w:rsidRPr="0088016D" w:rsidRDefault="0088016D" w:rsidP="0088016D">
      <w:pPr>
        <w:spacing w:after="0"/>
        <w:ind w:left="1440"/>
      </w:pPr>
      <w:r w:rsidRPr="0088016D">
        <w:t>Boston, MA 02116 Attn: MACHHAF c/o Bora Toro  </w:t>
      </w:r>
    </w:p>
    <w:p w14:paraId="0D40609E" w14:textId="20FBE87D" w:rsidR="0088016D" w:rsidRPr="0088016D" w:rsidRDefault="0088016D" w:rsidP="0088016D">
      <w:pPr>
        <w:spacing w:after="0"/>
        <w:ind w:left="1440"/>
      </w:pPr>
      <w:r w:rsidRPr="0088016D">
        <w:t xml:space="preserve">DoN project #: </w:t>
      </w:r>
      <w:r w:rsidRPr="00C441AC">
        <w:rPr>
          <w:sz w:val="24"/>
          <w:szCs w:val="24"/>
        </w:rPr>
        <w:t>BILH-23102414-HE</w:t>
      </w:r>
    </w:p>
    <w:p w14:paraId="6AB1F2D3" w14:textId="3FB761BE" w:rsidR="0088016D" w:rsidRPr="0088016D" w:rsidRDefault="0088016D" w:rsidP="00082D4A">
      <w:pPr>
        <w:numPr>
          <w:ilvl w:val="0"/>
          <w:numId w:val="15"/>
        </w:numPr>
        <w:tabs>
          <w:tab w:val="num" w:pos="720"/>
        </w:tabs>
      </w:pPr>
      <w:r w:rsidRPr="0088016D">
        <w:t>Please send a PDF image of the check or</w:t>
      </w:r>
      <w:r w:rsidRPr="0088016D">
        <w:rPr>
          <w:b/>
          <w:bCs/>
        </w:rPr>
        <w:t xml:space="preserve"> confirmation of payment</w:t>
      </w:r>
      <w:r w:rsidRPr="0088016D">
        <w:t xml:space="preserve"> to </w:t>
      </w:r>
      <w:r w:rsidRPr="0088016D">
        <w:rPr>
          <w:u w:val="single"/>
        </w:rPr>
        <w:t>DONCHI@Mass.gov</w:t>
      </w:r>
      <w:r w:rsidRPr="0088016D">
        <w:t xml:space="preserve"> and </w:t>
      </w:r>
      <w:hyperlink r:id="rId9" w:tgtFrame="_blank" w:history="1">
        <w:r w:rsidRPr="0088016D">
          <w:rPr>
            <w:rStyle w:val="Hyperlink"/>
            <w:lang w:val="fr-FR"/>
          </w:rPr>
          <w:t>dongrants@hria.org</w:t>
        </w:r>
      </w:hyperlink>
      <w:r w:rsidRPr="0088016D">
        <w:t> </w:t>
      </w:r>
    </w:p>
    <w:p w14:paraId="7F0691BC" w14:textId="694CA9C8" w:rsidR="007179DD" w:rsidRPr="0088016D" w:rsidRDefault="0088016D" w:rsidP="00082D4A">
      <w:pPr>
        <w:numPr>
          <w:ilvl w:val="0"/>
          <w:numId w:val="16"/>
        </w:numPr>
      </w:pPr>
      <w:r w:rsidRPr="0088016D">
        <w:t xml:space="preserve">If you should have any questions or concerns regarding the payment, please contact the CHI team at </w:t>
      </w:r>
      <w:hyperlink r:id="rId10" w:tgtFrame="_blank" w:history="1">
        <w:r w:rsidRPr="0088016D">
          <w:rPr>
            <w:rStyle w:val="Hyperlink"/>
          </w:rPr>
          <w:t>DONCHI@Mass.gov</w:t>
        </w:r>
      </w:hyperlink>
      <w:r w:rsidRPr="0088016D">
        <w:t>. </w:t>
      </w:r>
    </w:p>
    <w:p w14:paraId="08DF4034" w14:textId="77777777" w:rsidR="007179DD" w:rsidRPr="00AA0F82" w:rsidRDefault="007179DD" w:rsidP="007179DD">
      <w:pPr>
        <w:ind w:left="1440"/>
        <w:rPr>
          <w:rFonts w:ascii="Calibri" w:eastAsia="Times New Roman" w:hAnsi="Calibri" w:cs="Times New Roman"/>
          <w:color w:val="000000"/>
          <w:sz w:val="24"/>
          <w:szCs w:val="24"/>
          <w:highlight w:val="yellow"/>
        </w:rPr>
      </w:pPr>
    </w:p>
    <w:p w14:paraId="6C2BD534" w14:textId="77777777" w:rsidR="007179DD" w:rsidRPr="00D5478E" w:rsidRDefault="007179DD" w:rsidP="007179DD">
      <w:pPr>
        <w:pStyle w:val="Heading1"/>
      </w:pPr>
      <w:bookmarkStart w:id="27" w:name="_Toc181784917"/>
      <w:r w:rsidRPr="00D5478E">
        <w:t>Appendix I</w:t>
      </w:r>
      <w:bookmarkEnd w:id="27"/>
    </w:p>
    <w:p w14:paraId="689F1A68" w14:textId="77777777" w:rsidR="007179DD" w:rsidRPr="00D5478E" w:rsidRDefault="007179DD" w:rsidP="007179DD">
      <w:pPr>
        <w:spacing w:after="0" w:line="240" w:lineRule="auto"/>
        <w:ind w:left="20"/>
        <w:jc w:val="both"/>
        <w:rPr>
          <w:rFonts w:cstheme="minorHAnsi"/>
          <w:sz w:val="24"/>
          <w:szCs w:val="24"/>
        </w:rPr>
      </w:pPr>
    </w:p>
    <w:p w14:paraId="3AC504FD" w14:textId="77777777" w:rsidR="007179DD" w:rsidRPr="00D5478E" w:rsidRDefault="007179DD" w:rsidP="007179DD">
      <w:pPr>
        <w:rPr>
          <w:rFonts w:cstheme="minorHAnsi"/>
          <w:b/>
          <w:bCs/>
          <w:iCs/>
          <w:sz w:val="24"/>
          <w:szCs w:val="24"/>
        </w:rPr>
      </w:pPr>
      <w:r w:rsidRPr="00D5478E">
        <w:rPr>
          <w:rFonts w:cstheme="minorHAnsi"/>
          <w:b/>
          <w:bCs/>
          <w:iCs/>
          <w:sz w:val="24"/>
          <w:szCs w:val="24"/>
        </w:rPr>
        <w:t>Outcome Measures</w:t>
      </w:r>
    </w:p>
    <w:p w14:paraId="335D2565" w14:textId="77777777" w:rsidR="007179DD" w:rsidRPr="00D5478E" w:rsidRDefault="007179DD" w:rsidP="007179DD">
      <w:pPr>
        <w:rPr>
          <w:rFonts w:cstheme="minorHAnsi"/>
          <w:sz w:val="24"/>
          <w:szCs w:val="24"/>
        </w:rPr>
      </w:pPr>
      <w:r w:rsidRPr="00D5478E">
        <w:rPr>
          <w:rStyle w:val="normaltextrun"/>
          <w:rFonts w:cstheme="minorHAnsi"/>
          <w:sz w:val="24"/>
          <w:szCs w:val="24"/>
        </w:rPr>
        <w:t xml:space="preserve">Below is a list of outcome measures to assess the impact of the Proposed Project. The Applicant will report this information to the Department’s DoN Program staff as part of its annual report required by 105 CMR 100.310(A)(12) following implementation of the Proposed Project. </w:t>
      </w:r>
      <w:r w:rsidRPr="00D5478E">
        <w:rPr>
          <w:rFonts w:cstheme="minorHAnsi"/>
          <w:sz w:val="24"/>
          <w:szCs w:val="24"/>
        </w:rPr>
        <w:t xml:space="preserve">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 </w:t>
      </w:r>
    </w:p>
    <w:p w14:paraId="1CDEAF9F" w14:textId="5494C03D" w:rsidR="00E73136" w:rsidRPr="00E73136" w:rsidRDefault="003C7959" w:rsidP="00082D4A">
      <w:pPr>
        <w:pStyle w:val="ListParagraph"/>
        <w:numPr>
          <w:ilvl w:val="0"/>
          <w:numId w:val="7"/>
        </w:numPr>
        <w:autoSpaceDE w:val="0"/>
        <w:autoSpaceDN w:val="0"/>
        <w:adjustRightInd w:val="0"/>
        <w:spacing w:before="120" w:after="120" w:line="240" w:lineRule="auto"/>
        <w:contextualSpacing w:val="0"/>
        <w:rPr>
          <w:rFonts w:eastAsia="Times New Roman" w:cstheme="minorHAnsi"/>
          <w:sz w:val="24"/>
          <w:szCs w:val="24"/>
        </w:rPr>
      </w:pPr>
      <w:r>
        <w:rPr>
          <w:rFonts w:cstheme="minorHAnsi"/>
          <w:sz w:val="24"/>
          <w:szCs w:val="24"/>
        </w:rPr>
        <w:t>Using the FY2023</w:t>
      </w:r>
      <w:r w:rsidRPr="00C80E51">
        <w:rPr>
          <w:rFonts w:cstheme="minorHAnsi"/>
          <w:sz w:val="24"/>
          <w:szCs w:val="24"/>
        </w:rPr>
        <w:t xml:space="preserve"> average length of stay of 22.7 hours</w:t>
      </w:r>
      <w:r w:rsidR="00621F84">
        <w:rPr>
          <w:rFonts w:cstheme="minorHAnsi"/>
          <w:sz w:val="24"/>
          <w:szCs w:val="24"/>
        </w:rPr>
        <w:t xml:space="preserve"> as a baseline</w:t>
      </w:r>
      <w:r w:rsidR="00082D4A">
        <w:rPr>
          <w:rFonts w:cstheme="minorHAnsi"/>
          <w:sz w:val="24"/>
          <w:szCs w:val="24"/>
        </w:rPr>
        <w:t>, provide</w:t>
      </w:r>
      <w:r w:rsidR="00621F84">
        <w:rPr>
          <w:rFonts w:cstheme="minorHAnsi"/>
          <w:sz w:val="24"/>
          <w:szCs w:val="24"/>
        </w:rPr>
        <w:t xml:space="preserve"> </w:t>
      </w:r>
      <w:r w:rsidR="00082D4A">
        <w:rPr>
          <w:rFonts w:cstheme="minorHAnsi"/>
          <w:sz w:val="24"/>
          <w:szCs w:val="24"/>
        </w:rPr>
        <w:t xml:space="preserve">average length of stay for </w:t>
      </w:r>
      <w:r w:rsidR="00621F84">
        <w:rPr>
          <w:rFonts w:cstheme="minorHAnsi"/>
          <w:sz w:val="24"/>
          <w:szCs w:val="24"/>
        </w:rPr>
        <w:t xml:space="preserve">Behavioral Health </w:t>
      </w:r>
      <w:r w:rsidR="00082D4A">
        <w:rPr>
          <w:rFonts w:cstheme="minorHAnsi"/>
          <w:sz w:val="24"/>
          <w:szCs w:val="24"/>
        </w:rPr>
        <w:t>over the course of the reporting period.</w:t>
      </w:r>
    </w:p>
    <w:p w14:paraId="42D6E005" w14:textId="1F1251F4" w:rsidR="00514444" w:rsidRPr="00514444" w:rsidRDefault="00514444" w:rsidP="00082D4A">
      <w:pPr>
        <w:pStyle w:val="ListParagraph"/>
        <w:numPr>
          <w:ilvl w:val="0"/>
          <w:numId w:val="7"/>
        </w:numPr>
        <w:autoSpaceDE w:val="0"/>
        <w:autoSpaceDN w:val="0"/>
        <w:adjustRightInd w:val="0"/>
        <w:spacing w:before="120" w:after="120" w:line="240" w:lineRule="auto"/>
        <w:contextualSpacing w:val="0"/>
        <w:rPr>
          <w:rFonts w:eastAsia="Times New Roman" w:cstheme="minorHAnsi"/>
          <w:sz w:val="24"/>
          <w:szCs w:val="24"/>
        </w:rPr>
      </w:pPr>
      <w:r w:rsidRPr="00514444">
        <w:rPr>
          <w:rFonts w:eastAsia="Times New Roman" w:cstheme="minorHAnsi"/>
          <w:b/>
          <w:bCs/>
          <w:sz w:val="24"/>
          <w:szCs w:val="24"/>
          <w:u w:val="single"/>
        </w:rPr>
        <w:t>Access - Left Without Being Seen</w:t>
      </w:r>
      <w:r w:rsidRPr="00514444">
        <w:rPr>
          <w:rFonts w:eastAsia="Times New Roman" w:cstheme="minorHAnsi"/>
          <w:b/>
          <w:bCs/>
          <w:sz w:val="24"/>
          <w:szCs w:val="24"/>
        </w:rPr>
        <w:t xml:space="preserve">: </w:t>
      </w:r>
      <w:r w:rsidRPr="00514444">
        <w:rPr>
          <w:rFonts w:eastAsia="Times New Roman" w:cstheme="minorHAnsi"/>
          <w:sz w:val="24"/>
          <w:szCs w:val="24"/>
        </w:rPr>
        <w:t>Through a redesigned physical space and new patient throughput processes, BID-Plymouth will be able to move patients to exam rooms more quickly, reducing wait time, overcrowding and the walk-out rate.</w:t>
      </w:r>
    </w:p>
    <w:p w14:paraId="485CF17D" w14:textId="77777777" w:rsidR="00514444" w:rsidRPr="00514444" w:rsidRDefault="00514444" w:rsidP="00514444">
      <w:pPr>
        <w:autoSpaceDE w:val="0"/>
        <w:autoSpaceDN w:val="0"/>
        <w:adjustRightInd w:val="0"/>
        <w:spacing w:before="120" w:after="120" w:line="240" w:lineRule="auto"/>
        <w:ind w:left="1440"/>
        <w:rPr>
          <w:rFonts w:eastAsia="Times New Roman" w:cstheme="minorHAnsi"/>
          <w:sz w:val="24"/>
          <w:szCs w:val="24"/>
        </w:rPr>
      </w:pPr>
      <w:r w:rsidRPr="00514444">
        <w:rPr>
          <w:rFonts w:eastAsia="Times New Roman" w:cstheme="minorHAnsi"/>
          <w:b/>
          <w:bCs/>
          <w:sz w:val="24"/>
          <w:szCs w:val="24"/>
        </w:rPr>
        <w:t xml:space="preserve">Numerator: </w:t>
      </w:r>
      <w:r w:rsidRPr="00514444">
        <w:rPr>
          <w:rFonts w:eastAsia="Times New Roman" w:cstheme="minorHAnsi"/>
          <w:sz w:val="24"/>
          <w:szCs w:val="24"/>
        </w:rPr>
        <w:t>The number of patients leaving the ED without treatment, without being seen, or without an appropriate discharge.</w:t>
      </w:r>
    </w:p>
    <w:p w14:paraId="30A921CD" w14:textId="39E7F996" w:rsidR="00514444" w:rsidRPr="00514444" w:rsidRDefault="00514444" w:rsidP="00514444">
      <w:pPr>
        <w:autoSpaceDE w:val="0"/>
        <w:autoSpaceDN w:val="0"/>
        <w:adjustRightInd w:val="0"/>
        <w:spacing w:before="120" w:after="120" w:line="240" w:lineRule="auto"/>
        <w:ind w:left="1440"/>
        <w:rPr>
          <w:rFonts w:eastAsia="Times New Roman"/>
          <w:sz w:val="24"/>
          <w:szCs w:val="24"/>
        </w:rPr>
      </w:pPr>
      <w:r w:rsidRPr="4BB2FD79">
        <w:rPr>
          <w:rFonts w:eastAsia="Times New Roman"/>
          <w:b/>
          <w:sz w:val="24"/>
          <w:szCs w:val="24"/>
        </w:rPr>
        <w:lastRenderedPageBreak/>
        <w:t>Denominator:</w:t>
      </w:r>
      <w:r w:rsidRPr="4BB2FD79">
        <w:rPr>
          <w:rFonts w:eastAsia="Times New Roman"/>
          <w:sz w:val="24"/>
          <w:szCs w:val="24"/>
        </w:rPr>
        <w:t xml:space="preserve"> The total number of patients</w:t>
      </w:r>
      <w:r w:rsidR="004466CB">
        <w:rPr>
          <w:rStyle w:val="FootnoteReference"/>
          <w:rFonts w:eastAsia="Times New Roman"/>
          <w:sz w:val="24"/>
          <w:szCs w:val="24"/>
        </w:rPr>
        <w:footnoteReference w:id="23"/>
      </w:r>
      <w:r w:rsidRPr="4BB2FD79">
        <w:rPr>
          <w:rFonts w:eastAsia="Times New Roman"/>
          <w:sz w:val="24"/>
          <w:szCs w:val="24"/>
        </w:rPr>
        <w:t xml:space="preserve"> who register in the ED to be seen. </w:t>
      </w:r>
    </w:p>
    <w:p w14:paraId="638283B2" w14:textId="77777777" w:rsidR="00514444" w:rsidRPr="00514444" w:rsidRDefault="00514444" w:rsidP="00514444">
      <w:pPr>
        <w:shd w:val="clear" w:color="auto" w:fill="FFFFFF"/>
        <w:spacing w:after="0" w:line="240" w:lineRule="auto"/>
        <w:ind w:left="2880" w:firstLine="720"/>
        <w:rPr>
          <w:rFonts w:eastAsia="Times New Roman" w:cstheme="minorHAnsi"/>
          <w:color w:val="000000"/>
          <w:sz w:val="24"/>
          <w:szCs w:val="24"/>
        </w:rPr>
      </w:pPr>
      <w:r w:rsidRPr="00514444">
        <w:rPr>
          <w:rFonts w:eastAsia="Times New Roman" w:cstheme="minorHAnsi"/>
          <w:color w:val="000000"/>
          <w:sz w:val="24"/>
          <w:szCs w:val="24"/>
        </w:rPr>
        <w:t xml:space="preserve"> </w:t>
      </w:r>
    </w:p>
    <w:tbl>
      <w:tblPr>
        <w:tblStyle w:val="TableGrid"/>
        <w:tblW w:w="0" w:type="auto"/>
        <w:tblInd w:w="715" w:type="dxa"/>
        <w:tblLayout w:type="fixed"/>
        <w:tblLook w:val="04A0" w:firstRow="1" w:lastRow="0" w:firstColumn="1" w:lastColumn="0" w:noHBand="0" w:noVBand="1"/>
      </w:tblPr>
      <w:tblGrid>
        <w:gridCol w:w="4680"/>
        <w:gridCol w:w="988"/>
        <w:gridCol w:w="989"/>
        <w:gridCol w:w="989"/>
        <w:gridCol w:w="989"/>
      </w:tblGrid>
      <w:tr w:rsidR="00514444" w:rsidRPr="00514444" w14:paraId="2703AF32" w14:textId="77777777">
        <w:tc>
          <w:tcPr>
            <w:tcW w:w="4680" w:type="dxa"/>
          </w:tcPr>
          <w:p w14:paraId="210335C8"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Quality Measure #1</w:t>
            </w:r>
          </w:p>
        </w:tc>
        <w:tc>
          <w:tcPr>
            <w:tcW w:w="988" w:type="dxa"/>
          </w:tcPr>
          <w:p w14:paraId="133305A3"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 xml:space="preserve">Baseline </w:t>
            </w:r>
          </w:p>
        </w:tc>
        <w:tc>
          <w:tcPr>
            <w:tcW w:w="989" w:type="dxa"/>
          </w:tcPr>
          <w:p w14:paraId="276BF8BC"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Year 1</w:t>
            </w:r>
          </w:p>
        </w:tc>
        <w:tc>
          <w:tcPr>
            <w:tcW w:w="989" w:type="dxa"/>
          </w:tcPr>
          <w:p w14:paraId="743218D0"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Year 2</w:t>
            </w:r>
          </w:p>
        </w:tc>
        <w:tc>
          <w:tcPr>
            <w:tcW w:w="989" w:type="dxa"/>
          </w:tcPr>
          <w:p w14:paraId="40EEDF92"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Year 3</w:t>
            </w:r>
          </w:p>
        </w:tc>
      </w:tr>
      <w:tr w:rsidR="00514444" w:rsidRPr="00514444" w14:paraId="3B7944F2" w14:textId="77777777">
        <w:tc>
          <w:tcPr>
            <w:tcW w:w="4680" w:type="dxa"/>
          </w:tcPr>
          <w:p w14:paraId="5364CBC2" w14:textId="77777777" w:rsidR="00514444" w:rsidRPr="00514444" w:rsidRDefault="00514444">
            <w:pPr>
              <w:rPr>
                <w:rFonts w:eastAsia="Times New Roman" w:cstheme="minorHAnsi"/>
                <w:color w:val="000000"/>
                <w:sz w:val="24"/>
                <w:szCs w:val="24"/>
              </w:rPr>
            </w:pPr>
            <w:r w:rsidRPr="00514444">
              <w:rPr>
                <w:rFonts w:eastAsia="Times New Roman" w:cstheme="minorHAnsi"/>
                <w:color w:val="000000"/>
                <w:sz w:val="24"/>
                <w:szCs w:val="24"/>
              </w:rPr>
              <w:t>Percent of patients who leave without being seen</w:t>
            </w:r>
          </w:p>
        </w:tc>
        <w:tc>
          <w:tcPr>
            <w:tcW w:w="988" w:type="dxa"/>
          </w:tcPr>
          <w:p w14:paraId="5CE9ACF6" w14:textId="77777777" w:rsidR="00514444" w:rsidRPr="00514444" w:rsidRDefault="00514444">
            <w:pPr>
              <w:jc w:val="center"/>
              <w:rPr>
                <w:rFonts w:eastAsia="Times New Roman" w:cstheme="minorHAnsi"/>
                <w:color w:val="000000"/>
                <w:sz w:val="24"/>
                <w:szCs w:val="24"/>
              </w:rPr>
            </w:pPr>
            <w:r w:rsidRPr="00514444">
              <w:rPr>
                <w:rFonts w:eastAsia="Times New Roman" w:cstheme="minorHAnsi"/>
                <w:sz w:val="24"/>
                <w:szCs w:val="24"/>
              </w:rPr>
              <w:t>2.6%</w:t>
            </w:r>
          </w:p>
        </w:tc>
        <w:tc>
          <w:tcPr>
            <w:tcW w:w="989" w:type="dxa"/>
          </w:tcPr>
          <w:p w14:paraId="0B9D5142" w14:textId="77777777" w:rsidR="00514444" w:rsidRPr="00514444" w:rsidRDefault="00514444">
            <w:pPr>
              <w:jc w:val="center"/>
              <w:rPr>
                <w:rFonts w:eastAsia="Times New Roman" w:cstheme="minorHAnsi"/>
                <w:color w:val="000000"/>
                <w:sz w:val="24"/>
                <w:szCs w:val="24"/>
              </w:rPr>
            </w:pPr>
            <w:r w:rsidRPr="00514444">
              <w:rPr>
                <w:rFonts w:eastAsia="Times New Roman" w:cstheme="minorHAnsi"/>
                <w:color w:val="000000"/>
                <w:sz w:val="24"/>
                <w:szCs w:val="24"/>
              </w:rPr>
              <w:t>2.0%</w:t>
            </w:r>
          </w:p>
        </w:tc>
        <w:tc>
          <w:tcPr>
            <w:tcW w:w="989" w:type="dxa"/>
          </w:tcPr>
          <w:p w14:paraId="2D42F611" w14:textId="77777777" w:rsidR="00514444" w:rsidRPr="00514444" w:rsidRDefault="00514444">
            <w:pPr>
              <w:jc w:val="center"/>
              <w:rPr>
                <w:rFonts w:eastAsia="Times New Roman" w:cstheme="minorHAnsi"/>
                <w:color w:val="000000"/>
                <w:sz w:val="24"/>
                <w:szCs w:val="24"/>
              </w:rPr>
            </w:pPr>
            <w:r w:rsidRPr="00514444">
              <w:rPr>
                <w:rFonts w:eastAsia="Times New Roman" w:cstheme="minorHAnsi"/>
                <w:color w:val="000000"/>
                <w:sz w:val="24"/>
                <w:szCs w:val="24"/>
              </w:rPr>
              <w:t>1.9%</w:t>
            </w:r>
          </w:p>
        </w:tc>
        <w:tc>
          <w:tcPr>
            <w:tcW w:w="989" w:type="dxa"/>
          </w:tcPr>
          <w:p w14:paraId="7CE6C0A4" w14:textId="77777777" w:rsidR="00514444" w:rsidRPr="00514444" w:rsidRDefault="00514444">
            <w:pPr>
              <w:jc w:val="center"/>
              <w:rPr>
                <w:rFonts w:eastAsia="Times New Roman" w:cstheme="minorHAnsi"/>
                <w:color w:val="000000"/>
                <w:sz w:val="24"/>
                <w:szCs w:val="24"/>
              </w:rPr>
            </w:pPr>
            <w:r w:rsidRPr="00514444">
              <w:rPr>
                <w:rFonts w:eastAsia="Times New Roman" w:cstheme="minorHAnsi"/>
                <w:color w:val="000000"/>
                <w:sz w:val="24"/>
                <w:szCs w:val="24"/>
              </w:rPr>
              <w:t>1.6%</w:t>
            </w:r>
          </w:p>
        </w:tc>
      </w:tr>
    </w:tbl>
    <w:p w14:paraId="3656CB03" w14:textId="77777777" w:rsidR="00514444" w:rsidRPr="00514444" w:rsidRDefault="00514444" w:rsidP="00514444">
      <w:pPr>
        <w:shd w:val="clear" w:color="auto" w:fill="FFFFFF"/>
        <w:spacing w:after="0" w:line="240" w:lineRule="auto"/>
        <w:rPr>
          <w:rFonts w:eastAsia="Times New Roman" w:cstheme="minorHAnsi"/>
          <w:color w:val="000000"/>
          <w:sz w:val="24"/>
          <w:szCs w:val="24"/>
        </w:rPr>
      </w:pPr>
    </w:p>
    <w:p w14:paraId="3AB6F66D" w14:textId="77777777" w:rsidR="00514444" w:rsidRPr="00514444" w:rsidRDefault="00514444" w:rsidP="00082D4A">
      <w:pPr>
        <w:pStyle w:val="ListParagraph"/>
        <w:numPr>
          <w:ilvl w:val="0"/>
          <w:numId w:val="7"/>
        </w:numPr>
        <w:autoSpaceDE w:val="0"/>
        <w:autoSpaceDN w:val="0"/>
        <w:adjustRightInd w:val="0"/>
        <w:spacing w:before="120" w:after="120" w:line="240" w:lineRule="auto"/>
        <w:contextualSpacing w:val="0"/>
        <w:rPr>
          <w:rFonts w:eastAsia="Times New Roman" w:cstheme="minorHAnsi"/>
          <w:b/>
          <w:bCs/>
          <w:sz w:val="24"/>
          <w:szCs w:val="24"/>
        </w:rPr>
      </w:pPr>
      <w:r w:rsidRPr="00514444">
        <w:rPr>
          <w:rFonts w:eastAsia="Times New Roman" w:cstheme="minorHAnsi"/>
          <w:b/>
          <w:bCs/>
          <w:sz w:val="24"/>
          <w:szCs w:val="24"/>
          <w:u w:val="single"/>
        </w:rPr>
        <w:t>Access – Door to Treatment Area Time</w:t>
      </w:r>
      <w:r w:rsidRPr="00514444">
        <w:rPr>
          <w:rFonts w:eastAsia="Times New Roman" w:cstheme="minorHAnsi"/>
          <w:b/>
          <w:bCs/>
          <w:sz w:val="24"/>
          <w:szCs w:val="24"/>
        </w:rPr>
        <w:t xml:space="preserve">: </w:t>
      </w:r>
      <w:r w:rsidRPr="00514444">
        <w:rPr>
          <w:rFonts w:eastAsia="Times New Roman" w:cstheme="minorHAnsi"/>
          <w:sz w:val="24"/>
          <w:szCs w:val="24"/>
        </w:rPr>
        <w:t xml:space="preserve">Patients will be evaluated to determine the amount of time it takes for the individual to </w:t>
      </w:r>
      <w:r w:rsidRPr="00514444">
        <w:rPr>
          <w:rFonts w:eastAsia="Times New Roman" w:cstheme="minorHAnsi"/>
          <w:i/>
          <w:iCs/>
          <w:sz w:val="24"/>
          <w:szCs w:val="24"/>
        </w:rPr>
        <w:t xml:space="preserve">move </w:t>
      </w:r>
      <w:r w:rsidRPr="00514444">
        <w:rPr>
          <w:rFonts w:eastAsia="Times New Roman" w:cstheme="minorHAnsi"/>
          <w:sz w:val="24"/>
          <w:szCs w:val="24"/>
        </w:rPr>
        <w:t>from registering as a patient in the ED to being seen by a physician (or equivalent, such as a nurse practitioner).</w:t>
      </w:r>
    </w:p>
    <w:p w14:paraId="18188041" w14:textId="77777777" w:rsidR="00514444" w:rsidRPr="00514444" w:rsidRDefault="00514444" w:rsidP="00514444">
      <w:pPr>
        <w:autoSpaceDE w:val="0"/>
        <w:autoSpaceDN w:val="0"/>
        <w:adjustRightInd w:val="0"/>
        <w:spacing w:after="0" w:line="240" w:lineRule="auto"/>
        <w:ind w:left="1440"/>
        <w:rPr>
          <w:rFonts w:eastAsia="Times New Roman" w:cstheme="minorHAnsi"/>
          <w:sz w:val="24"/>
          <w:szCs w:val="24"/>
        </w:rPr>
      </w:pPr>
      <w:r w:rsidRPr="00514444">
        <w:rPr>
          <w:rFonts w:eastAsia="Times New Roman" w:cstheme="minorHAnsi"/>
          <w:b/>
          <w:bCs/>
          <w:sz w:val="24"/>
          <w:szCs w:val="24"/>
        </w:rPr>
        <w:t xml:space="preserve">Numerator: </w:t>
      </w:r>
      <w:r w:rsidRPr="00514444">
        <w:rPr>
          <w:rFonts w:eastAsia="Times New Roman" w:cstheme="minorHAnsi"/>
          <w:sz w:val="24"/>
          <w:szCs w:val="24"/>
        </w:rPr>
        <w:t xml:space="preserve">Total minutes from registration to treatment area of all ED patients </w:t>
      </w:r>
    </w:p>
    <w:p w14:paraId="7EFCEA1E" w14:textId="77777777" w:rsidR="00514444" w:rsidRPr="00514444" w:rsidRDefault="00514444" w:rsidP="00514444">
      <w:pPr>
        <w:autoSpaceDE w:val="0"/>
        <w:autoSpaceDN w:val="0"/>
        <w:adjustRightInd w:val="0"/>
        <w:spacing w:after="0" w:line="240" w:lineRule="auto"/>
        <w:ind w:left="1440"/>
        <w:rPr>
          <w:rFonts w:eastAsia="Times New Roman" w:cstheme="minorHAnsi"/>
          <w:sz w:val="24"/>
          <w:szCs w:val="24"/>
        </w:rPr>
      </w:pPr>
      <w:r w:rsidRPr="00514444">
        <w:rPr>
          <w:rFonts w:eastAsia="Times New Roman" w:cstheme="minorHAnsi"/>
          <w:b/>
          <w:bCs/>
          <w:sz w:val="24"/>
          <w:szCs w:val="24"/>
        </w:rPr>
        <w:t xml:space="preserve">Denominator: </w:t>
      </w:r>
      <w:r w:rsidRPr="00514444">
        <w:rPr>
          <w:rFonts w:eastAsia="Times New Roman" w:cstheme="minorHAnsi"/>
          <w:sz w:val="24"/>
          <w:szCs w:val="24"/>
        </w:rPr>
        <w:t xml:space="preserve">Total number of ED patients </w:t>
      </w:r>
    </w:p>
    <w:p w14:paraId="47AE7D0E" w14:textId="77777777" w:rsidR="00514444" w:rsidRPr="00514444" w:rsidRDefault="00514444" w:rsidP="00514444">
      <w:pPr>
        <w:autoSpaceDE w:val="0"/>
        <w:autoSpaceDN w:val="0"/>
        <w:adjustRightInd w:val="0"/>
        <w:spacing w:after="0" w:line="240" w:lineRule="auto"/>
        <w:rPr>
          <w:rFonts w:eastAsia="Times New Roman" w:cstheme="minorHAnsi"/>
          <w:b/>
          <w:bCs/>
          <w:sz w:val="24"/>
          <w:szCs w:val="24"/>
        </w:rPr>
      </w:pPr>
    </w:p>
    <w:tbl>
      <w:tblPr>
        <w:tblStyle w:val="TableGrid"/>
        <w:tblW w:w="0" w:type="auto"/>
        <w:tblInd w:w="715" w:type="dxa"/>
        <w:tblLayout w:type="fixed"/>
        <w:tblLook w:val="04A0" w:firstRow="1" w:lastRow="0" w:firstColumn="1" w:lastColumn="0" w:noHBand="0" w:noVBand="1"/>
      </w:tblPr>
      <w:tblGrid>
        <w:gridCol w:w="4680"/>
        <w:gridCol w:w="988"/>
        <w:gridCol w:w="989"/>
        <w:gridCol w:w="989"/>
        <w:gridCol w:w="989"/>
      </w:tblGrid>
      <w:tr w:rsidR="00514444" w:rsidRPr="00514444" w14:paraId="11503E18" w14:textId="77777777">
        <w:tc>
          <w:tcPr>
            <w:tcW w:w="4680" w:type="dxa"/>
          </w:tcPr>
          <w:p w14:paraId="0C005B2E"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Quality Measure #2</w:t>
            </w:r>
          </w:p>
        </w:tc>
        <w:tc>
          <w:tcPr>
            <w:tcW w:w="988" w:type="dxa"/>
          </w:tcPr>
          <w:p w14:paraId="04B6A611"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 xml:space="preserve">Baseline </w:t>
            </w:r>
          </w:p>
        </w:tc>
        <w:tc>
          <w:tcPr>
            <w:tcW w:w="989" w:type="dxa"/>
          </w:tcPr>
          <w:p w14:paraId="6E0D900C"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Year 1</w:t>
            </w:r>
          </w:p>
        </w:tc>
        <w:tc>
          <w:tcPr>
            <w:tcW w:w="989" w:type="dxa"/>
          </w:tcPr>
          <w:p w14:paraId="195C0D34"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Year 2</w:t>
            </w:r>
          </w:p>
        </w:tc>
        <w:tc>
          <w:tcPr>
            <w:tcW w:w="989" w:type="dxa"/>
          </w:tcPr>
          <w:p w14:paraId="7B734CA5" w14:textId="77777777" w:rsidR="00514444" w:rsidRPr="00514444" w:rsidRDefault="00514444">
            <w:pPr>
              <w:rPr>
                <w:rFonts w:eastAsia="Times New Roman" w:cstheme="minorHAnsi"/>
                <w:b/>
                <w:bCs/>
                <w:color w:val="000000"/>
                <w:sz w:val="24"/>
                <w:szCs w:val="24"/>
              </w:rPr>
            </w:pPr>
            <w:r w:rsidRPr="00514444">
              <w:rPr>
                <w:rFonts w:eastAsia="Times New Roman" w:cstheme="minorHAnsi"/>
                <w:b/>
                <w:bCs/>
                <w:color w:val="000000"/>
                <w:sz w:val="24"/>
                <w:szCs w:val="24"/>
              </w:rPr>
              <w:t>Year 3</w:t>
            </w:r>
          </w:p>
        </w:tc>
      </w:tr>
      <w:tr w:rsidR="00514444" w:rsidRPr="00514444" w14:paraId="09F07FFC" w14:textId="77777777">
        <w:tc>
          <w:tcPr>
            <w:tcW w:w="4680" w:type="dxa"/>
          </w:tcPr>
          <w:p w14:paraId="4E6AE4C7" w14:textId="77777777" w:rsidR="00514444" w:rsidRPr="00514444" w:rsidRDefault="00514444">
            <w:pPr>
              <w:rPr>
                <w:rFonts w:eastAsia="Times New Roman" w:cstheme="minorHAnsi"/>
                <w:color w:val="000000"/>
                <w:sz w:val="24"/>
                <w:szCs w:val="24"/>
              </w:rPr>
            </w:pPr>
            <w:r w:rsidRPr="00514444">
              <w:rPr>
                <w:rFonts w:eastAsia="Times New Roman" w:cstheme="minorHAnsi"/>
                <w:color w:val="000000"/>
                <w:sz w:val="24"/>
                <w:szCs w:val="24"/>
              </w:rPr>
              <w:t>Average time door to treatment area (minutes)</w:t>
            </w:r>
          </w:p>
        </w:tc>
        <w:tc>
          <w:tcPr>
            <w:tcW w:w="988" w:type="dxa"/>
          </w:tcPr>
          <w:p w14:paraId="75D779C3" w14:textId="77777777" w:rsidR="00514444" w:rsidRPr="00514444" w:rsidRDefault="00514444">
            <w:pPr>
              <w:jc w:val="center"/>
              <w:rPr>
                <w:rFonts w:eastAsia="Times New Roman" w:cstheme="minorHAnsi"/>
                <w:color w:val="000000"/>
                <w:sz w:val="24"/>
                <w:szCs w:val="24"/>
              </w:rPr>
            </w:pPr>
            <w:r w:rsidRPr="00514444">
              <w:rPr>
                <w:rFonts w:eastAsia="Times New Roman" w:cstheme="minorHAnsi"/>
                <w:color w:val="000000"/>
                <w:sz w:val="24"/>
                <w:szCs w:val="24"/>
              </w:rPr>
              <w:t>91</w:t>
            </w:r>
          </w:p>
        </w:tc>
        <w:tc>
          <w:tcPr>
            <w:tcW w:w="989" w:type="dxa"/>
          </w:tcPr>
          <w:p w14:paraId="66671504" w14:textId="77777777" w:rsidR="00514444" w:rsidRPr="00514444" w:rsidRDefault="00514444">
            <w:pPr>
              <w:jc w:val="center"/>
              <w:rPr>
                <w:rFonts w:eastAsia="Times New Roman" w:cstheme="minorHAnsi"/>
                <w:color w:val="000000"/>
                <w:sz w:val="24"/>
                <w:szCs w:val="24"/>
              </w:rPr>
            </w:pPr>
            <w:r w:rsidRPr="00514444">
              <w:rPr>
                <w:rFonts w:eastAsia="Times New Roman" w:cstheme="minorHAnsi"/>
                <w:color w:val="000000"/>
                <w:sz w:val="24"/>
                <w:szCs w:val="24"/>
              </w:rPr>
              <w:t>60</w:t>
            </w:r>
          </w:p>
        </w:tc>
        <w:tc>
          <w:tcPr>
            <w:tcW w:w="989" w:type="dxa"/>
          </w:tcPr>
          <w:p w14:paraId="1B9E18F1" w14:textId="77777777" w:rsidR="00514444" w:rsidRPr="00514444" w:rsidRDefault="00514444">
            <w:pPr>
              <w:jc w:val="center"/>
              <w:rPr>
                <w:rFonts w:eastAsia="Times New Roman" w:cstheme="minorHAnsi"/>
                <w:color w:val="000000"/>
                <w:sz w:val="24"/>
                <w:szCs w:val="24"/>
              </w:rPr>
            </w:pPr>
            <w:r w:rsidRPr="00514444">
              <w:rPr>
                <w:rFonts w:eastAsia="Times New Roman" w:cstheme="minorHAnsi"/>
                <w:color w:val="000000"/>
                <w:sz w:val="24"/>
                <w:szCs w:val="24"/>
              </w:rPr>
              <w:t>45</w:t>
            </w:r>
          </w:p>
        </w:tc>
        <w:tc>
          <w:tcPr>
            <w:tcW w:w="989" w:type="dxa"/>
          </w:tcPr>
          <w:p w14:paraId="1B2F8AE7" w14:textId="77777777" w:rsidR="00514444" w:rsidRPr="00514444" w:rsidRDefault="00514444">
            <w:pPr>
              <w:jc w:val="center"/>
              <w:rPr>
                <w:rFonts w:eastAsia="Times New Roman" w:cstheme="minorHAnsi"/>
                <w:color w:val="000000"/>
                <w:sz w:val="24"/>
                <w:szCs w:val="24"/>
              </w:rPr>
            </w:pPr>
            <w:r w:rsidRPr="00514444">
              <w:rPr>
                <w:rFonts w:eastAsia="Times New Roman" w:cstheme="minorHAnsi"/>
                <w:color w:val="000000"/>
                <w:sz w:val="24"/>
                <w:szCs w:val="24"/>
              </w:rPr>
              <w:t>30</w:t>
            </w:r>
          </w:p>
        </w:tc>
      </w:tr>
    </w:tbl>
    <w:p w14:paraId="6A6AA5A2" w14:textId="77777777" w:rsidR="00514444" w:rsidRPr="00514444" w:rsidRDefault="00514444" w:rsidP="00514444">
      <w:pPr>
        <w:autoSpaceDE w:val="0"/>
        <w:autoSpaceDN w:val="0"/>
        <w:adjustRightInd w:val="0"/>
        <w:spacing w:after="0" w:line="240" w:lineRule="auto"/>
        <w:ind w:left="1440"/>
        <w:rPr>
          <w:rFonts w:eastAsia="Times New Roman" w:cstheme="minorHAnsi"/>
          <w:b/>
          <w:bCs/>
          <w:sz w:val="24"/>
          <w:szCs w:val="24"/>
        </w:rPr>
      </w:pPr>
    </w:p>
    <w:p w14:paraId="186135CF" w14:textId="77777777" w:rsidR="00514444" w:rsidRPr="00514444" w:rsidRDefault="00514444" w:rsidP="00514444">
      <w:pPr>
        <w:autoSpaceDE w:val="0"/>
        <w:autoSpaceDN w:val="0"/>
        <w:adjustRightInd w:val="0"/>
        <w:spacing w:after="0" w:line="240" w:lineRule="auto"/>
        <w:ind w:left="1440"/>
        <w:rPr>
          <w:rFonts w:eastAsia="Times New Roman" w:cstheme="minorHAnsi"/>
          <w:sz w:val="24"/>
          <w:szCs w:val="24"/>
        </w:rPr>
      </w:pPr>
    </w:p>
    <w:p w14:paraId="645A06A3" w14:textId="77777777" w:rsidR="00514444" w:rsidRPr="00514444" w:rsidRDefault="00514444" w:rsidP="00082D4A">
      <w:pPr>
        <w:pStyle w:val="ListParagraph"/>
        <w:numPr>
          <w:ilvl w:val="0"/>
          <w:numId w:val="7"/>
        </w:numPr>
        <w:spacing w:after="200" w:line="276" w:lineRule="auto"/>
        <w:rPr>
          <w:rFonts w:eastAsia="Times New Roman" w:cstheme="minorHAnsi"/>
          <w:sz w:val="24"/>
          <w:szCs w:val="24"/>
        </w:rPr>
      </w:pPr>
      <w:r w:rsidRPr="00514444">
        <w:rPr>
          <w:rFonts w:eastAsia="Times New Roman" w:cstheme="minorHAnsi"/>
          <w:b/>
          <w:bCs/>
          <w:sz w:val="24"/>
          <w:szCs w:val="24"/>
          <w:u w:val="single"/>
        </w:rPr>
        <w:t>Emergency Department Patient Satisfaction</w:t>
      </w:r>
      <w:r w:rsidRPr="00514444">
        <w:rPr>
          <w:rFonts w:eastAsia="Times New Roman" w:cstheme="minorHAnsi"/>
          <w:b/>
          <w:bCs/>
          <w:sz w:val="24"/>
          <w:szCs w:val="24"/>
        </w:rPr>
        <w:t>:</w:t>
      </w:r>
      <w:r w:rsidRPr="00514444">
        <w:rPr>
          <w:rFonts w:cstheme="minorHAnsi"/>
          <w:sz w:val="24"/>
          <w:szCs w:val="24"/>
        </w:rPr>
        <w:t xml:space="preserve"> </w:t>
      </w:r>
      <w:r w:rsidRPr="00514444">
        <w:rPr>
          <w:rFonts w:eastAsia="Times New Roman" w:cstheme="minorHAnsi"/>
          <w:sz w:val="24"/>
          <w:szCs w:val="24"/>
        </w:rPr>
        <w:t xml:space="preserve">The Hospital expects patient satisfaction, as reported through the HCAHPS Survey, in three areas to improve as a result of the Proposed Project: Comfort in Waiting Area, Waiting time to treatment areas, and Informed about delays. As these measures are established and reported by HCAHPS, a numerator and denominator is not available.  </w:t>
      </w:r>
    </w:p>
    <w:tbl>
      <w:tblPr>
        <w:tblStyle w:val="TableGrid"/>
        <w:tblW w:w="0" w:type="auto"/>
        <w:tblInd w:w="715" w:type="dxa"/>
        <w:tblLook w:val="04A0" w:firstRow="1" w:lastRow="0" w:firstColumn="1" w:lastColumn="0" w:noHBand="0" w:noVBand="1"/>
      </w:tblPr>
      <w:tblGrid>
        <w:gridCol w:w="4719"/>
        <w:gridCol w:w="1054"/>
        <w:gridCol w:w="985"/>
        <w:gridCol w:w="897"/>
        <w:gridCol w:w="980"/>
      </w:tblGrid>
      <w:tr w:rsidR="00514444" w:rsidRPr="00514444" w14:paraId="59F87544" w14:textId="77777777" w:rsidTr="001B3124">
        <w:trPr>
          <w:cantSplit/>
          <w:tblHeader/>
        </w:trPr>
        <w:tc>
          <w:tcPr>
            <w:tcW w:w="4770" w:type="dxa"/>
          </w:tcPr>
          <w:p w14:paraId="6CBD7D25" w14:textId="77777777" w:rsidR="00514444" w:rsidRPr="00514444" w:rsidRDefault="00514444">
            <w:pPr>
              <w:rPr>
                <w:rFonts w:cstheme="minorHAnsi"/>
                <w:b/>
                <w:bCs/>
                <w:sz w:val="24"/>
                <w:szCs w:val="24"/>
              </w:rPr>
            </w:pPr>
            <w:r w:rsidRPr="00514444">
              <w:rPr>
                <w:rFonts w:cstheme="minorHAnsi"/>
                <w:b/>
                <w:bCs/>
                <w:sz w:val="24"/>
                <w:szCs w:val="24"/>
              </w:rPr>
              <w:t>Quality Measure #3</w:t>
            </w:r>
          </w:p>
        </w:tc>
        <w:tc>
          <w:tcPr>
            <w:tcW w:w="990" w:type="dxa"/>
          </w:tcPr>
          <w:p w14:paraId="3C76DDCB" w14:textId="77777777" w:rsidR="00514444" w:rsidRPr="00514444" w:rsidRDefault="00514444">
            <w:pPr>
              <w:rPr>
                <w:rFonts w:cstheme="minorHAnsi"/>
                <w:b/>
                <w:bCs/>
                <w:sz w:val="24"/>
                <w:szCs w:val="24"/>
              </w:rPr>
            </w:pPr>
            <w:r w:rsidRPr="00514444">
              <w:rPr>
                <w:rFonts w:cstheme="minorHAnsi"/>
                <w:b/>
                <w:bCs/>
                <w:sz w:val="24"/>
                <w:szCs w:val="24"/>
              </w:rPr>
              <w:t xml:space="preserve">Baseline </w:t>
            </w:r>
          </w:p>
        </w:tc>
        <w:tc>
          <w:tcPr>
            <w:tcW w:w="990" w:type="dxa"/>
          </w:tcPr>
          <w:p w14:paraId="37277735" w14:textId="77777777" w:rsidR="00514444" w:rsidRPr="00514444" w:rsidRDefault="00514444">
            <w:pPr>
              <w:rPr>
                <w:rFonts w:cstheme="minorHAnsi"/>
                <w:b/>
                <w:bCs/>
                <w:sz w:val="24"/>
                <w:szCs w:val="24"/>
              </w:rPr>
            </w:pPr>
            <w:r w:rsidRPr="00514444">
              <w:rPr>
                <w:rFonts w:cstheme="minorHAnsi"/>
                <w:b/>
                <w:bCs/>
                <w:sz w:val="24"/>
                <w:szCs w:val="24"/>
              </w:rPr>
              <w:t>Year 1</w:t>
            </w:r>
          </w:p>
        </w:tc>
        <w:tc>
          <w:tcPr>
            <w:tcW w:w="900" w:type="dxa"/>
          </w:tcPr>
          <w:p w14:paraId="00150A85" w14:textId="77777777" w:rsidR="00514444" w:rsidRPr="00514444" w:rsidRDefault="00514444">
            <w:pPr>
              <w:rPr>
                <w:rFonts w:cstheme="minorHAnsi"/>
                <w:b/>
                <w:bCs/>
                <w:sz w:val="24"/>
                <w:szCs w:val="24"/>
              </w:rPr>
            </w:pPr>
            <w:r w:rsidRPr="00514444">
              <w:rPr>
                <w:rFonts w:cstheme="minorHAnsi"/>
                <w:b/>
                <w:bCs/>
                <w:sz w:val="24"/>
                <w:szCs w:val="24"/>
              </w:rPr>
              <w:t>Year 2</w:t>
            </w:r>
          </w:p>
        </w:tc>
        <w:tc>
          <w:tcPr>
            <w:tcW w:w="985" w:type="dxa"/>
          </w:tcPr>
          <w:p w14:paraId="424130C3" w14:textId="77777777" w:rsidR="00514444" w:rsidRPr="00514444" w:rsidRDefault="00514444">
            <w:pPr>
              <w:rPr>
                <w:rFonts w:cstheme="minorHAnsi"/>
                <w:b/>
                <w:bCs/>
                <w:sz w:val="24"/>
                <w:szCs w:val="24"/>
              </w:rPr>
            </w:pPr>
            <w:r w:rsidRPr="00514444">
              <w:rPr>
                <w:rFonts w:cstheme="minorHAnsi"/>
                <w:b/>
                <w:bCs/>
                <w:sz w:val="24"/>
                <w:szCs w:val="24"/>
              </w:rPr>
              <w:t>Year 3</w:t>
            </w:r>
          </w:p>
        </w:tc>
      </w:tr>
      <w:tr w:rsidR="00514444" w:rsidRPr="00514444" w14:paraId="54DC6090" w14:textId="77777777" w:rsidTr="001B3124">
        <w:trPr>
          <w:cantSplit/>
        </w:trPr>
        <w:tc>
          <w:tcPr>
            <w:tcW w:w="4770" w:type="dxa"/>
          </w:tcPr>
          <w:p w14:paraId="2BB7A3AC" w14:textId="77777777" w:rsidR="00514444" w:rsidRPr="00514444" w:rsidRDefault="00514444">
            <w:pPr>
              <w:rPr>
                <w:rFonts w:cstheme="minorHAnsi"/>
                <w:sz w:val="24"/>
                <w:szCs w:val="24"/>
              </w:rPr>
            </w:pPr>
            <w:r w:rsidRPr="00514444">
              <w:rPr>
                <w:rFonts w:cstheme="minorHAnsi"/>
                <w:sz w:val="24"/>
                <w:szCs w:val="24"/>
              </w:rPr>
              <w:t>Comfort in waiting area</w:t>
            </w:r>
          </w:p>
        </w:tc>
        <w:tc>
          <w:tcPr>
            <w:tcW w:w="990" w:type="dxa"/>
          </w:tcPr>
          <w:p w14:paraId="3F0EBB86" w14:textId="77777777" w:rsidR="00514444" w:rsidRPr="00514444" w:rsidRDefault="00514444">
            <w:pPr>
              <w:jc w:val="center"/>
              <w:rPr>
                <w:rFonts w:cstheme="minorHAnsi"/>
                <w:sz w:val="24"/>
                <w:szCs w:val="24"/>
              </w:rPr>
            </w:pPr>
            <w:r w:rsidRPr="00514444">
              <w:rPr>
                <w:rFonts w:cstheme="minorHAnsi"/>
                <w:sz w:val="24"/>
                <w:szCs w:val="24"/>
              </w:rPr>
              <w:t>67.41</w:t>
            </w:r>
          </w:p>
        </w:tc>
        <w:tc>
          <w:tcPr>
            <w:tcW w:w="990" w:type="dxa"/>
          </w:tcPr>
          <w:p w14:paraId="333CECCE" w14:textId="77777777" w:rsidR="00514444" w:rsidRPr="00514444" w:rsidRDefault="00514444">
            <w:pPr>
              <w:jc w:val="center"/>
              <w:rPr>
                <w:rFonts w:cstheme="minorHAnsi"/>
                <w:sz w:val="24"/>
                <w:szCs w:val="24"/>
              </w:rPr>
            </w:pPr>
            <w:r w:rsidRPr="00514444">
              <w:rPr>
                <w:rFonts w:cstheme="minorHAnsi"/>
                <w:sz w:val="24"/>
                <w:szCs w:val="24"/>
              </w:rPr>
              <w:t>70</w:t>
            </w:r>
          </w:p>
        </w:tc>
        <w:tc>
          <w:tcPr>
            <w:tcW w:w="900" w:type="dxa"/>
          </w:tcPr>
          <w:p w14:paraId="43556E9B" w14:textId="77777777" w:rsidR="00514444" w:rsidRPr="00514444" w:rsidRDefault="00514444">
            <w:pPr>
              <w:jc w:val="center"/>
              <w:rPr>
                <w:rFonts w:cstheme="minorHAnsi"/>
                <w:sz w:val="24"/>
                <w:szCs w:val="24"/>
              </w:rPr>
            </w:pPr>
            <w:r w:rsidRPr="00514444">
              <w:rPr>
                <w:rFonts w:cstheme="minorHAnsi"/>
                <w:sz w:val="24"/>
                <w:szCs w:val="24"/>
              </w:rPr>
              <w:t>72</w:t>
            </w:r>
          </w:p>
        </w:tc>
        <w:tc>
          <w:tcPr>
            <w:tcW w:w="985" w:type="dxa"/>
          </w:tcPr>
          <w:p w14:paraId="3F810CFF" w14:textId="77777777" w:rsidR="00514444" w:rsidRPr="00514444" w:rsidRDefault="00514444">
            <w:pPr>
              <w:jc w:val="center"/>
              <w:rPr>
                <w:rFonts w:cstheme="minorHAnsi"/>
                <w:sz w:val="24"/>
                <w:szCs w:val="24"/>
              </w:rPr>
            </w:pPr>
            <w:r w:rsidRPr="00514444">
              <w:rPr>
                <w:rFonts w:cstheme="minorHAnsi"/>
                <w:sz w:val="24"/>
                <w:szCs w:val="24"/>
              </w:rPr>
              <w:t>75</w:t>
            </w:r>
          </w:p>
        </w:tc>
      </w:tr>
      <w:tr w:rsidR="00514444" w:rsidRPr="00514444" w14:paraId="2EFB679A" w14:textId="77777777" w:rsidTr="001B3124">
        <w:trPr>
          <w:cantSplit/>
        </w:trPr>
        <w:tc>
          <w:tcPr>
            <w:tcW w:w="4770" w:type="dxa"/>
          </w:tcPr>
          <w:p w14:paraId="25714A8F" w14:textId="77777777" w:rsidR="00514444" w:rsidRPr="00514444" w:rsidRDefault="00514444">
            <w:pPr>
              <w:rPr>
                <w:rFonts w:cstheme="minorHAnsi"/>
                <w:sz w:val="24"/>
                <w:szCs w:val="24"/>
              </w:rPr>
            </w:pPr>
            <w:r w:rsidRPr="00514444">
              <w:rPr>
                <w:rFonts w:cstheme="minorHAnsi"/>
                <w:sz w:val="24"/>
                <w:szCs w:val="24"/>
              </w:rPr>
              <w:t>Waiting time to treatment area</w:t>
            </w:r>
          </w:p>
        </w:tc>
        <w:tc>
          <w:tcPr>
            <w:tcW w:w="990" w:type="dxa"/>
          </w:tcPr>
          <w:p w14:paraId="0646060D" w14:textId="77777777" w:rsidR="00514444" w:rsidRPr="00514444" w:rsidRDefault="00514444">
            <w:pPr>
              <w:jc w:val="center"/>
              <w:rPr>
                <w:rFonts w:cstheme="minorHAnsi"/>
                <w:sz w:val="24"/>
                <w:szCs w:val="24"/>
              </w:rPr>
            </w:pPr>
            <w:r w:rsidRPr="00514444">
              <w:rPr>
                <w:rFonts w:cstheme="minorHAnsi"/>
                <w:sz w:val="24"/>
                <w:szCs w:val="24"/>
              </w:rPr>
              <w:t>66.15</w:t>
            </w:r>
          </w:p>
        </w:tc>
        <w:tc>
          <w:tcPr>
            <w:tcW w:w="990" w:type="dxa"/>
          </w:tcPr>
          <w:p w14:paraId="4762D9BE" w14:textId="77777777" w:rsidR="00514444" w:rsidRPr="00514444" w:rsidRDefault="00514444">
            <w:pPr>
              <w:jc w:val="center"/>
              <w:rPr>
                <w:rFonts w:cstheme="minorHAnsi"/>
                <w:sz w:val="24"/>
                <w:szCs w:val="24"/>
              </w:rPr>
            </w:pPr>
            <w:r w:rsidRPr="00514444">
              <w:rPr>
                <w:rFonts w:cstheme="minorHAnsi"/>
                <w:sz w:val="24"/>
                <w:szCs w:val="24"/>
              </w:rPr>
              <w:t>70</w:t>
            </w:r>
          </w:p>
        </w:tc>
        <w:tc>
          <w:tcPr>
            <w:tcW w:w="900" w:type="dxa"/>
          </w:tcPr>
          <w:p w14:paraId="364830A1" w14:textId="77777777" w:rsidR="00514444" w:rsidRPr="00514444" w:rsidRDefault="00514444">
            <w:pPr>
              <w:jc w:val="center"/>
              <w:rPr>
                <w:rFonts w:cstheme="minorHAnsi"/>
                <w:sz w:val="24"/>
                <w:szCs w:val="24"/>
              </w:rPr>
            </w:pPr>
            <w:r w:rsidRPr="00514444">
              <w:rPr>
                <w:rFonts w:cstheme="minorHAnsi"/>
                <w:sz w:val="24"/>
                <w:szCs w:val="24"/>
              </w:rPr>
              <w:t>72</w:t>
            </w:r>
          </w:p>
        </w:tc>
        <w:tc>
          <w:tcPr>
            <w:tcW w:w="985" w:type="dxa"/>
          </w:tcPr>
          <w:p w14:paraId="0A7E6BD4" w14:textId="77777777" w:rsidR="00514444" w:rsidRPr="00514444" w:rsidRDefault="00514444">
            <w:pPr>
              <w:jc w:val="center"/>
              <w:rPr>
                <w:rFonts w:cstheme="minorHAnsi"/>
                <w:sz w:val="24"/>
                <w:szCs w:val="24"/>
              </w:rPr>
            </w:pPr>
            <w:r w:rsidRPr="00514444">
              <w:rPr>
                <w:rFonts w:cstheme="minorHAnsi"/>
                <w:sz w:val="24"/>
                <w:szCs w:val="24"/>
              </w:rPr>
              <w:t>75</w:t>
            </w:r>
          </w:p>
        </w:tc>
      </w:tr>
      <w:tr w:rsidR="00514444" w:rsidRPr="00514444" w14:paraId="345854C2" w14:textId="77777777" w:rsidTr="001B3124">
        <w:trPr>
          <w:cantSplit/>
        </w:trPr>
        <w:tc>
          <w:tcPr>
            <w:tcW w:w="4770" w:type="dxa"/>
          </w:tcPr>
          <w:p w14:paraId="7DC252A3" w14:textId="77777777" w:rsidR="00514444" w:rsidRPr="00514444" w:rsidRDefault="00514444">
            <w:pPr>
              <w:rPr>
                <w:rFonts w:cstheme="minorHAnsi"/>
                <w:sz w:val="24"/>
                <w:szCs w:val="24"/>
              </w:rPr>
            </w:pPr>
            <w:r w:rsidRPr="00514444">
              <w:rPr>
                <w:rFonts w:cstheme="minorHAnsi"/>
                <w:sz w:val="24"/>
                <w:szCs w:val="24"/>
              </w:rPr>
              <w:t>Informed about delays</w:t>
            </w:r>
          </w:p>
        </w:tc>
        <w:tc>
          <w:tcPr>
            <w:tcW w:w="990" w:type="dxa"/>
          </w:tcPr>
          <w:p w14:paraId="22E9334C" w14:textId="77777777" w:rsidR="00514444" w:rsidRPr="00514444" w:rsidRDefault="00514444">
            <w:pPr>
              <w:jc w:val="center"/>
              <w:rPr>
                <w:rFonts w:cstheme="minorHAnsi"/>
                <w:sz w:val="24"/>
                <w:szCs w:val="24"/>
              </w:rPr>
            </w:pPr>
            <w:r w:rsidRPr="00514444">
              <w:rPr>
                <w:rFonts w:cstheme="minorHAnsi"/>
                <w:sz w:val="24"/>
                <w:szCs w:val="24"/>
              </w:rPr>
              <w:t>64.14</w:t>
            </w:r>
          </w:p>
        </w:tc>
        <w:tc>
          <w:tcPr>
            <w:tcW w:w="990" w:type="dxa"/>
          </w:tcPr>
          <w:p w14:paraId="6761BCA7" w14:textId="77777777" w:rsidR="00514444" w:rsidRPr="00514444" w:rsidRDefault="00514444">
            <w:pPr>
              <w:jc w:val="center"/>
              <w:rPr>
                <w:rFonts w:cstheme="minorHAnsi"/>
                <w:sz w:val="24"/>
                <w:szCs w:val="24"/>
              </w:rPr>
            </w:pPr>
            <w:r w:rsidRPr="00514444">
              <w:rPr>
                <w:rFonts w:cstheme="minorHAnsi"/>
                <w:sz w:val="24"/>
                <w:szCs w:val="24"/>
              </w:rPr>
              <w:t>69</w:t>
            </w:r>
          </w:p>
        </w:tc>
        <w:tc>
          <w:tcPr>
            <w:tcW w:w="900" w:type="dxa"/>
          </w:tcPr>
          <w:p w14:paraId="2B8F4EE7" w14:textId="77777777" w:rsidR="00514444" w:rsidRPr="00514444" w:rsidRDefault="00514444">
            <w:pPr>
              <w:jc w:val="center"/>
              <w:rPr>
                <w:rFonts w:cstheme="minorHAnsi"/>
                <w:sz w:val="24"/>
                <w:szCs w:val="24"/>
              </w:rPr>
            </w:pPr>
            <w:r w:rsidRPr="00514444">
              <w:rPr>
                <w:rFonts w:cstheme="minorHAnsi"/>
                <w:sz w:val="24"/>
                <w:szCs w:val="24"/>
              </w:rPr>
              <w:t>72</w:t>
            </w:r>
          </w:p>
        </w:tc>
        <w:tc>
          <w:tcPr>
            <w:tcW w:w="985" w:type="dxa"/>
          </w:tcPr>
          <w:p w14:paraId="33D2AD8A" w14:textId="77777777" w:rsidR="00514444" w:rsidRPr="00514444" w:rsidRDefault="00514444">
            <w:pPr>
              <w:jc w:val="center"/>
              <w:rPr>
                <w:rFonts w:cstheme="minorHAnsi"/>
                <w:sz w:val="24"/>
                <w:szCs w:val="24"/>
              </w:rPr>
            </w:pPr>
            <w:r w:rsidRPr="00514444">
              <w:rPr>
                <w:rFonts w:cstheme="minorHAnsi"/>
                <w:sz w:val="24"/>
                <w:szCs w:val="24"/>
              </w:rPr>
              <w:t>75</w:t>
            </w:r>
          </w:p>
        </w:tc>
      </w:tr>
    </w:tbl>
    <w:p w14:paraId="5DECD7BB" w14:textId="77777777" w:rsidR="007179DD" w:rsidRPr="00AA0F82" w:rsidRDefault="007179DD" w:rsidP="007179DD">
      <w:pPr>
        <w:rPr>
          <w:b/>
          <w:bCs/>
          <w:sz w:val="24"/>
          <w:szCs w:val="24"/>
          <w:highlight w:val="yellow"/>
        </w:rPr>
      </w:pPr>
      <w:r w:rsidRPr="00514444">
        <w:rPr>
          <w:rFonts w:cstheme="minorHAnsi"/>
          <w:b/>
          <w:bCs/>
          <w:sz w:val="24"/>
          <w:szCs w:val="24"/>
          <w:highlight w:val="yellow"/>
        </w:rPr>
        <w:br w:type="page"/>
      </w:r>
    </w:p>
    <w:p w14:paraId="0B1EB9A2" w14:textId="24638459" w:rsidR="00C41090" w:rsidRPr="007179DD" w:rsidRDefault="007179DD" w:rsidP="007179DD">
      <w:pPr>
        <w:pStyle w:val="Heading1"/>
        <w:rPr>
          <w:rFonts w:cstheme="minorHAnsi"/>
          <w:b w:val="0"/>
          <w:bCs/>
          <w:iCs/>
        </w:rPr>
      </w:pPr>
      <w:bookmarkStart w:id="28" w:name="_Toc144207784"/>
      <w:bookmarkStart w:id="29" w:name="_Toc181784918"/>
      <w:r w:rsidRPr="0088016D">
        <w:rPr>
          <w:rFonts w:cstheme="minorHAnsi"/>
          <w:iCs/>
        </w:rPr>
        <w:lastRenderedPageBreak/>
        <w:t>REFERENCES</w:t>
      </w:r>
      <w:bookmarkEnd w:id="28"/>
      <w:bookmarkEnd w:id="29"/>
    </w:p>
    <w:sectPr w:rsidR="00C41090" w:rsidRPr="007179DD" w:rsidSect="0089735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EF46F" w14:textId="77777777" w:rsidR="00132560" w:rsidRDefault="00132560" w:rsidP="0017637D">
      <w:pPr>
        <w:spacing w:after="0" w:line="240" w:lineRule="auto"/>
      </w:pPr>
      <w:r>
        <w:separator/>
      </w:r>
    </w:p>
  </w:endnote>
  <w:endnote w:type="continuationSeparator" w:id="0">
    <w:p w14:paraId="4A6027ED" w14:textId="77777777" w:rsidR="00132560" w:rsidRDefault="00132560" w:rsidP="0017637D">
      <w:pPr>
        <w:spacing w:after="0" w:line="240" w:lineRule="auto"/>
      </w:pPr>
      <w:r>
        <w:continuationSeparator/>
      </w:r>
    </w:p>
  </w:endnote>
  <w:endnote w:type="continuationNotice" w:id="1">
    <w:p w14:paraId="2602438A" w14:textId="77777777" w:rsidR="00132560" w:rsidRDefault="00132560">
      <w:pPr>
        <w:spacing w:after="0" w:line="240" w:lineRule="auto"/>
      </w:pPr>
    </w:p>
  </w:endnote>
  <w:endnote w:id="2">
    <w:p w14:paraId="76E75981" w14:textId="77777777" w:rsidR="00CA398E" w:rsidRPr="006E53E6" w:rsidRDefault="00CA398E" w:rsidP="006E53E6">
      <w:pPr>
        <w:spacing w:before="102" w:after="0"/>
        <w:ind w:right="213"/>
        <w:rPr>
          <w:rFonts w:cstheme="minorHAnsi"/>
          <w:sz w:val="20"/>
          <w:szCs w:val="20"/>
        </w:rPr>
      </w:pPr>
      <w:r w:rsidRPr="006E53E6">
        <w:rPr>
          <w:rStyle w:val="EndnoteReference"/>
          <w:rFonts w:cstheme="minorHAnsi"/>
          <w:sz w:val="20"/>
          <w:szCs w:val="20"/>
        </w:rPr>
        <w:endnoteRef/>
      </w:r>
      <w:r w:rsidRPr="006E53E6">
        <w:rPr>
          <w:rFonts w:cstheme="minorHAnsi"/>
          <w:sz w:val="20"/>
          <w:szCs w:val="20"/>
        </w:rPr>
        <w:t xml:space="preserve"> Center for Health Information and Analysis.</w:t>
      </w:r>
      <w:r w:rsidRPr="006E53E6">
        <w:rPr>
          <w:rFonts w:cstheme="minorHAnsi"/>
          <w:color w:val="000000" w:themeColor="text1"/>
          <w:sz w:val="20"/>
          <w:szCs w:val="20"/>
        </w:rPr>
        <w:t xml:space="preserve"> </w:t>
      </w:r>
      <w:hyperlink r:id="rId1" w:history="1">
        <w:r w:rsidRPr="006E53E6">
          <w:rPr>
            <w:rStyle w:val="Hyperlink"/>
            <w:rFonts w:cstheme="minorHAnsi"/>
            <w:color w:val="000000" w:themeColor="text1"/>
            <w:sz w:val="20"/>
            <w:szCs w:val="20"/>
          </w:rPr>
          <w:t>Massachusetts Hospital Profiles. Technical Appendix</w:t>
        </w:r>
      </w:hyperlink>
      <w:r w:rsidRPr="006E53E6">
        <w:rPr>
          <w:rFonts w:cstheme="minorHAnsi"/>
          <w:sz w:val="20"/>
          <w:szCs w:val="20"/>
        </w:rPr>
        <w:t xml:space="preserve">. </w:t>
      </w:r>
      <w:hyperlink r:id="rId2" w:history="1">
        <w:r w:rsidRPr="006E53E6">
          <w:rPr>
            <w:rStyle w:val="Hyperlink"/>
            <w:rFonts w:cstheme="minorHAnsi"/>
            <w:color w:val="2F5496" w:themeColor="accent1" w:themeShade="BF"/>
            <w:sz w:val="20"/>
            <w:szCs w:val="20"/>
          </w:rPr>
          <w:t>https://www.chiamass.gov/assets/docs/r/hospital-profiles/2021/FY21-Massachusetts-Hospital-Profiles-Technical-Appendix.pdf</w:t>
        </w:r>
      </w:hyperlink>
    </w:p>
  </w:endnote>
  <w:endnote w:id="3">
    <w:p w14:paraId="0110C32D" w14:textId="6B17FAC2" w:rsidR="006E53E6" w:rsidRPr="006E53E6" w:rsidRDefault="00CA398E" w:rsidP="006E53E6">
      <w:pPr>
        <w:pStyle w:val="EndnoteText"/>
        <w:rPr>
          <w:rFonts w:cstheme="minorHAnsi"/>
          <w:color w:val="2F5496" w:themeColor="accent1" w:themeShade="BF"/>
          <w:u w:val="single"/>
        </w:rPr>
      </w:pPr>
      <w:r w:rsidRPr="006E53E6">
        <w:rPr>
          <w:rStyle w:val="EndnoteReference"/>
          <w:rFonts w:cstheme="minorHAnsi"/>
        </w:rPr>
        <w:endnoteRef/>
      </w:r>
      <w:r w:rsidRPr="006E53E6">
        <w:rPr>
          <w:rFonts w:cstheme="minorHAnsi"/>
        </w:rPr>
        <w:t xml:space="preserve"> </w:t>
      </w:r>
      <w:hyperlink r:id="rId3" w:history="1">
        <w:r w:rsidRPr="006E53E6">
          <w:rPr>
            <w:rStyle w:val="Hyperlink"/>
            <w:rFonts w:cstheme="minorHAnsi"/>
            <w:color w:val="000000" w:themeColor="text1"/>
          </w:rPr>
          <w:t>Center for Health Information and Analysis (CHIA). Beth Israel Lahey Health</w:t>
        </w:r>
      </w:hyperlink>
      <w:r w:rsidRPr="006E53E6">
        <w:rPr>
          <w:rFonts w:cstheme="minorHAnsi"/>
          <w:color w:val="000000" w:themeColor="text1"/>
        </w:rPr>
        <w:t xml:space="preserve">. </w:t>
      </w:r>
      <w:hyperlink r:id="rId4" w:history="1">
        <w:r w:rsidRPr="006E53E6">
          <w:rPr>
            <w:rStyle w:val="Hyperlink"/>
            <w:rFonts w:cstheme="minorHAnsi"/>
            <w:color w:val="2F5496" w:themeColor="accent1" w:themeShade="BF"/>
          </w:rPr>
          <w:t>https://www.chiamass.gov/assets/docs/r/hospital-profiles/2021/hospital-health-systems/Beth-Israel-Lahey.pdf</w:t>
        </w:r>
      </w:hyperlink>
    </w:p>
  </w:endnote>
  <w:endnote w:id="4">
    <w:p w14:paraId="40B2D1B8" w14:textId="547340DB" w:rsidR="0047202F" w:rsidRPr="00CF5C98" w:rsidRDefault="0047202F" w:rsidP="0047202F">
      <w:pPr>
        <w:pStyle w:val="EndnoteText"/>
        <w:rPr>
          <w:color w:val="2F5496" w:themeColor="accent1" w:themeShade="BF"/>
        </w:rPr>
      </w:pPr>
      <w:r>
        <w:rPr>
          <w:rStyle w:val="EndnoteReference"/>
        </w:rPr>
        <w:endnoteRef/>
      </w:r>
      <w:r>
        <w:t xml:space="preserve"> </w:t>
      </w:r>
      <w:r w:rsidRPr="00570BA3">
        <w:rPr>
          <w:rFonts w:cstheme="minorHAnsi"/>
          <w:color w:val="202124"/>
          <w:shd w:val="clear" w:color="auto" w:fill="FFFFFF"/>
        </w:rPr>
        <w:t>U.S. Census Bureau, "</w:t>
      </w:r>
      <w:hyperlink r:id="rId5" w:history="1">
        <w:r w:rsidRPr="00590C30">
          <w:rPr>
            <w:rStyle w:val="Hyperlink"/>
            <w:rFonts w:cstheme="minorHAnsi"/>
            <w:color w:val="auto"/>
            <w:u w:val="none"/>
            <w:shd w:val="clear" w:color="auto" w:fill="FFFFFF"/>
          </w:rPr>
          <w:t>Demographic Profile, July 1, 2022 (V2022) – Plymouth County, MA</w:t>
        </w:r>
      </w:hyperlink>
      <w:r w:rsidRPr="00590C30">
        <w:rPr>
          <w:rFonts w:cstheme="minorHAnsi"/>
          <w:shd w:val="clear" w:color="auto" w:fill="FFFFFF"/>
        </w:rPr>
        <w:t xml:space="preserve">," </w:t>
      </w:r>
      <w:r w:rsidRPr="00570BA3">
        <w:rPr>
          <w:rFonts w:cstheme="minorHAnsi"/>
          <w:color w:val="202124"/>
          <w:shd w:val="clear" w:color="auto" w:fill="FFFFFF"/>
        </w:rPr>
        <w:t>Quick Facts, accessed December 13, 2022</w:t>
      </w:r>
      <w:r w:rsidRPr="00570BA3">
        <w:rPr>
          <w:rFonts w:cstheme="minorHAnsi"/>
        </w:rPr>
        <w:t xml:space="preserve">. </w:t>
      </w:r>
      <w:hyperlink r:id="rId6" w:history="1">
        <w:r w:rsidRPr="00CF5C98">
          <w:rPr>
            <w:rStyle w:val="Hyperlink"/>
            <w:rFonts w:cstheme="minorHAnsi"/>
            <w:color w:val="2F5496" w:themeColor="accent1" w:themeShade="BF"/>
          </w:rPr>
          <w:t>https://www.census.gov/quickfacts/plymouthcountymassachusetts</w:t>
        </w:r>
      </w:hyperlink>
      <w:r w:rsidRPr="00CF5C98">
        <w:rPr>
          <w:color w:val="2F5496" w:themeColor="accent1" w:themeShade="BF"/>
        </w:rPr>
        <w:t xml:space="preserve"> </w:t>
      </w:r>
    </w:p>
  </w:endnote>
  <w:endnote w:id="5">
    <w:p w14:paraId="052E6ED5" w14:textId="28633952" w:rsidR="006E53E6" w:rsidRPr="006E53E6" w:rsidRDefault="00A31549" w:rsidP="008C0D95">
      <w:pPr>
        <w:pStyle w:val="EndnoteText"/>
        <w:rPr>
          <w:rFonts w:cstheme="minorHAnsi"/>
          <w:color w:val="0563C1" w:themeColor="hyperlink"/>
          <w:u w:val="single"/>
        </w:rPr>
      </w:pPr>
      <w:r w:rsidRPr="006E53E6">
        <w:rPr>
          <w:rStyle w:val="EndnoteReference"/>
          <w:rFonts w:cstheme="minorHAnsi"/>
        </w:rPr>
        <w:endnoteRef/>
      </w:r>
      <w:r w:rsidRPr="006E53E6">
        <w:rPr>
          <w:rFonts w:cstheme="minorHAnsi"/>
        </w:rPr>
        <w:t xml:space="preserve"> </w:t>
      </w:r>
      <w:hyperlink r:id="rId7" w:history="1">
        <w:r w:rsidRPr="00E671C2">
          <w:rPr>
            <w:rStyle w:val="Hyperlink"/>
            <w:rFonts w:cstheme="minorHAnsi"/>
            <w:color w:val="auto"/>
            <w:u w:val="none"/>
          </w:rPr>
          <w:t>Massachusetts Population Projections</w:t>
        </w:r>
      </w:hyperlink>
      <w:r w:rsidRPr="00E671C2">
        <w:rPr>
          <w:rFonts w:cstheme="minorHAnsi"/>
        </w:rPr>
        <w:t xml:space="preserve">, </w:t>
      </w:r>
      <w:r w:rsidRPr="006E53E6">
        <w:rPr>
          <w:rFonts w:cstheme="minorHAnsi"/>
        </w:rPr>
        <w:t xml:space="preserve">UMass Donahue Institute, </w:t>
      </w:r>
      <w:hyperlink r:id="rId8" w:history="1">
        <w:r w:rsidRPr="00CF5C98">
          <w:rPr>
            <w:rStyle w:val="Hyperlink"/>
            <w:rFonts w:cstheme="minorHAnsi"/>
            <w:color w:val="2F5496" w:themeColor="accent1" w:themeShade="BF"/>
          </w:rPr>
          <w:t>https://donahue.umass.edu/business-groups/economic-public-policy-research/massachusetts-population-estimates-program/population-projections</w:t>
        </w:r>
      </w:hyperlink>
      <w:r w:rsidRPr="00CF5C98">
        <w:rPr>
          <w:rStyle w:val="Hyperlink"/>
          <w:rFonts w:cstheme="minorHAnsi"/>
          <w:color w:val="2F5496" w:themeColor="accent1" w:themeShade="BF"/>
        </w:rPr>
        <w:t xml:space="preserve"> (last accessed July 23, 2024).</w:t>
      </w:r>
    </w:p>
  </w:endnote>
  <w:endnote w:id="6">
    <w:p w14:paraId="6CA4CD1E" w14:textId="380C5219" w:rsidR="008E20CD" w:rsidRPr="006E53E6" w:rsidRDefault="008E20CD" w:rsidP="001E0367">
      <w:pPr>
        <w:pStyle w:val="EndnoteText"/>
        <w:rPr>
          <w:rFonts w:cstheme="minorHAnsi"/>
        </w:rPr>
      </w:pPr>
      <w:r w:rsidRPr="006E53E6">
        <w:rPr>
          <w:rStyle w:val="EndnoteReference"/>
          <w:rFonts w:cstheme="minorHAnsi"/>
        </w:rPr>
        <w:endnoteRef/>
      </w:r>
      <w:r w:rsidRPr="006E53E6">
        <w:rPr>
          <w:rFonts w:cstheme="minorHAnsi"/>
        </w:rPr>
        <w:t xml:space="preserve"> Marina Sartini et al., </w:t>
      </w:r>
      <w:hyperlink r:id="rId9" w:history="1">
        <w:r w:rsidRPr="00E671C2">
          <w:rPr>
            <w:rStyle w:val="Hyperlink"/>
            <w:rFonts w:eastAsia="Times New Roman" w:cstheme="minorHAnsi"/>
            <w:i/>
            <w:iCs/>
            <w:color w:val="auto"/>
            <w:u w:val="none"/>
          </w:rPr>
          <w:t>Overcrowding in Emergency Department: Causes Consequences, and Solutions—A Narrative Review</w:t>
        </w:r>
      </w:hyperlink>
      <w:r w:rsidRPr="00E671C2">
        <w:rPr>
          <w:rFonts w:eastAsia="Times New Roman" w:cstheme="minorHAnsi"/>
        </w:rPr>
        <w:t xml:space="preserve">, </w:t>
      </w:r>
      <w:r w:rsidRPr="006E53E6">
        <w:rPr>
          <w:rFonts w:eastAsia="Times New Roman" w:cstheme="minorHAnsi"/>
        </w:rPr>
        <w:t>Healthcare (Basel)</w:t>
      </w:r>
      <w:r w:rsidRPr="006E53E6">
        <w:rPr>
          <w:rFonts w:cstheme="minorHAnsi"/>
          <w:lang w:val="es-MX"/>
        </w:rPr>
        <w:t xml:space="preserve"> </w:t>
      </w:r>
      <w:hyperlink r:id="rId10" w:history="1">
        <w:r w:rsidRPr="00CF5C98">
          <w:rPr>
            <w:rStyle w:val="Hyperlink"/>
            <w:rFonts w:cstheme="minorHAnsi"/>
            <w:color w:val="2F5496" w:themeColor="accent1" w:themeShade="BF"/>
            <w:lang w:val="es-MX"/>
          </w:rPr>
          <w:t>https://www.ncbi.nlm.nih.gov/pmc/articles/PMC9498666/</w:t>
        </w:r>
      </w:hyperlink>
      <w:r w:rsidRPr="00CF5C98">
        <w:rPr>
          <w:rFonts w:cstheme="minorHAnsi"/>
          <w:color w:val="2F5496" w:themeColor="accent1" w:themeShade="BF"/>
          <w:lang w:val="es-MX"/>
        </w:rPr>
        <w:t xml:space="preserve"> </w:t>
      </w:r>
      <w:r w:rsidRPr="006E53E6">
        <w:rPr>
          <w:rFonts w:cstheme="minorHAnsi"/>
        </w:rPr>
        <w:t>(Aug. 25, 2022).</w:t>
      </w:r>
    </w:p>
  </w:endnote>
  <w:endnote w:id="7">
    <w:p w14:paraId="095DE107" w14:textId="6EF7E1B6" w:rsidR="008E20CD" w:rsidRPr="006E53E6" w:rsidRDefault="008E20CD" w:rsidP="001E0367">
      <w:pPr>
        <w:autoSpaceDE w:val="0"/>
        <w:autoSpaceDN w:val="0"/>
        <w:adjustRightInd w:val="0"/>
        <w:spacing w:after="0" w:line="240" w:lineRule="auto"/>
        <w:rPr>
          <w:rFonts w:eastAsia="Times New Roman" w:cstheme="minorHAnsi"/>
          <w:sz w:val="20"/>
          <w:szCs w:val="20"/>
        </w:rPr>
      </w:pPr>
      <w:r w:rsidRPr="006E53E6">
        <w:rPr>
          <w:rStyle w:val="EndnoteReference"/>
          <w:rFonts w:cstheme="minorHAnsi"/>
          <w:sz w:val="20"/>
          <w:szCs w:val="20"/>
        </w:rPr>
        <w:endnoteRef/>
      </w:r>
      <w:r w:rsidRPr="006E53E6">
        <w:rPr>
          <w:rFonts w:cstheme="minorHAnsi"/>
          <w:sz w:val="20"/>
          <w:szCs w:val="20"/>
        </w:rPr>
        <w:t xml:space="preserve"> Ula Hwang et al., </w:t>
      </w:r>
      <w:hyperlink r:id="rId11" w:history="1">
        <w:r w:rsidRPr="00E671C2">
          <w:rPr>
            <w:rStyle w:val="Hyperlink"/>
            <w:rFonts w:eastAsia="Times New Roman" w:cstheme="minorHAnsi"/>
            <w:i/>
            <w:iCs/>
            <w:color w:val="auto"/>
            <w:sz w:val="20"/>
            <w:szCs w:val="20"/>
            <w:u w:val="none"/>
          </w:rPr>
          <w:t>Emergency Department Crowding and Decreased Quality of Pain Care</w:t>
        </w:r>
      </w:hyperlink>
      <w:r w:rsidRPr="00E671C2">
        <w:rPr>
          <w:rFonts w:eastAsia="Times New Roman" w:cstheme="minorHAnsi"/>
          <w:sz w:val="20"/>
          <w:szCs w:val="20"/>
        </w:rPr>
        <w:t xml:space="preserve">, </w:t>
      </w:r>
      <w:r w:rsidRPr="006E53E6">
        <w:rPr>
          <w:rFonts w:eastAsia="Times New Roman" w:cstheme="minorHAnsi"/>
          <w:sz w:val="20"/>
          <w:szCs w:val="20"/>
        </w:rPr>
        <w:t>Academic Emergency Medicine,</w:t>
      </w:r>
      <w:r w:rsidRPr="006E53E6">
        <w:rPr>
          <w:rFonts w:cstheme="minorHAnsi"/>
          <w:i/>
          <w:iCs/>
          <w:sz w:val="20"/>
          <w:szCs w:val="20"/>
        </w:rPr>
        <w:t xml:space="preserve"> </w:t>
      </w:r>
      <w:hyperlink r:id="rId12" w:history="1">
        <w:r w:rsidRPr="00CF5C98">
          <w:rPr>
            <w:rStyle w:val="Hyperlink"/>
            <w:rFonts w:cstheme="minorHAnsi"/>
            <w:i/>
            <w:iCs/>
            <w:color w:val="2F5496" w:themeColor="accent1" w:themeShade="BF"/>
            <w:sz w:val="20"/>
            <w:szCs w:val="20"/>
          </w:rPr>
          <w:t>https://www.ncbi.nlm.nih.gov/pmc/articles/PMC2729811/</w:t>
        </w:r>
      </w:hyperlink>
      <w:r w:rsidRPr="006E53E6">
        <w:rPr>
          <w:rFonts w:cstheme="minorHAnsi"/>
          <w:i/>
          <w:iCs/>
          <w:sz w:val="20"/>
          <w:szCs w:val="20"/>
        </w:rPr>
        <w:t xml:space="preserve"> (Dec 2008)</w:t>
      </w:r>
    </w:p>
  </w:endnote>
  <w:endnote w:id="8">
    <w:p w14:paraId="718E7706" w14:textId="139D9149" w:rsidR="008E20CD" w:rsidRPr="006E53E6" w:rsidRDefault="008E20CD" w:rsidP="001E0367">
      <w:pPr>
        <w:pStyle w:val="EndnoteText"/>
        <w:rPr>
          <w:rFonts w:cstheme="minorHAnsi"/>
          <w:lang w:val="es-MX"/>
        </w:rPr>
      </w:pPr>
      <w:r w:rsidRPr="006E53E6">
        <w:rPr>
          <w:rStyle w:val="EndnoteReference"/>
          <w:rFonts w:cstheme="minorHAnsi"/>
        </w:rPr>
        <w:endnoteRef/>
      </w:r>
      <w:r w:rsidRPr="006E53E6">
        <w:rPr>
          <w:rFonts w:cstheme="minorHAnsi"/>
        </w:rPr>
        <w:t xml:space="preserve"> Ula Hwang et al., </w:t>
      </w:r>
      <w:hyperlink r:id="rId13" w:history="1">
        <w:r w:rsidRPr="00E671C2">
          <w:rPr>
            <w:rStyle w:val="Hyperlink"/>
            <w:rFonts w:eastAsia="Times New Roman" w:cstheme="minorHAnsi"/>
            <w:i/>
            <w:iCs/>
            <w:color w:val="auto"/>
            <w:u w:val="none"/>
          </w:rPr>
          <w:t>Emergency Department Crowding and Decreased Quality of Pain Care</w:t>
        </w:r>
      </w:hyperlink>
      <w:r w:rsidRPr="00E671C2">
        <w:rPr>
          <w:rFonts w:eastAsia="Times New Roman" w:cstheme="minorHAnsi"/>
        </w:rPr>
        <w:t xml:space="preserve">, </w:t>
      </w:r>
      <w:r w:rsidRPr="006E53E6">
        <w:rPr>
          <w:rFonts w:eastAsia="Times New Roman" w:cstheme="minorHAnsi"/>
        </w:rPr>
        <w:t>Academic Emergency Medicine,</w:t>
      </w:r>
      <w:r w:rsidRPr="006E53E6">
        <w:rPr>
          <w:rFonts w:cstheme="minorHAnsi"/>
          <w:i/>
          <w:iCs/>
        </w:rPr>
        <w:t xml:space="preserve"> </w:t>
      </w:r>
      <w:hyperlink r:id="rId14" w:history="1">
        <w:r w:rsidRPr="00CF5C98">
          <w:rPr>
            <w:rStyle w:val="Hyperlink"/>
            <w:rFonts w:cstheme="minorHAnsi"/>
            <w:i/>
            <w:iCs/>
            <w:color w:val="2F5496" w:themeColor="accent1" w:themeShade="BF"/>
          </w:rPr>
          <w:t>https://www.ncbi.nlm.nih.gov/pmc/articles/PMC2729811/</w:t>
        </w:r>
      </w:hyperlink>
      <w:r w:rsidRPr="006E53E6">
        <w:rPr>
          <w:rFonts w:cstheme="minorHAnsi"/>
          <w:i/>
          <w:iCs/>
        </w:rPr>
        <w:t xml:space="preserve"> (Dec 2008)</w:t>
      </w:r>
    </w:p>
  </w:endnote>
  <w:endnote w:id="9">
    <w:p w14:paraId="15B73524" w14:textId="19BB1668" w:rsidR="00362072" w:rsidRPr="00CF5C98" w:rsidRDefault="00362072">
      <w:pPr>
        <w:pStyle w:val="EndnoteText"/>
        <w:rPr>
          <w:color w:val="2F5496" w:themeColor="accent1" w:themeShade="BF"/>
        </w:rPr>
      </w:pPr>
      <w:r>
        <w:rPr>
          <w:rStyle w:val="EndnoteReference"/>
        </w:rPr>
        <w:endnoteRef/>
      </w:r>
      <w:r>
        <w:t xml:space="preserve"> </w:t>
      </w:r>
      <w:r w:rsidRPr="006E53E6">
        <w:rPr>
          <w:rFonts w:cstheme="minorHAnsi"/>
        </w:rPr>
        <w:t xml:space="preserve">John R. Richards et al., </w:t>
      </w:r>
      <w:hyperlink r:id="rId15" w:history="1">
        <w:r w:rsidRPr="00E671C2">
          <w:rPr>
            <w:rStyle w:val="Hyperlink"/>
            <w:rFonts w:cstheme="minorHAnsi"/>
            <w:i/>
            <w:iCs/>
            <w:color w:val="auto"/>
            <w:u w:val="none"/>
          </w:rPr>
          <w:t>Providing Care in Emergency Department Hallways: Demands, Dangers, and Deaths</w:t>
        </w:r>
      </w:hyperlink>
      <w:r w:rsidRPr="00E671C2">
        <w:rPr>
          <w:rFonts w:cstheme="minorHAnsi"/>
        </w:rPr>
        <w:t xml:space="preserve">, </w:t>
      </w:r>
      <w:r w:rsidRPr="006E53E6">
        <w:rPr>
          <w:rFonts w:cstheme="minorHAnsi"/>
        </w:rPr>
        <w:t xml:space="preserve">Advances in Emergency Medicine, </w:t>
      </w:r>
      <w:hyperlink r:id="rId16" w:history="1">
        <w:r w:rsidRPr="00CF5C98">
          <w:rPr>
            <w:rStyle w:val="Hyperlink"/>
            <w:rFonts w:cstheme="minorHAnsi"/>
            <w:color w:val="2F5496" w:themeColor="accent1" w:themeShade="BF"/>
          </w:rPr>
          <w:t>https://www.hindawi.com/journals/aem/2014/495219/</w:t>
        </w:r>
      </w:hyperlink>
      <w:r w:rsidRPr="00CF5C98">
        <w:rPr>
          <w:rStyle w:val="Hyperlink"/>
          <w:rFonts w:cstheme="minorHAnsi"/>
          <w:i/>
          <w:iCs/>
          <w:color w:val="2F5496" w:themeColor="accent1" w:themeShade="BF"/>
        </w:rPr>
        <w:t xml:space="preserve"> </w:t>
      </w:r>
      <w:r w:rsidRPr="00CF5C98">
        <w:rPr>
          <w:rStyle w:val="Hyperlink"/>
          <w:rFonts w:cstheme="minorHAnsi"/>
          <w:color w:val="2F5496" w:themeColor="accent1" w:themeShade="BF"/>
        </w:rPr>
        <w:t>(Dec. 25, 2014).</w:t>
      </w:r>
      <w:r w:rsidRPr="00CF5C98">
        <w:rPr>
          <w:rFonts w:cstheme="minorHAnsi"/>
          <w:i/>
          <w:iCs/>
          <w:color w:val="2F5496" w:themeColor="accent1" w:themeShade="BF"/>
        </w:rPr>
        <w:t xml:space="preserve">   </w:t>
      </w:r>
    </w:p>
  </w:endnote>
  <w:endnote w:id="10">
    <w:p w14:paraId="34173DA0" w14:textId="1DDADBB2" w:rsidR="008E20CD" w:rsidRPr="006E53E6" w:rsidRDefault="008E20CD" w:rsidP="002637A2">
      <w:pPr>
        <w:autoSpaceDE w:val="0"/>
        <w:autoSpaceDN w:val="0"/>
        <w:adjustRightInd w:val="0"/>
        <w:spacing w:after="0" w:line="240" w:lineRule="auto"/>
        <w:rPr>
          <w:rFonts w:eastAsia="Times New Roman" w:cstheme="minorHAnsi"/>
          <w:sz w:val="20"/>
          <w:szCs w:val="20"/>
        </w:rPr>
      </w:pPr>
      <w:r w:rsidRPr="006E53E6">
        <w:rPr>
          <w:rStyle w:val="EndnoteReference"/>
          <w:rFonts w:cstheme="minorHAnsi"/>
          <w:sz w:val="20"/>
          <w:szCs w:val="20"/>
        </w:rPr>
        <w:endnoteRef/>
      </w:r>
      <w:r w:rsidRPr="006E53E6">
        <w:rPr>
          <w:rFonts w:cstheme="minorHAnsi"/>
          <w:sz w:val="20"/>
          <w:szCs w:val="20"/>
        </w:rPr>
        <w:t xml:space="preserve"> Kimberly Nordstrom et al., </w:t>
      </w:r>
      <w:hyperlink r:id="rId17" w:history="1">
        <w:r w:rsidRPr="00E671C2">
          <w:rPr>
            <w:rStyle w:val="Hyperlink"/>
            <w:rFonts w:cstheme="minorHAnsi"/>
            <w:i/>
            <w:iCs/>
            <w:color w:val="auto"/>
            <w:sz w:val="20"/>
            <w:szCs w:val="20"/>
            <w:u w:val="none"/>
          </w:rPr>
          <w:t>Boarding of Mentally Ill Patients in Emergency Departments: American Psychiatric Association Resource Document</w:t>
        </w:r>
      </w:hyperlink>
      <w:r w:rsidRPr="00E671C2">
        <w:rPr>
          <w:rFonts w:cstheme="minorHAnsi"/>
          <w:sz w:val="20"/>
          <w:szCs w:val="20"/>
        </w:rPr>
        <w:t xml:space="preserve">, </w:t>
      </w:r>
      <w:r w:rsidRPr="006E53E6">
        <w:rPr>
          <w:rFonts w:cstheme="minorHAnsi"/>
          <w:sz w:val="20"/>
          <w:szCs w:val="20"/>
        </w:rPr>
        <w:t xml:space="preserve">Western Journal of Emergency Medicine, </w:t>
      </w:r>
      <w:hyperlink r:id="rId18" w:history="1">
        <w:r w:rsidRPr="00CF5C98">
          <w:rPr>
            <w:rStyle w:val="Hyperlink"/>
            <w:rFonts w:eastAsia="Times New Roman" w:cstheme="minorHAnsi"/>
            <w:color w:val="2F5496" w:themeColor="accent1" w:themeShade="BF"/>
            <w:sz w:val="20"/>
            <w:szCs w:val="20"/>
          </w:rPr>
          <w:t>https://www.ncbi.nlm.nih.gov/pmc/articles/PMC6754202/</w:t>
        </w:r>
      </w:hyperlink>
      <w:r w:rsidRPr="006E53E6">
        <w:rPr>
          <w:rFonts w:eastAsia="Times New Roman" w:cstheme="minorHAnsi"/>
          <w:sz w:val="20"/>
          <w:szCs w:val="20"/>
        </w:rPr>
        <w:t xml:space="preserve"> (Sept. 2019).</w:t>
      </w:r>
    </w:p>
  </w:endnote>
  <w:endnote w:id="11">
    <w:p w14:paraId="7AA3FDEF" w14:textId="4B91CFA5" w:rsidR="008E20CD" w:rsidRPr="006E53E6" w:rsidRDefault="008E20CD" w:rsidP="002637A2">
      <w:pPr>
        <w:pStyle w:val="EndnoteText"/>
        <w:rPr>
          <w:rFonts w:cstheme="minorHAnsi"/>
          <w:highlight w:val="yellow"/>
        </w:rPr>
      </w:pPr>
      <w:r w:rsidRPr="00653B96">
        <w:rPr>
          <w:rStyle w:val="EndnoteReference"/>
          <w:rFonts w:cstheme="minorHAnsi"/>
        </w:rPr>
        <w:endnoteRef/>
      </w:r>
      <w:r w:rsidRPr="00653B96">
        <w:rPr>
          <w:rFonts w:cstheme="minorHAnsi"/>
        </w:rPr>
        <w:t xml:space="preserve"> </w:t>
      </w:r>
      <w:r w:rsidR="00653B96" w:rsidRPr="00653B96">
        <w:rPr>
          <w:rFonts w:cstheme="minorHAnsi"/>
        </w:rPr>
        <w:t xml:space="preserve">Kimberly Nordstrom et al., </w:t>
      </w:r>
      <w:hyperlink r:id="rId19" w:history="1">
        <w:r w:rsidR="00653B96" w:rsidRPr="00E671C2">
          <w:rPr>
            <w:rStyle w:val="Hyperlink"/>
            <w:rFonts w:cstheme="minorHAnsi"/>
            <w:i/>
            <w:iCs/>
            <w:color w:val="auto"/>
            <w:u w:val="none"/>
          </w:rPr>
          <w:t>Boarding of Mentally Ill Patients in Emergency Departments: American Psychiatric Association Resource Document</w:t>
        </w:r>
      </w:hyperlink>
      <w:r w:rsidR="00653B96" w:rsidRPr="00E671C2">
        <w:rPr>
          <w:rFonts w:cstheme="minorHAnsi"/>
        </w:rPr>
        <w:t xml:space="preserve">, </w:t>
      </w:r>
      <w:r w:rsidR="00653B96" w:rsidRPr="00653B96">
        <w:rPr>
          <w:rFonts w:cstheme="minorHAnsi"/>
        </w:rPr>
        <w:t xml:space="preserve">Western Journal of Emergency Medicine, </w:t>
      </w:r>
      <w:hyperlink r:id="rId20" w:history="1">
        <w:r w:rsidR="00653B96" w:rsidRPr="00CF5C98">
          <w:rPr>
            <w:rStyle w:val="Hyperlink"/>
            <w:rFonts w:eastAsia="Times New Roman" w:cstheme="minorHAnsi"/>
            <w:color w:val="2F5496" w:themeColor="accent1" w:themeShade="BF"/>
          </w:rPr>
          <w:t>https://www.ncbi.nlm.nih.gov/pmc/articles/PMC6754202/</w:t>
        </w:r>
      </w:hyperlink>
      <w:r w:rsidR="00653B96" w:rsidRPr="00CF5C98">
        <w:rPr>
          <w:rFonts w:eastAsia="Times New Roman" w:cstheme="minorHAnsi"/>
          <w:color w:val="2F5496" w:themeColor="accent1" w:themeShade="BF"/>
        </w:rPr>
        <w:t xml:space="preserve"> </w:t>
      </w:r>
      <w:r w:rsidR="00653B96" w:rsidRPr="00653B96">
        <w:rPr>
          <w:rFonts w:eastAsia="Times New Roman" w:cstheme="minorHAnsi"/>
        </w:rPr>
        <w:t>(Sept. 2019).</w:t>
      </w:r>
    </w:p>
  </w:endnote>
  <w:endnote w:id="12">
    <w:p w14:paraId="5B34E676" w14:textId="0AC4B2DA" w:rsidR="008E20CD" w:rsidRPr="0014596E" w:rsidRDefault="008E20CD" w:rsidP="002637A2">
      <w:pPr>
        <w:pStyle w:val="Default"/>
        <w:rPr>
          <w:rFonts w:asciiTheme="minorHAnsi" w:hAnsiTheme="minorHAnsi" w:cstheme="minorHAnsi"/>
          <w:i/>
          <w:iCs/>
          <w:sz w:val="20"/>
          <w:szCs w:val="20"/>
        </w:rPr>
      </w:pPr>
      <w:r w:rsidRPr="0014596E">
        <w:rPr>
          <w:rStyle w:val="EndnoteReference"/>
          <w:rFonts w:asciiTheme="minorHAnsi" w:hAnsiTheme="minorHAnsi" w:cstheme="minorHAnsi"/>
          <w:sz w:val="20"/>
          <w:szCs w:val="20"/>
        </w:rPr>
        <w:endnoteRef/>
      </w:r>
      <w:r w:rsidRPr="0014596E">
        <w:rPr>
          <w:rFonts w:asciiTheme="minorHAnsi" w:hAnsiTheme="minorHAnsi" w:cstheme="minorHAnsi"/>
          <w:sz w:val="20"/>
          <w:szCs w:val="20"/>
        </w:rPr>
        <w:t xml:space="preserve"> </w:t>
      </w:r>
      <w:r w:rsidR="0014596E" w:rsidRPr="0014596E">
        <w:rPr>
          <w:rFonts w:asciiTheme="minorHAnsi" w:hAnsiTheme="minorHAnsi" w:cstheme="minorHAnsi"/>
          <w:sz w:val="20"/>
          <w:szCs w:val="20"/>
        </w:rPr>
        <w:t xml:space="preserve">Jennifer L. Wiler et al., </w:t>
      </w:r>
      <w:r w:rsidR="0014596E" w:rsidRPr="0014596E">
        <w:rPr>
          <w:rFonts w:asciiTheme="minorHAnsi" w:hAnsiTheme="minorHAnsi" w:cstheme="minorHAnsi"/>
          <w:i/>
          <w:iCs/>
          <w:sz w:val="20"/>
          <w:szCs w:val="20"/>
        </w:rPr>
        <w:t>Care of the Psychiatric Patient in the Emergency Department –A Review of the Literature</w:t>
      </w:r>
      <w:r w:rsidR="0014596E" w:rsidRPr="0014596E">
        <w:rPr>
          <w:rFonts w:asciiTheme="minorHAnsi" w:hAnsiTheme="minorHAnsi" w:cstheme="minorHAnsi"/>
          <w:sz w:val="20"/>
          <w:szCs w:val="20"/>
        </w:rPr>
        <w:t>, American College of Emergency Physicians (Oct. 2014).</w:t>
      </w:r>
    </w:p>
  </w:endnote>
  <w:endnote w:id="13">
    <w:p w14:paraId="41CE9D6D" w14:textId="5967877C" w:rsidR="008E20CD" w:rsidRPr="006E53E6" w:rsidRDefault="008E20CD" w:rsidP="002637A2">
      <w:pPr>
        <w:pStyle w:val="EndnoteText"/>
        <w:rPr>
          <w:rFonts w:cstheme="minorHAnsi"/>
        </w:rPr>
      </w:pPr>
      <w:r w:rsidRPr="000E78AC">
        <w:rPr>
          <w:rStyle w:val="EndnoteReference"/>
          <w:rFonts w:cstheme="minorHAnsi"/>
        </w:rPr>
        <w:endnoteRef/>
      </w:r>
      <w:r w:rsidRPr="000E78AC">
        <w:rPr>
          <w:rFonts w:cstheme="minorHAnsi"/>
        </w:rPr>
        <w:t xml:space="preserve"> </w:t>
      </w:r>
      <w:r w:rsidR="000E78AC" w:rsidRPr="000E78AC">
        <w:rPr>
          <w:rFonts w:cstheme="minorHAnsi"/>
        </w:rPr>
        <w:t xml:space="preserve">Kimberly Nordstrom et al., </w:t>
      </w:r>
      <w:hyperlink r:id="rId21" w:history="1">
        <w:r w:rsidR="000E78AC" w:rsidRPr="00E671C2">
          <w:rPr>
            <w:rStyle w:val="Hyperlink"/>
            <w:rFonts w:cstheme="minorHAnsi"/>
            <w:i/>
            <w:iCs/>
            <w:color w:val="auto"/>
            <w:u w:val="none"/>
          </w:rPr>
          <w:t>Boarding of Mentally Ill Patients in Emergency Departments: American Psychiatric Association Resource Document</w:t>
        </w:r>
      </w:hyperlink>
      <w:r w:rsidR="000E78AC" w:rsidRPr="00E671C2">
        <w:rPr>
          <w:rFonts w:cstheme="minorHAnsi"/>
        </w:rPr>
        <w:t xml:space="preserve">, </w:t>
      </w:r>
      <w:r w:rsidR="000E78AC" w:rsidRPr="000E78AC">
        <w:rPr>
          <w:rFonts w:cstheme="minorHAnsi"/>
        </w:rPr>
        <w:t>Western Journal of Emergency Medicine,</w:t>
      </w:r>
      <w:r w:rsidR="000E78AC" w:rsidRPr="00653B96">
        <w:rPr>
          <w:rFonts w:cstheme="minorHAnsi"/>
        </w:rPr>
        <w:t xml:space="preserve"> </w:t>
      </w:r>
      <w:hyperlink r:id="rId22" w:history="1">
        <w:r w:rsidR="000E78AC" w:rsidRPr="00CF5C98">
          <w:rPr>
            <w:rStyle w:val="Hyperlink"/>
            <w:rFonts w:eastAsia="Times New Roman" w:cstheme="minorHAnsi"/>
            <w:color w:val="2F5496" w:themeColor="accent1" w:themeShade="BF"/>
          </w:rPr>
          <w:t>https://www.ncbi.nlm.nih.gov/pmc/articles/PMC6754202/</w:t>
        </w:r>
      </w:hyperlink>
      <w:r w:rsidR="000E78AC" w:rsidRPr="00653B96">
        <w:rPr>
          <w:rFonts w:eastAsia="Times New Roman" w:cstheme="minorHAnsi"/>
        </w:rPr>
        <w:t xml:space="preserve"> (Sept. 2019).</w:t>
      </w:r>
    </w:p>
  </w:endnote>
  <w:endnote w:id="14">
    <w:p w14:paraId="2C3CF296" w14:textId="71134EC4" w:rsidR="00A07ECB" w:rsidRPr="006E53E6" w:rsidRDefault="00A07ECB">
      <w:pPr>
        <w:pStyle w:val="EndnoteText"/>
        <w:rPr>
          <w:rFonts w:cstheme="minorHAnsi"/>
        </w:rPr>
      </w:pPr>
      <w:r w:rsidRPr="006E53E6">
        <w:rPr>
          <w:rStyle w:val="EndnoteReference"/>
          <w:rFonts w:cstheme="minorHAnsi"/>
        </w:rPr>
        <w:endnoteRef/>
      </w:r>
      <w:r w:rsidRPr="006E53E6">
        <w:rPr>
          <w:rFonts w:cstheme="minorHAnsi"/>
        </w:rPr>
        <w:t xml:space="preserve"> Ula Hwang et al., </w:t>
      </w:r>
      <w:hyperlink r:id="rId23" w:history="1">
        <w:r w:rsidRPr="00501E4A">
          <w:rPr>
            <w:rStyle w:val="Hyperlink"/>
            <w:rFonts w:eastAsia="Times New Roman" w:cstheme="minorHAnsi"/>
            <w:i/>
            <w:iCs/>
            <w:color w:val="auto"/>
            <w:u w:val="none"/>
          </w:rPr>
          <w:t>Emergency Department Crowding and Decreased Quality of Pain Care</w:t>
        </w:r>
      </w:hyperlink>
      <w:r w:rsidRPr="00501E4A">
        <w:rPr>
          <w:rFonts w:eastAsia="Times New Roman" w:cstheme="minorHAnsi"/>
        </w:rPr>
        <w:t xml:space="preserve">, </w:t>
      </w:r>
      <w:r w:rsidRPr="006E53E6">
        <w:rPr>
          <w:rFonts w:eastAsia="Times New Roman" w:cstheme="minorHAnsi"/>
        </w:rPr>
        <w:t>Academic Emergency Medicine,</w:t>
      </w:r>
      <w:r w:rsidRPr="006E53E6">
        <w:rPr>
          <w:rFonts w:cstheme="minorHAnsi"/>
          <w:i/>
          <w:iCs/>
        </w:rPr>
        <w:t xml:space="preserve"> </w:t>
      </w:r>
      <w:hyperlink r:id="rId24" w:history="1">
        <w:r w:rsidRPr="00CF5C98">
          <w:rPr>
            <w:rStyle w:val="Hyperlink"/>
            <w:rFonts w:cstheme="minorHAnsi"/>
            <w:i/>
            <w:iCs/>
            <w:color w:val="2F5496" w:themeColor="accent1" w:themeShade="BF"/>
          </w:rPr>
          <w:t>https://www.ncbi.nlm.nih.gov/pmc/articles/PMC2729811/</w:t>
        </w:r>
      </w:hyperlink>
      <w:r w:rsidRPr="006E53E6">
        <w:rPr>
          <w:rFonts w:cstheme="minorHAnsi"/>
          <w:i/>
          <w:iCs/>
        </w:rPr>
        <w:t xml:space="preserve"> (Dec 2008)</w:t>
      </w:r>
    </w:p>
  </w:endnote>
  <w:endnote w:id="15">
    <w:p w14:paraId="64E50E98" w14:textId="79D839AB" w:rsidR="00A07ECB" w:rsidRPr="006E53E6" w:rsidRDefault="00A07ECB">
      <w:pPr>
        <w:pStyle w:val="EndnoteText"/>
        <w:rPr>
          <w:rFonts w:cstheme="minorHAnsi"/>
        </w:rPr>
      </w:pPr>
      <w:r w:rsidRPr="006E53E6">
        <w:rPr>
          <w:rStyle w:val="EndnoteReference"/>
          <w:rFonts w:cstheme="minorHAnsi"/>
        </w:rPr>
        <w:endnoteRef/>
      </w:r>
      <w:r w:rsidRPr="006E53E6">
        <w:rPr>
          <w:rFonts w:cstheme="minorHAnsi"/>
        </w:rPr>
        <w:t xml:space="preserve"> Marina Sartini et al., </w:t>
      </w:r>
      <w:hyperlink r:id="rId25" w:history="1">
        <w:r w:rsidRPr="00501E4A">
          <w:rPr>
            <w:rStyle w:val="Hyperlink"/>
            <w:rFonts w:eastAsia="Times New Roman" w:cstheme="minorHAnsi"/>
            <w:i/>
            <w:iCs/>
            <w:color w:val="auto"/>
            <w:u w:val="none"/>
          </w:rPr>
          <w:t>Overcrowding in Emergency Department: Causes Consequences, and Solutions—A Narrative Review</w:t>
        </w:r>
      </w:hyperlink>
      <w:r w:rsidRPr="00501E4A">
        <w:rPr>
          <w:rFonts w:eastAsia="Times New Roman" w:cstheme="minorHAnsi"/>
        </w:rPr>
        <w:t xml:space="preserve">, </w:t>
      </w:r>
      <w:r w:rsidRPr="006E53E6">
        <w:rPr>
          <w:rFonts w:eastAsia="Times New Roman" w:cstheme="minorHAnsi"/>
        </w:rPr>
        <w:t>Healthcare (Basel)</w:t>
      </w:r>
      <w:r w:rsidRPr="006E53E6">
        <w:rPr>
          <w:rFonts w:cstheme="minorHAnsi"/>
          <w:lang w:val="es-MX"/>
        </w:rPr>
        <w:t xml:space="preserve"> </w:t>
      </w:r>
      <w:hyperlink r:id="rId26" w:history="1">
        <w:r w:rsidRPr="00CF5C98">
          <w:rPr>
            <w:rStyle w:val="Hyperlink"/>
            <w:rFonts w:cstheme="minorHAnsi"/>
            <w:color w:val="2F5496" w:themeColor="accent1" w:themeShade="BF"/>
            <w:lang w:val="es-MX"/>
          </w:rPr>
          <w:t>https://www.ncbi.nlm.nih.gov/pmc/articles/PMC9498666/</w:t>
        </w:r>
      </w:hyperlink>
      <w:r w:rsidRPr="006E53E6">
        <w:rPr>
          <w:rFonts w:cstheme="minorHAnsi"/>
          <w:lang w:val="es-MX"/>
        </w:rPr>
        <w:t xml:space="preserve"> </w:t>
      </w:r>
      <w:r w:rsidRPr="006E53E6">
        <w:rPr>
          <w:rFonts w:cstheme="minorHAnsi"/>
        </w:rPr>
        <w:t>(Aug. 25, 2022).</w:t>
      </w:r>
    </w:p>
  </w:endnote>
  <w:endnote w:id="16">
    <w:p w14:paraId="7B7E46B2" w14:textId="55919772" w:rsidR="00D43A61" w:rsidRPr="006E53E6" w:rsidRDefault="00D43A61" w:rsidP="00E85C24">
      <w:pPr>
        <w:autoSpaceDE w:val="0"/>
        <w:autoSpaceDN w:val="0"/>
        <w:adjustRightInd w:val="0"/>
        <w:spacing w:after="0" w:line="240" w:lineRule="auto"/>
        <w:rPr>
          <w:rFonts w:eastAsia="Times New Roman" w:cstheme="minorHAnsi"/>
          <w:sz w:val="20"/>
          <w:szCs w:val="20"/>
        </w:rPr>
      </w:pPr>
      <w:r w:rsidRPr="006E53E6">
        <w:rPr>
          <w:rStyle w:val="EndnoteReference"/>
          <w:rFonts w:cstheme="minorHAnsi"/>
          <w:sz w:val="20"/>
          <w:szCs w:val="20"/>
        </w:rPr>
        <w:endnoteRef/>
      </w:r>
      <w:r w:rsidRPr="006E53E6">
        <w:rPr>
          <w:rFonts w:cstheme="minorHAnsi"/>
          <w:sz w:val="20"/>
          <w:szCs w:val="20"/>
        </w:rPr>
        <w:t xml:space="preserve"> </w:t>
      </w:r>
      <w:r w:rsidR="00726CB6">
        <w:rPr>
          <w:rFonts w:eastAsia="Times New Roman" w:cstheme="minorHAnsi"/>
          <w:sz w:val="20"/>
          <w:szCs w:val="20"/>
        </w:rPr>
        <w:t>P</w:t>
      </w:r>
      <w:r w:rsidRPr="006E53E6">
        <w:rPr>
          <w:rFonts w:eastAsia="Times New Roman" w:cstheme="minorHAnsi"/>
          <w:sz w:val="20"/>
          <w:szCs w:val="20"/>
        </w:rPr>
        <w:t xml:space="preserve">ing Huang </w:t>
      </w:r>
      <w:r w:rsidRPr="006E53E6">
        <w:rPr>
          <w:rFonts w:eastAsia="Times New Roman" w:cstheme="minorHAnsi"/>
          <w:i/>
          <w:iCs/>
          <w:sz w:val="20"/>
          <w:szCs w:val="20"/>
        </w:rPr>
        <w:t xml:space="preserve">et </w:t>
      </w:r>
      <w:r w:rsidRPr="006E53E6">
        <w:rPr>
          <w:rFonts w:eastAsia="Times New Roman" w:cstheme="minorHAnsi"/>
          <w:sz w:val="20"/>
          <w:szCs w:val="20"/>
        </w:rPr>
        <w:t xml:space="preserve">al., </w:t>
      </w:r>
      <w:r w:rsidRPr="006E53E6">
        <w:rPr>
          <w:rFonts w:eastAsia="Times New Roman" w:cstheme="minorHAnsi"/>
          <w:i/>
          <w:iCs/>
          <w:sz w:val="20"/>
          <w:szCs w:val="20"/>
        </w:rPr>
        <w:t xml:space="preserve">The impact of delays to admission from the emergency department on inpatient outcomes, </w:t>
      </w:r>
      <w:r w:rsidRPr="006E53E6">
        <w:rPr>
          <w:rFonts w:eastAsia="Times New Roman" w:cstheme="minorHAnsi"/>
          <w:sz w:val="20"/>
          <w:szCs w:val="20"/>
        </w:rPr>
        <w:t>10 BMC EMERGENCY MEDICINE 16 (2010).</w:t>
      </w:r>
    </w:p>
  </w:endnote>
  <w:endnote w:id="17">
    <w:p w14:paraId="0F554182" w14:textId="0CFCA996" w:rsidR="00FF0C5D" w:rsidRDefault="00FF0C5D">
      <w:pPr>
        <w:pStyle w:val="EndnoteText"/>
      </w:pPr>
      <w:r>
        <w:rPr>
          <w:rStyle w:val="EndnoteReference"/>
        </w:rPr>
        <w:endnoteRef/>
      </w:r>
      <w:r>
        <w:t xml:space="preserve"> </w:t>
      </w:r>
      <w:r w:rsidR="00802C46" w:rsidRPr="00802C46">
        <w:t xml:space="preserve">Lindsey Woodworth and James F. Holmes, </w:t>
      </w:r>
      <w:hyperlink r:id="rId27" w:history="1">
        <w:r w:rsidR="00802C46" w:rsidRPr="00501E4A">
          <w:rPr>
            <w:rStyle w:val="Hyperlink"/>
            <w:i/>
            <w:iCs/>
            <w:color w:val="auto"/>
            <w:u w:val="none"/>
          </w:rPr>
          <w:t>Just A Minute: The Effect of Emergency Department Wait Time on the Cost of Care</w:t>
        </w:r>
      </w:hyperlink>
      <w:r w:rsidR="00802C46" w:rsidRPr="00501E4A">
        <w:t xml:space="preserve">, </w:t>
      </w:r>
      <w:r w:rsidR="00802C46" w:rsidRPr="00802C46">
        <w:t xml:space="preserve">Economic Inquiry (Nov. 5, 2019), </w:t>
      </w:r>
      <w:hyperlink r:id="rId28" w:history="1">
        <w:r w:rsidR="00802C46" w:rsidRPr="00802C46">
          <w:rPr>
            <w:rStyle w:val="Hyperlink"/>
            <w:color w:val="2F5496" w:themeColor="accent1" w:themeShade="BF"/>
          </w:rPr>
          <w:t>https://onlinelibrary.wiley.com/doi/abs/10.1111/ecin.12849</w:t>
        </w:r>
      </w:hyperlink>
      <w:r w:rsidR="00802C46" w:rsidRPr="00802C46">
        <w:rPr>
          <w:color w:val="2F5496" w:themeColor="accent1" w:themeShade="BF"/>
        </w:rPr>
        <w:t>.</w:t>
      </w:r>
    </w:p>
  </w:endnote>
  <w:endnote w:id="18">
    <w:p w14:paraId="39E755D0" w14:textId="0DFE9011" w:rsidR="00E74919" w:rsidRDefault="00E74919">
      <w:pPr>
        <w:pStyle w:val="EndnoteText"/>
      </w:pPr>
      <w:r>
        <w:rPr>
          <w:rStyle w:val="EndnoteReference"/>
        </w:rPr>
        <w:endnoteRef/>
      </w:r>
      <w:r>
        <w:t xml:space="preserve"> </w:t>
      </w:r>
      <w:r w:rsidRPr="00802C46">
        <w:t xml:space="preserve">Lindsey Woodworth and James F. Holmes, </w:t>
      </w:r>
      <w:hyperlink r:id="rId29" w:history="1">
        <w:r w:rsidRPr="00501E4A">
          <w:rPr>
            <w:rStyle w:val="Hyperlink"/>
            <w:i/>
            <w:iCs/>
            <w:color w:val="auto"/>
            <w:u w:val="none"/>
          </w:rPr>
          <w:t>Just A Minute: The Effect of Emergency Department Wait Time on the Cost of Care</w:t>
        </w:r>
      </w:hyperlink>
      <w:r w:rsidRPr="00802C46">
        <w:t xml:space="preserve">, Economic Inquiry (Nov. 5, 2019), </w:t>
      </w:r>
      <w:hyperlink r:id="rId30" w:history="1">
        <w:r w:rsidRPr="00802C46">
          <w:rPr>
            <w:rStyle w:val="Hyperlink"/>
            <w:color w:val="2F5496" w:themeColor="accent1" w:themeShade="BF"/>
          </w:rPr>
          <w:t>https://onlinelibrary.wiley.com/doi/abs/10.1111/ecin.12849</w:t>
        </w:r>
      </w:hyperlink>
      <w:r w:rsidRPr="00802C46">
        <w:rPr>
          <w:color w:val="2F5496" w:themeColor="accent1" w:themeShade="BF"/>
        </w:rPr>
        <w:t>.</w:t>
      </w:r>
    </w:p>
  </w:endnote>
  <w:endnote w:id="19">
    <w:p w14:paraId="33335E22" w14:textId="6DF38774" w:rsidR="00143587" w:rsidRPr="00143587" w:rsidRDefault="00143587">
      <w:pPr>
        <w:pStyle w:val="EndnoteText"/>
        <w:rPr>
          <w:rFonts w:cstheme="minorHAnsi"/>
        </w:rPr>
      </w:pPr>
      <w:r w:rsidRPr="00143587">
        <w:rPr>
          <w:rStyle w:val="EndnoteReference"/>
          <w:rFonts w:cstheme="minorHAnsi"/>
        </w:rPr>
        <w:endnoteRef/>
      </w:r>
      <w:r w:rsidRPr="00143587">
        <w:rPr>
          <w:rFonts w:cstheme="minorHAnsi"/>
        </w:rPr>
        <w:t xml:space="preserve"> Kimberly Nordstrom et al., </w:t>
      </w:r>
      <w:hyperlink r:id="rId31" w:history="1">
        <w:r w:rsidRPr="00501E4A">
          <w:rPr>
            <w:rStyle w:val="Hyperlink"/>
            <w:rFonts w:cstheme="minorHAnsi"/>
            <w:i/>
            <w:iCs/>
            <w:color w:val="auto"/>
            <w:u w:val="none"/>
          </w:rPr>
          <w:t>Boarding of Mentally Ill Patients in Emergency Departments: American Psychiatric Association Resource Document</w:t>
        </w:r>
      </w:hyperlink>
      <w:r w:rsidRPr="00501E4A">
        <w:rPr>
          <w:rFonts w:cstheme="minorHAnsi"/>
        </w:rPr>
        <w:t xml:space="preserve">, </w:t>
      </w:r>
      <w:r w:rsidRPr="00143587">
        <w:rPr>
          <w:rFonts w:cstheme="minorHAnsi"/>
        </w:rPr>
        <w:t xml:space="preserve">Western Journal of Emergency Medicine, </w:t>
      </w:r>
      <w:hyperlink r:id="rId32" w:history="1">
        <w:r w:rsidRPr="00143587">
          <w:rPr>
            <w:rStyle w:val="Hyperlink"/>
            <w:rFonts w:eastAsia="Times New Roman" w:cstheme="minorHAnsi"/>
            <w:color w:val="2F5496" w:themeColor="accent1" w:themeShade="BF"/>
          </w:rPr>
          <w:t>https://www.ncbi.nlm.nih.gov/pmc/articles/PMC6754202/</w:t>
        </w:r>
      </w:hyperlink>
      <w:r w:rsidRPr="00143587">
        <w:rPr>
          <w:rFonts w:eastAsia="Times New Roman" w:cstheme="minorHAnsi"/>
        </w:rPr>
        <w:t xml:space="preserve"> (Sept.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Lora">
    <w:charset w:val="00"/>
    <w:family w:val="auto"/>
    <w:pitch w:val="variable"/>
    <w:sig w:usb0="A00002F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5454527"/>
      <w:docPartObj>
        <w:docPartGallery w:val="Page Numbers (Bottom of Page)"/>
        <w:docPartUnique/>
      </w:docPartObj>
    </w:sdtPr>
    <w:sdtEndPr>
      <w:rPr>
        <w:noProof/>
      </w:rPr>
    </w:sdtEndPr>
    <w:sdtContent>
      <w:p w14:paraId="3D4B8190" w14:textId="6A8E5365" w:rsidR="00272CB1" w:rsidRDefault="00272CB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w:t>
        </w:r>
        <w:r>
          <w:rPr>
            <w:noProof/>
            <w:color w:val="2B579A"/>
            <w:shd w:val="clear" w:color="auto" w:fill="E6E6E6"/>
          </w:rPr>
          <w:fldChar w:fldCharType="end"/>
        </w:r>
      </w:p>
    </w:sdtContent>
  </w:sdt>
  <w:p w14:paraId="5D700CC9" w14:textId="77777777" w:rsidR="00272CB1" w:rsidRDefault="0027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0BBA2" w14:textId="77777777" w:rsidR="00132560" w:rsidRDefault="00132560" w:rsidP="0017637D">
      <w:pPr>
        <w:spacing w:after="0" w:line="240" w:lineRule="auto"/>
      </w:pPr>
      <w:r>
        <w:separator/>
      </w:r>
    </w:p>
  </w:footnote>
  <w:footnote w:type="continuationSeparator" w:id="0">
    <w:p w14:paraId="03BC1180" w14:textId="77777777" w:rsidR="00132560" w:rsidRDefault="00132560" w:rsidP="0017637D">
      <w:pPr>
        <w:spacing w:after="0" w:line="240" w:lineRule="auto"/>
      </w:pPr>
      <w:r>
        <w:continuationSeparator/>
      </w:r>
    </w:p>
  </w:footnote>
  <w:footnote w:type="continuationNotice" w:id="1">
    <w:p w14:paraId="26638A01" w14:textId="77777777" w:rsidR="00132560" w:rsidRDefault="00132560">
      <w:pPr>
        <w:spacing w:after="0" w:line="240" w:lineRule="auto"/>
      </w:pPr>
    </w:p>
  </w:footnote>
  <w:footnote w:id="2">
    <w:p w14:paraId="2F25EBA9" w14:textId="77777777" w:rsidR="00CA398E" w:rsidRPr="00791CC1" w:rsidRDefault="00CA398E" w:rsidP="00CA398E">
      <w:pPr>
        <w:pStyle w:val="FootnoteText"/>
        <w:rPr>
          <w:sz w:val="16"/>
          <w:szCs w:val="16"/>
        </w:rPr>
      </w:pPr>
      <w:r w:rsidRPr="00791CC1">
        <w:rPr>
          <w:rStyle w:val="FootnoteReference"/>
          <w:sz w:val="16"/>
          <w:szCs w:val="16"/>
        </w:rPr>
        <w:footnoteRef/>
      </w:r>
      <w:r w:rsidRPr="00791CC1">
        <w:rPr>
          <w:sz w:val="16"/>
          <w:szCs w:val="16"/>
        </w:rPr>
        <w:t xml:space="preserve"> The</w:t>
      </w:r>
      <w:r w:rsidRPr="00791CC1">
        <w:rPr>
          <w:spacing w:val="-2"/>
          <w:sz w:val="16"/>
          <w:szCs w:val="16"/>
        </w:rPr>
        <w:t xml:space="preserve"> </w:t>
      </w:r>
      <w:r w:rsidRPr="00791CC1">
        <w:rPr>
          <w:sz w:val="16"/>
          <w:szCs w:val="16"/>
        </w:rPr>
        <w:t>Applicant</w:t>
      </w:r>
      <w:r w:rsidRPr="00791CC1">
        <w:rPr>
          <w:spacing w:val="-2"/>
          <w:sz w:val="16"/>
          <w:szCs w:val="16"/>
        </w:rPr>
        <w:t xml:space="preserve"> </w:t>
      </w:r>
      <w:r w:rsidRPr="00791CC1">
        <w:rPr>
          <w:sz w:val="16"/>
          <w:szCs w:val="16"/>
        </w:rPr>
        <w:t>states</w:t>
      </w:r>
      <w:r w:rsidRPr="00791CC1">
        <w:rPr>
          <w:spacing w:val="-2"/>
          <w:sz w:val="16"/>
          <w:szCs w:val="16"/>
        </w:rPr>
        <w:t xml:space="preserve"> </w:t>
      </w:r>
      <w:r w:rsidRPr="00791CC1">
        <w:rPr>
          <w:sz w:val="16"/>
          <w:szCs w:val="16"/>
        </w:rPr>
        <w:t>that</w:t>
      </w:r>
      <w:r w:rsidRPr="00791CC1">
        <w:rPr>
          <w:spacing w:val="-2"/>
          <w:sz w:val="16"/>
          <w:szCs w:val="16"/>
        </w:rPr>
        <w:t xml:space="preserve"> </w:t>
      </w:r>
      <w:r w:rsidRPr="00791CC1">
        <w:rPr>
          <w:sz w:val="16"/>
          <w:szCs w:val="16"/>
        </w:rPr>
        <w:t>an</w:t>
      </w:r>
      <w:r w:rsidRPr="00791CC1">
        <w:rPr>
          <w:spacing w:val="-2"/>
          <w:sz w:val="16"/>
          <w:szCs w:val="16"/>
        </w:rPr>
        <w:t xml:space="preserve"> </w:t>
      </w:r>
      <w:r w:rsidRPr="00791CC1">
        <w:rPr>
          <w:sz w:val="16"/>
          <w:szCs w:val="16"/>
        </w:rPr>
        <w:t>estimated</w:t>
      </w:r>
      <w:r w:rsidRPr="00791CC1">
        <w:rPr>
          <w:spacing w:val="-2"/>
          <w:sz w:val="16"/>
          <w:szCs w:val="16"/>
        </w:rPr>
        <w:t xml:space="preserve"> </w:t>
      </w:r>
      <w:r w:rsidRPr="00791CC1">
        <w:rPr>
          <w:sz w:val="16"/>
          <w:szCs w:val="16"/>
        </w:rPr>
        <w:t>five</w:t>
      </w:r>
      <w:r w:rsidRPr="00791CC1">
        <w:rPr>
          <w:spacing w:val="-2"/>
          <w:sz w:val="16"/>
          <w:szCs w:val="16"/>
        </w:rPr>
        <w:t xml:space="preserve"> </w:t>
      </w:r>
      <w:r w:rsidRPr="00791CC1">
        <w:rPr>
          <w:sz w:val="16"/>
          <w:szCs w:val="16"/>
        </w:rPr>
        <w:t>million</w:t>
      </w:r>
      <w:r w:rsidRPr="00791CC1">
        <w:rPr>
          <w:spacing w:val="-2"/>
          <w:sz w:val="16"/>
          <w:szCs w:val="16"/>
        </w:rPr>
        <w:t xml:space="preserve"> </w:t>
      </w:r>
      <w:r w:rsidRPr="00791CC1">
        <w:rPr>
          <w:sz w:val="16"/>
          <w:szCs w:val="16"/>
        </w:rPr>
        <w:t>people</w:t>
      </w:r>
      <w:r w:rsidRPr="00791CC1">
        <w:rPr>
          <w:spacing w:val="-2"/>
          <w:sz w:val="16"/>
          <w:szCs w:val="16"/>
        </w:rPr>
        <w:t xml:space="preserve"> </w:t>
      </w:r>
      <w:r w:rsidRPr="00791CC1">
        <w:rPr>
          <w:sz w:val="16"/>
          <w:szCs w:val="16"/>
        </w:rPr>
        <w:t>reside</w:t>
      </w:r>
      <w:r w:rsidRPr="00791CC1">
        <w:rPr>
          <w:spacing w:val="-2"/>
          <w:sz w:val="16"/>
          <w:szCs w:val="16"/>
        </w:rPr>
        <w:t xml:space="preserve"> </w:t>
      </w:r>
      <w:r w:rsidRPr="00791CC1">
        <w:rPr>
          <w:sz w:val="16"/>
          <w:szCs w:val="16"/>
        </w:rPr>
        <w:t>in</w:t>
      </w:r>
      <w:r w:rsidRPr="00791CC1">
        <w:rPr>
          <w:spacing w:val="-2"/>
          <w:sz w:val="16"/>
          <w:szCs w:val="16"/>
        </w:rPr>
        <w:t xml:space="preserve"> </w:t>
      </w:r>
      <w:r w:rsidRPr="00791CC1">
        <w:rPr>
          <w:sz w:val="16"/>
          <w:szCs w:val="16"/>
        </w:rPr>
        <w:t>the</w:t>
      </w:r>
      <w:r w:rsidRPr="00791CC1">
        <w:rPr>
          <w:spacing w:val="-2"/>
          <w:sz w:val="16"/>
          <w:szCs w:val="16"/>
        </w:rPr>
        <w:t xml:space="preserve"> </w:t>
      </w:r>
      <w:r w:rsidRPr="00791CC1">
        <w:rPr>
          <w:sz w:val="16"/>
          <w:szCs w:val="16"/>
        </w:rPr>
        <w:t>BILH</w:t>
      </w:r>
      <w:r w:rsidRPr="00791CC1">
        <w:rPr>
          <w:spacing w:val="-1"/>
          <w:sz w:val="16"/>
          <w:szCs w:val="16"/>
        </w:rPr>
        <w:t xml:space="preserve"> </w:t>
      </w:r>
      <w:r w:rsidRPr="00791CC1">
        <w:rPr>
          <w:sz w:val="16"/>
          <w:szCs w:val="16"/>
        </w:rPr>
        <w:t>service</w:t>
      </w:r>
      <w:r w:rsidRPr="00791CC1">
        <w:rPr>
          <w:spacing w:val="-1"/>
          <w:sz w:val="16"/>
          <w:szCs w:val="16"/>
        </w:rPr>
        <w:t xml:space="preserve"> </w:t>
      </w:r>
      <w:r w:rsidRPr="00791CC1">
        <w:rPr>
          <w:spacing w:val="-2"/>
          <w:sz w:val="16"/>
          <w:szCs w:val="16"/>
        </w:rPr>
        <w:t>area.</w:t>
      </w:r>
    </w:p>
  </w:footnote>
  <w:footnote w:id="3">
    <w:p w14:paraId="5CCE718F" w14:textId="77777777" w:rsidR="00CA398E" w:rsidRPr="00B12009" w:rsidRDefault="00CA398E" w:rsidP="00CA398E">
      <w:pPr>
        <w:jc w:val="both"/>
        <w:rPr>
          <w:rFonts w:cstheme="minorHAnsi"/>
          <w:sz w:val="20"/>
          <w:szCs w:val="20"/>
        </w:rPr>
      </w:pPr>
      <w:r w:rsidRPr="00791CC1">
        <w:rPr>
          <w:rStyle w:val="FootnoteReference"/>
          <w:rFonts w:cstheme="minorHAnsi"/>
          <w:sz w:val="16"/>
          <w:szCs w:val="16"/>
        </w:rPr>
        <w:footnoteRef/>
      </w:r>
      <w:r w:rsidRPr="00791CC1">
        <w:rPr>
          <w:rFonts w:cstheme="minorHAnsi"/>
          <w:sz w:val="16"/>
          <w:szCs w:val="16"/>
        </w:rPr>
        <w:t xml:space="preserve"> Beth Israel Lahey Health includes the following Hospitals: Addison Gilbert Hospital (Northeast), Anna Jaques Hospital, Beth Israel Deaconess Hospital – Milton, Beth Israel Hospital – Needham, Beth Israel Hospital – Plymouth,</w:t>
      </w:r>
      <w:r w:rsidRPr="00791CC1">
        <w:rPr>
          <w:rFonts w:cstheme="minorHAnsi"/>
          <w:spacing w:val="-3"/>
          <w:sz w:val="16"/>
          <w:szCs w:val="16"/>
        </w:rPr>
        <w:t xml:space="preserve"> </w:t>
      </w:r>
      <w:r w:rsidRPr="00791CC1">
        <w:rPr>
          <w:rFonts w:cstheme="minorHAnsi"/>
          <w:sz w:val="16"/>
          <w:szCs w:val="16"/>
        </w:rPr>
        <w:t>Beth</w:t>
      </w:r>
      <w:r w:rsidRPr="00791CC1">
        <w:rPr>
          <w:rFonts w:cstheme="minorHAnsi"/>
          <w:spacing w:val="-4"/>
          <w:sz w:val="16"/>
          <w:szCs w:val="16"/>
        </w:rPr>
        <w:t xml:space="preserve"> </w:t>
      </w:r>
      <w:r w:rsidRPr="00791CC1">
        <w:rPr>
          <w:rFonts w:cstheme="minorHAnsi"/>
          <w:sz w:val="16"/>
          <w:szCs w:val="16"/>
        </w:rPr>
        <w:t>Israel</w:t>
      </w:r>
      <w:r w:rsidRPr="00791CC1">
        <w:rPr>
          <w:rFonts w:cstheme="minorHAnsi"/>
          <w:spacing w:val="-2"/>
          <w:sz w:val="16"/>
          <w:szCs w:val="16"/>
        </w:rPr>
        <w:t xml:space="preserve"> </w:t>
      </w:r>
      <w:r w:rsidRPr="00791CC1">
        <w:rPr>
          <w:rFonts w:cstheme="minorHAnsi"/>
          <w:sz w:val="16"/>
          <w:szCs w:val="16"/>
        </w:rPr>
        <w:t>Deaconess</w:t>
      </w:r>
      <w:r w:rsidRPr="00791CC1">
        <w:rPr>
          <w:rFonts w:cstheme="minorHAnsi"/>
          <w:spacing w:val="-2"/>
          <w:sz w:val="16"/>
          <w:szCs w:val="16"/>
        </w:rPr>
        <w:t xml:space="preserve"> </w:t>
      </w:r>
      <w:r w:rsidRPr="00791CC1">
        <w:rPr>
          <w:rFonts w:cstheme="minorHAnsi"/>
          <w:sz w:val="16"/>
          <w:szCs w:val="16"/>
        </w:rPr>
        <w:t>Medical</w:t>
      </w:r>
      <w:r w:rsidRPr="00791CC1">
        <w:rPr>
          <w:rFonts w:cstheme="minorHAnsi"/>
          <w:spacing w:val="-4"/>
          <w:sz w:val="16"/>
          <w:szCs w:val="16"/>
        </w:rPr>
        <w:t xml:space="preserve"> </w:t>
      </w:r>
      <w:r w:rsidRPr="00791CC1">
        <w:rPr>
          <w:rFonts w:cstheme="minorHAnsi"/>
          <w:sz w:val="16"/>
          <w:szCs w:val="16"/>
        </w:rPr>
        <w:t>Center,</w:t>
      </w:r>
      <w:r w:rsidRPr="00791CC1">
        <w:rPr>
          <w:rFonts w:cstheme="minorHAnsi"/>
          <w:spacing w:val="-3"/>
          <w:sz w:val="16"/>
          <w:szCs w:val="16"/>
        </w:rPr>
        <w:t xml:space="preserve"> </w:t>
      </w:r>
      <w:r w:rsidRPr="00791CC1">
        <w:rPr>
          <w:rFonts w:cstheme="minorHAnsi"/>
          <w:sz w:val="16"/>
          <w:szCs w:val="16"/>
        </w:rPr>
        <w:t>Beverly</w:t>
      </w:r>
      <w:r w:rsidRPr="00791CC1">
        <w:rPr>
          <w:rFonts w:cstheme="minorHAnsi"/>
          <w:spacing w:val="-3"/>
          <w:sz w:val="16"/>
          <w:szCs w:val="16"/>
        </w:rPr>
        <w:t xml:space="preserve"> </w:t>
      </w:r>
      <w:r w:rsidRPr="00791CC1">
        <w:rPr>
          <w:rFonts w:cstheme="minorHAnsi"/>
          <w:sz w:val="16"/>
          <w:szCs w:val="16"/>
        </w:rPr>
        <w:t>Hospital</w:t>
      </w:r>
      <w:r w:rsidRPr="00791CC1">
        <w:rPr>
          <w:rFonts w:cstheme="minorHAnsi"/>
          <w:spacing w:val="-1"/>
          <w:sz w:val="16"/>
          <w:szCs w:val="16"/>
        </w:rPr>
        <w:t xml:space="preserve"> </w:t>
      </w:r>
      <w:r w:rsidRPr="00791CC1">
        <w:rPr>
          <w:rFonts w:cstheme="minorHAnsi"/>
          <w:sz w:val="16"/>
          <w:szCs w:val="16"/>
        </w:rPr>
        <w:t>(Northeast),</w:t>
      </w:r>
      <w:r w:rsidRPr="00791CC1">
        <w:rPr>
          <w:rFonts w:cstheme="minorHAnsi"/>
          <w:spacing w:val="-3"/>
          <w:sz w:val="16"/>
          <w:szCs w:val="16"/>
        </w:rPr>
        <w:t xml:space="preserve"> </w:t>
      </w:r>
      <w:r w:rsidRPr="00791CC1">
        <w:rPr>
          <w:rFonts w:cstheme="minorHAnsi"/>
          <w:sz w:val="16"/>
          <w:szCs w:val="16"/>
        </w:rPr>
        <w:t>Lahey</w:t>
      </w:r>
      <w:r w:rsidRPr="00791CC1">
        <w:rPr>
          <w:rFonts w:cstheme="minorHAnsi"/>
          <w:spacing w:val="-3"/>
          <w:sz w:val="16"/>
          <w:szCs w:val="16"/>
        </w:rPr>
        <w:t xml:space="preserve"> </w:t>
      </w:r>
      <w:r w:rsidRPr="00791CC1">
        <w:rPr>
          <w:rFonts w:cstheme="minorHAnsi"/>
          <w:sz w:val="16"/>
          <w:szCs w:val="16"/>
        </w:rPr>
        <w:t>Hospital</w:t>
      </w:r>
      <w:r w:rsidRPr="00791CC1">
        <w:rPr>
          <w:rFonts w:cstheme="minorHAnsi"/>
          <w:spacing w:val="-4"/>
          <w:sz w:val="16"/>
          <w:szCs w:val="16"/>
        </w:rPr>
        <w:t xml:space="preserve"> </w:t>
      </w:r>
      <w:r w:rsidRPr="00791CC1">
        <w:rPr>
          <w:rFonts w:cstheme="minorHAnsi"/>
          <w:sz w:val="16"/>
          <w:szCs w:val="16"/>
        </w:rPr>
        <w:t>&amp;</w:t>
      </w:r>
      <w:r w:rsidRPr="00791CC1">
        <w:rPr>
          <w:rFonts w:cstheme="minorHAnsi"/>
          <w:spacing w:val="-4"/>
          <w:sz w:val="16"/>
          <w:szCs w:val="16"/>
        </w:rPr>
        <w:t xml:space="preserve"> </w:t>
      </w:r>
      <w:r w:rsidRPr="00791CC1">
        <w:rPr>
          <w:rFonts w:cstheme="minorHAnsi"/>
          <w:sz w:val="16"/>
          <w:szCs w:val="16"/>
        </w:rPr>
        <w:t>Medical</w:t>
      </w:r>
      <w:r w:rsidRPr="00791CC1">
        <w:rPr>
          <w:rFonts w:cstheme="minorHAnsi"/>
          <w:spacing w:val="-4"/>
          <w:sz w:val="16"/>
          <w:szCs w:val="16"/>
        </w:rPr>
        <w:t xml:space="preserve"> </w:t>
      </w:r>
      <w:r w:rsidRPr="00791CC1">
        <w:rPr>
          <w:rFonts w:cstheme="minorHAnsi"/>
          <w:sz w:val="16"/>
          <w:szCs w:val="16"/>
        </w:rPr>
        <w:t>Center,</w:t>
      </w:r>
      <w:r w:rsidRPr="00791CC1">
        <w:rPr>
          <w:rFonts w:cstheme="minorHAnsi"/>
          <w:spacing w:val="-3"/>
          <w:sz w:val="16"/>
          <w:szCs w:val="16"/>
        </w:rPr>
        <w:t xml:space="preserve"> </w:t>
      </w:r>
      <w:r w:rsidRPr="00791CC1">
        <w:rPr>
          <w:rFonts w:cstheme="minorHAnsi"/>
          <w:sz w:val="16"/>
          <w:szCs w:val="16"/>
        </w:rPr>
        <w:t>Lahey</w:t>
      </w:r>
      <w:r w:rsidRPr="00791CC1">
        <w:rPr>
          <w:rFonts w:cstheme="minorHAnsi"/>
          <w:spacing w:val="-3"/>
          <w:sz w:val="16"/>
          <w:szCs w:val="16"/>
        </w:rPr>
        <w:t xml:space="preserve"> </w:t>
      </w:r>
      <w:r w:rsidRPr="00791CC1">
        <w:rPr>
          <w:rFonts w:cstheme="minorHAnsi"/>
          <w:sz w:val="16"/>
          <w:szCs w:val="16"/>
        </w:rPr>
        <w:t>Medical Center, Peabody, Mount Auburn Hospital, New England Baptist Hospital, and Winchester Hospital.</w:t>
      </w:r>
    </w:p>
  </w:footnote>
  <w:footnote w:id="4">
    <w:p w14:paraId="2F82A365" w14:textId="1402D8F7" w:rsidR="00057F3D" w:rsidRPr="000D03FE" w:rsidRDefault="00057F3D">
      <w:pPr>
        <w:pStyle w:val="FootnoteText"/>
        <w:rPr>
          <w:sz w:val="16"/>
          <w:szCs w:val="16"/>
        </w:rPr>
      </w:pPr>
      <w:r w:rsidRPr="000D03FE">
        <w:rPr>
          <w:sz w:val="16"/>
          <w:szCs w:val="16"/>
          <w:vertAlign w:val="superscript"/>
        </w:rPr>
        <w:footnoteRef/>
      </w:r>
      <w:r w:rsidRPr="000D03FE">
        <w:rPr>
          <w:sz w:val="16"/>
          <w:szCs w:val="16"/>
        </w:rPr>
        <w:t xml:space="preserve"> </w:t>
      </w:r>
      <w:r w:rsidR="000D03FE">
        <w:rPr>
          <w:sz w:val="16"/>
          <w:szCs w:val="16"/>
        </w:rPr>
        <w:t>A Vertical Treatment Unit</w:t>
      </w:r>
      <w:r w:rsidR="000D03FE" w:rsidRPr="000D03FE">
        <w:rPr>
          <w:sz w:val="16"/>
          <w:szCs w:val="16"/>
        </w:rPr>
        <w:t xml:space="preserve"> is an area that includes the use of recliner type chairs to provide care rather than stretchers and dedicated private rooms. Patients who are determined to have the ability, based on acuity assigned at triage, to be able to sit in a chair to receive their care will be assigned to the Vertical Treatment Unit in order to maintain availability of the ED’s treatment beds. The use of a vertical treatment area allows the hospital to reserve ED beds for higher acuity patients.</w:t>
      </w:r>
    </w:p>
  </w:footnote>
  <w:footnote w:id="5">
    <w:p w14:paraId="723B673F" w14:textId="77777777" w:rsidR="009D423D" w:rsidRPr="00E1279E" w:rsidRDefault="009D423D" w:rsidP="009D423D">
      <w:pPr>
        <w:pStyle w:val="FootnoteText"/>
        <w:rPr>
          <w:sz w:val="16"/>
          <w:szCs w:val="16"/>
        </w:rPr>
      </w:pPr>
      <w:r w:rsidRPr="00E1279E">
        <w:rPr>
          <w:rStyle w:val="FootnoteReference"/>
          <w:sz w:val="16"/>
          <w:szCs w:val="16"/>
        </w:rPr>
        <w:footnoteRef/>
      </w:r>
      <w:r w:rsidRPr="00E1279E">
        <w:rPr>
          <w:sz w:val="16"/>
          <w:szCs w:val="16"/>
        </w:rPr>
        <w:t xml:space="preserve"> Note that both trauma beds are and will be located in one trauma room (i.e. a “two-position room”).</w:t>
      </w:r>
    </w:p>
  </w:footnote>
  <w:footnote w:id="6">
    <w:p w14:paraId="6BF4D1E5" w14:textId="77777777" w:rsidR="009D423D" w:rsidRDefault="009D423D" w:rsidP="009D423D">
      <w:pPr>
        <w:pStyle w:val="FootnoteText"/>
      </w:pPr>
      <w:r w:rsidRPr="00E1279E">
        <w:rPr>
          <w:rStyle w:val="FootnoteReference"/>
          <w:sz w:val="16"/>
          <w:szCs w:val="16"/>
        </w:rPr>
        <w:footnoteRef/>
      </w:r>
      <w:r w:rsidRPr="00E1279E">
        <w:rPr>
          <w:sz w:val="16"/>
          <w:szCs w:val="16"/>
        </w:rPr>
        <w:t xml:space="preserve"> The existing 11 beds are used as flex-space as demand required. Under the Proposed Project, these beds will be used in a designated vertical treatment space for lower acuity treatments.</w:t>
      </w:r>
    </w:p>
  </w:footnote>
  <w:footnote w:id="7">
    <w:p w14:paraId="2CB0FDE1" w14:textId="4D15D06B" w:rsidR="00272CB1" w:rsidRPr="00A850FE" w:rsidRDefault="00272CB1">
      <w:pPr>
        <w:pStyle w:val="FootnoteText"/>
        <w:rPr>
          <w:rFonts w:cstheme="minorHAnsi"/>
          <w:sz w:val="16"/>
          <w:szCs w:val="16"/>
        </w:rPr>
      </w:pPr>
      <w:r w:rsidRPr="00A850FE">
        <w:rPr>
          <w:rStyle w:val="FootnoteReference"/>
          <w:rFonts w:cstheme="minorHAnsi"/>
          <w:sz w:val="16"/>
          <w:szCs w:val="16"/>
        </w:rPr>
        <w:footnoteRef/>
      </w:r>
      <w:r w:rsidRPr="00A850FE">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Holder…(2) If the Proposed Project is for a new facility and there is no existing patient panel, Patient Panel means the anticipated patients.</w:t>
      </w:r>
    </w:p>
  </w:footnote>
  <w:footnote w:id="8">
    <w:p w14:paraId="6F6943A0" w14:textId="50E356D6" w:rsidR="00756477" w:rsidRPr="00A850FE" w:rsidRDefault="00756477" w:rsidP="00756477">
      <w:pPr>
        <w:pStyle w:val="FootnoteText"/>
        <w:rPr>
          <w:sz w:val="16"/>
          <w:szCs w:val="16"/>
        </w:rPr>
      </w:pPr>
      <w:r w:rsidRPr="00A850FE">
        <w:rPr>
          <w:rStyle w:val="FootnoteReference"/>
          <w:sz w:val="16"/>
          <w:szCs w:val="16"/>
        </w:rPr>
        <w:footnoteRef/>
      </w:r>
      <w:r w:rsidRPr="00A850FE">
        <w:rPr>
          <w:sz w:val="16"/>
          <w:szCs w:val="16"/>
        </w:rPr>
        <w:t xml:space="preserve"> </w:t>
      </w:r>
      <w:r w:rsidRPr="00A850FE">
        <w:rPr>
          <w:rFonts w:cstheme="minorHAnsi"/>
          <w:sz w:val="16"/>
          <w:szCs w:val="16"/>
        </w:rPr>
        <w:t>This information is from the Center for Health Information and Analysis (“CHIA”) Massachusetts Acute Care Hospital Inpatient Discharge Dataset.</w:t>
      </w:r>
    </w:p>
  </w:footnote>
  <w:footnote w:id="9">
    <w:p w14:paraId="676867F3" w14:textId="00E851F2" w:rsidR="00A850FE" w:rsidRDefault="00A850FE">
      <w:pPr>
        <w:pStyle w:val="FootnoteText"/>
      </w:pPr>
      <w:r w:rsidRPr="00A850FE">
        <w:rPr>
          <w:rStyle w:val="FootnoteReference"/>
          <w:sz w:val="16"/>
          <w:szCs w:val="16"/>
        </w:rPr>
        <w:footnoteRef/>
      </w:r>
      <w:r w:rsidRPr="00A850FE">
        <w:rPr>
          <w:sz w:val="16"/>
          <w:szCs w:val="16"/>
        </w:rPr>
        <w:t xml:space="preserve"> </w:t>
      </w:r>
      <w:r w:rsidRPr="00A850FE">
        <w:rPr>
          <w:rFonts w:cstheme="minorHAnsi"/>
          <w:sz w:val="16"/>
          <w:szCs w:val="16"/>
        </w:rPr>
        <w:t>This information is from the Center for Health Information and Analysis (“CHIA”) Massachusetts Acute Care Hospital Inpatient Discharge Dataset.</w:t>
      </w:r>
    </w:p>
  </w:footnote>
  <w:footnote w:id="10">
    <w:p w14:paraId="117BAFF4" w14:textId="00691136" w:rsidR="00F757A0" w:rsidRPr="000F6AC4" w:rsidRDefault="00F757A0" w:rsidP="00F757A0">
      <w:pPr>
        <w:pStyle w:val="FootnoteText"/>
        <w:rPr>
          <w:rFonts w:cstheme="minorHAnsi"/>
          <w:sz w:val="16"/>
          <w:szCs w:val="16"/>
        </w:rPr>
      </w:pPr>
      <w:r w:rsidRPr="000F6AC4">
        <w:rPr>
          <w:rStyle w:val="FootnoteReference"/>
          <w:rFonts w:cstheme="minorHAnsi"/>
          <w:sz w:val="16"/>
          <w:szCs w:val="16"/>
        </w:rPr>
        <w:footnoteRef/>
      </w:r>
      <w:r w:rsidRPr="000F6AC4">
        <w:rPr>
          <w:rFonts w:cstheme="minorHAnsi"/>
          <w:sz w:val="16"/>
          <w:szCs w:val="16"/>
        </w:rPr>
        <w:t xml:space="preserve"> </w:t>
      </w:r>
      <w:r w:rsidRPr="000F6AC4">
        <w:rPr>
          <w:rFonts w:eastAsia="Times New Roman" w:cstheme="minorHAnsi"/>
          <w:color w:val="000000"/>
          <w:sz w:val="16"/>
          <w:szCs w:val="16"/>
        </w:rPr>
        <w:t>Includes genders other than male/female, as well as patients for whom a gender is not specified, and whose gender varies across visits over the time period.</w:t>
      </w:r>
    </w:p>
  </w:footnote>
  <w:footnote w:id="11">
    <w:p w14:paraId="712503DD" w14:textId="3C1F596E" w:rsidR="00EA025B" w:rsidRPr="000F6AC4" w:rsidRDefault="00EA025B">
      <w:pPr>
        <w:pStyle w:val="FootnoteText"/>
        <w:rPr>
          <w:rFonts w:cstheme="minorHAnsi"/>
          <w:sz w:val="16"/>
          <w:szCs w:val="16"/>
        </w:rPr>
      </w:pPr>
      <w:r w:rsidRPr="000F6AC4">
        <w:rPr>
          <w:rStyle w:val="FootnoteReference"/>
          <w:rFonts w:cstheme="minorHAnsi"/>
          <w:sz w:val="16"/>
          <w:szCs w:val="16"/>
        </w:rPr>
        <w:footnoteRef/>
      </w:r>
      <w:r w:rsidRPr="000F6AC4">
        <w:rPr>
          <w:rFonts w:cstheme="minorHAnsi"/>
          <w:sz w:val="16"/>
          <w:szCs w:val="16"/>
        </w:rPr>
        <w:t xml:space="preserve"> “Other” is a choice for patients to select if they do not feel that their race/ethnicity is reflected in the list of choices.</w:t>
      </w:r>
    </w:p>
  </w:footnote>
  <w:footnote w:id="12">
    <w:p w14:paraId="00CD8494" w14:textId="77777777" w:rsidR="00EA025B" w:rsidRPr="0074205E" w:rsidRDefault="00EA025B">
      <w:pPr>
        <w:pStyle w:val="FootnoteText"/>
        <w:rPr>
          <w:rFonts w:cstheme="minorHAnsi"/>
          <w:sz w:val="16"/>
          <w:szCs w:val="16"/>
        </w:rPr>
      </w:pPr>
      <w:r w:rsidRPr="0074205E">
        <w:rPr>
          <w:rStyle w:val="FootnoteReference"/>
          <w:rFonts w:cstheme="minorHAnsi"/>
          <w:sz w:val="16"/>
          <w:szCs w:val="16"/>
        </w:rPr>
        <w:footnoteRef/>
      </w:r>
      <w:r w:rsidRPr="0074205E">
        <w:rPr>
          <w:rFonts w:cstheme="minorHAnsi"/>
          <w:sz w:val="16"/>
          <w:szCs w:val="16"/>
        </w:rPr>
        <w:t xml:space="preserve"> Includes self-pay, health safety net, and liability coverage other than worker’s compensation for an injury event.</w:t>
      </w:r>
    </w:p>
  </w:footnote>
  <w:footnote w:id="13">
    <w:p w14:paraId="4F1B14B4" w14:textId="1F5A796F" w:rsidR="00EA025B" w:rsidRPr="00EA025B" w:rsidRDefault="00EA025B">
      <w:pPr>
        <w:pStyle w:val="FootnoteText"/>
        <w:rPr>
          <w:sz w:val="16"/>
          <w:szCs w:val="16"/>
        </w:rPr>
      </w:pPr>
      <w:r w:rsidRPr="00EA025B">
        <w:rPr>
          <w:rStyle w:val="FootnoteReference"/>
          <w:sz w:val="16"/>
          <w:szCs w:val="16"/>
        </w:rPr>
        <w:footnoteRef/>
      </w:r>
      <w:r w:rsidRPr="00EA025B">
        <w:rPr>
          <w:sz w:val="16"/>
          <w:szCs w:val="16"/>
        </w:rPr>
        <w:t xml:space="preserve"> 2024 data has been annualized.</w:t>
      </w:r>
    </w:p>
  </w:footnote>
  <w:footnote w:id="14">
    <w:p w14:paraId="10A52DFF" w14:textId="77777777" w:rsidR="00EF43A5" w:rsidRPr="00EF43A5" w:rsidRDefault="00EF43A5" w:rsidP="00EF43A5">
      <w:pPr>
        <w:pStyle w:val="FootnoteText"/>
        <w:rPr>
          <w:sz w:val="16"/>
          <w:szCs w:val="16"/>
        </w:rPr>
      </w:pPr>
      <w:r w:rsidRPr="00EF43A5">
        <w:rPr>
          <w:sz w:val="16"/>
          <w:szCs w:val="16"/>
          <w:vertAlign w:val="superscript"/>
        </w:rPr>
        <w:footnoteRef/>
      </w:r>
      <w:r w:rsidRPr="00EF43A5">
        <w:rPr>
          <w:sz w:val="16"/>
          <w:szCs w:val="16"/>
        </w:rPr>
        <w:t xml:space="preserve"> The Emergency Severity Index (ESI) is a five-level triage tool used in emergency departments (EDs) to categorize patients based on their acuity and resource needs: </w:t>
      </w:r>
    </w:p>
    <w:p w14:paraId="2BE24344" w14:textId="77777777" w:rsidR="00EF43A5" w:rsidRPr="00EF43A5" w:rsidRDefault="00EF43A5" w:rsidP="00EF43A5">
      <w:pPr>
        <w:pStyle w:val="FootnoteText"/>
        <w:numPr>
          <w:ilvl w:val="0"/>
          <w:numId w:val="18"/>
        </w:numPr>
        <w:rPr>
          <w:sz w:val="16"/>
          <w:szCs w:val="16"/>
        </w:rPr>
      </w:pPr>
      <w:r w:rsidRPr="00EF43A5">
        <w:rPr>
          <w:sz w:val="16"/>
          <w:szCs w:val="16"/>
        </w:rPr>
        <w:t>Level 1: Most urgent </w:t>
      </w:r>
    </w:p>
    <w:p w14:paraId="223B40F3" w14:textId="77777777" w:rsidR="00EF43A5" w:rsidRPr="00EF43A5" w:rsidRDefault="00EF43A5" w:rsidP="00EF43A5">
      <w:pPr>
        <w:pStyle w:val="FootnoteText"/>
        <w:numPr>
          <w:ilvl w:val="0"/>
          <w:numId w:val="18"/>
        </w:numPr>
        <w:rPr>
          <w:sz w:val="16"/>
          <w:szCs w:val="16"/>
        </w:rPr>
      </w:pPr>
      <w:r w:rsidRPr="00EF43A5">
        <w:rPr>
          <w:sz w:val="16"/>
          <w:szCs w:val="16"/>
        </w:rPr>
        <w:t>Level 2: Needs care within 15 minutes </w:t>
      </w:r>
    </w:p>
    <w:p w14:paraId="56377B6C" w14:textId="77777777" w:rsidR="00EF43A5" w:rsidRPr="00EF43A5" w:rsidRDefault="00EF43A5" w:rsidP="00EF43A5">
      <w:pPr>
        <w:pStyle w:val="FootnoteText"/>
        <w:numPr>
          <w:ilvl w:val="0"/>
          <w:numId w:val="18"/>
        </w:numPr>
        <w:rPr>
          <w:sz w:val="16"/>
          <w:szCs w:val="16"/>
        </w:rPr>
      </w:pPr>
      <w:r w:rsidRPr="00EF43A5">
        <w:rPr>
          <w:sz w:val="16"/>
          <w:szCs w:val="16"/>
        </w:rPr>
        <w:t>Level 3: Needs care within 15 minutes </w:t>
      </w:r>
    </w:p>
    <w:p w14:paraId="2986D393" w14:textId="77777777" w:rsidR="00EF43A5" w:rsidRPr="00EF43A5" w:rsidRDefault="00EF43A5" w:rsidP="00EF43A5">
      <w:pPr>
        <w:pStyle w:val="FootnoteText"/>
        <w:numPr>
          <w:ilvl w:val="0"/>
          <w:numId w:val="18"/>
        </w:numPr>
        <w:rPr>
          <w:sz w:val="16"/>
          <w:szCs w:val="16"/>
        </w:rPr>
      </w:pPr>
      <w:r w:rsidRPr="00EF43A5">
        <w:rPr>
          <w:sz w:val="16"/>
          <w:szCs w:val="16"/>
        </w:rPr>
        <w:t>Level 4: Needs care within 30 minutes </w:t>
      </w:r>
    </w:p>
    <w:p w14:paraId="346F731D" w14:textId="77777777" w:rsidR="00EF43A5" w:rsidRPr="00EF43A5" w:rsidRDefault="00EF43A5" w:rsidP="00EF43A5">
      <w:pPr>
        <w:pStyle w:val="FootnoteText"/>
        <w:numPr>
          <w:ilvl w:val="0"/>
          <w:numId w:val="18"/>
        </w:numPr>
        <w:rPr>
          <w:sz w:val="16"/>
          <w:szCs w:val="16"/>
        </w:rPr>
      </w:pPr>
      <w:r w:rsidRPr="00EF43A5">
        <w:rPr>
          <w:sz w:val="16"/>
          <w:szCs w:val="16"/>
        </w:rPr>
        <w:t>Level 5: Least urgent</w:t>
      </w:r>
    </w:p>
    <w:p w14:paraId="4E91150F" w14:textId="329FE8AB" w:rsidR="00EF43A5" w:rsidRDefault="00EF43A5">
      <w:pPr>
        <w:pStyle w:val="FootnoteText"/>
      </w:pPr>
    </w:p>
  </w:footnote>
  <w:footnote w:id="15">
    <w:p w14:paraId="72DCFA14" w14:textId="77777777" w:rsidR="002C50CE" w:rsidRPr="00EA025B" w:rsidRDefault="002C50CE" w:rsidP="002C50CE">
      <w:pPr>
        <w:pStyle w:val="FootnoteText"/>
        <w:rPr>
          <w:sz w:val="16"/>
          <w:szCs w:val="16"/>
        </w:rPr>
      </w:pPr>
      <w:r w:rsidRPr="00EA025B">
        <w:rPr>
          <w:rStyle w:val="FootnoteReference"/>
          <w:sz w:val="16"/>
          <w:szCs w:val="16"/>
        </w:rPr>
        <w:footnoteRef/>
      </w:r>
      <w:r w:rsidRPr="00EA025B">
        <w:rPr>
          <w:sz w:val="16"/>
          <w:szCs w:val="16"/>
        </w:rPr>
        <w:t xml:space="preserve"> 2024 data has been annualized.</w:t>
      </w:r>
    </w:p>
  </w:footnote>
  <w:footnote w:id="16">
    <w:p w14:paraId="13F61CA6" w14:textId="7A4E4B84" w:rsidR="00EA025B" w:rsidRPr="00EA025B" w:rsidRDefault="00EA025B">
      <w:pPr>
        <w:pStyle w:val="FootnoteText"/>
        <w:rPr>
          <w:sz w:val="16"/>
          <w:szCs w:val="16"/>
        </w:rPr>
      </w:pPr>
      <w:r w:rsidRPr="00EA025B">
        <w:rPr>
          <w:rStyle w:val="FootnoteReference"/>
          <w:sz w:val="16"/>
          <w:szCs w:val="16"/>
        </w:rPr>
        <w:footnoteRef/>
      </w:r>
      <w:r w:rsidRPr="00EA025B">
        <w:rPr>
          <w:sz w:val="16"/>
          <w:szCs w:val="16"/>
        </w:rPr>
        <w:t xml:space="preserve"> 2024 data has been annualized.</w:t>
      </w:r>
    </w:p>
  </w:footnote>
  <w:footnote w:id="17">
    <w:p w14:paraId="0C85CAA9" w14:textId="77777777" w:rsidR="00023267" w:rsidRPr="00904BDA" w:rsidRDefault="00023267" w:rsidP="0093633C">
      <w:pPr>
        <w:pStyle w:val="FootnoteText"/>
        <w:rPr>
          <w:rFonts w:cstheme="minorHAnsi"/>
        </w:rPr>
      </w:pPr>
      <w:r w:rsidRPr="00904BDA">
        <w:rPr>
          <w:rStyle w:val="FootnoteReference"/>
          <w:rFonts w:cstheme="minorHAnsi"/>
          <w:sz w:val="16"/>
          <w:szCs w:val="16"/>
        </w:rPr>
        <w:footnoteRef/>
      </w:r>
      <w:r w:rsidRPr="00904BDA">
        <w:rPr>
          <w:rFonts w:cstheme="minorHAnsi"/>
          <w:sz w:val="16"/>
          <w:szCs w:val="16"/>
        </w:rPr>
        <w:t xml:space="preserve"> </w:t>
      </w:r>
      <w:r w:rsidRPr="00904BDA">
        <w:rPr>
          <w:rStyle w:val="cf01"/>
          <w:rFonts w:asciiTheme="minorHAnsi" w:hAnsiTheme="minorHAnsi" w:cstheme="minorHAnsi"/>
          <w:sz w:val="16"/>
          <w:szCs w:val="16"/>
        </w:rPr>
        <w:t>An eloped patient is one who had care initiated in the ED or a Medical Screening exam was performed, but left prior to treatment or discharge by provider.</w:t>
      </w:r>
    </w:p>
  </w:footnote>
  <w:footnote w:id="18">
    <w:p w14:paraId="385CC10D" w14:textId="77777777" w:rsidR="00272CB1" w:rsidRPr="00B44DD3" w:rsidRDefault="00272CB1" w:rsidP="003E1CDA">
      <w:pPr>
        <w:pStyle w:val="FootnoteText"/>
        <w:rPr>
          <w:sz w:val="16"/>
          <w:szCs w:val="16"/>
        </w:rPr>
      </w:pPr>
      <w:r w:rsidRPr="00B44DD3">
        <w:rPr>
          <w:rStyle w:val="FootnoteReference"/>
          <w:sz w:val="16"/>
          <w:szCs w:val="16"/>
        </w:rPr>
        <w:footnoteRef/>
      </w:r>
      <w:r w:rsidRPr="00B44DD3">
        <w:rPr>
          <w:sz w:val="16"/>
          <w:szCs w:val="16"/>
        </w:rPr>
        <w:t xml:space="preserve"> Community Engagement Standards for Community Health Planning Guideline</w:t>
      </w:r>
    </w:p>
  </w:footnote>
  <w:footnote w:id="19">
    <w:p w14:paraId="5966E8BC" w14:textId="2FCC5A74" w:rsidR="00272CB1" w:rsidRPr="0010344C" w:rsidRDefault="00272CB1" w:rsidP="003E1CDA">
      <w:pPr>
        <w:pStyle w:val="FootnoteText"/>
        <w:rPr>
          <w:sz w:val="18"/>
          <w:szCs w:val="18"/>
        </w:rPr>
      </w:pPr>
      <w:r w:rsidRPr="00B44DD3">
        <w:rPr>
          <w:rStyle w:val="FootnoteReference"/>
          <w:sz w:val="16"/>
          <w:szCs w:val="16"/>
        </w:rPr>
        <w:footnoteRef/>
      </w:r>
      <w:r w:rsidRPr="00B44DD3">
        <w:rPr>
          <w:sz w:val="16"/>
          <w:szCs w:val="16"/>
        </w:rPr>
        <w:t xml:space="preserve"> </w:t>
      </w:r>
      <w:hyperlink r:id="rId1" w:history="1">
        <w:r w:rsidRPr="00BA429E">
          <w:rPr>
            <w:rStyle w:val="Hyperlink"/>
            <w:color w:val="auto"/>
            <w:sz w:val="16"/>
            <w:szCs w:val="16"/>
            <w:u w:val="none"/>
          </w:rPr>
          <w:t>DoN Regulation 100.210 (A)(1)(e).</w:t>
        </w:r>
      </w:hyperlink>
      <w:r w:rsidRPr="00B44DD3">
        <w:rPr>
          <w:sz w:val="16"/>
          <w:szCs w:val="16"/>
        </w:rPr>
        <w:t xml:space="preserve"> </w:t>
      </w:r>
      <w:hyperlink r:id="rId2" w:history="1">
        <w:r w:rsidRPr="00B44DD3">
          <w:rPr>
            <w:rStyle w:val="Hyperlink"/>
            <w:sz w:val="16"/>
            <w:szCs w:val="16"/>
          </w:rPr>
          <w:t>Available at https://www.mass.gov/files/documents/2018/12/31/jud-lib-105cmr100.pdf</w:t>
        </w:r>
      </w:hyperlink>
      <w:r w:rsidRPr="0010344C">
        <w:rPr>
          <w:sz w:val="18"/>
          <w:szCs w:val="18"/>
        </w:rPr>
        <w:t xml:space="preserve"> </w:t>
      </w:r>
    </w:p>
  </w:footnote>
  <w:footnote w:id="20">
    <w:p w14:paraId="366B12C6" w14:textId="77777777" w:rsidR="00E85C24" w:rsidRPr="00D43A61" w:rsidRDefault="00E85C24" w:rsidP="00E85C24">
      <w:pPr>
        <w:pStyle w:val="FootnoteText"/>
        <w:rPr>
          <w:rFonts w:cstheme="minorHAnsi"/>
          <w:sz w:val="16"/>
          <w:szCs w:val="16"/>
        </w:rPr>
      </w:pPr>
      <w:r w:rsidRPr="00D43A61">
        <w:rPr>
          <w:rStyle w:val="FootnoteReference"/>
          <w:rFonts w:cstheme="minorHAnsi"/>
          <w:sz w:val="16"/>
          <w:szCs w:val="16"/>
        </w:rPr>
        <w:footnoteRef/>
      </w:r>
      <w:r w:rsidRPr="00D43A61">
        <w:rPr>
          <w:rFonts w:cstheme="minorHAnsi"/>
          <w:sz w:val="16"/>
          <w:szCs w:val="16"/>
        </w:rPr>
        <w:t xml:space="preserve"> The Hospital’s Code Help Policy sets forth the following triggers for activating Code Help: Total number/volume of patients in the ED or the acuity of the patients, maximum licensed treatment beds are reached; Inability to accommodate patient needs with current resources, staff and/or equipment; the ED is unable to care for existing patients; ED waiting room volume and duration of wait time, i.e., Priority 3 patients waiting &gt;2 hours and/or the ED is unable to accept any new patients into the treatment area; Inpatients holding in the ED with all inpatient locations full; and/or Inability to manage ambulance volume. </w:t>
      </w:r>
    </w:p>
    <w:p w14:paraId="44BC165D" w14:textId="77777777" w:rsidR="00E85C24" w:rsidRDefault="00E85C24" w:rsidP="00E85C24">
      <w:pPr>
        <w:pStyle w:val="FootnoteText"/>
      </w:pPr>
    </w:p>
  </w:footnote>
  <w:footnote w:id="21">
    <w:p w14:paraId="24F61D2F" w14:textId="77777777" w:rsidR="008E4932" w:rsidRPr="004C2201" w:rsidRDefault="008E4932" w:rsidP="008E4932">
      <w:pPr>
        <w:pStyle w:val="FootnoteText"/>
        <w:rPr>
          <w:sz w:val="16"/>
          <w:szCs w:val="16"/>
        </w:rPr>
      </w:pPr>
      <w:r w:rsidRPr="004C2201">
        <w:rPr>
          <w:rStyle w:val="FootnoteReference"/>
          <w:sz w:val="16"/>
          <w:szCs w:val="16"/>
        </w:rPr>
        <w:footnoteRef/>
      </w:r>
      <w:r w:rsidRPr="004C2201">
        <w:rPr>
          <w:sz w:val="16"/>
          <w:szCs w:val="16"/>
        </w:rPr>
        <w:t xml:space="preserve"> </w:t>
      </w:r>
      <w:r w:rsidRPr="004C2201">
        <w:rPr>
          <w:rFonts w:eastAsia="Times New Roman" w:cstheme="minorHAnsi"/>
          <w:sz w:val="16"/>
          <w:szCs w:val="16"/>
        </w:rPr>
        <w:t>Reasonableness is defined within the context of this report as supportable and proper, given the underlying</w:t>
      </w:r>
      <w:r w:rsidRPr="004C2201">
        <w:rPr>
          <w:rFonts w:cstheme="minorHAnsi"/>
          <w:sz w:val="16"/>
          <w:szCs w:val="16"/>
        </w:rPr>
        <w:t xml:space="preserve"> </w:t>
      </w:r>
      <w:r w:rsidRPr="004C2201">
        <w:rPr>
          <w:rFonts w:eastAsia="Times New Roman" w:cstheme="minorHAnsi"/>
          <w:sz w:val="16"/>
          <w:szCs w:val="16"/>
        </w:rPr>
        <w:t>information.</w:t>
      </w:r>
    </w:p>
  </w:footnote>
  <w:footnote w:id="22">
    <w:p w14:paraId="10CA6ABB" w14:textId="67F9EC60" w:rsidR="008E4932" w:rsidRPr="004C2201" w:rsidRDefault="008E4932" w:rsidP="008E4932">
      <w:pPr>
        <w:autoSpaceDE w:val="0"/>
        <w:autoSpaceDN w:val="0"/>
        <w:adjustRightInd w:val="0"/>
        <w:rPr>
          <w:rFonts w:cstheme="minorHAnsi"/>
          <w:sz w:val="16"/>
          <w:szCs w:val="16"/>
        </w:rPr>
      </w:pPr>
      <w:r w:rsidRPr="004C2201">
        <w:rPr>
          <w:rStyle w:val="FootnoteReference"/>
          <w:rFonts w:cstheme="minorHAnsi"/>
          <w:sz w:val="16"/>
          <w:szCs w:val="16"/>
        </w:rPr>
        <w:footnoteRef/>
      </w:r>
      <w:r w:rsidRPr="004C2201">
        <w:rPr>
          <w:sz w:val="16"/>
          <w:szCs w:val="16"/>
        </w:rPr>
        <w:t xml:space="preserve"> </w:t>
      </w:r>
      <w:r w:rsidRPr="004C2201">
        <w:rPr>
          <w:rFonts w:cstheme="minorHAnsi"/>
          <w:sz w:val="16"/>
          <w:szCs w:val="16"/>
        </w:rPr>
        <w:t xml:space="preserve">Feasibility is defined as based on the assumptions used, the plan is not likely to result in insufficient funds available for capital and ongoing operating costs necessary to support the proposed project without negative impacts or consequences to </w:t>
      </w:r>
      <w:r w:rsidR="004E420D">
        <w:rPr>
          <w:rFonts w:cstheme="minorHAnsi"/>
          <w:sz w:val="16"/>
          <w:szCs w:val="16"/>
        </w:rPr>
        <w:t xml:space="preserve">the </w:t>
      </w:r>
      <w:r w:rsidRPr="004C2201">
        <w:rPr>
          <w:rFonts w:cstheme="minorHAnsi"/>
          <w:sz w:val="16"/>
          <w:szCs w:val="16"/>
        </w:rPr>
        <w:t>existing Patient Panel.</w:t>
      </w:r>
    </w:p>
  </w:footnote>
  <w:footnote w:id="23">
    <w:p w14:paraId="01FEC4E1" w14:textId="3DA68337" w:rsidR="004466CB" w:rsidRPr="004466CB" w:rsidRDefault="004466CB" w:rsidP="004466CB">
      <w:pPr>
        <w:pStyle w:val="FootnoteText"/>
        <w:rPr>
          <w:sz w:val="16"/>
          <w:szCs w:val="16"/>
        </w:rPr>
      </w:pPr>
      <w:r w:rsidRPr="004466CB">
        <w:rPr>
          <w:rStyle w:val="FootnoteReference"/>
          <w:sz w:val="16"/>
          <w:szCs w:val="16"/>
        </w:rPr>
        <w:footnoteRef/>
      </w:r>
      <w:r w:rsidRPr="004466CB">
        <w:rPr>
          <w:sz w:val="16"/>
          <w:szCs w:val="16"/>
        </w:rPr>
        <w:t xml:space="preserve"> The total number shall include a count of each patient each time they visit the ED rather than being representative of only unique patients over the course of the year.</w:t>
      </w:r>
    </w:p>
    <w:p w14:paraId="135ED360" w14:textId="25D3988C" w:rsidR="004466CB" w:rsidRDefault="004466C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C4432"/>
    <w:multiLevelType w:val="hybridMultilevel"/>
    <w:tmpl w:val="A3C2F9CA"/>
    <w:lvl w:ilvl="0" w:tplc="247AA878">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5C5251"/>
    <w:multiLevelType w:val="hybridMultilevel"/>
    <w:tmpl w:val="6F90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F611A"/>
    <w:multiLevelType w:val="multilevel"/>
    <w:tmpl w:val="E1BC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E4EE1"/>
    <w:multiLevelType w:val="multilevel"/>
    <w:tmpl w:val="B7BE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36D006A8"/>
    <w:multiLevelType w:val="multilevel"/>
    <w:tmpl w:val="23B65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D96512"/>
    <w:multiLevelType w:val="multilevel"/>
    <w:tmpl w:val="83386DD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A15776"/>
    <w:multiLevelType w:val="hybridMultilevel"/>
    <w:tmpl w:val="FA0099AA"/>
    <w:lvl w:ilvl="0" w:tplc="B506314C">
      <w:start w:val="1"/>
      <w:numFmt w:val="decimal"/>
      <w:lvlText w:val="%1)"/>
      <w:lvlJc w:val="left"/>
      <w:pPr>
        <w:ind w:left="720" w:hanging="360"/>
      </w:pPr>
      <w:rPr>
        <w:rFonts w:asciiTheme="minorHAnsi" w:eastAsia="Arial"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349FD"/>
    <w:multiLevelType w:val="hybridMultilevel"/>
    <w:tmpl w:val="E8F8354C"/>
    <w:lvl w:ilvl="0" w:tplc="03588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E0633"/>
    <w:multiLevelType w:val="hybridMultilevel"/>
    <w:tmpl w:val="93DE38D6"/>
    <w:lvl w:ilvl="0" w:tplc="F2B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2F07B2"/>
    <w:multiLevelType w:val="hybridMultilevel"/>
    <w:tmpl w:val="180E1BA0"/>
    <w:lvl w:ilvl="0" w:tplc="A4840F66">
      <w:start w:val="1"/>
      <w:numFmt w:val="decimal"/>
      <w:lvlText w:val="%1)"/>
      <w:lvlJc w:val="left"/>
      <w:pPr>
        <w:ind w:left="720" w:hanging="360"/>
      </w:pPr>
      <w:rPr>
        <w:rFonts w:asciiTheme="minorHAnsi" w:hAnsiTheme="minorHAnsi"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53EE7"/>
    <w:multiLevelType w:val="hybridMultilevel"/>
    <w:tmpl w:val="A8CC1BEA"/>
    <w:lvl w:ilvl="0" w:tplc="47C857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B617A"/>
    <w:multiLevelType w:val="hybridMultilevel"/>
    <w:tmpl w:val="3D1A9AB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C558E3"/>
    <w:multiLevelType w:val="hybridMultilevel"/>
    <w:tmpl w:val="A722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85706394">
    <w:abstractNumId w:val="17"/>
  </w:num>
  <w:num w:numId="2" w16cid:durableId="121659562">
    <w:abstractNumId w:val="16"/>
  </w:num>
  <w:num w:numId="3" w16cid:durableId="1442989524">
    <w:abstractNumId w:val="8"/>
  </w:num>
  <w:num w:numId="4" w16cid:durableId="1000505054">
    <w:abstractNumId w:val="11"/>
  </w:num>
  <w:num w:numId="5" w16cid:durableId="1490243935">
    <w:abstractNumId w:val="13"/>
  </w:num>
  <w:num w:numId="6" w16cid:durableId="2107648776">
    <w:abstractNumId w:val="12"/>
  </w:num>
  <w:num w:numId="7" w16cid:durableId="1272012509">
    <w:abstractNumId w:val="15"/>
  </w:num>
  <w:num w:numId="8" w16cid:durableId="439691815">
    <w:abstractNumId w:val="14"/>
  </w:num>
  <w:num w:numId="9" w16cid:durableId="1471090044">
    <w:abstractNumId w:val="2"/>
  </w:num>
  <w:num w:numId="10" w16cid:durableId="1618444258">
    <w:abstractNumId w:val="18"/>
  </w:num>
  <w:num w:numId="11" w16cid:durableId="803431336">
    <w:abstractNumId w:val="4"/>
  </w:num>
  <w:num w:numId="12" w16cid:durableId="1804107474">
    <w:abstractNumId w:val="9"/>
  </w:num>
  <w:num w:numId="13" w16cid:durableId="821509815">
    <w:abstractNumId w:val="10"/>
  </w:num>
  <w:num w:numId="14" w16cid:durableId="1251425427">
    <w:abstractNumId w:val="5"/>
  </w:num>
  <w:num w:numId="15" w16cid:durableId="70465832">
    <w:abstractNumId w:val="7"/>
  </w:num>
  <w:num w:numId="16" w16cid:durableId="1239251066">
    <w:abstractNumId w:val="6"/>
  </w:num>
  <w:num w:numId="17" w16cid:durableId="1564608030">
    <w:abstractNumId w:val="3"/>
  </w:num>
  <w:num w:numId="18" w16cid:durableId="25444973">
    <w:abstractNumId w:val="1"/>
  </w:num>
  <w:num w:numId="19" w16cid:durableId="82466565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1"/>
    <w:rsid w:val="00000766"/>
    <w:rsid w:val="00000D50"/>
    <w:rsid w:val="00001452"/>
    <w:rsid w:val="00001551"/>
    <w:rsid w:val="00001B5A"/>
    <w:rsid w:val="00002F91"/>
    <w:rsid w:val="000040EE"/>
    <w:rsid w:val="00004699"/>
    <w:rsid w:val="00004B2A"/>
    <w:rsid w:val="00005B62"/>
    <w:rsid w:val="0000676E"/>
    <w:rsid w:val="00006E50"/>
    <w:rsid w:val="0000729A"/>
    <w:rsid w:val="00007A08"/>
    <w:rsid w:val="00011642"/>
    <w:rsid w:val="0001189D"/>
    <w:rsid w:val="00011A01"/>
    <w:rsid w:val="00011AA2"/>
    <w:rsid w:val="00011EC9"/>
    <w:rsid w:val="000120BB"/>
    <w:rsid w:val="0001384C"/>
    <w:rsid w:val="00013859"/>
    <w:rsid w:val="000138BD"/>
    <w:rsid w:val="000139A7"/>
    <w:rsid w:val="00014974"/>
    <w:rsid w:val="00014A71"/>
    <w:rsid w:val="00014C9E"/>
    <w:rsid w:val="000151FA"/>
    <w:rsid w:val="00016549"/>
    <w:rsid w:val="00017030"/>
    <w:rsid w:val="0001797B"/>
    <w:rsid w:val="00017F00"/>
    <w:rsid w:val="0002054A"/>
    <w:rsid w:val="000208BF"/>
    <w:rsid w:val="000228BC"/>
    <w:rsid w:val="00023267"/>
    <w:rsid w:val="00024F01"/>
    <w:rsid w:val="00025196"/>
    <w:rsid w:val="000256C3"/>
    <w:rsid w:val="00026DE6"/>
    <w:rsid w:val="00030766"/>
    <w:rsid w:val="00031046"/>
    <w:rsid w:val="000324D2"/>
    <w:rsid w:val="000325FE"/>
    <w:rsid w:val="00032C30"/>
    <w:rsid w:val="00032EB5"/>
    <w:rsid w:val="000334BE"/>
    <w:rsid w:val="000334E7"/>
    <w:rsid w:val="0003370E"/>
    <w:rsid w:val="0003405B"/>
    <w:rsid w:val="0003581F"/>
    <w:rsid w:val="00035D73"/>
    <w:rsid w:val="00036AB0"/>
    <w:rsid w:val="00036D6D"/>
    <w:rsid w:val="000377DD"/>
    <w:rsid w:val="00040062"/>
    <w:rsid w:val="000405FA"/>
    <w:rsid w:val="00040ED6"/>
    <w:rsid w:val="00041CBB"/>
    <w:rsid w:val="00041F66"/>
    <w:rsid w:val="00042559"/>
    <w:rsid w:val="000427AB"/>
    <w:rsid w:val="00043B29"/>
    <w:rsid w:val="00043B60"/>
    <w:rsid w:val="00043F4C"/>
    <w:rsid w:val="000454D6"/>
    <w:rsid w:val="00046C7B"/>
    <w:rsid w:val="00046CC1"/>
    <w:rsid w:val="00047478"/>
    <w:rsid w:val="00047513"/>
    <w:rsid w:val="000507D3"/>
    <w:rsid w:val="00050A3A"/>
    <w:rsid w:val="000532F0"/>
    <w:rsid w:val="00055531"/>
    <w:rsid w:val="00055FD6"/>
    <w:rsid w:val="0005623C"/>
    <w:rsid w:val="00056310"/>
    <w:rsid w:val="00057082"/>
    <w:rsid w:val="00057674"/>
    <w:rsid w:val="000579B0"/>
    <w:rsid w:val="00057DA9"/>
    <w:rsid w:val="00057F3D"/>
    <w:rsid w:val="00060059"/>
    <w:rsid w:val="00062574"/>
    <w:rsid w:val="00062CF8"/>
    <w:rsid w:val="00063C7E"/>
    <w:rsid w:val="000641F1"/>
    <w:rsid w:val="0006441C"/>
    <w:rsid w:val="00064BE9"/>
    <w:rsid w:val="00064DC2"/>
    <w:rsid w:val="00064E42"/>
    <w:rsid w:val="0006601B"/>
    <w:rsid w:val="00066092"/>
    <w:rsid w:val="00066246"/>
    <w:rsid w:val="00066682"/>
    <w:rsid w:val="00066973"/>
    <w:rsid w:val="000674D1"/>
    <w:rsid w:val="00067961"/>
    <w:rsid w:val="00070272"/>
    <w:rsid w:val="000703FA"/>
    <w:rsid w:val="00071489"/>
    <w:rsid w:val="00071A17"/>
    <w:rsid w:val="0007282F"/>
    <w:rsid w:val="00073974"/>
    <w:rsid w:val="00073B66"/>
    <w:rsid w:val="0007476F"/>
    <w:rsid w:val="00075E7A"/>
    <w:rsid w:val="00076306"/>
    <w:rsid w:val="00076C81"/>
    <w:rsid w:val="00076EF5"/>
    <w:rsid w:val="00076FBC"/>
    <w:rsid w:val="000772F2"/>
    <w:rsid w:val="000775A2"/>
    <w:rsid w:val="00077C00"/>
    <w:rsid w:val="00080BAC"/>
    <w:rsid w:val="00080F7E"/>
    <w:rsid w:val="000812F0"/>
    <w:rsid w:val="00082D4A"/>
    <w:rsid w:val="00082F3B"/>
    <w:rsid w:val="000831D8"/>
    <w:rsid w:val="0008371D"/>
    <w:rsid w:val="000844BC"/>
    <w:rsid w:val="00084C68"/>
    <w:rsid w:val="00086B6A"/>
    <w:rsid w:val="0008732B"/>
    <w:rsid w:val="00087FA5"/>
    <w:rsid w:val="000901FC"/>
    <w:rsid w:val="0009066A"/>
    <w:rsid w:val="00091809"/>
    <w:rsid w:val="00092250"/>
    <w:rsid w:val="000925AC"/>
    <w:rsid w:val="00092868"/>
    <w:rsid w:val="00093059"/>
    <w:rsid w:val="00096857"/>
    <w:rsid w:val="000968AB"/>
    <w:rsid w:val="00096AA4"/>
    <w:rsid w:val="00096E2C"/>
    <w:rsid w:val="00097500"/>
    <w:rsid w:val="0009795F"/>
    <w:rsid w:val="00097BE0"/>
    <w:rsid w:val="00097C15"/>
    <w:rsid w:val="00097CC1"/>
    <w:rsid w:val="000A0A56"/>
    <w:rsid w:val="000A1340"/>
    <w:rsid w:val="000A1751"/>
    <w:rsid w:val="000A1F97"/>
    <w:rsid w:val="000A269B"/>
    <w:rsid w:val="000A2D3C"/>
    <w:rsid w:val="000A3592"/>
    <w:rsid w:val="000A4AC4"/>
    <w:rsid w:val="000A55E1"/>
    <w:rsid w:val="000A5D24"/>
    <w:rsid w:val="000A5D87"/>
    <w:rsid w:val="000A6046"/>
    <w:rsid w:val="000A729A"/>
    <w:rsid w:val="000A7AFD"/>
    <w:rsid w:val="000B06A1"/>
    <w:rsid w:val="000B0D1A"/>
    <w:rsid w:val="000B0DC7"/>
    <w:rsid w:val="000B215A"/>
    <w:rsid w:val="000B3D50"/>
    <w:rsid w:val="000B41C2"/>
    <w:rsid w:val="000B446D"/>
    <w:rsid w:val="000B4A83"/>
    <w:rsid w:val="000B5D27"/>
    <w:rsid w:val="000B686B"/>
    <w:rsid w:val="000B716A"/>
    <w:rsid w:val="000B767A"/>
    <w:rsid w:val="000B791A"/>
    <w:rsid w:val="000C0647"/>
    <w:rsid w:val="000C305F"/>
    <w:rsid w:val="000C471F"/>
    <w:rsid w:val="000C4D10"/>
    <w:rsid w:val="000C59F5"/>
    <w:rsid w:val="000C5E86"/>
    <w:rsid w:val="000C5F22"/>
    <w:rsid w:val="000C5F89"/>
    <w:rsid w:val="000C7140"/>
    <w:rsid w:val="000D03FE"/>
    <w:rsid w:val="000D0E88"/>
    <w:rsid w:val="000D1161"/>
    <w:rsid w:val="000D25C0"/>
    <w:rsid w:val="000D2985"/>
    <w:rsid w:val="000D3356"/>
    <w:rsid w:val="000D3DD0"/>
    <w:rsid w:val="000D3F21"/>
    <w:rsid w:val="000D48AA"/>
    <w:rsid w:val="000D59A0"/>
    <w:rsid w:val="000D67F2"/>
    <w:rsid w:val="000D6B8C"/>
    <w:rsid w:val="000D6FDB"/>
    <w:rsid w:val="000D76D5"/>
    <w:rsid w:val="000D7FC6"/>
    <w:rsid w:val="000E00FD"/>
    <w:rsid w:val="000E076B"/>
    <w:rsid w:val="000E1212"/>
    <w:rsid w:val="000E1528"/>
    <w:rsid w:val="000E3A82"/>
    <w:rsid w:val="000E3AFF"/>
    <w:rsid w:val="000E3B11"/>
    <w:rsid w:val="000E3CCB"/>
    <w:rsid w:val="000E3F3F"/>
    <w:rsid w:val="000E40C1"/>
    <w:rsid w:val="000E495C"/>
    <w:rsid w:val="000E55EB"/>
    <w:rsid w:val="000E69B0"/>
    <w:rsid w:val="000E6F21"/>
    <w:rsid w:val="000E78AC"/>
    <w:rsid w:val="000E7D1B"/>
    <w:rsid w:val="000E7E02"/>
    <w:rsid w:val="000F0F70"/>
    <w:rsid w:val="000F1918"/>
    <w:rsid w:val="000F1C89"/>
    <w:rsid w:val="000F264F"/>
    <w:rsid w:val="000F2D9B"/>
    <w:rsid w:val="000F2F0C"/>
    <w:rsid w:val="000F2FAC"/>
    <w:rsid w:val="000F3E44"/>
    <w:rsid w:val="000F3F55"/>
    <w:rsid w:val="000F4190"/>
    <w:rsid w:val="000F5186"/>
    <w:rsid w:val="000F5532"/>
    <w:rsid w:val="000F6AC4"/>
    <w:rsid w:val="000F6DE7"/>
    <w:rsid w:val="000F742B"/>
    <w:rsid w:val="000F7F55"/>
    <w:rsid w:val="001002AD"/>
    <w:rsid w:val="001003B9"/>
    <w:rsid w:val="001005D7"/>
    <w:rsid w:val="0010103D"/>
    <w:rsid w:val="00101354"/>
    <w:rsid w:val="00101782"/>
    <w:rsid w:val="00101A85"/>
    <w:rsid w:val="00102654"/>
    <w:rsid w:val="0010344C"/>
    <w:rsid w:val="001034EB"/>
    <w:rsid w:val="00103567"/>
    <w:rsid w:val="001039D0"/>
    <w:rsid w:val="001045F2"/>
    <w:rsid w:val="00104733"/>
    <w:rsid w:val="00104BD5"/>
    <w:rsid w:val="00105562"/>
    <w:rsid w:val="00105566"/>
    <w:rsid w:val="001055DE"/>
    <w:rsid w:val="00106026"/>
    <w:rsid w:val="00106091"/>
    <w:rsid w:val="00106E8B"/>
    <w:rsid w:val="00107369"/>
    <w:rsid w:val="00107BAD"/>
    <w:rsid w:val="00107BF3"/>
    <w:rsid w:val="00107E4E"/>
    <w:rsid w:val="001100E5"/>
    <w:rsid w:val="0011205B"/>
    <w:rsid w:val="00112412"/>
    <w:rsid w:val="00112442"/>
    <w:rsid w:val="00112F9C"/>
    <w:rsid w:val="001135C3"/>
    <w:rsid w:val="001145F8"/>
    <w:rsid w:val="00116498"/>
    <w:rsid w:val="001171C4"/>
    <w:rsid w:val="0012085E"/>
    <w:rsid w:val="00121E42"/>
    <w:rsid w:val="001227A4"/>
    <w:rsid w:val="00122EBD"/>
    <w:rsid w:val="001237D7"/>
    <w:rsid w:val="00124503"/>
    <w:rsid w:val="00125C0F"/>
    <w:rsid w:val="00125C16"/>
    <w:rsid w:val="00126522"/>
    <w:rsid w:val="00126C6D"/>
    <w:rsid w:val="00127749"/>
    <w:rsid w:val="00130C3E"/>
    <w:rsid w:val="001313C9"/>
    <w:rsid w:val="001317C8"/>
    <w:rsid w:val="001323AE"/>
    <w:rsid w:val="00132560"/>
    <w:rsid w:val="00132A24"/>
    <w:rsid w:val="00132E3C"/>
    <w:rsid w:val="0013392F"/>
    <w:rsid w:val="00133DDE"/>
    <w:rsid w:val="00134B27"/>
    <w:rsid w:val="00134B3A"/>
    <w:rsid w:val="00134B4E"/>
    <w:rsid w:val="00135033"/>
    <w:rsid w:val="001361ED"/>
    <w:rsid w:val="00137187"/>
    <w:rsid w:val="00140A97"/>
    <w:rsid w:val="001410DD"/>
    <w:rsid w:val="00141804"/>
    <w:rsid w:val="0014259F"/>
    <w:rsid w:val="00142675"/>
    <w:rsid w:val="0014347C"/>
    <w:rsid w:val="00143587"/>
    <w:rsid w:val="00143612"/>
    <w:rsid w:val="001438DE"/>
    <w:rsid w:val="00144D32"/>
    <w:rsid w:val="0014596E"/>
    <w:rsid w:val="00146941"/>
    <w:rsid w:val="0014785D"/>
    <w:rsid w:val="00150318"/>
    <w:rsid w:val="001505E2"/>
    <w:rsid w:val="00150A4C"/>
    <w:rsid w:val="00151371"/>
    <w:rsid w:val="00151D86"/>
    <w:rsid w:val="001529E2"/>
    <w:rsid w:val="00152F46"/>
    <w:rsid w:val="0015395D"/>
    <w:rsid w:val="00153A6B"/>
    <w:rsid w:val="00153C36"/>
    <w:rsid w:val="00154E0D"/>
    <w:rsid w:val="00155EAA"/>
    <w:rsid w:val="001577DE"/>
    <w:rsid w:val="0016069D"/>
    <w:rsid w:val="001608FC"/>
    <w:rsid w:val="00160AB0"/>
    <w:rsid w:val="00160F24"/>
    <w:rsid w:val="001610D5"/>
    <w:rsid w:val="001626F0"/>
    <w:rsid w:val="00162CE4"/>
    <w:rsid w:val="0016497D"/>
    <w:rsid w:val="00164D50"/>
    <w:rsid w:val="00164FAD"/>
    <w:rsid w:val="001658C1"/>
    <w:rsid w:val="001665B1"/>
    <w:rsid w:val="00166F95"/>
    <w:rsid w:val="00167571"/>
    <w:rsid w:val="0017011D"/>
    <w:rsid w:val="001703BC"/>
    <w:rsid w:val="00171435"/>
    <w:rsid w:val="0017200E"/>
    <w:rsid w:val="0017256E"/>
    <w:rsid w:val="00172591"/>
    <w:rsid w:val="00173986"/>
    <w:rsid w:val="00174EF8"/>
    <w:rsid w:val="001752D9"/>
    <w:rsid w:val="00175C8A"/>
    <w:rsid w:val="0017637D"/>
    <w:rsid w:val="00176CEF"/>
    <w:rsid w:val="00180871"/>
    <w:rsid w:val="00180C79"/>
    <w:rsid w:val="0018124F"/>
    <w:rsid w:val="00181C32"/>
    <w:rsid w:val="001834EC"/>
    <w:rsid w:val="00184C33"/>
    <w:rsid w:val="0018692A"/>
    <w:rsid w:val="00186F0C"/>
    <w:rsid w:val="00187C03"/>
    <w:rsid w:val="00187D11"/>
    <w:rsid w:val="00187FC0"/>
    <w:rsid w:val="0019010E"/>
    <w:rsid w:val="001901E8"/>
    <w:rsid w:val="00191CF7"/>
    <w:rsid w:val="00192C76"/>
    <w:rsid w:val="00193129"/>
    <w:rsid w:val="00193839"/>
    <w:rsid w:val="00193EB0"/>
    <w:rsid w:val="001947F1"/>
    <w:rsid w:val="00194920"/>
    <w:rsid w:val="00194AA3"/>
    <w:rsid w:val="00195C69"/>
    <w:rsid w:val="00196030"/>
    <w:rsid w:val="001972BF"/>
    <w:rsid w:val="001977EC"/>
    <w:rsid w:val="00197B3E"/>
    <w:rsid w:val="001A0341"/>
    <w:rsid w:val="001A1E6B"/>
    <w:rsid w:val="001A20A3"/>
    <w:rsid w:val="001A57D6"/>
    <w:rsid w:val="001A68F8"/>
    <w:rsid w:val="001A6E48"/>
    <w:rsid w:val="001A6EB3"/>
    <w:rsid w:val="001A6EB9"/>
    <w:rsid w:val="001A6FED"/>
    <w:rsid w:val="001A7DA1"/>
    <w:rsid w:val="001B0396"/>
    <w:rsid w:val="001B0EEF"/>
    <w:rsid w:val="001B2144"/>
    <w:rsid w:val="001B248B"/>
    <w:rsid w:val="001B2ECC"/>
    <w:rsid w:val="001B3124"/>
    <w:rsid w:val="001B59FA"/>
    <w:rsid w:val="001B5DC0"/>
    <w:rsid w:val="001B6B2C"/>
    <w:rsid w:val="001B6CE8"/>
    <w:rsid w:val="001B71E8"/>
    <w:rsid w:val="001C02C6"/>
    <w:rsid w:val="001C02E9"/>
    <w:rsid w:val="001C0A38"/>
    <w:rsid w:val="001C0C4E"/>
    <w:rsid w:val="001C101D"/>
    <w:rsid w:val="001C1C28"/>
    <w:rsid w:val="001C2816"/>
    <w:rsid w:val="001C3BC6"/>
    <w:rsid w:val="001C67EB"/>
    <w:rsid w:val="001C6CAB"/>
    <w:rsid w:val="001D084A"/>
    <w:rsid w:val="001D0BE3"/>
    <w:rsid w:val="001D1C8A"/>
    <w:rsid w:val="001D3427"/>
    <w:rsid w:val="001D3571"/>
    <w:rsid w:val="001D47E9"/>
    <w:rsid w:val="001D570C"/>
    <w:rsid w:val="001D5868"/>
    <w:rsid w:val="001E00BE"/>
    <w:rsid w:val="001E0367"/>
    <w:rsid w:val="001E03D8"/>
    <w:rsid w:val="001E09B9"/>
    <w:rsid w:val="001E0EFD"/>
    <w:rsid w:val="001E15F4"/>
    <w:rsid w:val="001E17E4"/>
    <w:rsid w:val="001E2279"/>
    <w:rsid w:val="001E2691"/>
    <w:rsid w:val="001E283E"/>
    <w:rsid w:val="001E28BB"/>
    <w:rsid w:val="001E2C67"/>
    <w:rsid w:val="001E3080"/>
    <w:rsid w:val="001E3A34"/>
    <w:rsid w:val="001E4B38"/>
    <w:rsid w:val="001E525E"/>
    <w:rsid w:val="001E5270"/>
    <w:rsid w:val="001E54B3"/>
    <w:rsid w:val="001E5732"/>
    <w:rsid w:val="001E5BF2"/>
    <w:rsid w:val="001F0639"/>
    <w:rsid w:val="001F09AD"/>
    <w:rsid w:val="001F16DE"/>
    <w:rsid w:val="001F1763"/>
    <w:rsid w:val="001F18E2"/>
    <w:rsid w:val="001F213D"/>
    <w:rsid w:val="001F54CE"/>
    <w:rsid w:val="001F6344"/>
    <w:rsid w:val="00200E14"/>
    <w:rsid w:val="00200F75"/>
    <w:rsid w:val="00202906"/>
    <w:rsid w:val="002043B4"/>
    <w:rsid w:val="002052AB"/>
    <w:rsid w:val="002054B0"/>
    <w:rsid w:val="002058ED"/>
    <w:rsid w:val="00207A0D"/>
    <w:rsid w:val="00210AED"/>
    <w:rsid w:val="00210EB4"/>
    <w:rsid w:val="002114DB"/>
    <w:rsid w:val="00211EE2"/>
    <w:rsid w:val="00211F53"/>
    <w:rsid w:val="0021249E"/>
    <w:rsid w:val="002135AD"/>
    <w:rsid w:val="00213C5C"/>
    <w:rsid w:val="00213E00"/>
    <w:rsid w:val="00214311"/>
    <w:rsid w:val="00214CC9"/>
    <w:rsid w:val="002159E5"/>
    <w:rsid w:val="002170DF"/>
    <w:rsid w:val="002201DF"/>
    <w:rsid w:val="0022028B"/>
    <w:rsid w:val="00220821"/>
    <w:rsid w:val="0022090C"/>
    <w:rsid w:val="00220BCB"/>
    <w:rsid w:val="002223E8"/>
    <w:rsid w:val="00223234"/>
    <w:rsid w:val="00223374"/>
    <w:rsid w:val="002237F0"/>
    <w:rsid w:val="002248D2"/>
    <w:rsid w:val="00224EE0"/>
    <w:rsid w:val="00225E37"/>
    <w:rsid w:val="00227182"/>
    <w:rsid w:val="00230729"/>
    <w:rsid w:val="00230883"/>
    <w:rsid w:val="00230F44"/>
    <w:rsid w:val="002327CA"/>
    <w:rsid w:val="00233D71"/>
    <w:rsid w:val="0023423D"/>
    <w:rsid w:val="00234CFF"/>
    <w:rsid w:val="002355BC"/>
    <w:rsid w:val="00235731"/>
    <w:rsid w:val="0023652D"/>
    <w:rsid w:val="00237F02"/>
    <w:rsid w:val="002400EB"/>
    <w:rsid w:val="0024256A"/>
    <w:rsid w:val="0024289A"/>
    <w:rsid w:val="002429B2"/>
    <w:rsid w:val="00243E4A"/>
    <w:rsid w:val="002442B8"/>
    <w:rsid w:val="00244788"/>
    <w:rsid w:val="00244CC8"/>
    <w:rsid w:val="00246F10"/>
    <w:rsid w:val="002475FD"/>
    <w:rsid w:val="00250142"/>
    <w:rsid w:val="00250910"/>
    <w:rsid w:val="00250BAA"/>
    <w:rsid w:val="0025118B"/>
    <w:rsid w:val="0025221B"/>
    <w:rsid w:val="0025244D"/>
    <w:rsid w:val="00252886"/>
    <w:rsid w:val="0025426F"/>
    <w:rsid w:val="002545A8"/>
    <w:rsid w:val="00254A3F"/>
    <w:rsid w:val="002563E0"/>
    <w:rsid w:val="00256CE1"/>
    <w:rsid w:val="0026036D"/>
    <w:rsid w:val="0026091C"/>
    <w:rsid w:val="002610FF"/>
    <w:rsid w:val="00261234"/>
    <w:rsid w:val="002637A2"/>
    <w:rsid w:val="00263FB5"/>
    <w:rsid w:val="00264FB7"/>
    <w:rsid w:val="00265584"/>
    <w:rsid w:val="0026575E"/>
    <w:rsid w:val="00265CE4"/>
    <w:rsid w:val="00267470"/>
    <w:rsid w:val="0026798D"/>
    <w:rsid w:val="00267A96"/>
    <w:rsid w:val="0027024C"/>
    <w:rsid w:val="00270B43"/>
    <w:rsid w:val="00271440"/>
    <w:rsid w:val="00271905"/>
    <w:rsid w:val="00272CB1"/>
    <w:rsid w:val="0027313C"/>
    <w:rsid w:val="002732FC"/>
    <w:rsid w:val="00273C77"/>
    <w:rsid w:val="002742C0"/>
    <w:rsid w:val="0027605B"/>
    <w:rsid w:val="00276466"/>
    <w:rsid w:val="00277797"/>
    <w:rsid w:val="00280035"/>
    <w:rsid w:val="00280622"/>
    <w:rsid w:val="00280B16"/>
    <w:rsid w:val="00280E03"/>
    <w:rsid w:val="00280F6A"/>
    <w:rsid w:val="00281A92"/>
    <w:rsid w:val="00281F95"/>
    <w:rsid w:val="00283E27"/>
    <w:rsid w:val="00283E93"/>
    <w:rsid w:val="00283F07"/>
    <w:rsid w:val="00284157"/>
    <w:rsid w:val="00284E66"/>
    <w:rsid w:val="002866F1"/>
    <w:rsid w:val="00287860"/>
    <w:rsid w:val="00287B15"/>
    <w:rsid w:val="0029040E"/>
    <w:rsid w:val="00290BA5"/>
    <w:rsid w:val="00290E5C"/>
    <w:rsid w:val="00293A73"/>
    <w:rsid w:val="0029449B"/>
    <w:rsid w:val="00294C50"/>
    <w:rsid w:val="0029502B"/>
    <w:rsid w:val="002950F9"/>
    <w:rsid w:val="00296863"/>
    <w:rsid w:val="00296B5B"/>
    <w:rsid w:val="00296C0D"/>
    <w:rsid w:val="00296DB4"/>
    <w:rsid w:val="00297435"/>
    <w:rsid w:val="002A09FF"/>
    <w:rsid w:val="002A135B"/>
    <w:rsid w:val="002A23BC"/>
    <w:rsid w:val="002A27AA"/>
    <w:rsid w:val="002A314A"/>
    <w:rsid w:val="002A3EBC"/>
    <w:rsid w:val="002A3FE0"/>
    <w:rsid w:val="002A4674"/>
    <w:rsid w:val="002A51AD"/>
    <w:rsid w:val="002A5813"/>
    <w:rsid w:val="002A5E8A"/>
    <w:rsid w:val="002A61F4"/>
    <w:rsid w:val="002A77D1"/>
    <w:rsid w:val="002B00C6"/>
    <w:rsid w:val="002B05B4"/>
    <w:rsid w:val="002B1086"/>
    <w:rsid w:val="002B1B0D"/>
    <w:rsid w:val="002B1CAF"/>
    <w:rsid w:val="002B1CDB"/>
    <w:rsid w:val="002B1DC4"/>
    <w:rsid w:val="002B23EE"/>
    <w:rsid w:val="002B30FC"/>
    <w:rsid w:val="002B32FB"/>
    <w:rsid w:val="002B3C57"/>
    <w:rsid w:val="002B4156"/>
    <w:rsid w:val="002B46FA"/>
    <w:rsid w:val="002B4EB9"/>
    <w:rsid w:val="002B56B7"/>
    <w:rsid w:val="002B697A"/>
    <w:rsid w:val="002B783B"/>
    <w:rsid w:val="002C0C9D"/>
    <w:rsid w:val="002C18C5"/>
    <w:rsid w:val="002C1914"/>
    <w:rsid w:val="002C1EBB"/>
    <w:rsid w:val="002C262F"/>
    <w:rsid w:val="002C29FF"/>
    <w:rsid w:val="002C3245"/>
    <w:rsid w:val="002C37FC"/>
    <w:rsid w:val="002C3BAF"/>
    <w:rsid w:val="002C3FD1"/>
    <w:rsid w:val="002C50CE"/>
    <w:rsid w:val="002C5E1E"/>
    <w:rsid w:val="002C62E8"/>
    <w:rsid w:val="002C6F5E"/>
    <w:rsid w:val="002C71E7"/>
    <w:rsid w:val="002C76D7"/>
    <w:rsid w:val="002D1A9B"/>
    <w:rsid w:val="002D4138"/>
    <w:rsid w:val="002D48F1"/>
    <w:rsid w:val="002D60D8"/>
    <w:rsid w:val="002D6269"/>
    <w:rsid w:val="002D64FB"/>
    <w:rsid w:val="002D66E1"/>
    <w:rsid w:val="002D6E33"/>
    <w:rsid w:val="002D7438"/>
    <w:rsid w:val="002D7BB9"/>
    <w:rsid w:val="002E0315"/>
    <w:rsid w:val="002E065F"/>
    <w:rsid w:val="002E127D"/>
    <w:rsid w:val="002E39EF"/>
    <w:rsid w:val="002E3C0F"/>
    <w:rsid w:val="002E433B"/>
    <w:rsid w:val="002E6C77"/>
    <w:rsid w:val="002F055F"/>
    <w:rsid w:val="002F07BD"/>
    <w:rsid w:val="002F0BC0"/>
    <w:rsid w:val="002F1769"/>
    <w:rsid w:val="002F212A"/>
    <w:rsid w:val="002F2DF7"/>
    <w:rsid w:val="002F2E5C"/>
    <w:rsid w:val="002F30F0"/>
    <w:rsid w:val="002F478F"/>
    <w:rsid w:val="002F4F5B"/>
    <w:rsid w:val="002F5367"/>
    <w:rsid w:val="002F622C"/>
    <w:rsid w:val="002F6230"/>
    <w:rsid w:val="002F6474"/>
    <w:rsid w:val="002F6868"/>
    <w:rsid w:val="002F7433"/>
    <w:rsid w:val="002F7BF7"/>
    <w:rsid w:val="002F7E90"/>
    <w:rsid w:val="00300294"/>
    <w:rsid w:val="00300AEA"/>
    <w:rsid w:val="00300FC7"/>
    <w:rsid w:val="003024EC"/>
    <w:rsid w:val="00302591"/>
    <w:rsid w:val="00302866"/>
    <w:rsid w:val="0030375C"/>
    <w:rsid w:val="00303F68"/>
    <w:rsid w:val="00304569"/>
    <w:rsid w:val="0030497D"/>
    <w:rsid w:val="003049E3"/>
    <w:rsid w:val="00304DFB"/>
    <w:rsid w:val="003061C6"/>
    <w:rsid w:val="00307C51"/>
    <w:rsid w:val="00307E4F"/>
    <w:rsid w:val="003123AA"/>
    <w:rsid w:val="00313BA5"/>
    <w:rsid w:val="0031406A"/>
    <w:rsid w:val="00314617"/>
    <w:rsid w:val="0031700D"/>
    <w:rsid w:val="003211FA"/>
    <w:rsid w:val="003227B8"/>
    <w:rsid w:val="003234D2"/>
    <w:rsid w:val="00324310"/>
    <w:rsid w:val="00324FDF"/>
    <w:rsid w:val="00325067"/>
    <w:rsid w:val="00325DAD"/>
    <w:rsid w:val="00326202"/>
    <w:rsid w:val="00326E48"/>
    <w:rsid w:val="00327E83"/>
    <w:rsid w:val="00327F4A"/>
    <w:rsid w:val="0033231E"/>
    <w:rsid w:val="00332628"/>
    <w:rsid w:val="003327E0"/>
    <w:rsid w:val="0033338A"/>
    <w:rsid w:val="0033386F"/>
    <w:rsid w:val="00336007"/>
    <w:rsid w:val="003374E2"/>
    <w:rsid w:val="00337B85"/>
    <w:rsid w:val="003401AF"/>
    <w:rsid w:val="00340E88"/>
    <w:rsid w:val="0034154F"/>
    <w:rsid w:val="00341818"/>
    <w:rsid w:val="003418A2"/>
    <w:rsid w:val="003419B2"/>
    <w:rsid w:val="00343E8E"/>
    <w:rsid w:val="003457FF"/>
    <w:rsid w:val="00346488"/>
    <w:rsid w:val="00346A32"/>
    <w:rsid w:val="0034708C"/>
    <w:rsid w:val="00347796"/>
    <w:rsid w:val="00347BCB"/>
    <w:rsid w:val="00347FB5"/>
    <w:rsid w:val="00347FB9"/>
    <w:rsid w:val="00350632"/>
    <w:rsid w:val="0035170A"/>
    <w:rsid w:val="003520D5"/>
    <w:rsid w:val="0035233D"/>
    <w:rsid w:val="0035247C"/>
    <w:rsid w:val="003527C8"/>
    <w:rsid w:val="003532C7"/>
    <w:rsid w:val="003533B7"/>
    <w:rsid w:val="003535E8"/>
    <w:rsid w:val="003568F4"/>
    <w:rsid w:val="00356D23"/>
    <w:rsid w:val="00357045"/>
    <w:rsid w:val="00357899"/>
    <w:rsid w:val="00361814"/>
    <w:rsid w:val="00361911"/>
    <w:rsid w:val="00361DC5"/>
    <w:rsid w:val="00361FAE"/>
    <w:rsid w:val="00362072"/>
    <w:rsid w:val="00362267"/>
    <w:rsid w:val="00362B39"/>
    <w:rsid w:val="00362FB6"/>
    <w:rsid w:val="003630B6"/>
    <w:rsid w:val="003634E3"/>
    <w:rsid w:val="003649E3"/>
    <w:rsid w:val="003656F3"/>
    <w:rsid w:val="00365A1F"/>
    <w:rsid w:val="0036668B"/>
    <w:rsid w:val="00367033"/>
    <w:rsid w:val="00371999"/>
    <w:rsid w:val="00373E72"/>
    <w:rsid w:val="00373F67"/>
    <w:rsid w:val="00374033"/>
    <w:rsid w:val="003742DC"/>
    <w:rsid w:val="00376764"/>
    <w:rsid w:val="00376AD5"/>
    <w:rsid w:val="00377AFC"/>
    <w:rsid w:val="003815A0"/>
    <w:rsid w:val="00381D21"/>
    <w:rsid w:val="003822E9"/>
    <w:rsid w:val="00383FA5"/>
    <w:rsid w:val="003843FE"/>
    <w:rsid w:val="00384DDC"/>
    <w:rsid w:val="00384FBB"/>
    <w:rsid w:val="00385FE2"/>
    <w:rsid w:val="0038600E"/>
    <w:rsid w:val="003860B2"/>
    <w:rsid w:val="00387906"/>
    <w:rsid w:val="00391503"/>
    <w:rsid w:val="0039177C"/>
    <w:rsid w:val="003921DC"/>
    <w:rsid w:val="003923F3"/>
    <w:rsid w:val="00392BCA"/>
    <w:rsid w:val="00392C0A"/>
    <w:rsid w:val="0039302C"/>
    <w:rsid w:val="00393690"/>
    <w:rsid w:val="00394182"/>
    <w:rsid w:val="0039533D"/>
    <w:rsid w:val="0039705E"/>
    <w:rsid w:val="003A004B"/>
    <w:rsid w:val="003A0277"/>
    <w:rsid w:val="003A0C72"/>
    <w:rsid w:val="003A14C0"/>
    <w:rsid w:val="003A18FD"/>
    <w:rsid w:val="003A2632"/>
    <w:rsid w:val="003A2FB2"/>
    <w:rsid w:val="003A360B"/>
    <w:rsid w:val="003A5696"/>
    <w:rsid w:val="003A5973"/>
    <w:rsid w:val="003A5CBA"/>
    <w:rsid w:val="003A6616"/>
    <w:rsid w:val="003A78FE"/>
    <w:rsid w:val="003B01AA"/>
    <w:rsid w:val="003B118F"/>
    <w:rsid w:val="003B14E2"/>
    <w:rsid w:val="003B17C7"/>
    <w:rsid w:val="003B2FD6"/>
    <w:rsid w:val="003B39F5"/>
    <w:rsid w:val="003B3B52"/>
    <w:rsid w:val="003B3F46"/>
    <w:rsid w:val="003B48BB"/>
    <w:rsid w:val="003B521C"/>
    <w:rsid w:val="003C09E4"/>
    <w:rsid w:val="003C13C1"/>
    <w:rsid w:val="003C1656"/>
    <w:rsid w:val="003C1A7B"/>
    <w:rsid w:val="003C1C47"/>
    <w:rsid w:val="003C1CDB"/>
    <w:rsid w:val="003C243E"/>
    <w:rsid w:val="003C24B0"/>
    <w:rsid w:val="003C337C"/>
    <w:rsid w:val="003C3CA7"/>
    <w:rsid w:val="003C5D3C"/>
    <w:rsid w:val="003C718B"/>
    <w:rsid w:val="003C7959"/>
    <w:rsid w:val="003C7B13"/>
    <w:rsid w:val="003D12BC"/>
    <w:rsid w:val="003D143C"/>
    <w:rsid w:val="003D215C"/>
    <w:rsid w:val="003D29CB"/>
    <w:rsid w:val="003D2DE6"/>
    <w:rsid w:val="003D355D"/>
    <w:rsid w:val="003D35D8"/>
    <w:rsid w:val="003D36BE"/>
    <w:rsid w:val="003D4B5D"/>
    <w:rsid w:val="003D4E85"/>
    <w:rsid w:val="003D4FB2"/>
    <w:rsid w:val="003D640E"/>
    <w:rsid w:val="003D6509"/>
    <w:rsid w:val="003D6D34"/>
    <w:rsid w:val="003D70CE"/>
    <w:rsid w:val="003D781C"/>
    <w:rsid w:val="003E0A0C"/>
    <w:rsid w:val="003E12E7"/>
    <w:rsid w:val="003E1CDA"/>
    <w:rsid w:val="003E2A91"/>
    <w:rsid w:val="003E2B77"/>
    <w:rsid w:val="003E30AC"/>
    <w:rsid w:val="003E3AA3"/>
    <w:rsid w:val="003E3F57"/>
    <w:rsid w:val="003E494B"/>
    <w:rsid w:val="003E5301"/>
    <w:rsid w:val="003E6023"/>
    <w:rsid w:val="003E785D"/>
    <w:rsid w:val="003E796C"/>
    <w:rsid w:val="003E7F00"/>
    <w:rsid w:val="003F126B"/>
    <w:rsid w:val="003F194B"/>
    <w:rsid w:val="003F2E8C"/>
    <w:rsid w:val="003F3909"/>
    <w:rsid w:val="003F3ADC"/>
    <w:rsid w:val="003F518B"/>
    <w:rsid w:val="003F560D"/>
    <w:rsid w:val="003F71DF"/>
    <w:rsid w:val="00401553"/>
    <w:rsid w:val="00401C95"/>
    <w:rsid w:val="00401EE1"/>
    <w:rsid w:val="004037BD"/>
    <w:rsid w:val="004045FB"/>
    <w:rsid w:val="00404C8D"/>
    <w:rsid w:val="00404CB6"/>
    <w:rsid w:val="00404E99"/>
    <w:rsid w:val="00405580"/>
    <w:rsid w:val="00405707"/>
    <w:rsid w:val="00405DC3"/>
    <w:rsid w:val="00406500"/>
    <w:rsid w:val="00406CED"/>
    <w:rsid w:val="00407C83"/>
    <w:rsid w:val="004112A7"/>
    <w:rsid w:val="0041207B"/>
    <w:rsid w:val="0041216B"/>
    <w:rsid w:val="00412B53"/>
    <w:rsid w:val="00412FEB"/>
    <w:rsid w:val="00413B24"/>
    <w:rsid w:val="00414290"/>
    <w:rsid w:val="00414636"/>
    <w:rsid w:val="00415201"/>
    <w:rsid w:val="00415C3A"/>
    <w:rsid w:val="00417174"/>
    <w:rsid w:val="00420BBD"/>
    <w:rsid w:val="00421033"/>
    <w:rsid w:val="00421B65"/>
    <w:rsid w:val="00422853"/>
    <w:rsid w:val="00422911"/>
    <w:rsid w:val="00423B5C"/>
    <w:rsid w:val="004246C7"/>
    <w:rsid w:val="00425E59"/>
    <w:rsid w:val="00426188"/>
    <w:rsid w:val="00426563"/>
    <w:rsid w:val="00426BF1"/>
    <w:rsid w:val="00426D34"/>
    <w:rsid w:val="0042725F"/>
    <w:rsid w:val="0042733A"/>
    <w:rsid w:val="00427457"/>
    <w:rsid w:val="00427E76"/>
    <w:rsid w:val="00430D1C"/>
    <w:rsid w:val="00432070"/>
    <w:rsid w:val="004324E1"/>
    <w:rsid w:val="00432F15"/>
    <w:rsid w:val="00434DA8"/>
    <w:rsid w:val="00435061"/>
    <w:rsid w:val="004358F9"/>
    <w:rsid w:val="004361F4"/>
    <w:rsid w:val="00437AB3"/>
    <w:rsid w:val="00437C8D"/>
    <w:rsid w:val="00437CE8"/>
    <w:rsid w:val="004410D3"/>
    <w:rsid w:val="0044144C"/>
    <w:rsid w:val="00441799"/>
    <w:rsid w:val="00442AEB"/>
    <w:rsid w:val="004436AA"/>
    <w:rsid w:val="00443864"/>
    <w:rsid w:val="00443FDC"/>
    <w:rsid w:val="004450D6"/>
    <w:rsid w:val="00445E2E"/>
    <w:rsid w:val="004466CB"/>
    <w:rsid w:val="00446C83"/>
    <w:rsid w:val="004475D1"/>
    <w:rsid w:val="0044784C"/>
    <w:rsid w:val="00450274"/>
    <w:rsid w:val="00450986"/>
    <w:rsid w:val="0045104E"/>
    <w:rsid w:val="0045158C"/>
    <w:rsid w:val="00451BFD"/>
    <w:rsid w:val="00451CBB"/>
    <w:rsid w:val="004522F1"/>
    <w:rsid w:val="00452D33"/>
    <w:rsid w:val="0045310E"/>
    <w:rsid w:val="004538A0"/>
    <w:rsid w:val="0045475F"/>
    <w:rsid w:val="00454E8E"/>
    <w:rsid w:val="0045606F"/>
    <w:rsid w:val="00456D25"/>
    <w:rsid w:val="004579FD"/>
    <w:rsid w:val="00457EE6"/>
    <w:rsid w:val="00460D90"/>
    <w:rsid w:val="00460FCF"/>
    <w:rsid w:val="0046146A"/>
    <w:rsid w:val="00461DC3"/>
    <w:rsid w:val="00462BE3"/>
    <w:rsid w:val="00463188"/>
    <w:rsid w:val="00464A2B"/>
    <w:rsid w:val="00464A47"/>
    <w:rsid w:val="00466934"/>
    <w:rsid w:val="00466A14"/>
    <w:rsid w:val="00466A89"/>
    <w:rsid w:val="004670A0"/>
    <w:rsid w:val="00467374"/>
    <w:rsid w:val="004673D0"/>
    <w:rsid w:val="0046758C"/>
    <w:rsid w:val="004707B4"/>
    <w:rsid w:val="00470F0B"/>
    <w:rsid w:val="0047202F"/>
    <w:rsid w:val="00473189"/>
    <w:rsid w:val="00473AEB"/>
    <w:rsid w:val="00474E94"/>
    <w:rsid w:val="00476006"/>
    <w:rsid w:val="00477A2E"/>
    <w:rsid w:val="004802A7"/>
    <w:rsid w:val="00481F90"/>
    <w:rsid w:val="00482026"/>
    <w:rsid w:val="004825ED"/>
    <w:rsid w:val="0048382F"/>
    <w:rsid w:val="00483A25"/>
    <w:rsid w:val="004900E3"/>
    <w:rsid w:val="004901EF"/>
    <w:rsid w:val="00490B5C"/>
    <w:rsid w:val="00491664"/>
    <w:rsid w:val="00491F29"/>
    <w:rsid w:val="004920D8"/>
    <w:rsid w:val="0049228E"/>
    <w:rsid w:val="0049259A"/>
    <w:rsid w:val="00492F4C"/>
    <w:rsid w:val="00494346"/>
    <w:rsid w:val="00494BC5"/>
    <w:rsid w:val="00495712"/>
    <w:rsid w:val="00495872"/>
    <w:rsid w:val="0049665E"/>
    <w:rsid w:val="00497916"/>
    <w:rsid w:val="00497CC6"/>
    <w:rsid w:val="004A08B0"/>
    <w:rsid w:val="004A1062"/>
    <w:rsid w:val="004A11AC"/>
    <w:rsid w:val="004A1915"/>
    <w:rsid w:val="004A2A08"/>
    <w:rsid w:val="004A3035"/>
    <w:rsid w:val="004A4242"/>
    <w:rsid w:val="004A42D5"/>
    <w:rsid w:val="004A43F8"/>
    <w:rsid w:val="004A4488"/>
    <w:rsid w:val="004A461A"/>
    <w:rsid w:val="004A46B3"/>
    <w:rsid w:val="004A5D40"/>
    <w:rsid w:val="004A5F26"/>
    <w:rsid w:val="004A67BF"/>
    <w:rsid w:val="004A71EF"/>
    <w:rsid w:val="004A7791"/>
    <w:rsid w:val="004A7F8D"/>
    <w:rsid w:val="004B01AC"/>
    <w:rsid w:val="004B06A7"/>
    <w:rsid w:val="004B0781"/>
    <w:rsid w:val="004B12B4"/>
    <w:rsid w:val="004B165B"/>
    <w:rsid w:val="004B2E16"/>
    <w:rsid w:val="004B4BAE"/>
    <w:rsid w:val="004B56DA"/>
    <w:rsid w:val="004B589A"/>
    <w:rsid w:val="004B6352"/>
    <w:rsid w:val="004B7B9D"/>
    <w:rsid w:val="004B7D7F"/>
    <w:rsid w:val="004C0140"/>
    <w:rsid w:val="004C08F3"/>
    <w:rsid w:val="004C13E8"/>
    <w:rsid w:val="004C1CA7"/>
    <w:rsid w:val="004C1EDD"/>
    <w:rsid w:val="004C25F6"/>
    <w:rsid w:val="004C288C"/>
    <w:rsid w:val="004C2EF5"/>
    <w:rsid w:val="004C3BEA"/>
    <w:rsid w:val="004C4791"/>
    <w:rsid w:val="004C543D"/>
    <w:rsid w:val="004C6B15"/>
    <w:rsid w:val="004C732F"/>
    <w:rsid w:val="004D0B05"/>
    <w:rsid w:val="004D1182"/>
    <w:rsid w:val="004D197B"/>
    <w:rsid w:val="004D2665"/>
    <w:rsid w:val="004D27A4"/>
    <w:rsid w:val="004D2B5A"/>
    <w:rsid w:val="004D35FA"/>
    <w:rsid w:val="004D441C"/>
    <w:rsid w:val="004D4AD4"/>
    <w:rsid w:val="004D6685"/>
    <w:rsid w:val="004D74BE"/>
    <w:rsid w:val="004D761C"/>
    <w:rsid w:val="004D78EA"/>
    <w:rsid w:val="004D7C4A"/>
    <w:rsid w:val="004E019C"/>
    <w:rsid w:val="004E0268"/>
    <w:rsid w:val="004E0BC3"/>
    <w:rsid w:val="004E1741"/>
    <w:rsid w:val="004E18D0"/>
    <w:rsid w:val="004E1A62"/>
    <w:rsid w:val="004E36ED"/>
    <w:rsid w:val="004E3E85"/>
    <w:rsid w:val="004E420D"/>
    <w:rsid w:val="004E5357"/>
    <w:rsid w:val="004E6193"/>
    <w:rsid w:val="004E656E"/>
    <w:rsid w:val="004E6BEB"/>
    <w:rsid w:val="004E727C"/>
    <w:rsid w:val="004E7701"/>
    <w:rsid w:val="004E7A21"/>
    <w:rsid w:val="004F023E"/>
    <w:rsid w:val="004F0B2B"/>
    <w:rsid w:val="004F20F3"/>
    <w:rsid w:val="004F2CA0"/>
    <w:rsid w:val="004F430F"/>
    <w:rsid w:val="004F68B6"/>
    <w:rsid w:val="004F6E2A"/>
    <w:rsid w:val="004F71AD"/>
    <w:rsid w:val="00500AE2"/>
    <w:rsid w:val="0050158A"/>
    <w:rsid w:val="00501E4A"/>
    <w:rsid w:val="00502AB0"/>
    <w:rsid w:val="00502F83"/>
    <w:rsid w:val="0050339B"/>
    <w:rsid w:val="0050369D"/>
    <w:rsid w:val="00503C10"/>
    <w:rsid w:val="005044E5"/>
    <w:rsid w:val="0050520C"/>
    <w:rsid w:val="005053C8"/>
    <w:rsid w:val="00506F69"/>
    <w:rsid w:val="00507F78"/>
    <w:rsid w:val="005103E3"/>
    <w:rsid w:val="005114DF"/>
    <w:rsid w:val="00512A41"/>
    <w:rsid w:val="00512AA2"/>
    <w:rsid w:val="00513147"/>
    <w:rsid w:val="00513316"/>
    <w:rsid w:val="00513817"/>
    <w:rsid w:val="00514444"/>
    <w:rsid w:val="005173A4"/>
    <w:rsid w:val="0051793F"/>
    <w:rsid w:val="00517BD3"/>
    <w:rsid w:val="00520A3B"/>
    <w:rsid w:val="00520A84"/>
    <w:rsid w:val="00520C0E"/>
    <w:rsid w:val="0052171F"/>
    <w:rsid w:val="00521D6E"/>
    <w:rsid w:val="00521F3C"/>
    <w:rsid w:val="005227BF"/>
    <w:rsid w:val="00522FAD"/>
    <w:rsid w:val="0052365A"/>
    <w:rsid w:val="00523D7F"/>
    <w:rsid w:val="00524D65"/>
    <w:rsid w:val="005253ED"/>
    <w:rsid w:val="005259F8"/>
    <w:rsid w:val="00525B4D"/>
    <w:rsid w:val="005269BB"/>
    <w:rsid w:val="00526ADE"/>
    <w:rsid w:val="005271BF"/>
    <w:rsid w:val="0052799E"/>
    <w:rsid w:val="005309E7"/>
    <w:rsid w:val="00531A2A"/>
    <w:rsid w:val="00531C83"/>
    <w:rsid w:val="00532F96"/>
    <w:rsid w:val="00533673"/>
    <w:rsid w:val="00533A88"/>
    <w:rsid w:val="0053477E"/>
    <w:rsid w:val="005348E0"/>
    <w:rsid w:val="00535637"/>
    <w:rsid w:val="00535910"/>
    <w:rsid w:val="00536EB4"/>
    <w:rsid w:val="00537EB4"/>
    <w:rsid w:val="00540C9A"/>
    <w:rsid w:val="005433EF"/>
    <w:rsid w:val="0054392F"/>
    <w:rsid w:val="00544D25"/>
    <w:rsid w:val="00544FF5"/>
    <w:rsid w:val="005454EA"/>
    <w:rsid w:val="005465D7"/>
    <w:rsid w:val="00546F7D"/>
    <w:rsid w:val="00546FD9"/>
    <w:rsid w:val="00550671"/>
    <w:rsid w:val="005520B7"/>
    <w:rsid w:val="00552255"/>
    <w:rsid w:val="00553725"/>
    <w:rsid w:val="005545D5"/>
    <w:rsid w:val="005549A2"/>
    <w:rsid w:val="005557F2"/>
    <w:rsid w:val="00555BB5"/>
    <w:rsid w:val="00557634"/>
    <w:rsid w:val="0055775E"/>
    <w:rsid w:val="00560B6D"/>
    <w:rsid w:val="00561278"/>
    <w:rsid w:val="00562A90"/>
    <w:rsid w:val="00562B8C"/>
    <w:rsid w:val="00563AE0"/>
    <w:rsid w:val="00563B11"/>
    <w:rsid w:val="005640E3"/>
    <w:rsid w:val="00564455"/>
    <w:rsid w:val="0056497E"/>
    <w:rsid w:val="00564FF3"/>
    <w:rsid w:val="00565202"/>
    <w:rsid w:val="0056543C"/>
    <w:rsid w:val="0056598A"/>
    <w:rsid w:val="005670A8"/>
    <w:rsid w:val="005670E0"/>
    <w:rsid w:val="00567D21"/>
    <w:rsid w:val="00567F2B"/>
    <w:rsid w:val="00570FC5"/>
    <w:rsid w:val="00571318"/>
    <w:rsid w:val="0057195F"/>
    <w:rsid w:val="0057259D"/>
    <w:rsid w:val="005749AC"/>
    <w:rsid w:val="00574F77"/>
    <w:rsid w:val="00575025"/>
    <w:rsid w:val="00575A1C"/>
    <w:rsid w:val="0057706F"/>
    <w:rsid w:val="0057791C"/>
    <w:rsid w:val="00577D2F"/>
    <w:rsid w:val="00580AAE"/>
    <w:rsid w:val="00580CAC"/>
    <w:rsid w:val="00581CCF"/>
    <w:rsid w:val="00582059"/>
    <w:rsid w:val="00582CF0"/>
    <w:rsid w:val="00583D62"/>
    <w:rsid w:val="00583FFE"/>
    <w:rsid w:val="005840F9"/>
    <w:rsid w:val="005848E1"/>
    <w:rsid w:val="005861EA"/>
    <w:rsid w:val="00586A08"/>
    <w:rsid w:val="00587AA5"/>
    <w:rsid w:val="00590098"/>
    <w:rsid w:val="005907FF"/>
    <w:rsid w:val="00590B4F"/>
    <w:rsid w:val="00590C30"/>
    <w:rsid w:val="00593179"/>
    <w:rsid w:val="005942BC"/>
    <w:rsid w:val="00594625"/>
    <w:rsid w:val="0059582B"/>
    <w:rsid w:val="00595965"/>
    <w:rsid w:val="00595C92"/>
    <w:rsid w:val="005960A2"/>
    <w:rsid w:val="0059690C"/>
    <w:rsid w:val="00596951"/>
    <w:rsid w:val="00596CD0"/>
    <w:rsid w:val="00596F3C"/>
    <w:rsid w:val="00597244"/>
    <w:rsid w:val="00597489"/>
    <w:rsid w:val="00597C96"/>
    <w:rsid w:val="005A0DB5"/>
    <w:rsid w:val="005A1F59"/>
    <w:rsid w:val="005A2CD3"/>
    <w:rsid w:val="005A3D08"/>
    <w:rsid w:val="005A3E90"/>
    <w:rsid w:val="005A4234"/>
    <w:rsid w:val="005A4450"/>
    <w:rsid w:val="005A57E3"/>
    <w:rsid w:val="005A5CE6"/>
    <w:rsid w:val="005A6E71"/>
    <w:rsid w:val="005A7329"/>
    <w:rsid w:val="005B0278"/>
    <w:rsid w:val="005B0398"/>
    <w:rsid w:val="005B06AF"/>
    <w:rsid w:val="005B138B"/>
    <w:rsid w:val="005B14D8"/>
    <w:rsid w:val="005B17FA"/>
    <w:rsid w:val="005B1BCF"/>
    <w:rsid w:val="005B3CA7"/>
    <w:rsid w:val="005B48BE"/>
    <w:rsid w:val="005B4A09"/>
    <w:rsid w:val="005B56A9"/>
    <w:rsid w:val="005B5747"/>
    <w:rsid w:val="005B57C6"/>
    <w:rsid w:val="005B5F98"/>
    <w:rsid w:val="005B68F6"/>
    <w:rsid w:val="005B6D59"/>
    <w:rsid w:val="005B732C"/>
    <w:rsid w:val="005B7599"/>
    <w:rsid w:val="005C0498"/>
    <w:rsid w:val="005C1EB6"/>
    <w:rsid w:val="005C2194"/>
    <w:rsid w:val="005C2EAF"/>
    <w:rsid w:val="005C31C8"/>
    <w:rsid w:val="005C34A2"/>
    <w:rsid w:val="005C36E0"/>
    <w:rsid w:val="005C3EED"/>
    <w:rsid w:val="005C43DE"/>
    <w:rsid w:val="005C4EF5"/>
    <w:rsid w:val="005C510D"/>
    <w:rsid w:val="005C549B"/>
    <w:rsid w:val="005C5FF6"/>
    <w:rsid w:val="005C6EF4"/>
    <w:rsid w:val="005C724D"/>
    <w:rsid w:val="005C78ED"/>
    <w:rsid w:val="005C7EE8"/>
    <w:rsid w:val="005D26B7"/>
    <w:rsid w:val="005D32F3"/>
    <w:rsid w:val="005D362D"/>
    <w:rsid w:val="005D3F17"/>
    <w:rsid w:val="005D41B7"/>
    <w:rsid w:val="005D41E3"/>
    <w:rsid w:val="005D51D6"/>
    <w:rsid w:val="005D6611"/>
    <w:rsid w:val="005D6CD8"/>
    <w:rsid w:val="005D6E80"/>
    <w:rsid w:val="005E0292"/>
    <w:rsid w:val="005E06B5"/>
    <w:rsid w:val="005E1471"/>
    <w:rsid w:val="005E20BB"/>
    <w:rsid w:val="005E2209"/>
    <w:rsid w:val="005E327C"/>
    <w:rsid w:val="005E7005"/>
    <w:rsid w:val="005F0A08"/>
    <w:rsid w:val="005F1579"/>
    <w:rsid w:val="005F2DE7"/>
    <w:rsid w:val="005F446C"/>
    <w:rsid w:val="005F4522"/>
    <w:rsid w:val="005F4A9E"/>
    <w:rsid w:val="005F4B9F"/>
    <w:rsid w:val="005F5229"/>
    <w:rsid w:val="005F612A"/>
    <w:rsid w:val="005F62A7"/>
    <w:rsid w:val="005F6939"/>
    <w:rsid w:val="005F7D3A"/>
    <w:rsid w:val="005F7D65"/>
    <w:rsid w:val="00600150"/>
    <w:rsid w:val="006003AC"/>
    <w:rsid w:val="00600415"/>
    <w:rsid w:val="0060059D"/>
    <w:rsid w:val="00600AA5"/>
    <w:rsid w:val="00601EEB"/>
    <w:rsid w:val="006035B6"/>
    <w:rsid w:val="00604330"/>
    <w:rsid w:val="00604D21"/>
    <w:rsid w:val="0060524B"/>
    <w:rsid w:val="00605499"/>
    <w:rsid w:val="006056C6"/>
    <w:rsid w:val="00605C73"/>
    <w:rsid w:val="006065DD"/>
    <w:rsid w:val="00607025"/>
    <w:rsid w:val="0060761E"/>
    <w:rsid w:val="00607850"/>
    <w:rsid w:val="006078F6"/>
    <w:rsid w:val="0061053D"/>
    <w:rsid w:val="0061097D"/>
    <w:rsid w:val="00610C19"/>
    <w:rsid w:val="00610EBD"/>
    <w:rsid w:val="00611079"/>
    <w:rsid w:val="0061142C"/>
    <w:rsid w:val="006117AA"/>
    <w:rsid w:val="006121FA"/>
    <w:rsid w:val="0061319F"/>
    <w:rsid w:val="0061377B"/>
    <w:rsid w:val="006137AB"/>
    <w:rsid w:val="0061428E"/>
    <w:rsid w:val="00614981"/>
    <w:rsid w:val="00614EC5"/>
    <w:rsid w:val="0061656A"/>
    <w:rsid w:val="00617D03"/>
    <w:rsid w:val="006208CB"/>
    <w:rsid w:val="00620D0B"/>
    <w:rsid w:val="00621297"/>
    <w:rsid w:val="00621F84"/>
    <w:rsid w:val="006227A6"/>
    <w:rsid w:val="00623306"/>
    <w:rsid w:val="00623E73"/>
    <w:rsid w:val="00625248"/>
    <w:rsid w:val="00625877"/>
    <w:rsid w:val="00625FFC"/>
    <w:rsid w:val="0063004E"/>
    <w:rsid w:val="006301A9"/>
    <w:rsid w:val="006302B5"/>
    <w:rsid w:val="00633260"/>
    <w:rsid w:val="00633AC9"/>
    <w:rsid w:val="0063416B"/>
    <w:rsid w:val="00634515"/>
    <w:rsid w:val="0063502C"/>
    <w:rsid w:val="00635926"/>
    <w:rsid w:val="00635C5A"/>
    <w:rsid w:val="00635F6D"/>
    <w:rsid w:val="00635F72"/>
    <w:rsid w:val="006360E0"/>
    <w:rsid w:val="0063612A"/>
    <w:rsid w:val="00636BDF"/>
    <w:rsid w:val="00637364"/>
    <w:rsid w:val="00637D90"/>
    <w:rsid w:val="006405DF"/>
    <w:rsid w:val="006408CA"/>
    <w:rsid w:val="0064155B"/>
    <w:rsid w:val="00644467"/>
    <w:rsid w:val="006445E8"/>
    <w:rsid w:val="00645FA1"/>
    <w:rsid w:val="00646267"/>
    <w:rsid w:val="0064626A"/>
    <w:rsid w:val="00646D47"/>
    <w:rsid w:val="00647853"/>
    <w:rsid w:val="00647A1C"/>
    <w:rsid w:val="00647CA3"/>
    <w:rsid w:val="00647F38"/>
    <w:rsid w:val="00650B64"/>
    <w:rsid w:val="00652E79"/>
    <w:rsid w:val="00653B96"/>
    <w:rsid w:val="00653BC2"/>
    <w:rsid w:val="00654083"/>
    <w:rsid w:val="00654446"/>
    <w:rsid w:val="00654B81"/>
    <w:rsid w:val="00654F7A"/>
    <w:rsid w:val="00655AC6"/>
    <w:rsid w:val="00656582"/>
    <w:rsid w:val="00656A79"/>
    <w:rsid w:val="00656FAD"/>
    <w:rsid w:val="00657169"/>
    <w:rsid w:val="006578AD"/>
    <w:rsid w:val="00657F98"/>
    <w:rsid w:val="006601B7"/>
    <w:rsid w:val="006607D0"/>
    <w:rsid w:val="006608F5"/>
    <w:rsid w:val="00661124"/>
    <w:rsid w:val="006614D6"/>
    <w:rsid w:val="00661A1A"/>
    <w:rsid w:val="00661D37"/>
    <w:rsid w:val="006623D8"/>
    <w:rsid w:val="006625E3"/>
    <w:rsid w:val="006627D9"/>
    <w:rsid w:val="00664607"/>
    <w:rsid w:val="006647FB"/>
    <w:rsid w:val="006648D9"/>
    <w:rsid w:val="00664C20"/>
    <w:rsid w:val="00664D5B"/>
    <w:rsid w:val="00664FC5"/>
    <w:rsid w:val="00665225"/>
    <w:rsid w:val="006654C7"/>
    <w:rsid w:val="0066579E"/>
    <w:rsid w:val="00666184"/>
    <w:rsid w:val="006672D1"/>
    <w:rsid w:val="006673B2"/>
    <w:rsid w:val="006674E1"/>
    <w:rsid w:val="00667C53"/>
    <w:rsid w:val="00667E9B"/>
    <w:rsid w:val="00670D34"/>
    <w:rsid w:val="00671438"/>
    <w:rsid w:val="00671C95"/>
    <w:rsid w:val="0067479F"/>
    <w:rsid w:val="00674978"/>
    <w:rsid w:val="00676117"/>
    <w:rsid w:val="0067623E"/>
    <w:rsid w:val="0067681B"/>
    <w:rsid w:val="0067695B"/>
    <w:rsid w:val="00676CE9"/>
    <w:rsid w:val="00677745"/>
    <w:rsid w:val="006779B8"/>
    <w:rsid w:val="00677BF1"/>
    <w:rsid w:val="006802EE"/>
    <w:rsid w:val="00680325"/>
    <w:rsid w:val="006833FF"/>
    <w:rsid w:val="006839D1"/>
    <w:rsid w:val="00683ACF"/>
    <w:rsid w:val="00683ED5"/>
    <w:rsid w:val="00684D63"/>
    <w:rsid w:val="00684DC9"/>
    <w:rsid w:val="00685994"/>
    <w:rsid w:val="00687E6C"/>
    <w:rsid w:val="0069016C"/>
    <w:rsid w:val="0069279A"/>
    <w:rsid w:val="006940FA"/>
    <w:rsid w:val="00694615"/>
    <w:rsid w:val="00694664"/>
    <w:rsid w:val="006964BF"/>
    <w:rsid w:val="00696DA2"/>
    <w:rsid w:val="00696E87"/>
    <w:rsid w:val="006976D3"/>
    <w:rsid w:val="006A01C2"/>
    <w:rsid w:val="006A0458"/>
    <w:rsid w:val="006A1E06"/>
    <w:rsid w:val="006A2549"/>
    <w:rsid w:val="006A2997"/>
    <w:rsid w:val="006A481A"/>
    <w:rsid w:val="006A4A62"/>
    <w:rsid w:val="006A4E02"/>
    <w:rsid w:val="006A6B4A"/>
    <w:rsid w:val="006A7670"/>
    <w:rsid w:val="006A7AD1"/>
    <w:rsid w:val="006B0008"/>
    <w:rsid w:val="006B0E0B"/>
    <w:rsid w:val="006B0E9A"/>
    <w:rsid w:val="006B18D9"/>
    <w:rsid w:val="006B1F04"/>
    <w:rsid w:val="006B2752"/>
    <w:rsid w:val="006B3CBE"/>
    <w:rsid w:val="006B4069"/>
    <w:rsid w:val="006B437E"/>
    <w:rsid w:val="006B4C97"/>
    <w:rsid w:val="006B4ED9"/>
    <w:rsid w:val="006B569C"/>
    <w:rsid w:val="006B5C2A"/>
    <w:rsid w:val="006B66D0"/>
    <w:rsid w:val="006B7563"/>
    <w:rsid w:val="006C039E"/>
    <w:rsid w:val="006C0DE7"/>
    <w:rsid w:val="006C15EF"/>
    <w:rsid w:val="006C1EC4"/>
    <w:rsid w:val="006C2ABB"/>
    <w:rsid w:val="006C3591"/>
    <w:rsid w:val="006C3975"/>
    <w:rsid w:val="006C3B9A"/>
    <w:rsid w:val="006C3F77"/>
    <w:rsid w:val="006C4537"/>
    <w:rsid w:val="006C46DA"/>
    <w:rsid w:val="006C4E66"/>
    <w:rsid w:val="006C52C8"/>
    <w:rsid w:val="006C5ADB"/>
    <w:rsid w:val="006C6374"/>
    <w:rsid w:val="006C6EE1"/>
    <w:rsid w:val="006C7B5A"/>
    <w:rsid w:val="006D1101"/>
    <w:rsid w:val="006D3862"/>
    <w:rsid w:val="006D3F8D"/>
    <w:rsid w:val="006D5187"/>
    <w:rsid w:val="006D51EB"/>
    <w:rsid w:val="006D543A"/>
    <w:rsid w:val="006D54D3"/>
    <w:rsid w:val="006D575C"/>
    <w:rsid w:val="006D5E4C"/>
    <w:rsid w:val="006D5EC6"/>
    <w:rsid w:val="006D7347"/>
    <w:rsid w:val="006D73BA"/>
    <w:rsid w:val="006D7788"/>
    <w:rsid w:val="006D78F0"/>
    <w:rsid w:val="006D7E74"/>
    <w:rsid w:val="006E0B67"/>
    <w:rsid w:val="006E24FE"/>
    <w:rsid w:val="006E26E9"/>
    <w:rsid w:val="006E2879"/>
    <w:rsid w:val="006E2A42"/>
    <w:rsid w:val="006E3C48"/>
    <w:rsid w:val="006E42B6"/>
    <w:rsid w:val="006E5249"/>
    <w:rsid w:val="006E53E6"/>
    <w:rsid w:val="006E69E7"/>
    <w:rsid w:val="006F0202"/>
    <w:rsid w:val="006F032B"/>
    <w:rsid w:val="006F12E9"/>
    <w:rsid w:val="006F1413"/>
    <w:rsid w:val="006F1FCE"/>
    <w:rsid w:val="006F32D6"/>
    <w:rsid w:val="006F42DD"/>
    <w:rsid w:val="006F4BC1"/>
    <w:rsid w:val="006F55A0"/>
    <w:rsid w:val="006F5976"/>
    <w:rsid w:val="006F6783"/>
    <w:rsid w:val="006F6D2A"/>
    <w:rsid w:val="006F70CA"/>
    <w:rsid w:val="006F74B4"/>
    <w:rsid w:val="00700B5D"/>
    <w:rsid w:val="00701842"/>
    <w:rsid w:val="0070326E"/>
    <w:rsid w:val="0070406C"/>
    <w:rsid w:val="00704BF1"/>
    <w:rsid w:val="00705254"/>
    <w:rsid w:val="00705718"/>
    <w:rsid w:val="007058C9"/>
    <w:rsid w:val="00705B6C"/>
    <w:rsid w:val="007071CB"/>
    <w:rsid w:val="00707B6B"/>
    <w:rsid w:val="00707FEE"/>
    <w:rsid w:val="00710454"/>
    <w:rsid w:val="00710875"/>
    <w:rsid w:val="00712082"/>
    <w:rsid w:val="00712ED9"/>
    <w:rsid w:val="00713463"/>
    <w:rsid w:val="00714B64"/>
    <w:rsid w:val="00714DF7"/>
    <w:rsid w:val="00716282"/>
    <w:rsid w:val="00716319"/>
    <w:rsid w:val="00717133"/>
    <w:rsid w:val="007171FD"/>
    <w:rsid w:val="007179DD"/>
    <w:rsid w:val="00717F5F"/>
    <w:rsid w:val="00720C7F"/>
    <w:rsid w:val="00721DCD"/>
    <w:rsid w:val="007224C9"/>
    <w:rsid w:val="00722734"/>
    <w:rsid w:val="00724588"/>
    <w:rsid w:val="0072475D"/>
    <w:rsid w:val="00724995"/>
    <w:rsid w:val="00724DE7"/>
    <w:rsid w:val="00725BB6"/>
    <w:rsid w:val="007261AB"/>
    <w:rsid w:val="00726CB6"/>
    <w:rsid w:val="00726DFA"/>
    <w:rsid w:val="00727512"/>
    <w:rsid w:val="0072767B"/>
    <w:rsid w:val="00730688"/>
    <w:rsid w:val="00732F7F"/>
    <w:rsid w:val="0073328B"/>
    <w:rsid w:val="007332FA"/>
    <w:rsid w:val="00735882"/>
    <w:rsid w:val="00735E14"/>
    <w:rsid w:val="00740564"/>
    <w:rsid w:val="00740EDA"/>
    <w:rsid w:val="00741C3F"/>
    <w:rsid w:val="0074205E"/>
    <w:rsid w:val="00743051"/>
    <w:rsid w:val="0074347C"/>
    <w:rsid w:val="007436A2"/>
    <w:rsid w:val="00743934"/>
    <w:rsid w:val="00743CE5"/>
    <w:rsid w:val="00743F0D"/>
    <w:rsid w:val="00744250"/>
    <w:rsid w:val="007447DC"/>
    <w:rsid w:val="00744B0D"/>
    <w:rsid w:val="00744B8D"/>
    <w:rsid w:val="00744C7C"/>
    <w:rsid w:val="00744CAC"/>
    <w:rsid w:val="00745383"/>
    <w:rsid w:val="007455B7"/>
    <w:rsid w:val="00746450"/>
    <w:rsid w:val="00746531"/>
    <w:rsid w:val="007503C4"/>
    <w:rsid w:val="00750FA4"/>
    <w:rsid w:val="007517BE"/>
    <w:rsid w:val="00751C87"/>
    <w:rsid w:val="00752062"/>
    <w:rsid w:val="0075421F"/>
    <w:rsid w:val="00754737"/>
    <w:rsid w:val="007557A8"/>
    <w:rsid w:val="00756477"/>
    <w:rsid w:val="00756C2B"/>
    <w:rsid w:val="00756F0E"/>
    <w:rsid w:val="007578FD"/>
    <w:rsid w:val="00757990"/>
    <w:rsid w:val="0076136D"/>
    <w:rsid w:val="007618A7"/>
    <w:rsid w:val="00761DAE"/>
    <w:rsid w:val="00762952"/>
    <w:rsid w:val="00765377"/>
    <w:rsid w:val="00765850"/>
    <w:rsid w:val="007662AE"/>
    <w:rsid w:val="007665C4"/>
    <w:rsid w:val="00767BB5"/>
    <w:rsid w:val="00770843"/>
    <w:rsid w:val="00771116"/>
    <w:rsid w:val="00771D31"/>
    <w:rsid w:val="00773D57"/>
    <w:rsid w:val="007741A0"/>
    <w:rsid w:val="0077520D"/>
    <w:rsid w:val="007752AC"/>
    <w:rsid w:val="00775B19"/>
    <w:rsid w:val="00775F9D"/>
    <w:rsid w:val="0077670B"/>
    <w:rsid w:val="007767DD"/>
    <w:rsid w:val="007774EA"/>
    <w:rsid w:val="007775A8"/>
    <w:rsid w:val="007777C4"/>
    <w:rsid w:val="0077783D"/>
    <w:rsid w:val="00777FC4"/>
    <w:rsid w:val="00780350"/>
    <w:rsid w:val="0078103F"/>
    <w:rsid w:val="00782566"/>
    <w:rsid w:val="007831DD"/>
    <w:rsid w:val="00783530"/>
    <w:rsid w:val="00783880"/>
    <w:rsid w:val="0078462E"/>
    <w:rsid w:val="00784FFD"/>
    <w:rsid w:val="007852A9"/>
    <w:rsid w:val="00785DF3"/>
    <w:rsid w:val="00786646"/>
    <w:rsid w:val="00786C49"/>
    <w:rsid w:val="00787727"/>
    <w:rsid w:val="0079082E"/>
    <w:rsid w:val="00792A7F"/>
    <w:rsid w:val="00793698"/>
    <w:rsid w:val="00793A50"/>
    <w:rsid w:val="00793B21"/>
    <w:rsid w:val="00793E91"/>
    <w:rsid w:val="00794445"/>
    <w:rsid w:val="007947D7"/>
    <w:rsid w:val="007955DC"/>
    <w:rsid w:val="0079665D"/>
    <w:rsid w:val="00796AED"/>
    <w:rsid w:val="00797F2B"/>
    <w:rsid w:val="00797F39"/>
    <w:rsid w:val="007A0C69"/>
    <w:rsid w:val="007A0E2F"/>
    <w:rsid w:val="007A0E44"/>
    <w:rsid w:val="007A1378"/>
    <w:rsid w:val="007A26E9"/>
    <w:rsid w:val="007A2F26"/>
    <w:rsid w:val="007A3A65"/>
    <w:rsid w:val="007A4F3A"/>
    <w:rsid w:val="007A554C"/>
    <w:rsid w:val="007A58C8"/>
    <w:rsid w:val="007A5E9D"/>
    <w:rsid w:val="007A5F54"/>
    <w:rsid w:val="007A74E8"/>
    <w:rsid w:val="007B100A"/>
    <w:rsid w:val="007B226B"/>
    <w:rsid w:val="007B336B"/>
    <w:rsid w:val="007B3403"/>
    <w:rsid w:val="007B3802"/>
    <w:rsid w:val="007B3E70"/>
    <w:rsid w:val="007B4244"/>
    <w:rsid w:val="007B4494"/>
    <w:rsid w:val="007B51AB"/>
    <w:rsid w:val="007B5969"/>
    <w:rsid w:val="007B7E42"/>
    <w:rsid w:val="007C0632"/>
    <w:rsid w:val="007C0E02"/>
    <w:rsid w:val="007C190B"/>
    <w:rsid w:val="007C2FC0"/>
    <w:rsid w:val="007C3983"/>
    <w:rsid w:val="007C4192"/>
    <w:rsid w:val="007C461B"/>
    <w:rsid w:val="007C5537"/>
    <w:rsid w:val="007C5B2D"/>
    <w:rsid w:val="007C664E"/>
    <w:rsid w:val="007C7D4F"/>
    <w:rsid w:val="007C7E3D"/>
    <w:rsid w:val="007D0585"/>
    <w:rsid w:val="007D08E7"/>
    <w:rsid w:val="007D0939"/>
    <w:rsid w:val="007D190F"/>
    <w:rsid w:val="007D31EE"/>
    <w:rsid w:val="007D3325"/>
    <w:rsid w:val="007D3A35"/>
    <w:rsid w:val="007D4482"/>
    <w:rsid w:val="007D48F4"/>
    <w:rsid w:val="007D4961"/>
    <w:rsid w:val="007D53F6"/>
    <w:rsid w:val="007D58E0"/>
    <w:rsid w:val="007D5ADD"/>
    <w:rsid w:val="007D602B"/>
    <w:rsid w:val="007D631E"/>
    <w:rsid w:val="007D6615"/>
    <w:rsid w:val="007D73BD"/>
    <w:rsid w:val="007D7847"/>
    <w:rsid w:val="007E038E"/>
    <w:rsid w:val="007E07F7"/>
    <w:rsid w:val="007E16E5"/>
    <w:rsid w:val="007E1BD0"/>
    <w:rsid w:val="007E2082"/>
    <w:rsid w:val="007E2F1C"/>
    <w:rsid w:val="007E3270"/>
    <w:rsid w:val="007E37D1"/>
    <w:rsid w:val="007E39BB"/>
    <w:rsid w:val="007E45D4"/>
    <w:rsid w:val="007E5FDE"/>
    <w:rsid w:val="007E6E10"/>
    <w:rsid w:val="007E6F5D"/>
    <w:rsid w:val="007F0E64"/>
    <w:rsid w:val="007F17CD"/>
    <w:rsid w:val="007F1E54"/>
    <w:rsid w:val="007F22F6"/>
    <w:rsid w:val="007F3676"/>
    <w:rsid w:val="007F378F"/>
    <w:rsid w:val="007F4E88"/>
    <w:rsid w:val="007F6042"/>
    <w:rsid w:val="007F641C"/>
    <w:rsid w:val="007F78F0"/>
    <w:rsid w:val="008009EF"/>
    <w:rsid w:val="00800BAE"/>
    <w:rsid w:val="008011B5"/>
    <w:rsid w:val="0080212F"/>
    <w:rsid w:val="008029C9"/>
    <w:rsid w:val="00802C46"/>
    <w:rsid w:val="00802F21"/>
    <w:rsid w:val="00802F78"/>
    <w:rsid w:val="00803B0A"/>
    <w:rsid w:val="00803C4A"/>
    <w:rsid w:val="0080453A"/>
    <w:rsid w:val="0080505B"/>
    <w:rsid w:val="00805068"/>
    <w:rsid w:val="008051B8"/>
    <w:rsid w:val="00806003"/>
    <w:rsid w:val="00806019"/>
    <w:rsid w:val="0080672A"/>
    <w:rsid w:val="00807B69"/>
    <w:rsid w:val="008101B1"/>
    <w:rsid w:val="0081076A"/>
    <w:rsid w:val="00810961"/>
    <w:rsid w:val="0081160C"/>
    <w:rsid w:val="00812D2D"/>
    <w:rsid w:val="00812D44"/>
    <w:rsid w:val="00813C36"/>
    <w:rsid w:val="00813CE3"/>
    <w:rsid w:val="0081416B"/>
    <w:rsid w:val="00814A13"/>
    <w:rsid w:val="00814C19"/>
    <w:rsid w:val="00814D58"/>
    <w:rsid w:val="008150F1"/>
    <w:rsid w:val="00815AD2"/>
    <w:rsid w:val="00816600"/>
    <w:rsid w:val="008166FA"/>
    <w:rsid w:val="00816750"/>
    <w:rsid w:val="0081692E"/>
    <w:rsid w:val="00817685"/>
    <w:rsid w:val="008205E6"/>
    <w:rsid w:val="008211DA"/>
    <w:rsid w:val="008213E7"/>
    <w:rsid w:val="00821C02"/>
    <w:rsid w:val="008231FE"/>
    <w:rsid w:val="00824733"/>
    <w:rsid w:val="0082480B"/>
    <w:rsid w:val="00824963"/>
    <w:rsid w:val="00824CBE"/>
    <w:rsid w:val="008252E3"/>
    <w:rsid w:val="0082624C"/>
    <w:rsid w:val="00830E6D"/>
    <w:rsid w:val="008326C8"/>
    <w:rsid w:val="00832CA5"/>
    <w:rsid w:val="0083342A"/>
    <w:rsid w:val="00834207"/>
    <w:rsid w:val="008354C8"/>
    <w:rsid w:val="008358F8"/>
    <w:rsid w:val="008360DE"/>
    <w:rsid w:val="00837441"/>
    <w:rsid w:val="00840622"/>
    <w:rsid w:val="00841236"/>
    <w:rsid w:val="0084201A"/>
    <w:rsid w:val="008425F8"/>
    <w:rsid w:val="00842A2F"/>
    <w:rsid w:val="0084441B"/>
    <w:rsid w:val="00844959"/>
    <w:rsid w:val="008454E1"/>
    <w:rsid w:val="00845B24"/>
    <w:rsid w:val="0084670C"/>
    <w:rsid w:val="00846EF6"/>
    <w:rsid w:val="008475FC"/>
    <w:rsid w:val="00847A5F"/>
    <w:rsid w:val="00850CBC"/>
    <w:rsid w:val="008518C0"/>
    <w:rsid w:val="00852368"/>
    <w:rsid w:val="008530BB"/>
    <w:rsid w:val="008537CB"/>
    <w:rsid w:val="0085396B"/>
    <w:rsid w:val="00853D23"/>
    <w:rsid w:val="00854F8C"/>
    <w:rsid w:val="00855AE7"/>
    <w:rsid w:val="00856566"/>
    <w:rsid w:val="00856C2C"/>
    <w:rsid w:val="00856D8F"/>
    <w:rsid w:val="008574FD"/>
    <w:rsid w:val="008621B8"/>
    <w:rsid w:val="00862362"/>
    <w:rsid w:val="00862D58"/>
    <w:rsid w:val="00863CD3"/>
    <w:rsid w:val="00863E75"/>
    <w:rsid w:val="008648B4"/>
    <w:rsid w:val="00864AD8"/>
    <w:rsid w:val="00864EE8"/>
    <w:rsid w:val="0086541A"/>
    <w:rsid w:val="008658B1"/>
    <w:rsid w:val="008667FF"/>
    <w:rsid w:val="00866CE5"/>
    <w:rsid w:val="00867928"/>
    <w:rsid w:val="008711FD"/>
    <w:rsid w:val="008712EE"/>
    <w:rsid w:val="0087154B"/>
    <w:rsid w:val="00871582"/>
    <w:rsid w:val="00872B4A"/>
    <w:rsid w:val="00873636"/>
    <w:rsid w:val="0087367C"/>
    <w:rsid w:val="00874532"/>
    <w:rsid w:val="00874FC5"/>
    <w:rsid w:val="00875728"/>
    <w:rsid w:val="00876003"/>
    <w:rsid w:val="00876115"/>
    <w:rsid w:val="0087685B"/>
    <w:rsid w:val="00876DDE"/>
    <w:rsid w:val="0088016D"/>
    <w:rsid w:val="00882048"/>
    <w:rsid w:val="00882D97"/>
    <w:rsid w:val="0088322B"/>
    <w:rsid w:val="00883277"/>
    <w:rsid w:val="008837E7"/>
    <w:rsid w:val="0088429E"/>
    <w:rsid w:val="008844B9"/>
    <w:rsid w:val="008847AB"/>
    <w:rsid w:val="00884D33"/>
    <w:rsid w:val="008863D1"/>
    <w:rsid w:val="00890422"/>
    <w:rsid w:val="00891085"/>
    <w:rsid w:val="0089146B"/>
    <w:rsid w:val="00892057"/>
    <w:rsid w:val="0089256E"/>
    <w:rsid w:val="008927BB"/>
    <w:rsid w:val="0089304F"/>
    <w:rsid w:val="0089315A"/>
    <w:rsid w:val="0089509C"/>
    <w:rsid w:val="0089557C"/>
    <w:rsid w:val="0089599E"/>
    <w:rsid w:val="00896080"/>
    <w:rsid w:val="00896C71"/>
    <w:rsid w:val="0089714E"/>
    <w:rsid w:val="00897353"/>
    <w:rsid w:val="00897AC4"/>
    <w:rsid w:val="008A0163"/>
    <w:rsid w:val="008A1723"/>
    <w:rsid w:val="008A1DA1"/>
    <w:rsid w:val="008A201D"/>
    <w:rsid w:val="008A2CC5"/>
    <w:rsid w:val="008A2D5E"/>
    <w:rsid w:val="008A43ED"/>
    <w:rsid w:val="008A43F4"/>
    <w:rsid w:val="008A4468"/>
    <w:rsid w:val="008A44F7"/>
    <w:rsid w:val="008A4AE6"/>
    <w:rsid w:val="008A4EE3"/>
    <w:rsid w:val="008A5176"/>
    <w:rsid w:val="008A5186"/>
    <w:rsid w:val="008A6285"/>
    <w:rsid w:val="008A653A"/>
    <w:rsid w:val="008A67F6"/>
    <w:rsid w:val="008A6C9D"/>
    <w:rsid w:val="008A7254"/>
    <w:rsid w:val="008A7D55"/>
    <w:rsid w:val="008B0855"/>
    <w:rsid w:val="008B17DD"/>
    <w:rsid w:val="008B1871"/>
    <w:rsid w:val="008B3D97"/>
    <w:rsid w:val="008B4506"/>
    <w:rsid w:val="008B5238"/>
    <w:rsid w:val="008B537C"/>
    <w:rsid w:val="008B5BD9"/>
    <w:rsid w:val="008B7CB9"/>
    <w:rsid w:val="008C0B5A"/>
    <w:rsid w:val="008C0D1A"/>
    <w:rsid w:val="008C0D95"/>
    <w:rsid w:val="008C1ACC"/>
    <w:rsid w:val="008C2783"/>
    <w:rsid w:val="008C2CF0"/>
    <w:rsid w:val="008C3357"/>
    <w:rsid w:val="008C3446"/>
    <w:rsid w:val="008C35B2"/>
    <w:rsid w:val="008C3CFA"/>
    <w:rsid w:val="008C4827"/>
    <w:rsid w:val="008C4EFA"/>
    <w:rsid w:val="008C54A0"/>
    <w:rsid w:val="008C5A06"/>
    <w:rsid w:val="008C5D18"/>
    <w:rsid w:val="008C606A"/>
    <w:rsid w:val="008C6104"/>
    <w:rsid w:val="008C671A"/>
    <w:rsid w:val="008C767F"/>
    <w:rsid w:val="008D14CB"/>
    <w:rsid w:val="008D14EA"/>
    <w:rsid w:val="008D1C11"/>
    <w:rsid w:val="008D333B"/>
    <w:rsid w:val="008D34A0"/>
    <w:rsid w:val="008D38A9"/>
    <w:rsid w:val="008D3D6E"/>
    <w:rsid w:val="008D4553"/>
    <w:rsid w:val="008D5C22"/>
    <w:rsid w:val="008D5E0C"/>
    <w:rsid w:val="008D6345"/>
    <w:rsid w:val="008D670E"/>
    <w:rsid w:val="008D6923"/>
    <w:rsid w:val="008D6ED7"/>
    <w:rsid w:val="008D7589"/>
    <w:rsid w:val="008D7CB9"/>
    <w:rsid w:val="008E01F8"/>
    <w:rsid w:val="008E1FAD"/>
    <w:rsid w:val="008E20CD"/>
    <w:rsid w:val="008E3F2B"/>
    <w:rsid w:val="008E458E"/>
    <w:rsid w:val="008E4932"/>
    <w:rsid w:val="008E4CF7"/>
    <w:rsid w:val="008E57EB"/>
    <w:rsid w:val="008E6504"/>
    <w:rsid w:val="008E72F5"/>
    <w:rsid w:val="008E77A2"/>
    <w:rsid w:val="008F0717"/>
    <w:rsid w:val="008F248F"/>
    <w:rsid w:val="008F2FC9"/>
    <w:rsid w:val="008F307F"/>
    <w:rsid w:val="008F32AD"/>
    <w:rsid w:val="008F39AD"/>
    <w:rsid w:val="008F5DAF"/>
    <w:rsid w:val="008F5DF8"/>
    <w:rsid w:val="008F629D"/>
    <w:rsid w:val="008F6795"/>
    <w:rsid w:val="008F7468"/>
    <w:rsid w:val="0090069E"/>
    <w:rsid w:val="00900C3E"/>
    <w:rsid w:val="00901E06"/>
    <w:rsid w:val="00901E1D"/>
    <w:rsid w:val="009025EC"/>
    <w:rsid w:val="00904172"/>
    <w:rsid w:val="00904BDA"/>
    <w:rsid w:val="00904F92"/>
    <w:rsid w:val="0090565B"/>
    <w:rsid w:val="00905E6A"/>
    <w:rsid w:val="0090778D"/>
    <w:rsid w:val="0091008F"/>
    <w:rsid w:val="00910898"/>
    <w:rsid w:val="0091092D"/>
    <w:rsid w:val="009111BF"/>
    <w:rsid w:val="0091192F"/>
    <w:rsid w:val="009126C8"/>
    <w:rsid w:val="00913287"/>
    <w:rsid w:val="0091368A"/>
    <w:rsid w:val="009137C5"/>
    <w:rsid w:val="00913B5E"/>
    <w:rsid w:val="00913E5F"/>
    <w:rsid w:val="0091576D"/>
    <w:rsid w:val="009158F1"/>
    <w:rsid w:val="00916FC1"/>
    <w:rsid w:val="009217A3"/>
    <w:rsid w:val="009237B4"/>
    <w:rsid w:val="00926274"/>
    <w:rsid w:val="00926528"/>
    <w:rsid w:val="009301D6"/>
    <w:rsid w:val="00930EC1"/>
    <w:rsid w:val="00931426"/>
    <w:rsid w:val="0093196A"/>
    <w:rsid w:val="009337F3"/>
    <w:rsid w:val="00934392"/>
    <w:rsid w:val="009351FD"/>
    <w:rsid w:val="00935EC2"/>
    <w:rsid w:val="0093633C"/>
    <w:rsid w:val="0093651C"/>
    <w:rsid w:val="0093695D"/>
    <w:rsid w:val="009373C0"/>
    <w:rsid w:val="0093794D"/>
    <w:rsid w:val="00940201"/>
    <w:rsid w:val="009409B6"/>
    <w:rsid w:val="00940AB0"/>
    <w:rsid w:val="009425AB"/>
    <w:rsid w:val="00942C25"/>
    <w:rsid w:val="0094361C"/>
    <w:rsid w:val="00943C5E"/>
    <w:rsid w:val="00943EC2"/>
    <w:rsid w:val="009442B9"/>
    <w:rsid w:val="00945233"/>
    <w:rsid w:val="009464F3"/>
    <w:rsid w:val="00946892"/>
    <w:rsid w:val="00946AB3"/>
    <w:rsid w:val="0094710B"/>
    <w:rsid w:val="0094745B"/>
    <w:rsid w:val="00947E4C"/>
    <w:rsid w:val="009507EA"/>
    <w:rsid w:val="00951E73"/>
    <w:rsid w:val="009520B0"/>
    <w:rsid w:val="009524A5"/>
    <w:rsid w:val="00952543"/>
    <w:rsid w:val="009527AE"/>
    <w:rsid w:val="00952935"/>
    <w:rsid w:val="009547A5"/>
    <w:rsid w:val="009550C7"/>
    <w:rsid w:val="00955295"/>
    <w:rsid w:val="00957142"/>
    <w:rsid w:val="00957953"/>
    <w:rsid w:val="0096085D"/>
    <w:rsid w:val="00960A15"/>
    <w:rsid w:val="00960B5C"/>
    <w:rsid w:val="0096164F"/>
    <w:rsid w:val="00961EE2"/>
    <w:rsid w:val="00962E7A"/>
    <w:rsid w:val="00962EAC"/>
    <w:rsid w:val="0096378D"/>
    <w:rsid w:val="0096380D"/>
    <w:rsid w:val="009642B5"/>
    <w:rsid w:val="009668E1"/>
    <w:rsid w:val="00966C0D"/>
    <w:rsid w:val="009673E9"/>
    <w:rsid w:val="00972864"/>
    <w:rsid w:val="00972D91"/>
    <w:rsid w:val="00972EA8"/>
    <w:rsid w:val="009730EB"/>
    <w:rsid w:val="00973AA0"/>
    <w:rsid w:val="00973B6C"/>
    <w:rsid w:val="00973F1C"/>
    <w:rsid w:val="0097685F"/>
    <w:rsid w:val="00976C09"/>
    <w:rsid w:val="00976E75"/>
    <w:rsid w:val="009774AF"/>
    <w:rsid w:val="00977501"/>
    <w:rsid w:val="00980247"/>
    <w:rsid w:val="0098143C"/>
    <w:rsid w:val="009823CE"/>
    <w:rsid w:val="0098316A"/>
    <w:rsid w:val="009832A7"/>
    <w:rsid w:val="00983B95"/>
    <w:rsid w:val="00985AF8"/>
    <w:rsid w:val="00986CB2"/>
    <w:rsid w:val="009908A3"/>
    <w:rsid w:val="00994AF2"/>
    <w:rsid w:val="00995D64"/>
    <w:rsid w:val="0099746C"/>
    <w:rsid w:val="009A2A5E"/>
    <w:rsid w:val="009A2B48"/>
    <w:rsid w:val="009A2FDA"/>
    <w:rsid w:val="009A3463"/>
    <w:rsid w:val="009A4266"/>
    <w:rsid w:val="009A4794"/>
    <w:rsid w:val="009A4A70"/>
    <w:rsid w:val="009A4E12"/>
    <w:rsid w:val="009A4EE9"/>
    <w:rsid w:val="009A4F6B"/>
    <w:rsid w:val="009A508C"/>
    <w:rsid w:val="009A50EA"/>
    <w:rsid w:val="009A5596"/>
    <w:rsid w:val="009A5744"/>
    <w:rsid w:val="009A5AC8"/>
    <w:rsid w:val="009A73B4"/>
    <w:rsid w:val="009B08E7"/>
    <w:rsid w:val="009B14FD"/>
    <w:rsid w:val="009B3B7D"/>
    <w:rsid w:val="009B5BBF"/>
    <w:rsid w:val="009B6633"/>
    <w:rsid w:val="009C026F"/>
    <w:rsid w:val="009C04E0"/>
    <w:rsid w:val="009C099B"/>
    <w:rsid w:val="009C150F"/>
    <w:rsid w:val="009C202F"/>
    <w:rsid w:val="009C273C"/>
    <w:rsid w:val="009C2CCF"/>
    <w:rsid w:val="009C3A03"/>
    <w:rsid w:val="009C4C14"/>
    <w:rsid w:val="009C5B56"/>
    <w:rsid w:val="009C6041"/>
    <w:rsid w:val="009C6302"/>
    <w:rsid w:val="009C654B"/>
    <w:rsid w:val="009C76FC"/>
    <w:rsid w:val="009D012F"/>
    <w:rsid w:val="009D0306"/>
    <w:rsid w:val="009D13D9"/>
    <w:rsid w:val="009D16FA"/>
    <w:rsid w:val="009D1701"/>
    <w:rsid w:val="009D1921"/>
    <w:rsid w:val="009D1F14"/>
    <w:rsid w:val="009D1F76"/>
    <w:rsid w:val="009D2797"/>
    <w:rsid w:val="009D2A6B"/>
    <w:rsid w:val="009D2AD6"/>
    <w:rsid w:val="009D2BDA"/>
    <w:rsid w:val="009D2D05"/>
    <w:rsid w:val="009D31AB"/>
    <w:rsid w:val="009D392B"/>
    <w:rsid w:val="009D39D5"/>
    <w:rsid w:val="009D40FF"/>
    <w:rsid w:val="009D423D"/>
    <w:rsid w:val="009D4369"/>
    <w:rsid w:val="009D5C51"/>
    <w:rsid w:val="009D6611"/>
    <w:rsid w:val="009D708A"/>
    <w:rsid w:val="009D765E"/>
    <w:rsid w:val="009D7FC4"/>
    <w:rsid w:val="009E0952"/>
    <w:rsid w:val="009E0E2E"/>
    <w:rsid w:val="009E1DD5"/>
    <w:rsid w:val="009E20B2"/>
    <w:rsid w:val="009E279F"/>
    <w:rsid w:val="009E28BD"/>
    <w:rsid w:val="009E2B0C"/>
    <w:rsid w:val="009E2CC7"/>
    <w:rsid w:val="009E2F45"/>
    <w:rsid w:val="009E34F6"/>
    <w:rsid w:val="009E4B98"/>
    <w:rsid w:val="009E521D"/>
    <w:rsid w:val="009E7CA4"/>
    <w:rsid w:val="009E7FFA"/>
    <w:rsid w:val="009F0522"/>
    <w:rsid w:val="009F0E51"/>
    <w:rsid w:val="009F27B7"/>
    <w:rsid w:val="009F2DFF"/>
    <w:rsid w:val="009F3023"/>
    <w:rsid w:val="009F37E1"/>
    <w:rsid w:val="009F3914"/>
    <w:rsid w:val="009F430B"/>
    <w:rsid w:val="009F44A3"/>
    <w:rsid w:val="009F4637"/>
    <w:rsid w:val="009F53A4"/>
    <w:rsid w:val="009F5D5A"/>
    <w:rsid w:val="00A000FF"/>
    <w:rsid w:val="00A00200"/>
    <w:rsid w:val="00A0045D"/>
    <w:rsid w:val="00A0068E"/>
    <w:rsid w:val="00A036FA"/>
    <w:rsid w:val="00A04DAC"/>
    <w:rsid w:val="00A06B38"/>
    <w:rsid w:val="00A07A4C"/>
    <w:rsid w:val="00A07C5D"/>
    <w:rsid w:val="00A07ECB"/>
    <w:rsid w:val="00A07EF4"/>
    <w:rsid w:val="00A07FCA"/>
    <w:rsid w:val="00A113A1"/>
    <w:rsid w:val="00A11C81"/>
    <w:rsid w:val="00A12038"/>
    <w:rsid w:val="00A12343"/>
    <w:rsid w:val="00A12A13"/>
    <w:rsid w:val="00A13325"/>
    <w:rsid w:val="00A146A7"/>
    <w:rsid w:val="00A1488C"/>
    <w:rsid w:val="00A14A3A"/>
    <w:rsid w:val="00A14F62"/>
    <w:rsid w:val="00A151C6"/>
    <w:rsid w:val="00A155B4"/>
    <w:rsid w:val="00A15936"/>
    <w:rsid w:val="00A15E4E"/>
    <w:rsid w:val="00A175CE"/>
    <w:rsid w:val="00A17D73"/>
    <w:rsid w:val="00A17DAB"/>
    <w:rsid w:val="00A20094"/>
    <w:rsid w:val="00A207B0"/>
    <w:rsid w:val="00A20DF6"/>
    <w:rsid w:val="00A20EEE"/>
    <w:rsid w:val="00A21A6C"/>
    <w:rsid w:val="00A228DB"/>
    <w:rsid w:val="00A22F8B"/>
    <w:rsid w:val="00A230A8"/>
    <w:rsid w:val="00A238AD"/>
    <w:rsid w:val="00A247AB"/>
    <w:rsid w:val="00A24A31"/>
    <w:rsid w:val="00A24EAA"/>
    <w:rsid w:val="00A24FE7"/>
    <w:rsid w:val="00A2508A"/>
    <w:rsid w:val="00A252BD"/>
    <w:rsid w:val="00A256BA"/>
    <w:rsid w:val="00A26AA7"/>
    <w:rsid w:val="00A271D9"/>
    <w:rsid w:val="00A275C2"/>
    <w:rsid w:val="00A307F2"/>
    <w:rsid w:val="00A31281"/>
    <w:rsid w:val="00A31549"/>
    <w:rsid w:val="00A31E4B"/>
    <w:rsid w:val="00A321C6"/>
    <w:rsid w:val="00A3345D"/>
    <w:rsid w:val="00A3392D"/>
    <w:rsid w:val="00A34184"/>
    <w:rsid w:val="00A34285"/>
    <w:rsid w:val="00A3798D"/>
    <w:rsid w:val="00A40347"/>
    <w:rsid w:val="00A40793"/>
    <w:rsid w:val="00A40EEF"/>
    <w:rsid w:val="00A41C08"/>
    <w:rsid w:val="00A41EB4"/>
    <w:rsid w:val="00A427BE"/>
    <w:rsid w:val="00A4310F"/>
    <w:rsid w:val="00A459BD"/>
    <w:rsid w:val="00A463EC"/>
    <w:rsid w:val="00A471C2"/>
    <w:rsid w:val="00A4724B"/>
    <w:rsid w:val="00A47BD7"/>
    <w:rsid w:val="00A47C99"/>
    <w:rsid w:val="00A505FE"/>
    <w:rsid w:val="00A52450"/>
    <w:rsid w:val="00A5372B"/>
    <w:rsid w:val="00A55425"/>
    <w:rsid w:val="00A56F71"/>
    <w:rsid w:val="00A60E5A"/>
    <w:rsid w:val="00A611D0"/>
    <w:rsid w:val="00A61486"/>
    <w:rsid w:val="00A61A04"/>
    <w:rsid w:val="00A62447"/>
    <w:rsid w:val="00A624E5"/>
    <w:rsid w:val="00A62534"/>
    <w:rsid w:val="00A636BD"/>
    <w:rsid w:val="00A712F0"/>
    <w:rsid w:val="00A7157A"/>
    <w:rsid w:val="00A718B6"/>
    <w:rsid w:val="00A721D4"/>
    <w:rsid w:val="00A725E2"/>
    <w:rsid w:val="00A740A7"/>
    <w:rsid w:val="00A74FEE"/>
    <w:rsid w:val="00A75258"/>
    <w:rsid w:val="00A76131"/>
    <w:rsid w:val="00A811EC"/>
    <w:rsid w:val="00A82591"/>
    <w:rsid w:val="00A850FE"/>
    <w:rsid w:val="00A851D3"/>
    <w:rsid w:val="00A86503"/>
    <w:rsid w:val="00A86E69"/>
    <w:rsid w:val="00A87914"/>
    <w:rsid w:val="00A911E9"/>
    <w:rsid w:val="00A91BA2"/>
    <w:rsid w:val="00A9242C"/>
    <w:rsid w:val="00A93146"/>
    <w:rsid w:val="00A9368D"/>
    <w:rsid w:val="00A943DE"/>
    <w:rsid w:val="00A96AC6"/>
    <w:rsid w:val="00A96AEE"/>
    <w:rsid w:val="00A96D34"/>
    <w:rsid w:val="00A96F9F"/>
    <w:rsid w:val="00A9725F"/>
    <w:rsid w:val="00A97538"/>
    <w:rsid w:val="00A97FCC"/>
    <w:rsid w:val="00AA08C7"/>
    <w:rsid w:val="00AA0B37"/>
    <w:rsid w:val="00AA0F82"/>
    <w:rsid w:val="00AA1291"/>
    <w:rsid w:val="00AA3DEA"/>
    <w:rsid w:val="00AA4C56"/>
    <w:rsid w:val="00AA4D78"/>
    <w:rsid w:val="00AA5629"/>
    <w:rsid w:val="00AA6754"/>
    <w:rsid w:val="00AA69EC"/>
    <w:rsid w:val="00AA6FE4"/>
    <w:rsid w:val="00AA738A"/>
    <w:rsid w:val="00AA7881"/>
    <w:rsid w:val="00AA79FD"/>
    <w:rsid w:val="00AA7C01"/>
    <w:rsid w:val="00AB0E39"/>
    <w:rsid w:val="00AB1624"/>
    <w:rsid w:val="00AB1733"/>
    <w:rsid w:val="00AB24DC"/>
    <w:rsid w:val="00AB2B72"/>
    <w:rsid w:val="00AB2D69"/>
    <w:rsid w:val="00AB337F"/>
    <w:rsid w:val="00AB3733"/>
    <w:rsid w:val="00AB43CF"/>
    <w:rsid w:val="00AB4A6D"/>
    <w:rsid w:val="00AB5BC1"/>
    <w:rsid w:val="00AB6A9D"/>
    <w:rsid w:val="00AB7DB2"/>
    <w:rsid w:val="00AB7F00"/>
    <w:rsid w:val="00AC07A1"/>
    <w:rsid w:val="00AC0839"/>
    <w:rsid w:val="00AC2B98"/>
    <w:rsid w:val="00AC33BF"/>
    <w:rsid w:val="00AC3BBB"/>
    <w:rsid w:val="00AC4A16"/>
    <w:rsid w:val="00AC4DA0"/>
    <w:rsid w:val="00AC5570"/>
    <w:rsid w:val="00AC6B7A"/>
    <w:rsid w:val="00AC6FA2"/>
    <w:rsid w:val="00AC7469"/>
    <w:rsid w:val="00AD09DB"/>
    <w:rsid w:val="00AD2438"/>
    <w:rsid w:val="00AD25D8"/>
    <w:rsid w:val="00AD2639"/>
    <w:rsid w:val="00AD36F0"/>
    <w:rsid w:val="00AD380E"/>
    <w:rsid w:val="00AD384C"/>
    <w:rsid w:val="00AD3D32"/>
    <w:rsid w:val="00AD43FC"/>
    <w:rsid w:val="00AD4494"/>
    <w:rsid w:val="00AD45DE"/>
    <w:rsid w:val="00AD62AC"/>
    <w:rsid w:val="00AD6A26"/>
    <w:rsid w:val="00AE007D"/>
    <w:rsid w:val="00AE0A4F"/>
    <w:rsid w:val="00AE12EA"/>
    <w:rsid w:val="00AE25AA"/>
    <w:rsid w:val="00AE25D5"/>
    <w:rsid w:val="00AE38C5"/>
    <w:rsid w:val="00AE4001"/>
    <w:rsid w:val="00AE43D0"/>
    <w:rsid w:val="00AE4F1B"/>
    <w:rsid w:val="00AE56F1"/>
    <w:rsid w:val="00AE5D14"/>
    <w:rsid w:val="00AE6422"/>
    <w:rsid w:val="00AE65B9"/>
    <w:rsid w:val="00AE6F76"/>
    <w:rsid w:val="00AE7CFE"/>
    <w:rsid w:val="00AF1025"/>
    <w:rsid w:val="00AF13E9"/>
    <w:rsid w:val="00AF14C4"/>
    <w:rsid w:val="00AF25BB"/>
    <w:rsid w:val="00AF2CAC"/>
    <w:rsid w:val="00AF2CBC"/>
    <w:rsid w:val="00AF2FB5"/>
    <w:rsid w:val="00AF31A0"/>
    <w:rsid w:val="00AF5769"/>
    <w:rsid w:val="00AF58B2"/>
    <w:rsid w:val="00AF58D5"/>
    <w:rsid w:val="00B021B1"/>
    <w:rsid w:val="00B03039"/>
    <w:rsid w:val="00B033DF"/>
    <w:rsid w:val="00B04C4C"/>
    <w:rsid w:val="00B050A3"/>
    <w:rsid w:val="00B05DF7"/>
    <w:rsid w:val="00B06D96"/>
    <w:rsid w:val="00B06E7A"/>
    <w:rsid w:val="00B107F8"/>
    <w:rsid w:val="00B10A15"/>
    <w:rsid w:val="00B12D50"/>
    <w:rsid w:val="00B134DF"/>
    <w:rsid w:val="00B13D97"/>
    <w:rsid w:val="00B14349"/>
    <w:rsid w:val="00B150D2"/>
    <w:rsid w:val="00B15FD9"/>
    <w:rsid w:val="00B16936"/>
    <w:rsid w:val="00B16E3F"/>
    <w:rsid w:val="00B16F77"/>
    <w:rsid w:val="00B1729E"/>
    <w:rsid w:val="00B20D30"/>
    <w:rsid w:val="00B21758"/>
    <w:rsid w:val="00B21DDB"/>
    <w:rsid w:val="00B224D3"/>
    <w:rsid w:val="00B23C9B"/>
    <w:rsid w:val="00B269B1"/>
    <w:rsid w:val="00B27723"/>
    <w:rsid w:val="00B27A18"/>
    <w:rsid w:val="00B27E26"/>
    <w:rsid w:val="00B307A7"/>
    <w:rsid w:val="00B309F0"/>
    <w:rsid w:val="00B30C38"/>
    <w:rsid w:val="00B30F18"/>
    <w:rsid w:val="00B311E0"/>
    <w:rsid w:val="00B31449"/>
    <w:rsid w:val="00B324EE"/>
    <w:rsid w:val="00B32A7F"/>
    <w:rsid w:val="00B32D55"/>
    <w:rsid w:val="00B337BB"/>
    <w:rsid w:val="00B33957"/>
    <w:rsid w:val="00B34846"/>
    <w:rsid w:val="00B35B33"/>
    <w:rsid w:val="00B36A66"/>
    <w:rsid w:val="00B370DC"/>
    <w:rsid w:val="00B371E0"/>
    <w:rsid w:val="00B375EE"/>
    <w:rsid w:val="00B402C8"/>
    <w:rsid w:val="00B402C9"/>
    <w:rsid w:val="00B41C1C"/>
    <w:rsid w:val="00B42B7F"/>
    <w:rsid w:val="00B43610"/>
    <w:rsid w:val="00B43BB6"/>
    <w:rsid w:val="00B4411E"/>
    <w:rsid w:val="00B44DD3"/>
    <w:rsid w:val="00B4582F"/>
    <w:rsid w:val="00B459B1"/>
    <w:rsid w:val="00B4607C"/>
    <w:rsid w:val="00B46C3E"/>
    <w:rsid w:val="00B47B72"/>
    <w:rsid w:val="00B47D5E"/>
    <w:rsid w:val="00B50189"/>
    <w:rsid w:val="00B50292"/>
    <w:rsid w:val="00B50665"/>
    <w:rsid w:val="00B50957"/>
    <w:rsid w:val="00B51946"/>
    <w:rsid w:val="00B524B5"/>
    <w:rsid w:val="00B52786"/>
    <w:rsid w:val="00B53DB2"/>
    <w:rsid w:val="00B5441C"/>
    <w:rsid w:val="00B54DF6"/>
    <w:rsid w:val="00B55AC8"/>
    <w:rsid w:val="00B56901"/>
    <w:rsid w:val="00B5694F"/>
    <w:rsid w:val="00B60D2C"/>
    <w:rsid w:val="00B61621"/>
    <w:rsid w:val="00B629A6"/>
    <w:rsid w:val="00B62E48"/>
    <w:rsid w:val="00B630AD"/>
    <w:rsid w:val="00B63606"/>
    <w:rsid w:val="00B64947"/>
    <w:rsid w:val="00B649F2"/>
    <w:rsid w:val="00B64F51"/>
    <w:rsid w:val="00B65178"/>
    <w:rsid w:val="00B655A5"/>
    <w:rsid w:val="00B662A0"/>
    <w:rsid w:val="00B666B9"/>
    <w:rsid w:val="00B66A08"/>
    <w:rsid w:val="00B675A1"/>
    <w:rsid w:val="00B700D1"/>
    <w:rsid w:val="00B706FD"/>
    <w:rsid w:val="00B71C41"/>
    <w:rsid w:val="00B71ED7"/>
    <w:rsid w:val="00B71EF0"/>
    <w:rsid w:val="00B71F50"/>
    <w:rsid w:val="00B729AE"/>
    <w:rsid w:val="00B72E77"/>
    <w:rsid w:val="00B73649"/>
    <w:rsid w:val="00B73CC6"/>
    <w:rsid w:val="00B74C6F"/>
    <w:rsid w:val="00B751DF"/>
    <w:rsid w:val="00B7645B"/>
    <w:rsid w:val="00B76843"/>
    <w:rsid w:val="00B80CD0"/>
    <w:rsid w:val="00B8124E"/>
    <w:rsid w:val="00B812D8"/>
    <w:rsid w:val="00B818B6"/>
    <w:rsid w:val="00B82A66"/>
    <w:rsid w:val="00B82F08"/>
    <w:rsid w:val="00B83073"/>
    <w:rsid w:val="00B83098"/>
    <w:rsid w:val="00B83D08"/>
    <w:rsid w:val="00B847FC"/>
    <w:rsid w:val="00B84AF0"/>
    <w:rsid w:val="00B84B50"/>
    <w:rsid w:val="00B84F53"/>
    <w:rsid w:val="00B8508F"/>
    <w:rsid w:val="00B85ED7"/>
    <w:rsid w:val="00B8639F"/>
    <w:rsid w:val="00B87686"/>
    <w:rsid w:val="00B902FD"/>
    <w:rsid w:val="00B9114D"/>
    <w:rsid w:val="00B91ADB"/>
    <w:rsid w:val="00B9288A"/>
    <w:rsid w:val="00B928D8"/>
    <w:rsid w:val="00B92963"/>
    <w:rsid w:val="00B936E7"/>
    <w:rsid w:val="00B936F9"/>
    <w:rsid w:val="00B94996"/>
    <w:rsid w:val="00B94F86"/>
    <w:rsid w:val="00B950F4"/>
    <w:rsid w:val="00B95DF6"/>
    <w:rsid w:val="00B977AB"/>
    <w:rsid w:val="00B979AA"/>
    <w:rsid w:val="00B97B2E"/>
    <w:rsid w:val="00B97EBA"/>
    <w:rsid w:val="00BA009F"/>
    <w:rsid w:val="00BA038B"/>
    <w:rsid w:val="00BA0CD7"/>
    <w:rsid w:val="00BA18B2"/>
    <w:rsid w:val="00BA245F"/>
    <w:rsid w:val="00BA2928"/>
    <w:rsid w:val="00BA2E5C"/>
    <w:rsid w:val="00BA304D"/>
    <w:rsid w:val="00BA3196"/>
    <w:rsid w:val="00BA429E"/>
    <w:rsid w:val="00BA45CA"/>
    <w:rsid w:val="00BA4700"/>
    <w:rsid w:val="00BA4907"/>
    <w:rsid w:val="00BA5456"/>
    <w:rsid w:val="00BA5910"/>
    <w:rsid w:val="00BA5AD6"/>
    <w:rsid w:val="00BA5C5F"/>
    <w:rsid w:val="00BA602C"/>
    <w:rsid w:val="00BA6512"/>
    <w:rsid w:val="00BA6B62"/>
    <w:rsid w:val="00BA7943"/>
    <w:rsid w:val="00BB1015"/>
    <w:rsid w:val="00BB1028"/>
    <w:rsid w:val="00BB1886"/>
    <w:rsid w:val="00BB1A61"/>
    <w:rsid w:val="00BB3474"/>
    <w:rsid w:val="00BB36EB"/>
    <w:rsid w:val="00BB377E"/>
    <w:rsid w:val="00BB41DB"/>
    <w:rsid w:val="00BB5A32"/>
    <w:rsid w:val="00BB6503"/>
    <w:rsid w:val="00BB673F"/>
    <w:rsid w:val="00BB67B6"/>
    <w:rsid w:val="00BB69FD"/>
    <w:rsid w:val="00BB7632"/>
    <w:rsid w:val="00BC0558"/>
    <w:rsid w:val="00BC0C7E"/>
    <w:rsid w:val="00BC0E2E"/>
    <w:rsid w:val="00BC18C8"/>
    <w:rsid w:val="00BC1D18"/>
    <w:rsid w:val="00BC3112"/>
    <w:rsid w:val="00BC3503"/>
    <w:rsid w:val="00BC3563"/>
    <w:rsid w:val="00BC3A7F"/>
    <w:rsid w:val="00BC45B3"/>
    <w:rsid w:val="00BC47CF"/>
    <w:rsid w:val="00BC528E"/>
    <w:rsid w:val="00BC6828"/>
    <w:rsid w:val="00BC6BC7"/>
    <w:rsid w:val="00BC6CF6"/>
    <w:rsid w:val="00BC6E27"/>
    <w:rsid w:val="00BC79D4"/>
    <w:rsid w:val="00BD0D98"/>
    <w:rsid w:val="00BD1411"/>
    <w:rsid w:val="00BD14FA"/>
    <w:rsid w:val="00BD178D"/>
    <w:rsid w:val="00BD2DBF"/>
    <w:rsid w:val="00BD39AC"/>
    <w:rsid w:val="00BD3C3E"/>
    <w:rsid w:val="00BD435F"/>
    <w:rsid w:val="00BD4574"/>
    <w:rsid w:val="00BD4A4B"/>
    <w:rsid w:val="00BD4A8B"/>
    <w:rsid w:val="00BD4C2E"/>
    <w:rsid w:val="00BD53F4"/>
    <w:rsid w:val="00BD6437"/>
    <w:rsid w:val="00BD6929"/>
    <w:rsid w:val="00BD6D3D"/>
    <w:rsid w:val="00BD7CCD"/>
    <w:rsid w:val="00BE1711"/>
    <w:rsid w:val="00BE3D09"/>
    <w:rsid w:val="00BE3FCA"/>
    <w:rsid w:val="00BE530D"/>
    <w:rsid w:val="00BE74E8"/>
    <w:rsid w:val="00BE76AC"/>
    <w:rsid w:val="00BF1061"/>
    <w:rsid w:val="00BF1633"/>
    <w:rsid w:val="00BF2530"/>
    <w:rsid w:val="00BF2B16"/>
    <w:rsid w:val="00BF2E3A"/>
    <w:rsid w:val="00BF35CC"/>
    <w:rsid w:val="00BF41B8"/>
    <w:rsid w:val="00BF4FFC"/>
    <w:rsid w:val="00BF573A"/>
    <w:rsid w:val="00BF688B"/>
    <w:rsid w:val="00BF6D07"/>
    <w:rsid w:val="00BF75C4"/>
    <w:rsid w:val="00BF75F5"/>
    <w:rsid w:val="00BF7B8A"/>
    <w:rsid w:val="00C00F7E"/>
    <w:rsid w:val="00C01441"/>
    <w:rsid w:val="00C02029"/>
    <w:rsid w:val="00C02E38"/>
    <w:rsid w:val="00C043F4"/>
    <w:rsid w:val="00C049FF"/>
    <w:rsid w:val="00C04D7B"/>
    <w:rsid w:val="00C04D8D"/>
    <w:rsid w:val="00C05F3B"/>
    <w:rsid w:val="00C05F6C"/>
    <w:rsid w:val="00C06623"/>
    <w:rsid w:val="00C070A0"/>
    <w:rsid w:val="00C07E52"/>
    <w:rsid w:val="00C1026B"/>
    <w:rsid w:val="00C12302"/>
    <w:rsid w:val="00C12878"/>
    <w:rsid w:val="00C13098"/>
    <w:rsid w:val="00C13671"/>
    <w:rsid w:val="00C13E8E"/>
    <w:rsid w:val="00C1491F"/>
    <w:rsid w:val="00C15487"/>
    <w:rsid w:val="00C16731"/>
    <w:rsid w:val="00C16CD6"/>
    <w:rsid w:val="00C179EA"/>
    <w:rsid w:val="00C202E1"/>
    <w:rsid w:val="00C208C3"/>
    <w:rsid w:val="00C2130B"/>
    <w:rsid w:val="00C22F0F"/>
    <w:rsid w:val="00C24874"/>
    <w:rsid w:val="00C24BFA"/>
    <w:rsid w:val="00C24C29"/>
    <w:rsid w:val="00C2522E"/>
    <w:rsid w:val="00C25C20"/>
    <w:rsid w:val="00C270A4"/>
    <w:rsid w:val="00C2725E"/>
    <w:rsid w:val="00C2787A"/>
    <w:rsid w:val="00C27CCC"/>
    <w:rsid w:val="00C301C9"/>
    <w:rsid w:val="00C308DC"/>
    <w:rsid w:val="00C30ED8"/>
    <w:rsid w:val="00C323B6"/>
    <w:rsid w:val="00C33165"/>
    <w:rsid w:val="00C33404"/>
    <w:rsid w:val="00C33703"/>
    <w:rsid w:val="00C34E2B"/>
    <w:rsid w:val="00C36459"/>
    <w:rsid w:val="00C3689E"/>
    <w:rsid w:val="00C36F27"/>
    <w:rsid w:val="00C375A0"/>
    <w:rsid w:val="00C3771F"/>
    <w:rsid w:val="00C40266"/>
    <w:rsid w:val="00C408C2"/>
    <w:rsid w:val="00C41090"/>
    <w:rsid w:val="00C41559"/>
    <w:rsid w:val="00C41735"/>
    <w:rsid w:val="00C41901"/>
    <w:rsid w:val="00C419F2"/>
    <w:rsid w:val="00C41B82"/>
    <w:rsid w:val="00C441AC"/>
    <w:rsid w:val="00C441D6"/>
    <w:rsid w:val="00C442CE"/>
    <w:rsid w:val="00C44D30"/>
    <w:rsid w:val="00C464EA"/>
    <w:rsid w:val="00C465F4"/>
    <w:rsid w:val="00C50C45"/>
    <w:rsid w:val="00C50D9D"/>
    <w:rsid w:val="00C52D16"/>
    <w:rsid w:val="00C52D56"/>
    <w:rsid w:val="00C530BF"/>
    <w:rsid w:val="00C5394A"/>
    <w:rsid w:val="00C53D7E"/>
    <w:rsid w:val="00C53DA0"/>
    <w:rsid w:val="00C53F46"/>
    <w:rsid w:val="00C5405B"/>
    <w:rsid w:val="00C54114"/>
    <w:rsid w:val="00C54D75"/>
    <w:rsid w:val="00C54DC6"/>
    <w:rsid w:val="00C56791"/>
    <w:rsid w:val="00C60932"/>
    <w:rsid w:val="00C60951"/>
    <w:rsid w:val="00C61040"/>
    <w:rsid w:val="00C61C8F"/>
    <w:rsid w:val="00C61DB4"/>
    <w:rsid w:val="00C61E86"/>
    <w:rsid w:val="00C62459"/>
    <w:rsid w:val="00C63D6B"/>
    <w:rsid w:val="00C641FD"/>
    <w:rsid w:val="00C64B33"/>
    <w:rsid w:val="00C64F3D"/>
    <w:rsid w:val="00C65EFB"/>
    <w:rsid w:val="00C6671E"/>
    <w:rsid w:val="00C67247"/>
    <w:rsid w:val="00C67E7D"/>
    <w:rsid w:val="00C700CC"/>
    <w:rsid w:val="00C70A16"/>
    <w:rsid w:val="00C71D4C"/>
    <w:rsid w:val="00C72383"/>
    <w:rsid w:val="00C72688"/>
    <w:rsid w:val="00C73193"/>
    <w:rsid w:val="00C75273"/>
    <w:rsid w:val="00C7592A"/>
    <w:rsid w:val="00C75F8F"/>
    <w:rsid w:val="00C7603B"/>
    <w:rsid w:val="00C761B1"/>
    <w:rsid w:val="00C76F9C"/>
    <w:rsid w:val="00C77EBC"/>
    <w:rsid w:val="00C80E51"/>
    <w:rsid w:val="00C81A54"/>
    <w:rsid w:val="00C82B55"/>
    <w:rsid w:val="00C845BF"/>
    <w:rsid w:val="00C849E6"/>
    <w:rsid w:val="00C84EAE"/>
    <w:rsid w:val="00C87188"/>
    <w:rsid w:val="00C87568"/>
    <w:rsid w:val="00C877E4"/>
    <w:rsid w:val="00C909B6"/>
    <w:rsid w:val="00C90E78"/>
    <w:rsid w:val="00C91C80"/>
    <w:rsid w:val="00C92055"/>
    <w:rsid w:val="00C93878"/>
    <w:rsid w:val="00C93AF8"/>
    <w:rsid w:val="00C93F70"/>
    <w:rsid w:val="00C9583A"/>
    <w:rsid w:val="00C96247"/>
    <w:rsid w:val="00CA03DE"/>
    <w:rsid w:val="00CA042E"/>
    <w:rsid w:val="00CA109F"/>
    <w:rsid w:val="00CA2251"/>
    <w:rsid w:val="00CA28A2"/>
    <w:rsid w:val="00CA28B3"/>
    <w:rsid w:val="00CA28DC"/>
    <w:rsid w:val="00CA29E6"/>
    <w:rsid w:val="00CA395A"/>
    <w:rsid w:val="00CA397C"/>
    <w:rsid w:val="00CA398E"/>
    <w:rsid w:val="00CA4721"/>
    <w:rsid w:val="00CA754D"/>
    <w:rsid w:val="00CB0207"/>
    <w:rsid w:val="00CB08A5"/>
    <w:rsid w:val="00CB09D9"/>
    <w:rsid w:val="00CB0ABC"/>
    <w:rsid w:val="00CB29D8"/>
    <w:rsid w:val="00CB2DA0"/>
    <w:rsid w:val="00CB351C"/>
    <w:rsid w:val="00CB3A0A"/>
    <w:rsid w:val="00CB4796"/>
    <w:rsid w:val="00CB4F73"/>
    <w:rsid w:val="00CB528B"/>
    <w:rsid w:val="00CB6499"/>
    <w:rsid w:val="00CB72CC"/>
    <w:rsid w:val="00CC020C"/>
    <w:rsid w:val="00CC0249"/>
    <w:rsid w:val="00CC0CAE"/>
    <w:rsid w:val="00CC2645"/>
    <w:rsid w:val="00CC2D4F"/>
    <w:rsid w:val="00CC3814"/>
    <w:rsid w:val="00CC3BAC"/>
    <w:rsid w:val="00CC4218"/>
    <w:rsid w:val="00CC45C8"/>
    <w:rsid w:val="00CC46A2"/>
    <w:rsid w:val="00CC6ADB"/>
    <w:rsid w:val="00CC76F1"/>
    <w:rsid w:val="00CD09BA"/>
    <w:rsid w:val="00CD1361"/>
    <w:rsid w:val="00CD2074"/>
    <w:rsid w:val="00CD29BB"/>
    <w:rsid w:val="00CD511D"/>
    <w:rsid w:val="00CD52B0"/>
    <w:rsid w:val="00CD5995"/>
    <w:rsid w:val="00CD77DD"/>
    <w:rsid w:val="00CD7C3D"/>
    <w:rsid w:val="00CE154C"/>
    <w:rsid w:val="00CE1926"/>
    <w:rsid w:val="00CE2415"/>
    <w:rsid w:val="00CE30E4"/>
    <w:rsid w:val="00CE334A"/>
    <w:rsid w:val="00CE3415"/>
    <w:rsid w:val="00CE349A"/>
    <w:rsid w:val="00CE3670"/>
    <w:rsid w:val="00CE3BAA"/>
    <w:rsid w:val="00CE3C2A"/>
    <w:rsid w:val="00CE3C34"/>
    <w:rsid w:val="00CE4804"/>
    <w:rsid w:val="00CE5094"/>
    <w:rsid w:val="00CE5A79"/>
    <w:rsid w:val="00CE7AFB"/>
    <w:rsid w:val="00CE7B5E"/>
    <w:rsid w:val="00CF01A5"/>
    <w:rsid w:val="00CF0300"/>
    <w:rsid w:val="00CF03AB"/>
    <w:rsid w:val="00CF12FA"/>
    <w:rsid w:val="00CF3335"/>
    <w:rsid w:val="00CF3551"/>
    <w:rsid w:val="00CF4195"/>
    <w:rsid w:val="00CF5C98"/>
    <w:rsid w:val="00CF6137"/>
    <w:rsid w:val="00CF7ED8"/>
    <w:rsid w:val="00D00B6F"/>
    <w:rsid w:val="00D0116F"/>
    <w:rsid w:val="00D01CE1"/>
    <w:rsid w:val="00D02DF7"/>
    <w:rsid w:val="00D041EB"/>
    <w:rsid w:val="00D04436"/>
    <w:rsid w:val="00D1042B"/>
    <w:rsid w:val="00D11701"/>
    <w:rsid w:val="00D11FC3"/>
    <w:rsid w:val="00D12013"/>
    <w:rsid w:val="00D1219D"/>
    <w:rsid w:val="00D1274F"/>
    <w:rsid w:val="00D12C95"/>
    <w:rsid w:val="00D1663C"/>
    <w:rsid w:val="00D169C8"/>
    <w:rsid w:val="00D16AD8"/>
    <w:rsid w:val="00D17E8F"/>
    <w:rsid w:val="00D20C9E"/>
    <w:rsid w:val="00D22194"/>
    <w:rsid w:val="00D224B5"/>
    <w:rsid w:val="00D22A51"/>
    <w:rsid w:val="00D22E6F"/>
    <w:rsid w:val="00D23ACF"/>
    <w:rsid w:val="00D241E1"/>
    <w:rsid w:val="00D24649"/>
    <w:rsid w:val="00D24A16"/>
    <w:rsid w:val="00D270D6"/>
    <w:rsid w:val="00D27368"/>
    <w:rsid w:val="00D274CA"/>
    <w:rsid w:val="00D276EB"/>
    <w:rsid w:val="00D30389"/>
    <w:rsid w:val="00D30E62"/>
    <w:rsid w:val="00D312CB"/>
    <w:rsid w:val="00D32614"/>
    <w:rsid w:val="00D32784"/>
    <w:rsid w:val="00D32E93"/>
    <w:rsid w:val="00D33699"/>
    <w:rsid w:val="00D33C1E"/>
    <w:rsid w:val="00D33F51"/>
    <w:rsid w:val="00D34417"/>
    <w:rsid w:val="00D36D44"/>
    <w:rsid w:val="00D40631"/>
    <w:rsid w:val="00D408CF"/>
    <w:rsid w:val="00D40A42"/>
    <w:rsid w:val="00D40C69"/>
    <w:rsid w:val="00D41570"/>
    <w:rsid w:val="00D416B5"/>
    <w:rsid w:val="00D41C3D"/>
    <w:rsid w:val="00D42D33"/>
    <w:rsid w:val="00D42E68"/>
    <w:rsid w:val="00D43A61"/>
    <w:rsid w:val="00D4498F"/>
    <w:rsid w:val="00D4696F"/>
    <w:rsid w:val="00D469E5"/>
    <w:rsid w:val="00D47EB3"/>
    <w:rsid w:val="00D47F64"/>
    <w:rsid w:val="00D50C9B"/>
    <w:rsid w:val="00D51DF0"/>
    <w:rsid w:val="00D528B7"/>
    <w:rsid w:val="00D53551"/>
    <w:rsid w:val="00D53DDC"/>
    <w:rsid w:val="00D53EE1"/>
    <w:rsid w:val="00D54707"/>
    <w:rsid w:val="00D5478E"/>
    <w:rsid w:val="00D54E53"/>
    <w:rsid w:val="00D550F9"/>
    <w:rsid w:val="00D554C1"/>
    <w:rsid w:val="00D555ED"/>
    <w:rsid w:val="00D55E38"/>
    <w:rsid w:val="00D56574"/>
    <w:rsid w:val="00D56F42"/>
    <w:rsid w:val="00D57593"/>
    <w:rsid w:val="00D57998"/>
    <w:rsid w:val="00D60AA1"/>
    <w:rsid w:val="00D60C87"/>
    <w:rsid w:val="00D6157F"/>
    <w:rsid w:val="00D616C1"/>
    <w:rsid w:val="00D61F12"/>
    <w:rsid w:val="00D62BD4"/>
    <w:rsid w:val="00D62FF4"/>
    <w:rsid w:val="00D63342"/>
    <w:rsid w:val="00D6491E"/>
    <w:rsid w:val="00D651C7"/>
    <w:rsid w:val="00D65F11"/>
    <w:rsid w:val="00D67225"/>
    <w:rsid w:val="00D6737B"/>
    <w:rsid w:val="00D6784E"/>
    <w:rsid w:val="00D67A2F"/>
    <w:rsid w:val="00D70215"/>
    <w:rsid w:val="00D70878"/>
    <w:rsid w:val="00D71AFB"/>
    <w:rsid w:val="00D7401D"/>
    <w:rsid w:val="00D7518E"/>
    <w:rsid w:val="00D75499"/>
    <w:rsid w:val="00D7654F"/>
    <w:rsid w:val="00D76625"/>
    <w:rsid w:val="00D76B3D"/>
    <w:rsid w:val="00D8289D"/>
    <w:rsid w:val="00D82CD0"/>
    <w:rsid w:val="00D84085"/>
    <w:rsid w:val="00D84503"/>
    <w:rsid w:val="00D84FE4"/>
    <w:rsid w:val="00D850AF"/>
    <w:rsid w:val="00D8553F"/>
    <w:rsid w:val="00D85968"/>
    <w:rsid w:val="00D8596C"/>
    <w:rsid w:val="00D8605E"/>
    <w:rsid w:val="00D86AAD"/>
    <w:rsid w:val="00D86E6B"/>
    <w:rsid w:val="00D9068B"/>
    <w:rsid w:val="00D908BD"/>
    <w:rsid w:val="00D90CCB"/>
    <w:rsid w:val="00D90CF9"/>
    <w:rsid w:val="00D90D0E"/>
    <w:rsid w:val="00D913C0"/>
    <w:rsid w:val="00D92130"/>
    <w:rsid w:val="00D92734"/>
    <w:rsid w:val="00D94BB1"/>
    <w:rsid w:val="00D96472"/>
    <w:rsid w:val="00D967A0"/>
    <w:rsid w:val="00D9758E"/>
    <w:rsid w:val="00D978D9"/>
    <w:rsid w:val="00D97EA9"/>
    <w:rsid w:val="00DA034F"/>
    <w:rsid w:val="00DA181A"/>
    <w:rsid w:val="00DA1D76"/>
    <w:rsid w:val="00DA20DF"/>
    <w:rsid w:val="00DA2157"/>
    <w:rsid w:val="00DA2FB5"/>
    <w:rsid w:val="00DA39E5"/>
    <w:rsid w:val="00DA3F34"/>
    <w:rsid w:val="00DA40E9"/>
    <w:rsid w:val="00DA5303"/>
    <w:rsid w:val="00DA5B55"/>
    <w:rsid w:val="00DA5CAF"/>
    <w:rsid w:val="00DA6175"/>
    <w:rsid w:val="00DA6E61"/>
    <w:rsid w:val="00DA78DB"/>
    <w:rsid w:val="00DA7EC9"/>
    <w:rsid w:val="00DB0143"/>
    <w:rsid w:val="00DB08C8"/>
    <w:rsid w:val="00DB0ED3"/>
    <w:rsid w:val="00DB1ED0"/>
    <w:rsid w:val="00DB364C"/>
    <w:rsid w:val="00DB394D"/>
    <w:rsid w:val="00DB58E9"/>
    <w:rsid w:val="00DB592C"/>
    <w:rsid w:val="00DB7EA8"/>
    <w:rsid w:val="00DC011A"/>
    <w:rsid w:val="00DC01DB"/>
    <w:rsid w:val="00DC05D6"/>
    <w:rsid w:val="00DC1D35"/>
    <w:rsid w:val="00DC1DC6"/>
    <w:rsid w:val="00DC1F86"/>
    <w:rsid w:val="00DC22C3"/>
    <w:rsid w:val="00DC35E5"/>
    <w:rsid w:val="00DC513F"/>
    <w:rsid w:val="00DC5631"/>
    <w:rsid w:val="00DC5A43"/>
    <w:rsid w:val="00DC5C1B"/>
    <w:rsid w:val="00DC6012"/>
    <w:rsid w:val="00DC6448"/>
    <w:rsid w:val="00DC66BC"/>
    <w:rsid w:val="00DC6CFD"/>
    <w:rsid w:val="00DC7CFE"/>
    <w:rsid w:val="00DD17F8"/>
    <w:rsid w:val="00DD1B43"/>
    <w:rsid w:val="00DD3154"/>
    <w:rsid w:val="00DD3861"/>
    <w:rsid w:val="00DD3F5C"/>
    <w:rsid w:val="00DD4321"/>
    <w:rsid w:val="00DD5045"/>
    <w:rsid w:val="00DD50DA"/>
    <w:rsid w:val="00DD59B4"/>
    <w:rsid w:val="00DD5D47"/>
    <w:rsid w:val="00DD6183"/>
    <w:rsid w:val="00DD665C"/>
    <w:rsid w:val="00DD7CB2"/>
    <w:rsid w:val="00DE0077"/>
    <w:rsid w:val="00DE04D0"/>
    <w:rsid w:val="00DE0897"/>
    <w:rsid w:val="00DE08B6"/>
    <w:rsid w:val="00DE0AF1"/>
    <w:rsid w:val="00DE0B36"/>
    <w:rsid w:val="00DE0C5D"/>
    <w:rsid w:val="00DE1403"/>
    <w:rsid w:val="00DE2156"/>
    <w:rsid w:val="00DE35B0"/>
    <w:rsid w:val="00DE39E0"/>
    <w:rsid w:val="00DE404E"/>
    <w:rsid w:val="00DE4C72"/>
    <w:rsid w:val="00DE5276"/>
    <w:rsid w:val="00DE575A"/>
    <w:rsid w:val="00DE5B63"/>
    <w:rsid w:val="00DE6178"/>
    <w:rsid w:val="00DE7081"/>
    <w:rsid w:val="00DE7810"/>
    <w:rsid w:val="00DE7EE1"/>
    <w:rsid w:val="00DF052B"/>
    <w:rsid w:val="00DF0C54"/>
    <w:rsid w:val="00DF1B77"/>
    <w:rsid w:val="00DF1BF5"/>
    <w:rsid w:val="00DF20AC"/>
    <w:rsid w:val="00DF26E1"/>
    <w:rsid w:val="00DF2B61"/>
    <w:rsid w:val="00DF3D6F"/>
    <w:rsid w:val="00DF5E40"/>
    <w:rsid w:val="00DF5FF4"/>
    <w:rsid w:val="00DF6160"/>
    <w:rsid w:val="00DF667D"/>
    <w:rsid w:val="00DF6AC8"/>
    <w:rsid w:val="00DF70C3"/>
    <w:rsid w:val="00DF7C27"/>
    <w:rsid w:val="00E001D5"/>
    <w:rsid w:val="00E0041A"/>
    <w:rsid w:val="00E0074F"/>
    <w:rsid w:val="00E0165D"/>
    <w:rsid w:val="00E02D49"/>
    <w:rsid w:val="00E02E7E"/>
    <w:rsid w:val="00E03F71"/>
    <w:rsid w:val="00E043DC"/>
    <w:rsid w:val="00E04A1E"/>
    <w:rsid w:val="00E04F72"/>
    <w:rsid w:val="00E0532E"/>
    <w:rsid w:val="00E053E5"/>
    <w:rsid w:val="00E0633C"/>
    <w:rsid w:val="00E0666F"/>
    <w:rsid w:val="00E06AEB"/>
    <w:rsid w:val="00E075C7"/>
    <w:rsid w:val="00E1097B"/>
    <w:rsid w:val="00E10A7B"/>
    <w:rsid w:val="00E11998"/>
    <w:rsid w:val="00E1255F"/>
    <w:rsid w:val="00E1279E"/>
    <w:rsid w:val="00E1281F"/>
    <w:rsid w:val="00E13070"/>
    <w:rsid w:val="00E13F24"/>
    <w:rsid w:val="00E14986"/>
    <w:rsid w:val="00E14AD4"/>
    <w:rsid w:val="00E15DD3"/>
    <w:rsid w:val="00E16C84"/>
    <w:rsid w:val="00E173FB"/>
    <w:rsid w:val="00E1745C"/>
    <w:rsid w:val="00E2038E"/>
    <w:rsid w:val="00E20705"/>
    <w:rsid w:val="00E20D86"/>
    <w:rsid w:val="00E21675"/>
    <w:rsid w:val="00E21B16"/>
    <w:rsid w:val="00E22216"/>
    <w:rsid w:val="00E23B5C"/>
    <w:rsid w:val="00E23D61"/>
    <w:rsid w:val="00E240DF"/>
    <w:rsid w:val="00E24D72"/>
    <w:rsid w:val="00E256F0"/>
    <w:rsid w:val="00E2628E"/>
    <w:rsid w:val="00E26617"/>
    <w:rsid w:val="00E26825"/>
    <w:rsid w:val="00E26F4F"/>
    <w:rsid w:val="00E26F6D"/>
    <w:rsid w:val="00E27194"/>
    <w:rsid w:val="00E27548"/>
    <w:rsid w:val="00E27BD4"/>
    <w:rsid w:val="00E30F3A"/>
    <w:rsid w:val="00E316F1"/>
    <w:rsid w:val="00E31E9D"/>
    <w:rsid w:val="00E32BD8"/>
    <w:rsid w:val="00E330F1"/>
    <w:rsid w:val="00E33439"/>
    <w:rsid w:val="00E34295"/>
    <w:rsid w:val="00E3446D"/>
    <w:rsid w:val="00E376A5"/>
    <w:rsid w:val="00E406AE"/>
    <w:rsid w:val="00E414BC"/>
    <w:rsid w:val="00E42F49"/>
    <w:rsid w:val="00E43458"/>
    <w:rsid w:val="00E43C92"/>
    <w:rsid w:val="00E444A9"/>
    <w:rsid w:val="00E44B88"/>
    <w:rsid w:val="00E44BF1"/>
    <w:rsid w:val="00E45334"/>
    <w:rsid w:val="00E4564D"/>
    <w:rsid w:val="00E46274"/>
    <w:rsid w:val="00E50F35"/>
    <w:rsid w:val="00E51013"/>
    <w:rsid w:val="00E52613"/>
    <w:rsid w:val="00E52FE2"/>
    <w:rsid w:val="00E538DA"/>
    <w:rsid w:val="00E53A48"/>
    <w:rsid w:val="00E54CFE"/>
    <w:rsid w:val="00E54F1D"/>
    <w:rsid w:val="00E558BE"/>
    <w:rsid w:val="00E56877"/>
    <w:rsid w:val="00E570B0"/>
    <w:rsid w:val="00E57128"/>
    <w:rsid w:val="00E572B6"/>
    <w:rsid w:val="00E57384"/>
    <w:rsid w:val="00E579C1"/>
    <w:rsid w:val="00E57E6D"/>
    <w:rsid w:val="00E601E2"/>
    <w:rsid w:val="00E6069E"/>
    <w:rsid w:val="00E61D4B"/>
    <w:rsid w:val="00E62A17"/>
    <w:rsid w:val="00E644AD"/>
    <w:rsid w:val="00E644D7"/>
    <w:rsid w:val="00E65B11"/>
    <w:rsid w:val="00E668F4"/>
    <w:rsid w:val="00E671C2"/>
    <w:rsid w:val="00E67279"/>
    <w:rsid w:val="00E67381"/>
    <w:rsid w:val="00E67A80"/>
    <w:rsid w:val="00E709DF"/>
    <w:rsid w:val="00E7110D"/>
    <w:rsid w:val="00E7238C"/>
    <w:rsid w:val="00E724AC"/>
    <w:rsid w:val="00E726C7"/>
    <w:rsid w:val="00E72B07"/>
    <w:rsid w:val="00E72FE7"/>
    <w:rsid w:val="00E73136"/>
    <w:rsid w:val="00E738A9"/>
    <w:rsid w:val="00E73BEB"/>
    <w:rsid w:val="00E73E91"/>
    <w:rsid w:val="00E73F3F"/>
    <w:rsid w:val="00E7478E"/>
    <w:rsid w:val="00E748CA"/>
    <w:rsid w:val="00E74919"/>
    <w:rsid w:val="00E74FC8"/>
    <w:rsid w:val="00E7547D"/>
    <w:rsid w:val="00E75521"/>
    <w:rsid w:val="00E763AD"/>
    <w:rsid w:val="00E76908"/>
    <w:rsid w:val="00E812C6"/>
    <w:rsid w:val="00E82F01"/>
    <w:rsid w:val="00E8308C"/>
    <w:rsid w:val="00E83931"/>
    <w:rsid w:val="00E842A7"/>
    <w:rsid w:val="00E84F3A"/>
    <w:rsid w:val="00E85571"/>
    <w:rsid w:val="00E85C24"/>
    <w:rsid w:val="00E86016"/>
    <w:rsid w:val="00E863D3"/>
    <w:rsid w:val="00E87239"/>
    <w:rsid w:val="00E87941"/>
    <w:rsid w:val="00E90234"/>
    <w:rsid w:val="00E90538"/>
    <w:rsid w:val="00E905E9"/>
    <w:rsid w:val="00E90F35"/>
    <w:rsid w:val="00E91B31"/>
    <w:rsid w:val="00E91DDD"/>
    <w:rsid w:val="00E91E3D"/>
    <w:rsid w:val="00E92072"/>
    <w:rsid w:val="00E93D1E"/>
    <w:rsid w:val="00E94020"/>
    <w:rsid w:val="00E9431D"/>
    <w:rsid w:val="00E95187"/>
    <w:rsid w:val="00E95C65"/>
    <w:rsid w:val="00EA0225"/>
    <w:rsid w:val="00EA025B"/>
    <w:rsid w:val="00EA05E0"/>
    <w:rsid w:val="00EA070E"/>
    <w:rsid w:val="00EA0F04"/>
    <w:rsid w:val="00EA11F7"/>
    <w:rsid w:val="00EA175A"/>
    <w:rsid w:val="00EA27CF"/>
    <w:rsid w:val="00EA2BCE"/>
    <w:rsid w:val="00EB00C5"/>
    <w:rsid w:val="00EB0A2D"/>
    <w:rsid w:val="00EB1E6F"/>
    <w:rsid w:val="00EB1E8F"/>
    <w:rsid w:val="00EB318F"/>
    <w:rsid w:val="00EB3A8F"/>
    <w:rsid w:val="00EB4FCF"/>
    <w:rsid w:val="00EB51D5"/>
    <w:rsid w:val="00EB6943"/>
    <w:rsid w:val="00EB6BB2"/>
    <w:rsid w:val="00EB7033"/>
    <w:rsid w:val="00EC0091"/>
    <w:rsid w:val="00EC0676"/>
    <w:rsid w:val="00EC0C82"/>
    <w:rsid w:val="00EC13E6"/>
    <w:rsid w:val="00EC1BBA"/>
    <w:rsid w:val="00EC2CBB"/>
    <w:rsid w:val="00EC3A53"/>
    <w:rsid w:val="00EC4749"/>
    <w:rsid w:val="00EC5E06"/>
    <w:rsid w:val="00EC6419"/>
    <w:rsid w:val="00EC68C9"/>
    <w:rsid w:val="00EC6DD0"/>
    <w:rsid w:val="00EC70D7"/>
    <w:rsid w:val="00EC7363"/>
    <w:rsid w:val="00ED0DD4"/>
    <w:rsid w:val="00ED0ED1"/>
    <w:rsid w:val="00ED1205"/>
    <w:rsid w:val="00ED275F"/>
    <w:rsid w:val="00ED3BCC"/>
    <w:rsid w:val="00ED522E"/>
    <w:rsid w:val="00ED6025"/>
    <w:rsid w:val="00ED699E"/>
    <w:rsid w:val="00ED6E19"/>
    <w:rsid w:val="00ED73D4"/>
    <w:rsid w:val="00EE12A7"/>
    <w:rsid w:val="00EE140A"/>
    <w:rsid w:val="00EE1D2A"/>
    <w:rsid w:val="00EE3A0D"/>
    <w:rsid w:val="00EE5295"/>
    <w:rsid w:val="00EE5D0A"/>
    <w:rsid w:val="00EE7167"/>
    <w:rsid w:val="00EE7BC9"/>
    <w:rsid w:val="00EF01F7"/>
    <w:rsid w:val="00EF1CF7"/>
    <w:rsid w:val="00EF20A7"/>
    <w:rsid w:val="00EF21C0"/>
    <w:rsid w:val="00EF2458"/>
    <w:rsid w:val="00EF3053"/>
    <w:rsid w:val="00EF30F8"/>
    <w:rsid w:val="00EF43A5"/>
    <w:rsid w:val="00EF554F"/>
    <w:rsid w:val="00EF6D82"/>
    <w:rsid w:val="00EF6F94"/>
    <w:rsid w:val="00EF6FA1"/>
    <w:rsid w:val="00F000A9"/>
    <w:rsid w:val="00F0037C"/>
    <w:rsid w:val="00F00C21"/>
    <w:rsid w:val="00F013CC"/>
    <w:rsid w:val="00F02060"/>
    <w:rsid w:val="00F032CE"/>
    <w:rsid w:val="00F035A1"/>
    <w:rsid w:val="00F03990"/>
    <w:rsid w:val="00F03DE6"/>
    <w:rsid w:val="00F04AA0"/>
    <w:rsid w:val="00F075E0"/>
    <w:rsid w:val="00F07E1E"/>
    <w:rsid w:val="00F116FC"/>
    <w:rsid w:val="00F11E68"/>
    <w:rsid w:val="00F126E5"/>
    <w:rsid w:val="00F133AF"/>
    <w:rsid w:val="00F13A0C"/>
    <w:rsid w:val="00F14E19"/>
    <w:rsid w:val="00F14FCE"/>
    <w:rsid w:val="00F1591A"/>
    <w:rsid w:val="00F15C4C"/>
    <w:rsid w:val="00F16590"/>
    <w:rsid w:val="00F16681"/>
    <w:rsid w:val="00F16DDD"/>
    <w:rsid w:val="00F172E9"/>
    <w:rsid w:val="00F173F1"/>
    <w:rsid w:val="00F17C55"/>
    <w:rsid w:val="00F22CCA"/>
    <w:rsid w:val="00F22D8F"/>
    <w:rsid w:val="00F2438A"/>
    <w:rsid w:val="00F244D9"/>
    <w:rsid w:val="00F244E1"/>
    <w:rsid w:val="00F24D13"/>
    <w:rsid w:val="00F25626"/>
    <w:rsid w:val="00F25A5D"/>
    <w:rsid w:val="00F27223"/>
    <w:rsid w:val="00F306C9"/>
    <w:rsid w:val="00F30AEB"/>
    <w:rsid w:val="00F31194"/>
    <w:rsid w:val="00F32842"/>
    <w:rsid w:val="00F3352D"/>
    <w:rsid w:val="00F34F16"/>
    <w:rsid w:val="00F3518F"/>
    <w:rsid w:val="00F354FF"/>
    <w:rsid w:val="00F3568F"/>
    <w:rsid w:val="00F366BD"/>
    <w:rsid w:val="00F3687E"/>
    <w:rsid w:val="00F36A92"/>
    <w:rsid w:val="00F36FAB"/>
    <w:rsid w:val="00F37F44"/>
    <w:rsid w:val="00F40C24"/>
    <w:rsid w:val="00F4250E"/>
    <w:rsid w:val="00F42963"/>
    <w:rsid w:val="00F4438F"/>
    <w:rsid w:val="00F4442A"/>
    <w:rsid w:val="00F44C19"/>
    <w:rsid w:val="00F45407"/>
    <w:rsid w:val="00F46039"/>
    <w:rsid w:val="00F463DA"/>
    <w:rsid w:val="00F47DD6"/>
    <w:rsid w:val="00F47DFC"/>
    <w:rsid w:val="00F5009C"/>
    <w:rsid w:val="00F503CE"/>
    <w:rsid w:val="00F5041A"/>
    <w:rsid w:val="00F51013"/>
    <w:rsid w:val="00F51588"/>
    <w:rsid w:val="00F51ADD"/>
    <w:rsid w:val="00F52BF0"/>
    <w:rsid w:val="00F534F7"/>
    <w:rsid w:val="00F54869"/>
    <w:rsid w:val="00F559EB"/>
    <w:rsid w:val="00F55D41"/>
    <w:rsid w:val="00F56096"/>
    <w:rsid w:val="00F56D36"/>
    <w:rsid w:val="00F56FD2"/>
    <w:rsid w:val="00F600ED"/>
    <w:rsid w:val="00F60839"/>
    <w:rsid w:val="00F60A9B"/>
    <w:rsid w:val="00F61B75"/>
    <w:rsid w:val="00F61F5A"/>
    <w:rsid w:val="00F6332C"/>
    <w:rsid w:val="00F644BD"/>
    <w:rsid w:val="00F64765"/>
    <w:rsid w:val="00F66715"/>
    <w:rsid w:val="00F67509"/>
    <w:rsid w:val="00F6790E"/>
    <w:rsid w:val="00F67C18"/>
    <w:rsid w:val="00F71535"/>
    <w:rsid w:val="00F72A0E"/>
    <w:rsid w:val="00F73339"/>
    <w:rsid w:val="00F74D33"/>
    <w:rsid w:val="00F75511"/>
    <w:rsid w:val="00F757A0"/>
    <w:rsid w:val="00F75943"/>
    <w:rsid w:val="00F76747"/>
    <w:rsid w:val="00F77D5D"/>
    <w:rsid w:val="00F802CD"/>
    <w:rsid w:val="00F804E0"/>
    <w:rsid w:val="00F805E7"/>
    <w:rsid w:val="00F80A95"/>
    <w:rsid w:val="00F80E65"/>
    <w:rsid w:val="00F820AF"/>
    <w:rsid w:val="00F83141"/>
    <w:rsid w:val="00F8381A"/>
    <w:rsid w:val="00F83833"/>
    <w:rsid w:val="00F84FDD"/>
    <w:rsid w:val="00F90401"/>
    <w:rsid w:val="00F930A6"/>
    <w:rsid w:val="00F930EB"/>
    <w:rsid w:val="00F939B9"/>
    <w:rsid w:val="00F93F39"/>
    <w:rsid w:val="00F94DD8"/>
    <w:rsid w:val="00F951A3"/>
    <w:rsid w:val="00F95843"/>
    <w:rsid w:val="00F962C6"/>
    <w:rsid w:val="00F9691C"/>
    <w:rsid w:val="00F96DB9"/>
    <w:rsid w:val="00F975AA"/>
    <w:rsid w:val="00FA07E6"/>
    <w:rsid w:val="00FA0AB5"/>
    <w:rsid w:val="00FA18CE"/>
    <w:rsid w:val="00FA2979"/>
    <w:rsid w:val="00FA2B34"/>
    <w:rsid w:val="00FA3333"/>
    <w:rsid w:val="00FA3ACB"/>
    <w:rsid w:val="00FA501E"/>
    <w:rsid w:val="00FA530A"/>
    <w:rsid w:val="00FA57A2"/>
    <w:rsid w:val="00FA5A21"/>
    <w:rsid w:val="00FA6171"/>
    <w:rsid w:val="00FA6789"/>
    <w:rsid w:val="00FA6CD1"/>
    <w:rsid w:val="00FA70A5"/>
    <w:rsid w:val="00FA7115"/>
    <w:rsid w:val="00FA74CC"/>
    <w:rsid w:val="00FA7B36"/>
    <w:rsid w:val="00FB0093"/>
    <w:rsid w:val="00FB0D32"/>
    <w:rsid w:val="00FB0FF9"/>
    <w:rsid w:val="00FB1617"/>
    <w:rsid w:val="00FB16E5"/>
    <w:rsid w:val="00FB213E"/>
    <w:rsid w:val="00FB2600"/>
    <w:rsid w:val="00FB30FD"/>
    <w:rsid w:val="00FB3209"/>
    <w:rsid w:val="00FB37B1"/>
    <w:rsid w:val="00FB4AC2"/>
    <w:rsid w:val="00FB4DD9"/>
    <w:rsid w:val="00FB5DE4"/>
    <w:rsid w:val="00FB6C45"/>
    <w:rsid w:val="00FB7558"/>
    <w:rsid w:val="00FC078C"/>
    <w:rsid w:val="00FC0B21"/>
    <w:rsid w:val="00FC0EB5"/>
    <w:rsid w:val="00FC19EF"/>
    <w:rsid w:val="00FC1CA7"/>
    <w:rsid w:val="00FC228A"/>
    <w:rsid w:val="00FC2771"/>
    <w:rsid w:val="00FC3261"/>
    <w:rsid w:val="00FC3C19"/>
    <w:rsid w:val="00FC575D"/>
    <w:rsid w:val="00FC5BB3"/>
    <w:rsid w:val="00FC5EA4"/>
    <w:rsid w:val="00FC6BE0"/>
    <w:rsid w:val="00FC7CB2"/>
    <w:rsid w:val="00FD0453"/>
    <w:rsid w:val="00FD0A01"/>
    <w:rsid w:val="00FD1F41"/>
    <w:rsid w:val="00FD2D44"/>
    <w:rsid w:val="00FD3401"/>
    <w:rsid w:val="00FD493E"/>
    <w:rsid w:val="00FD4AD5"/>
    <w:rsid w:val="00FD4EAE"/>
    <w:rsid w:val="00FD6546"/>
    <w:rsid w:val="00FD6D0E"/>
    <w:rsid w:val="00FD7F53"/>
    <w:rsid w:val="00FE03B1"/>
    <w:rsid w:val="00FE0737"/>
    <w:rsid w:val="00FE2432"/>
    <w:rsid w:val="00FE25AE"/>
    <w:rsid w:val="00FE2C1D"/>
    <w:rsid w:val="00FE2F4D"/>
    <w:rsid w:val="00FE347B"/>
    <w:rsid w:val="00FE362C"/>
    <w:rsid w:val="00FE41E6"/>
    <w:rsid w:val="00FE4A92"/>
    <w:rsid w:val="00FE5DFB"/>
    <w:rsid w:val="00FE6A3F"/>
    <w:rsid w:val="00FE6CBD"/>
    <w:rsid w:val="00FE6F83"/>
    <w:rsid w:val="00FE787C"/>
    <w:rsid w:val="00FF0615"/>
    <w:rsid w:val="00FF0B58"/>
    <w:rsid w:val="00FF0C5D"/>
    <w:rsid w:val="00FF2B29"/>
    <w:rsid w:val="00FF31D8"/>
    <w:rsid w:val="00FF373C"/>
    <w:rsid w:val="00FF3A58"/>
    <w:rsid w:val="00FF3E51"/>
    <w:rsid w:val="00FF43B2"/>
    <w:rsid w:val="00FF45ED"/>
    <w:rsid w:val="00FF5203"/>
    <w:rsid w:val="00FF63F5"/>
    <w:rsid w:val="00FF6AE6"/>
    <w:rsid w:val="00FF6D1B"/>
    <w:rsid w:val="00FF76E0"/>
    <w:rsid w:val="01CA5C7B"/>
    <w:rsid w:val="02127DAD"/>
    <w:rsid w:val="0256F792"/>
    <w:rsid w:val="02609164"/>
    <w:rsid w:val="030CCB61"/>
    <w:rsid w:val="05263CBD"/>
    <w:rsid w:val="063869C5"/>
    <w:rsid w:val="086FC5EA"/>
    <w:rsid w:val="08B5C60A"/>
    <w:rsid w:val="08D30E79"/>
    <w:rsid w:val="0AFEBC43"/>
    <w:rsid w:val="0F4DC5E5"/>
    <w:rsid w:val="10F2992C"/>
    <w:rsid w:val="1B727931"/>
    <w:rsid w:val="20CCA75D"/>
    <w:rsid w:val="20F3F92B"/>
    <w:rsid w:val="2173C761"/>
    <w:rsid w:val="2349C83E"/>
    <w:rsid w:val="24D219CA"/>
    <w:rsid w:val="25867DA6"/>
    <w:rsid w:val="261F7E4E"/>
    <w:rsid w:val="268DB4B2"/>
    <w:rsid w:val="2707A83D"/>
    <w:rsid w:val="2786CD00"/>
    <w:rsid w:val="2B11D84E"/>
    <w:rsid w:val="36B1F2F2"/>
    <w:rsid w:val="38FA39FC"/>
    <w:rsid w:val="3A13F404"/>
    <w:rsid w:val="3B4D81E4"/>
    <w:rsid w:val="3BDCD3A6"/>
    <w:rsid w:val="40DC48FE"/>
    <w:rsid w:val="43A5B1DC"/>
    <w:rsid w:val="4431EC18"/>
    <w:rsid w:val="4A2E4AA2"/>
    <w:rsid w:val="4AED5D95"/>
    <w:rsid w:val="4BB2FD79"/>
    <w:rsid w:val="4D345BDB"/>
    <w:rsid w:val="4E898A69"/>
    <w:rsid w:val="50CB77F1"/>
    <w:rsid w:val="517F20A0"/>
    <w:rsid w:val="546E1B61"/>
    <w:rsid w:val="5509B122"/>
    <w:rsid w:val="5531405E"/>
    <w:rsid w:val="5682DB7B"/>
    <w:rsid w:val="5BB20D05"/>
    <w:rsid w:val="637DAF94"/>
    <w:rsid w:val="63851C9E"/>
    <w:rsid w:val="64F944EF"/>
    <w:rsid w:val="67D75F3A"/>
    <w:rsid w:val="6DFA530A"/>
    <w:rsid w:val="71142023"/>
    <w:rsid w:val="71F7843A"/>
    <w:rsid w:val="745B8DE0"/>
    <w:rsid w:val="747D404F"/>
    <w:rsid w:val="765B96B6"/>
    <w:rsid w:val="79C66475"/>
    <w:rsid w:val="7A05C1FA"/>
    <w:rsid w:val="7BC48D6F"/>
    <w:rsid w:val="7C1F937F"/>
    <w:rsid w:val="7C222A01"/>
    <w:rsid w:val="7DFAF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4F"/>
  <w15:docId w15:val="{CEEAE794-B80F-4046-B772-D4EFAD3B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B0"/>
  </w:style>
  <w:style w:type="paragraph" w:styleId="Heading1">
    <w:name w:val="heading 1"/>
    <w:basedOn w:val="Normal"/>
    <w:next w:val="Normal"/>
    <w:link w:val="Heading1Char"/>
    <w:uiPriority w:val="9"/>
    <w:qFormat/>
    <w:rsid w:val="0093651C"/>
    <w:pPr>
      <w:keepNext/>
      <w:keepLines/>
      <w:spacing w:before="240" w:after="0"/>
      <w:outlineLvl w:val="0"/>
    </w:pPr>
    <w:rPr>
      <w:rFonts w:eastAsiaTheme="majorEastAsia" w:cstheme="majorBidi"/>
      <w:b/>
      <w:color w:val="1F4E79" w:themeColor="accent5" w:themeShade="80"/>
      <w:sz w:val="28"/>
      <w:szCs w:val="32"/>
    </w:rPr>
  </w:style>
  <w:style w:type="paragraph" w:styleId="Heading2">
    <w:name w:val="heading 2"/>
    <w:basedOn w:val="Normal"/>
    <w:next w:val="Normal"/>
    <w:link w:val="Heading2Char"/>
    <w:uiPriority w:val="9"/>
    <w:unhideWhenUsed/>
    <w:qFormat/>
    <w:rsid w:val="002B0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NoSpacing">
    <w:name w:val="No Spacing"/>
    <w:uiPriority w:val="1"/>
    <w:qFormat/>
    <w:rsid w:val="00160AB0"/>
    <w:pPr>
      <w:spacing w:after="0" w:line="240" w:lineRule="auto"/>
    </w:pPr>
  </w:style>
  <w:style w:type="paragraph" w:styleId="FootnoteText">
    <w:name w:val="footnote text"/>
    <w:basedOn w:val="Normal"/>
    <w:link w:val="FootnoteTextChar"/>
    <w:uiPriority w:val="99"/>
    <w:unhideWhenUsed/>
    <w:rsid w:val="0017637D"/>
    <w:pPr>
      <w:spacing w:after="0" w:line="240" w:lineRule="auto"/>
    </w:pPr>
    <w:rPr>
      <w:sz w:val="20"/>
      <w:szCs w:val="20"/>
    </w:rPr>
  </w:style>
  <w:style w:type="character" w:customStyle="1" w:styleId="FootnoteTextChar">
    <w:name w:val="Footnote Text Char"/>
    <w:basedOn w:val="DefaultParagraphFont"/>
    <w:link w:val="FootnoteText"/>
    <w:uiPriority w:val="99"/>
    <w:rsid w:val="0017637D"/>
    <w:rPr>
      <w:sz w:val="20"/>
      <w:szCs w:val="20"/>
    </w:rPr>
  </w:style>
  <w:style w:type="character" w:styleId="FootnoteReference">
    <w:name w:val="footnote reference"/>
    <w:basedOn w:val="DefaultParagraphFont"/>
    <w:uiPriority w:val="99"/>
    <w:unhideWhenUsed/>
    <w:rsid w:val="0017637D"/>
    <w:rPr>
      <w:vertAlign w:val="superscript"/>
    </w:rPr>
  </w:style>
  <w:style w:type="paragraph" w:styleId="ListParagraph">
    <w:name w:val="List Paragraph"/>
    <w:basedOn w:val="Normal"/>
    <w:link w:val="ListParagraphChar"/>
    <w:uiPriority w:val="34"/>
    <w:qFormat/>
    <w:rsid w:val="005C0498"/>
    <w:pPr>
      <w:ind w:left="720"/>
      <w:contextualSpacing/>
    </w:pPr>
  </w:style>
  <w:style w:type="table" w:customStyle="1" w:styleId="GridTable4-Accent11">
    <w:name w:val="Grid Table 4 - Accent 11"/>
    <w:basedOn w:val="TableNormal"/>
    <w:uiPriority w:val="49"/>
    <w:rsid w:val="00897353"/>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Footer">
    <w:name w:val="footer"/>
    <w:basedOn w:val="Normal"/>
    <w:link w:val="FooterChar"/>
    <w:uiPriority w:val="99"/>
    <w:unhideWhenUsed/>
    <w:rsid w:val="003E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DA"/>
  </w:style>
  <w:style w:type="character" w:styleId="Hyperlink">
    <w:name w:val="Hyperlink"/>
    <w:basedOn w:val="DefaultParagraphFont"/>
    <w:uiPriority w:val="99"/>
    <w:unhideWhenUsed/>
    <w:rsid w:val="003E1CDA"/>
    <w:rPr>
      <w:color w:val="0563C1" w:themeColor="hyperlink"/>
      <w:u w:val="single"/>
    </w:rPr>
  </w:style>
  <w:style w:type="character" w:customStyle="1" w:styleId="UnresolvedMention1">
    <w:name w:val="Unresolved Mention1"/>
    <w:basedOn w:val="DefaultParagraphFont"/>
    <w:uiPriority w:val="99"/>
    <w:semiHidden/>
    <w:unhideWhenUsed/>
    <w:rsid w:val="008252E3"/>
    <w:rPr>
      <w:color w:val="605E5C"/>
      <w:shd w:val="clear" w:color="auto" w:fill="E1DFDD"/>
    </w:rPr>
  </w:style>
  <w:style w:type="character" w:styleId="CommentReference">
    <w:name w:val="annotation reference"/>
    <w:basedOn w:val="DefaultParagraphFont"/>
    <w:uiPriority w:val="99"/>
    <w:semiHidden/>
    <w:unhideWhenUsed/>
    <w:rsid w:val="00B71F50"/>
    <w:rPr>
      <w:sz w:val="16"/>
      <w:szCs w:val="16"/>
    </w:rPr>
  </w:style>
  <w:style w:type="paragraph" w:styleId="CommentText">
    <w:name w:val="annotation text"/>
    <w:basedOn w:val="Normal"/>
    <w:link w:val="CommentTextChar"/>
    <w:uiPriority w:val="99"/>
    <w:unhideWhenUsed/>
    <w:rsid w:val="00B71F50"/>
    <w:pPr>
      <w:spacing w:line="240" w:lineRule="auto"/>
    </w:pPr>
    <w:rPr>
      <w:sz w:val="20"/>
      <w:szCs w:val="20"/>
    </w:rPr>
  </w:style>
  <w:style w:type="character" w:customStyle="1" w:styleId="CommentTextChar">
    <w:name w:val="Comment Text Char"/>
    <w:basedOn w:val="DefaultParagraphFont"/>
    <w:link w:val="CommentText"/>
    <w:uiPriority w:val="99"/>
    <w:rsid w:val="00B71F50"/>
    <w:rPr>
      <w:sz w:val="20"/>
      <w:szCs w:val="20"/>
    </w:rPr>
  </w:style>
  <w:style w:type="paragraph" w:styleId="CommentSubject">
    <w:name w:val="annotation subject"/>
    <w:basedOn w:val="CommentText"/>
    <w:next w:val="CommentText"/>
    <w:link w:val="CommentSubjectChar"/>
    <w:uiPriority w:val="99"/>
    <w:semiHidden/>
    <w:unhideWhenUsed/>
    <w:rsid w:val="00B71F50"/>
    <w:rPr>
      <w:b/>
      <w:bCs/>
    </w:rPr>
  </w:style>
  <w:style w:type="character" w:customStyle="1" w:styleId="CommentSubjectChar">
    <w:name w:val="Comment Subject Char"/>
    <w:basedOn w:val="CommentTextChar"/>
    <w:link w:val="CommentSubject"/>
    <w:uiPriority w:val="99"/>
    <w:semiHidden/>
    <w:rsid w:val="00B71F50"/>
    <w:rPr>
      <w:b/>
      <w:bCs/>
      <w:sz w:val="20"/>
      <w:szCs w:val="20"/>
    </w:rPr>
  </w:style>
  <w:style w:type="paragraph" w:styleId="EndnoteText">
    <w:name w:val="endnote text"/>
    <w:basedOn w:val="Normal"/>
    <w:link w:val="EndnoteTextChar"/>
    <w:uiPriority w:val="99"/>
    <w:unhideWhenUsed/>
    <w:rsid w:val="00656A79"/>
    <w:pPr>
      <w:spacing w:after="0" w:line="240" w:lineRule="auto"/>
    </w:pPr>
    <w:rPr>
      <w:sz w:val="20"/>
      <w:szCs w:val="20"/>
    </w:rPr>
  </w:style>
  <w:style w:type="character" w:customStyle="1" w:styleId="EndnoteTextChar">
    <w:name w:val="Endnote Text Char"/>
    <w:basedOn w:val="DefaultParagraphFont"/>
    <w:link w:val="EndnoteText"/>
    <w:uiPriority w:val="99"/>
    <w:rsid w:val="00656A79"/>
    <w:rPr>
      <w:sz w:val="20"/>
      <w:szCs w:val="20"/>
    </w:rPr>
  </w:style>
  <w:style w:type="character" w:styleId="EndnoteReference">
    <w:name w:val="endnote reference"/>
    <w:basedOn w:val="DefaultParagraphFont"/>
    <w:uiPriority w:val="99"/>
    <w:semiHidden/>
    <w:unhideWhenUsed/>
    <w:rsid w:val="00656A79"/>
    <w:rPr>
      <w:vertAlign w:val="superscript"/>
    </w:rPr>
  </w:style>
  <w:style w:type="paragraph" w:styleId="PlainText">
    <w:name w:val="Plain Text"/>
    <w:basedOn w:val="Normal"/>
    <w:link w:val="PlainTextChar"/>
    <w:uiPriority w:val="99"/>
    <w:unhideWhenUsed/>
    <w:rsid w:val="00FA6CD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A6CD1"/>
    <w:rPr>
      <w:rFonts w:ascii="Calibri" w:hAnsi="Calibri" w:cs="Calibri"/>
    </w:rPr>
  </w:style>
  <w:style w:type="paragraph" w:styleId="BalloonText">
    <w:name w:val="Balloon Text"/>
    <w:basedOn w:val="Normal"/>
    <w:link w:val="BalloonTextChar"/>
    <w:uiPriority w:val="99"/>
    <w:semiHidden/>
    <w:unhideWhenUsed/>
    <w:rsid w:val="00C4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C2"/>
    <w:rPr>
      <w:rFonts w:ascii="Segoe UI" w:hAnsi="Segoe UI" w:cs="Segoe UI"/>
      <w:sz w:val="18"/>
      <w:szCs w:val="18"/>
    </w:rPr>
  </w:style>
  <w:style w:type="paragraph" w:styleId="Revision">
    <w:name w:val="Revision"/>
    <w:hidden/>
    <w:uiPriority w:val="99"/>
    <w:semiHidden/>
    <w:rsid w:val="006F5976"/>
    <w:pPr>
      <w:spacing w:after="0" w:line="240" w:lineRule="auto"/>
    </w:pPr>
  </w:style>
  <w:style w:type="character" w:customStyle="1" w:styleId="Heading1Char">
    <w:name w:val="Heading 1 Char"/>
    <w:basedOn w:val="DefaultParagraphFont"/>
    <w:link w:val="Heading1"/>
    <w:uiPriority w:val="9"/>
    <w:rsid w:val="0093651C"/>
    <w:rPr>
      <w:rFonts w:eastAsiaTheme="majorEastAsia" w:cstheme="majorBidi"/>
      <w:b/>
      <w:color w:val="1F4E79" w:themeColor="accent5" w:themeShade="80"/>
      <w:sz w:val="28"/>
      <w:szCs w:val="32"/>
    </w:rPr>
  </w:style>
  <w:style w:type="paragraph" w:styleId="TOCHeading">
    <w:name w:val="TOC Heading"/>
    <w:basedOn w:val="Heading1"/>
    <w:next w:val="Normal"/>
    <w:uiPriority w:val="39"/>
    <w:unhideWhenUsed/>
    <w:qFormat/>
    <w:rsid w:val="002B05B4"/>
    <w:pPr>
      <w:outlineLvl w:val="9"/>
    </w:pPr>
  </w:style>
  <w:style w:type="paragraph" w:styleId="TOC1">
    <w:name w:val="toc 1"/>
    <w:basedOn w:val="Normal"/>
    <w:next w:val="Normal"/>
    <w:autoRedefine/>
    <w:uiPriority w:val="39"/>
    <w:unhideWhenUsed/>
    <w:rsid w:val="0093651C"/>
    <w:pPr>
      <w:spacing w:after="100"/>
    </w:pPr>
  </w:style>
  <w:style w:type="character" w:customStyle="1" w:styleId="Heading2Char">
    <w:name w:val="Heading 2 Char"/>
    <w:basedOn w:val="DefaultParagraphFont"/>
    <w:link w:val="Heading2"/>
    <w:uiPriority w:val="9"/>
    <w:rsid w:val="002B05B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2725E"/>
    <w:pPr>
      <w:tabs>
        <w:tab w:val="right" w:leader="dot" w:pos="9710"/>
      </w:tabs>
      <w:spacing w:after="100"/>
    </w:pPr>
    <w:rPr>
      <w:rFonts w:cstheme="minorHAnsi"/>
      <w:i/>
      <w:iCs/>
      <w:noProof/>
    </w:rPr>
  </w:style>
  <w:style w:type="character" w:styleId="Emphasis">
    <w:name w:val="Emphasis"/>
    <w:basedOn w:val="DefaultParagraphFont"/>
    <w:uiPriority w:val="20"/>
    <w:qFormat/>
    <w:rsid w:val="001626F0"/>
    <w:rPr>
      <w:i/>
      <w:iCs/>
    </w:rPr>
  </w:style>
  <w:style w:type="character" w:customStyle="1" w:styleId="FootnoteTextChar1">
    <w:name w:val="Footnote Text Char1"/>
    <w:basedOn w:val="DefaultParagraphFont"/>
    <w:uiPriority w:val="99"/>
    <w:rsid w:val="00BD39AC"/>
    <w:rPr>
      <w:sz w:val="20"/>
      <w:szCs w:val="20"/>
    </w:rPr>
  </w:style>
  <w:style w:type="character" w:styleId="UnresolvedMention">
    <w:name w:val="Unresolved Mention"/>
    <w:basedOn w:val="DefaultParagraphFont"/>
    <w:uiPriority w:val="99"/>
    <w:semiHidden/>
    <w:unhideWhenUsed/>
    <w:rsid w:val="00401553"/>
    <w:rPr>
      <w:color w:val="605E5C"/>
      <w:shd w:val="clear" w:color="auto" w:fill="E1DFDD"/>
    </w:rPr>
  </w:style>
  <w:style w:type="character" w:customStyle="1" w:styleId="ListParagraphChar">
    <w:name w:val="List Paragraph Char"/>
    <w:basedOn w:val="DefaultParagraphFont"/>
    <w:link w:val="ListParagraph"/>
    <w:uiPriority w:val="34"/>
    <w:rsid w:val="00575025"/>
  </w:style>
  <w:style w:type="paragraph" w:styleId="Caption">
    <w:name w:val="caption"/>
    <w:basedOn w:val="Normal"/>
    <w:next w:val="Normal"/>
    <w:uiPriority w:val="35"/>
    <w:unhideWhenUsed/>
    <w:qFormat/>
    <w:rsid w:val="0025244D"/>
    <w:pPr>
      <w:spacing w:after="200" w:line="240" w:lineRule="auto"/>
    </w:pPr>
    <w:rPr>
      <w:b/>
      <w:bCs/>
      <w:color w:val="4472C4" w:themeColor="accent1"/>
      <w:sz w:val="18"/>
      <w:szCs w:val="18"/>
    </w:rPr>
  </w:style>
  <w:style w:type="character" w:customStyle="1" w:styleId="normaltextrun">
    <w:name w:val="normaltextrun"/>
    <w:basedOn w:val="DefaultParagraphFont"/>
    <w:rsid w:val="003D2DE6"/>
  </w:style>
  <w:style w:type="character" w:customStyle="1" w:styleId="eop">
    <w:name w:val="eop"/>
    <w:basedOn w:val="DefaultParagraphFont"/>
    <w:rsid w:val="003D2DE6"/>
  </w:style>
  <w:style w:type="paragraph" w:customStyle="1" w:styleId="paragraph">
    <w:name w:val="paragraph"/>
    <w:basedOn w:val="Normal"/>
    <w:rsid w:val="00384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84DDC"/>
  </w:style>
  <w:style w:type="paragraph" w:customStyle="1" w:styleId="Default">
    <w:name w:val="Default"/>
    <w:rsid w:val="006674E1"/>
    <w:pPr>
      <w:autoSpaceDE w:val="0"/>
      <w:autoSpaceDN w:val="0"/>
      <w:adjustRightInd w:val="0"/>
      <w:spacing w:after="0" w:line="240" w:lineRule="auto"/>
    </w:pPr>
    <w:rPr>
      <w:rFonts w:ascii="HQIEQ S+ Times New" w:hAnsi="HQIEQ S+ Times New" w:cs="HQIEQ S+ Times New"/>
      <w:color w:val="000000"/>
      <w:sz w:val="24"/>
      <w:szCs w:val="24"/>
    </w:rPr>
  </w:style>
  <w:style w:type="paragraph" w:styleId="NormalWeb">
    <w:name w:val="Normal (Web)"/>
    <w:basedOn w:val="Normal"/>
    <w:uiPriority w:val="99"/>
    <w:unhideWhenUsed/>
    <w:rsid w:val="008E4932"/>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568F4"/>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3568F4"/>
    <w:rPr>
      <w:rFonts w:ascii="Times New Roman" w:eastAsia="Times New Roman" w:hAnsi="Times New Roman"/>
      <w:sz w:val="19"/>
      <w:szCs w:val="19"/>
    </w:rPr>
  </w:style>
  <w:style w:type="character" w:customStyle="1" w:styleId="has-tooltip">
    <w:name w:val="has-tooltip"/>
    <w:basedOn w:val="DefaultParagraphFont"/>
    <w:rsid w:val="00A93146"/>
  </w:style>
  <w:style w:type="character" w:customStyle="1" w:styleId="cf01">
    <w:name w:val="cf01"/>
    <w:basedOn w:val="DefaultParagraphFont"/>
    <w:rsid w:val="004538A0"/>
    <w:rPr>
      <w:rFonts w:ascii="Segoe UI" w:hAnsi="Segoe UI" w:cs="Segoe UI" w:hint="default"/>
      <w:sz w:val="18"/>
      <w:szCs w:val="18"/>
    </w:rPr>
  </w:style>
  <w:style w:type="table" w:styleId="GridTable1Light">
    <w:name w:val="Grid Table 1 Light"/>
    <w:basedOn w:val="TableNormal"/>
    <w:uiPriority w:val="46"/>
    <w:rsid w:val="007775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775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C1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80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F80E65"/>
    <w:rPr>
      <w:rFonts w:ascii="Segoe UI" w:hAnsi="Segoe UI" w:cs="Segoe UI" w:hint="default"/>
      <w:sz w:val="18"/>
      <w:szCs w:val="18"/>
    </w:rPr>
  </w:style>
  <w:style w:type="paragraph" w:customStyle="1" w:styleId="xxmsolistparagraph">
    <w:name w:val="x_xmsolistparagraph"/>
    <w:basedOn w:val="Normal"/>
    <w:rsid w:val="002742C0"/>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C07E52"/>
    <w:rPr>
      <w:color w:val="954F72" w:themeColor="followedHyperlink"/>
      <w:u w:val="single"/>
    </w:rPr>
  </w:style>
  <w:style w:type="paragraph" w:customStyle="1" w:styleId="TableParagraph">
    <w:name w:val="Table Paragraph"/>
    <w:basedOn w:val="Normal"/>
    <w:uiPriority w:val="1"/>
    <w:qFormat/>
    <w:rsid w:val="00CA398E"/>
    <w:pPr>
      <w:widowControl w:val="0"/>
      <w:autoSpaceDE w:val="0"/>
      <w:autoSpaceDN w:val="0"/>
      <w:spacing w:after="0" w:line="240" w:lineRule="auto"/>
    </w:pPr>
    <w:rPr>
      <w:rFonts w:ascii="Arial" w:eastAsia="Arial" w:hAnsi="Arial" w:cs="Arial"/>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51933">
      <w:bodyDiv w:val="1"/>
      <w:marLeft w:val="0"/>
      <w:marRight w:val="0"/>
      <w:marTop w:val="0"/>
      <w:marBottom w:val="0"/>
      <w:divBdr>
        <w:top w:val="none" w:sz="0" w:space="0" w:color="auto"/>
        <w:left w:val="none" w:sz="0" w:space="0" w:color="auto"/>
        <w:bottom w:val="none" w:sz="0" w:space="0" w:color="auto"/>
        <w:right w:val="none" w:sz="0" w:space="0" w:color="auto"/>
      </w:divBdr>
    </w:div>
    <w:div w:id="150634219">
      <w:bodyDiv w:val="1"/>
      <w:marLeft w:val="0"/>
      <w:marRight w:val="0"/>
      <w:marTop w:val="0"/>
      <w:marBottom w:val="0"/>
      <w:divBdr>
        <w:top w:val="none" w:sz="0" w:space="0" w:color="auto"/>
        <w:left w:val="none" w:sz="0" w:space="0" w:color="auto"/>
        <w:bottom w:val="none" w:sz="0" w:space="0" w:color="auto"/>
        <w:right w:val="none" w:sz="0" w:space="0" w:color="auto"/>
      </w:divBdr>
    </w:div>
    <w:div w:id="275331488">
      <w:bodyDiv w:val="1"/>
      <w:marLeft w:val="0"/>
      <w:marRight w:val="0"/>
      <w:marTop w:val="0"/>
      <w:marBottom w:val="0"/>
      <w:divBdr>
        <w:top w:val="none" w:sz="0" w:space="0" w:color="auto"/>
        <w:left w:val="none" w:sz="0" w:space="0" w:color="auto"/>
        <w:bottom w:val="none" w:sz="0" w:space="0" w:color="auto"/>
        <w:right w:val="none" w:sz="0" w:space="0" w:color="auto"/>
      </w:divBdr>
      <w:divsChild>
        <w:div w:id="236524572">
          <w:marLeft w:val="0"/>
          <w:marRight w:val="0"/>
          <w:marTop w:val="0"/>
          <w:marBottom w:val="0"/>
          <w:divBdr>
            <w:top w:val="none" w:sz="0" w:space="0" w:color="auto"/>
            <w:left w:val="none" w:sz="0" w:space="0" w:color="auto"/>
            <w:bottom w:val="none" w:sz="0" w:space="0" w:color="auto"/>
            <w:right w:val="none" w:sz="0" w:space="0" w:color="auto"/>
          </w:divBdr>
        </w:div>
        <w:div w:id="489712729">
          <w:marLeft w:val="0"/>
          <w:marRight w:val="0"/>
          <w:marTop w:val="0"/>
          <w:marBottom w:val="0"/>
          <w:divBdr>
            <w:top w:val="none" w:sz="0" w:space="0" w:color="auto"/>
            <w:left w:val="none" w:sz="0" w:space="0" w:color="auto"/>
            <w:bottom w:val="none" w:sz="0" w:space="0" w:color="auto"/>
            <w:right w:val="none" w:sz="0" w:space="0" w:color="auto"/>
          </w:divBdr>
        </w:div>
        <w:div w:id="577323048">
          <w:marLeft w:val="0"/>
          <w:marRight w:val="0"/>
          <w:marTop w:val="0"/>
          <w:marBottom w:val="0"/>
          <w:divBdr>
            <w:top w:val="none" w:sz="0" w:space="0" w:color="auto"/>
            <w:left w:val="none" w:sz="0" w:space="0" w:color="auto"/>
            <w:bottom w:val="none" w:sz="0" w:space="0" w:color="auto"/>
            <w:right w:val="none" w:sz="0" w:space="0" w:color="auto"/>
          </w:divBdr>
        </w:div>
        <w:div w:id="890195758">
          <w:marLeft w:val="0"/>
          <w:marRight w:val="0"/>
          <w:marTop w:val="0"/>
          <w:marBottom w:val="0"/>
          <w:divBdr>
            <w:top w:val="none" w:sz="0" w:space="0" w:color="auto"/>
            <w:left w:val="none" w:sz="0" w:space="0" w:color="auto"/>
            <w:bottom w:val="none" w:sz="0" w:space="0" w:color="auto"/>
            <w:right w:val="none" w:sz="0" w:space="0" w:color="auto"/>
          </w:divBdr>
        </w:div>
        <w:div w:id="937713560">
          <w:marLeft w:val="0"/>
          <w:marRight w:val="0"/>
          <w:marTop w:val="0"/>
          <w:marBottom w:val="0"/>
          <w:divBdr>
            <w:top w:val="none" w:sz="0" w:space="0" w:color="auto"/>
            <w:left w:val="none" w:sz="0" w:space="0" w:color="auto"/>
            <w:bottom w:val="none" w:sz="0" w:space="0" w:color="auto"/>
            <w:right w:val="none" w:sz="0" w:space="0" w:color="auto"/>
          </w:divBdr>
        </w:div>
        <w:div w:id="955792783">
          <w:marLeft w:val="0"/>
          <w:marRight w:val="0"/>
          <w:marTop w:val="0"/>
          <w:marBottom w:val="0"/>
          <w:divBdr>
            <w:top w:val="none" w:sz="0" w:space="0" w:color="auto"/>
            <w:left w:val="none" w:sz="0" w:space="0" w:color="auto"/>
            <w:bottom w:val="none" w:sz="0" w:space="0" w:color="auto"/>
            <w:right w:val="none" w:sz="0" w:space="0" w:color="auto"/>
          </w:divBdr>
        </w:div>
        <w:div w:id="1260991394">
          <w:marLeft w:val="0"/>
          <w:marRight w:val="0"/>
          <w:marTop w:val="0"/>
          <w:marBottom w:val="0"/>
          <w:divBdr>
            <w:top w:val="none" w:sz="0" w:space="0" w:color="auto"/>
            <w:left w:val="none" w:sz="0" w:space="0" w:color="auto"/>
            <w:bottom w:val="none" w:sz="0" w:space="0" w:color="auto"/>
            <w:right w:val="none" w:sz="0" w:space="0" w:color="auto"/>
          </w:divBdr>
        </w:div>
        <w:div w:id="1385521624">
          <w:marLeft w:val="0"/>
          <w:marRight w:val="0"/>
          <w:marTop w:val="0"/>
          <w:marBottom w:val="0"/>
          <w:divBdr>
            <w:top w:val="none" w:sz="0" w:space="0" w:color="auto"/>
            <w:left w:val="none" w:sz="0" w:space="0" w:color="auto"/>
            <w:bottom w:val="none" w:sz="0" w:space="0" w:color="auto"/>
            <w:right w:val="none" w:sz="0" w:space="0" w:color="auto"/>
          </w:divBdr>
        </w:div>
        <w:div w:id="1586452819">
          <w:marLeft w:val="0"/>
          <w:marRight w:val="0"/>
          <w:marTop w:val="0"/>
          <w:marBottom w:val="0"/>
          <w:divBdr>
            <w:top w:val="none" w:sz="0" w:space="0" w:color="auto"/>
            <w:left w:val="none" w:sz="0" w:space="0" w:color="auto"/>
            <w:bottom w:val="none" w:sz="0" w:space="0" w:color="auto"/>
            <w:right w:val="none" w:sz="0" w:space="0" w:color="auto"/>
          </w:divBdr>
        </w:div>
        <w:div w:id="1626351802">
          <w:marLeft w:val="0"/>
          <w:marRight w:val="0"/>
          <w:marTop w:val="0"/>
          <w:marBottom w:val="0"/>
          <w:divBdr>
            <w:top w:val="none" w:sz="0" w:space="0" w:color="auto"/>
            <w:left w:val="none" w:sz="0" w:space="0" w:color="auto"/>
            <w:bottom w:val="none" w:sz="0" w:space="0" w:color="auto"/>
            <w:right w:val="none" w:sz="0" w:space="0" w:color="auto"/>
          </w:divBdr>
        </w:div>
        <w:div w:id="1629236739">
          <w:marLeft w:val="0"/>
          <w:marRight w:val="0"/>
          <w:marTop w:val="0"/>
          <w:marBottom w:val="0"/>
          <w:divBdr>
            <w:top w:val="none" w:sz="0" w:space="0" w:color="auto"/>
            <w:left w:val="none" w:sz="0" w:space="0" w:color="auto"/>
            <w:bottom w:val="none" w:sz="0" w:space="0" w:color="auto"/>
            <w:right w:val="none" w:sz="0" w:space="0" w:color="auto"/>
          </w:divBdr>
        </w:div>
        <w:div w:id="1689023704">
          <w:marLeft w:val="0"/>
          <w:marRight w:val="0"/>
          <w:marTop w:val="0"/>
          <w:marBottom w:val="0"/>
          <w:divBdr>
            <w:top w:val="none" w:sz="0" w:space="0" w:color="auto"/>
            <w:left w:val="none" w:sz="0" w:space="0" w:color="auto"/>
            <w:bottom w:val="none" w:sz="0" w:space="0" w:color="auto"/>
            <w:right w:val="none" w:sz="0" w:space="0" w:color="auto"/>
          </w:divBdr>
        </w:div>
        <w:div w:id="1786384542">
          <w:marLeft w:val="0"/>
          <w:marRight w:val="0"/>
          <w:marTop w:val="0"/>
          <w:marBottom w:val="0"/>
          <w:divBdr>
            <w:top w:val="none" w:sz="0" w:space="0" w:color="auto"/>
            <w:left w:val="none" w:sz="0" w:space="0" w:color="auto"/>
            <w:bottom w:val="none" w:sz="0" w:space="0" w:color="auto"/>
            <w:right w:val="none" w:sz="0" w:space="0" w:color="auto"/>
          </w:divBdr>
        </w:div>
        <w:div w:id="1806392525">
          <w:marLeft w:val="0"/>
          <w:marRight w:val="0"/>
          <w:marTop w:val="0"/>
          <w:marBottom w:val="0"/>
          <w:divBdr>
            <w:top w:val="none" w:sz="0" w:space="0" w:color="auto"/>
            <w:left w:val="none" w:sz="0" w:space="0" w:color="auto"/>
            <w:bottom w:val="none" w:sz="0" w:space="0" w:color="auto"/>
            <w:right w:val="none" w:sz="0" w:space="0" w:color="auto"/>
          </w:divBdr>
        </w:div>
        <w:div w:id="2047025893">
          <w:marLeft w:val="0"/>
          <w:marRight w:val="0"/>
          <w:marTop w:val="0"/>
          <w:marBottom w:val="0"/>
          <w:divBdr>
            <w:top w:val="none" w:sz="0" w:space="0" w:color="auto"/>
            <w:left w:val="none" w:sz="0" w:space="0" w:color="auto"/>
            <w:bottom w:val="none" w:sz="0" w:space="0" w:color="auto"/>
            <w:right w:val="none" w:sz="0" w:space="0" w:color="auto"/>
          </w:divBdr>
        </w:div>
        <w:div w:id="2134783970">
          <w:marLeft w:val="0"/>
          <w:marRight w:val="0"/>
          <w:marTop w:val="0"/>
          <w:marBottom w:val="0"/>
          <w:divBdr>
            <w:top w:val="none" w:sz="0" w:space="0" w:color="auto"/>
            <w:left w:val="none" w:sz="0" w:space="0" w:color="auto"/>
            <w:bottom w:val="none" w:sz="0" w:space="0" w:color="auto"/>
            <w:right w:val="none" w:sz="0" w:space="0" w:color="auto"/>
          </w:divBdr>
        </w:div>
      </w:divsChild>
    </w:div>
    <w:div w:id="304706867">
      <w:bodyDiv w:val="1"/>
      <w:marLeft w:val="0"/>
      <w:marRight w:val="0"/>
      <w:marTop w:val="0"/>
      <w:marBottom w:val="0"/>
      <w:divBdr>
        <w:top w:val="none" w:sz="0" w:space="0" w:color="auto"/>
        <w:left w:val="none" w:sz="0" w:space="0" w:color="auto"/>
        <w:bottom w:val="none" w:sz="0" w:space="0" w:color="auto"/>
        <w:right w:val="none" w:sz="0" w:space="0" w:color="auto"/>
      </w:divBdr>
    </w:div>
    <w:div w:id="342896811">
      <w:bodyDiv w:val="1"/>
      <w:marLeft w:val="0"/>
      <w:marRight w:val="0"/>
      <w:marTop w:val="0"/>
      <w:marBottom w:val="0"/>
      <w:divBdr>
        <w:top w:val="none" w:sz="0" w:space="0" w:color="auto"/>
        <w:left w:val="none" w:sz="0" w:space="0" w:color="auto"/>
        <w:bottom w:val="none" w:sz="0" w:space="0" w:color="auto"/>
        <w:right w:val="none" w:sz="0" w:space="0" w:color="auto"/>
      </w:divBdr>
    </w:div>
    <w:div w:id="417942525">
      <w:bodyDiv w:val="1"/>
      <w:marLeft w:val="0"/>
      <w:marRight w:val="0"/>
      <w:marTop w:val="0"/>
      <w:marBottom w:val="0"/>
      <w:divBdr>
        <w:top w:val="none" w:sz="0" w:space="0" w:color="auto"/>
        <w:left w:val="none" w:sz="0" w:space="0" w:color="auto"/>
        <w:bottom w:val="none" w:sz="0" w:space="0" w:color="auto"/>
        <w:right w:val="none" w:sz="0" w:space="0" w:color="auto"/>
      </w:divBdr>
      <w:divsChild>
        <w:div w:id="1589149459">
          <w:marLeft w:val="0"/>
          <w:marRight w:val="0"/>
          <w:marTop w:val="0"/>
          <w:marBottom w:val="0"/>
          <w:divBdr>
            <w:top w:val="none" w:sz="0" w:space="0" w:color="auto"/>
            <w:left w:val="none" w:sz="0" w:space="0" w:color="auto"/>
            <w:bottom w:val="none" w:sz="0" w:space="0" w:color="auto"/>
            <w:right w:val="none" w:sz="0" w:space="0" w:color="auto"/>
          </w:divBdr>
        </w:div>
        <w:div w:id="1618678155">
          <w:marLeft w:val="0"/>
          <w:marRight w:val="0"/>
          <w:marTop w:val="0"/>
          <w:marBottom w:val="0"/>
          <w:divBdr>
            <w:top w:val="none" w:sz="0" w:space="0" w:color="auto"/>
            <w:left w:val="none" w:sz="0" w:space="0" w:color="auto"/>
            <w:bottom w:val="none" w:sz="0" w:space="0" w:color="auto"/>
            <w:right w:val="none" w:sz="0" w:space="0" w:color="auto"/>
          </w:divBdr>
          <w:divsChild>
            <w:div w:id="4527543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9960433">
      <w:bodyDiv w:val="1"/>
      <w:marLeft w:val="0"/>
      <w:marRight w:val="0"/>
      <w:marTop w:val="0"/>
      <w:marBottom w:val="0"/>
      <w:divBdr>
        <w:top w:val="none" w:sz="0" w:space="0" w:color="auto"/>
        <w:left w:val="none" w:sz="0" w:space="0" w:color="auto"/>
        <w:bottom w:val="none" w:sz="0" w:space="0" w:color="auto"/>
        <w:right w:val="none" w:sz="0" w:space="0" w:color="auto"/>
      </w:divBdr>
    </w:div>
    <w:div w:id="564336010">
      <w:bodyDiv w:val="1"/>
      <w:marLeft w:val="0"/>
      <w:marRight w:val="0"/>
      <w:marTop w:val="0"/>
      <w:marBottom w:val="0"/>
      <w:divBdr>
        <w:top w:val="none" w:sz="0" w:space="0" w:color="auto"/>
        <w:left w:val="none" w:sz="0" w:space="0" w:color="auto"/>
        <w:bottom w:val="none" w:sz="0" w:space="0" w:color="auto"/>
        <w:right w:val="none" w:sz="0" w:space="0" w:color="auto"/>
      </w:divBdr>
    </w:div>
    <w:div w:id="592931682">
      <w:bodyDiv w:val="1"/>
      <w:marLeft w:val="0"/>
      <w:marRight w:val="0"/>
      <w:marTop w:val="0"/>
      <w:marBottom w:val="0"/>
      <w:divBdr>
        <w:top w:val="none" w:sz="0" w:space="0" w:color="auto"/>
        <w:left w:val="none" w:sz="0" w:space="0" w:color="auto"/>
        <w:bottom w:val="none" w:sz="0" w:space="0" w:color="auto"/>
        <w:right w:val="none" w:sz="0" w:space="0" w:color="auto"/>
      </w:divBdr>
    </w:div>
    <w:div w:id="620771216">
      <w:bodyDiv w:val="1"/>
      <w:marLeft w:val="0"/>
      <w:marRight w:val="0"/>
      <w:marTop w:val="0"/>
      <w:marBottom w:val="0"/>
      <w:divBdr>
        <w:top w:val="none" w:sz="0" w:space="0" w:color="auto"/>
        <w:left w:val="none" w:sz="0" w:space="0" w:color="auto"/>
        <w:bottom w:val="none" w:sz="0" w:space="0" w:color="auto"/>
        <w:right w:val="none" w:sz="0" w:space="0" w:color="auto"/>
      </w:divBdr>
    </w:div>
    <w:div w:id="636107005">
      <w:bodyDiv w:val="1"/>
      <w:marLeft w:val="0"/>
      <w:marRight w:val="0"/>
      <w:marTop w:val="0"/>
      <w:marBottom w:val="0"/>
      <w:divBdr>
        <w:top w:val="none" w:sz="0" w:space="0" w:color="auto"/>
        <w:left w:val="none" w:sz="0" w:space="0" w:color="auto"/>
        <w:bottom w:val="none" w:sz="0" w:space="0" w:color="auto"/>
        <w:right w:val="none" w:sz="0" w:space="0" w:color="auto"/>
      </w:divBdr>
    </w:div>
    <w:div w:id="697659231">
      <w:bodyDiv w:val="1"/>
      <w:marLeft w:val="0"/>
      <w:marRight w:val="0"/>
      <w:marTop w:val="0"/>
      <w:marBottom w:val="0"/>
      <w:divBdr>
        <w:top w:val="none" w:sz="0" w:space="0" w:color="auto"/>
        <w:left w:val="none" w:sz="0" w:space="0" w:color="auto"/>
        <w:bottom w:val="none" w:sz="0" w:space="0" w:color="auto"/>
        <w:right w:val="none" w:sz="0" w:space="0" w:color="auto"/>
      </w:divBdr>
    </w:div>
    <w:div w:id="929309754">
      <w:bodyDiv w:val="1"/>
      <w:marLeft w:val="0"/>
      <w:marRight w:val="0"/>
      <w:marTop w:val="0"/>
      <w:marBottom w:val="0"/>
      <w:divBdr>
        <w:top w:val="none" w:sz="0" w:space="0" w:color="auto"/>
        <w:left w:val="none" w:sz="0" w:space="0" w:color="auto"/>
        <w:bottom w:val="none" w:sz="0" w:space="0" w:color="auto"/>
        <w:right w:val="none" w:sz="0" w:space="0" w:color="auto"/>
      </w:divBdr>
    </w:div>
    <w:div w:id="936476658">
      <w:bodyDiv w:val="1"/>
      <w:marLeft w:val="0"/>
      <w:marRight w:val="0"/>
      <w:marTop w:val="0"/>
      <w:marBottom w:val="0"/>
      <w:divBdr>
        <w:top w:val="none" w:sz="0" w:space="0" w:color="auto"/>
        <w:left w:val="none" w:sz="0" w:space="0" w:color="auto"/>
        <w:bottom w:val="none" w:sz="0" w:space="0" w:color="auto"/>
        <w:right w:val="none" w:sz="0" w:space="0" w:color="auto"/>
      </w:divBdr>
      <w:divsChild>
        <w:div w:id="70468765">
          <w:marLeft w:val="0"/>
          <w:marRight w:val="0"/>
          <w:marTop w:val="0"/>
          <w:marBottom w:val="0"/>
          <w:divBdr>
            <w:top w:val="none" w:sz="0" w:space="0" w:color="auto"/>
            <w:left w:val="none" w:sz="0" w:space="0" w:color="auto"/>
            <w:bottom w:val="none" w:sz="0" w:space="0" w:color="auto"/>
            <w:right w:val="none" w:sz="0" w:space="0" w:color="auto"/>
          </w:divBdr>
        </w:div>
        <w:div w:id="172260171">
          <w:marLeft w:val="0"/>
          <w:marRight w:val="0"/>
          <w:marTop w:val="0"/>
          <w:marBottom w:val="0"/>
          <w:divBdr>
            <w:top w:val="none" w:sz="0" w:space="0" w:color="auto"/>
            <w:left w:val="none" w:sz="0" w:space="0" w:color="auto"/>
            <w:bottom w:val="none" w:sz="0" w:space="0" w:color="auto"/>
            <w:right w:val="none" w:sz="0" w:space="0" w:color="auto"/>
          </w:divBdr>
        </w:div>
        <w:div w:id="436364855">
          <w:marLeft w:val="0"/>
          <w:marRight w:val="0"/>
          <w:marTop w:val="0"/>
          <w:marBottom w:val="0"/>
          <w:divBdr>
            <w:top w:val="none" w:sz="0" w:space="0" w:color="auto"/>
            <w:left w:val="none" w:sz="0" w:space="0" w:color="auto"/>
            <w:bottom w:val="none" w:sz="0" w:space="0" w:color="auto"/>
            <w:right w:val="none" w:sz="0" w:space="0" w:color="auto"/>
          </w:divBdr>
        </w:div>
        <w:div w:id="488835986">
          <w:marLeft w:val="0"/>
          <w:marRight w:val="0"/>
          <w:marTop w:val="0"/>
          <w:marBottom w:val="0"/>
          <w:divBdr>
            <w:top w:val="none" w:sz="0" w:space="0" w:color="auto"/>
            <w:left w:val="none" w:sz="0" w:space="0" w:color="auto"/>
            <w:bottom w:val="none" w:sz="0" w:space="0" w:color="auto"/>
            <w:right w:val="none" w:sz="0" w:space="0" w:color="auto"/>
          </w:divBdr>
        </w:div>
        <w:div w:id="643237741">
          <w:marLeft w:val="0"/>
          <w:marRight w:val="0"/>
          <w:marTop w:val="0"/>
          <w:marBottom w:val="0"/>
          <w:divBdr>
            <w:top w:val="none" w:sz="0" w:space="0" w:color="auto"/>
            <w:left w:val="none" w:sz="0" w:space="0" w:color="auto"/>
            <w:bottom w:val="none" w:sz="0" w:space="0" w:color="auto"/>
            <w:right w:val="none" w:sz="0" w:space="0" w:color="auto"/>
          </w:divBdr>
        </w:div>
        <w:div w:id="777020839">
          <w:marLeft w:val="0"/>
          <w:marRight w:val="0"/>
          <w:marTop w:val="0"/>
          <w:marBottom w:val="0"/>
          <w:divBdr>
            <w:top w:val="none" w:sz="0" w:space="0" w:color="auto"/>
            <w:left w:val="none" w:sz="0" w:space="0" w:color="auto"/>
            <w:bottom w:val="none" w:sz="0" w:space="0" w:color="auto"/>
            <w:right w:val="none" w:sz="0" w:space="0" w:color="auto"/>
          </w:divBdr>
        </w:div>
        <w:div w:id="990670588">
          <w:marLeft w:val="0"/>
          <w:marRight w:val="0"/>
          <w:marTop w:val="0"/>
          <w:marBottom w:val="0"/>
          <w:divBdr>
            <w:top w:val="none" w:sz="0" w:space="0" w:color="auto"/>
            <w:left w:val="none" w:sz="0" w:space="0" w:color="auto"/>
            <w:bottom w:val="none" w:sz="0" w:space="0" w:color="auto"/>
            <w:right w:val="none" w:sz="0" w:space="0" w:color="auto"/>
          </w:divBdr>
        </w:div>
        <w:div w:id="1358116762">
          <w:marLeft w:val="0"/>
          <w:marRight w:val="0"/>
          <w:marTop w:val="0"/>
          <w:marBottom w:val="0"/>
          <w:divBdr>
            <w:top w:val="none" w:sz="0" w:space="0" w:color="auto"/>
            <w:left w:val="none" w:sz="0" w:space="0" w:color="auto"/>
            <w:bottom w:val="none" w:sz="0" w:space="0" w:color="auto"/>
            <w:right w:val="none" w:sz="0" w:space="0" w:color="auto"/>
          </w:divBdr>
        </w:div>
        <w:div w:id="1359156368">
          <w:marLeft w:val="0"/>
          <w:marRight w:val="0"/>
          <w:marTop w:val="0"/>
          <w:marBottom w:val="0"/>
          <w:divBdr>
            <w:top w:val="none" w:sz="0" w:space="0" w:color="auto"/>
            <w:left w:val="none" w:sz="0" w:space="0" w:color="auto"/>
            <w:bottom w:val="none" w:sz="0" w:space="0" w:color="auto"/>
            <w:right w:val="none" w:sz="0" w:space="0" w:color="auto"/>
          </w:divBdr>
        </w:div>
        <w:div w:id="1409765828">
          <w:marLeft w:val="0"/>
          <w:marRight w:val="0"/>
          <w:marTop w:val="0"/>
          <w:marBottom w:val="0"/>
          <w:divBdr>
            <w:top w:val="none" w:sz="0" w:space="0" w:color="auto"/>
            <w:left w:val="none" w:sz="0" w:space="0" w:color="auto"/>
            <w:bottom w:val="none" w:sz="0" w:space="0" w:color="auto"/>
            <w:right w:val="none" w:sz="0" w:space="0" w:color="auto"/>
          </w:divBdr>
        </w:div>
        <w:div w:id="1446583926">
          <w:marLeft w:val="0"/>
          <w:marRight w:val="0"/>
          <w:marTop w:val="0"/>
          <w:marBottom w:val="0"/>
          <w:divBdr>
            <w:top w:val="none" w:sz="0" w:space="0" w:color="auto"/>
            <w:left w:val="none" w:sz="0" w:space="0" w:color="auto"/>
            <w:bottom w:val="none" w:sz="0" w:space="0" w:color="auto"/>
            <w:right w:val="none" w:sz="0" w:space="0" w:color="auto"/>
          </w:divBdr>
        </w:div>
        <w:div w:id="1641570911">
          <w:marLeft w:val="0"/>
          <w:marRight w:val="0"/>
          <w:marTop w:val="0"/>
          <w:marBottom w:val="0"/>
          <w:divBdr>
            <w:top w:val="none" w:sz="0" w:space="0" w:color="auto"/>
            <w:left w:val="none" w:sz="0" w:space="0" w:color="auto"/>
            <w:bottom w:val="none" w:sz="0" w:space="0" w:color="auto"/>
            <w:right w:val="none" w:sz="0" w:space="0" w:color="auto"/>
          </w:divBdr>
        </w:div>
        <w:div w:id="1732076154">
          <w:marLeft w:val="0"/>
          <w:marRight w:val="0"/>
          <w:marTop w:val="0"/>
          <w:marBottom w:val="0"/>
          <w:divBdr>
            <w:top w:val="none" w:sz="0" w:space="0" w:color="auto"/>
            <w:left w:val="none" w:sz="0" w:space="0" w:color="auto"/>
            <w:bottom w:val="none" w:sz="0" w:space="0" w:color="auto"/>
            <w:right w:val="none" w:sz="0" w:space="0" w:color="auto"/>
          </w:divBdr>
        </w:div>
        <w:div w:id="1792355769">
          <w:marLeft w:val="0"/>
          <w:marRight w:val="0"/>
          <w:marTop w:val="0"/>
          <w:marBottom w:val="0"/>
          <w:divBdr>
            <w:top w:val="none" w:sz="0" w:space="0" w:color="auto"/>
            <w:left w:val="none" w:sz="0" w:space="0" w:color="auto"/>
            <w:bottom w:val="none" w:sz="0" w:space="0" w:color="auto"/>
            <w:right w:val="none" w:sz="0" w:space="0" w:color="auto"/>
          </w:divBdr>
        </w:div>
        <w:div w:id="1864127324">
          <w:marLeft w:val="0"/>
          <w:marRight w:val="0"/>
          <w:marTop w:val="0"/>
          <w:marBottom w:val="0"/>
          <w:divBdr>
            <w:top w:val="none" w:sz="0" w:space="0" w:color="auto"/>
            <w:left w:val="none" w:sz="0" w:space="0" w:color="auto"/>
            <w:bottom w:val="none" w:sz="0" w:space="0" w:color="auto"/>
            <w:right w:val="none" w:sz="0" w:space="0" w:color="auto"/>
          </w:divBdr>
        </w:div>
        <w:div w:id="1886871241">
          <w:marLeft w:val="0"/>
          <w:marRight w:val="0"/>
          <w:marTop w:val="0"/>
          <w:marBottom w:val="0"/>
          <w:divBdr>
            <w:top w:val="none" w:sz="0" w:space="0" w:color="auto"/>
            <w:left w:val="none" w:sz="0" w:space="0" w:color="auto"/>
            <w:bottom w:val="none" w:sz="0" w:space="0" w:color="auto"/>
            <w:right w:val="none" w:sz="0" w:space="0" w:color="auto"/>
          </w:divBdr>
        </w:div>
        <w:div w:id="2038315138">
          <w:marLeft w:val="0"/>
          <w:marRight w:val="0"/>
          <w:marTop w:val="0"/>
          <w:marBottom w:val="0"/>
          <w:divBdr>
            <w:top w:val="none" w:sz="0" w:space="0" w:color="auto"/>
            <w:left w:val="none" w:sz="0" w:space="0" w:color="auto"/>
            <w:bottom w:val="none" w:sz="0" w:space="0" w:color="auto"/>
            <w:right w:val="none" w:sz="0" w:space="0" w:color="auto"/>
          </w:divBdr>
        </w:div>
        <w:div w:id="2083795910">
          <w:marLeft w:val="0"/>
          <w:marRight w:val="0"/>
          <w:marTop w:val="0"/>
          <w:marBottom w:val="0"/>
          <w:divBdr>
            <w:top w:val="none" w:sz="0" w:space="0" w:color="auto"/>
            <w:left w:val="none" w:sz="0" w:space="0" w:color="auto"/>
            <w:bottom w:val="none" w:sz="0" w:space="0" w:color="auto"/>
            <w:right w:val="none" w:sz="0" w:space="0" w:color="auto"/>
          </w:divBdr>
        </w:div>
      </w:divsChild>
    </w:div>
    <w:div w:id="962999134">
      <w:bodyDiv w:val="1"/>
      <w:marLeft w:val="0"/>
      <w:marRight w:val="0"/>
      <w:marTop w:val="0"/>
      <w:marBottom w:val="0"/>
      <w:divBdr>
        <w:top w:val="none" w:sz="0" w:space="0" w:color="auto"/>
        <w:left w:val="none" w:sz="0" w:space="0" w:color="auto"/>
        <w:bottom w:val="none" w:sz="0" w:space="0" w:color="auto"/>
        <w:right w:val="none" w:sz="0" w:space="0" w:color="auto"/>
      </w:divBdr>
    </w:div>
    <w:div w:id="977491378">
      <w:bodyDiv w:val="1"/>
      <w:marLeft w:val="0"/>
      <w:marRight w:val="0"/>
      <w:marTop w:val="0"/>
      <w:marBottom w:val="0"/>
      <w:divBdr>
        <w:top w:val="none" w:sz="0" w:space="0" w:color="auto"/>
        <w:left w:val="none" w:sz="0" w:space="0" w:color="auto"/>
        <w:bottom w:val="none" w:sz="0" w:space="0" w:color="auto"/>
        <w:right w:val="none" w:sz="0" w:space="0" w:color="auto"/>
      </w:divBdr>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256673306">
      <w:bodyDiv w:val="1"/>
      <w:marLeft w:val="0"/>
      <w:marRight w:val="0"/>
      <w:marTop w:val="0"/>
      <w:marBottom w:val="0"/>
      <w:divBdr>
        <w:top w:val="none" w:sz="0" w:space="0" w:color="auto"/>
        <w:left w:val="none" w:sz="0" w:space="0" w:color="auto"/>
        <w:bottom w:val="none" w:sz="0" w:space="0" w:color="auto"/>
        <w:right w:val="none" w:sz="0" w:space="0" w:color="auto"/>
      </w:divBdr>
    </w:div>
    <w:div w:id="1335500574">
      <w:bodyDiv w:val="1"/>
      <w:marLeft w:val="0"/>
      <w:marRight w:val="0"/>
      <w:marTop w:val="0"/>
      <w:marBottom w:val="0"/>
      <w:divBdr>
        <w:top w:val="none" w:sz="0" w:space="0" w:color="auto"/>
        <w:left w:val="none" w:sz="0" w:space="0" w:color="auto"/>
        <w:bottom w:val="none" w:sz="0" w:space="0" w:color="auto"/>
        <w:right w:val="none" w:sz="0" w:space="0" w:color="auto"/>
      </w:divBdr>
    </w:div>
    <w:div w:id="1388989886">
      <w:bodyDiv w:val="1"/>
      <w:marLeft w:val="0"/>
      <w:marRight w:val="0"/>
      <w:marTop w:val="0"/>
      <w:marBottom w:val="0"/>
      <w:divBdr>
        <w:top w:val="none" w:sz="0" w:space="0" w:color="auto"/>
        <w:left w:val="none" w:sz="0" w:space="0" w:color="auto"/>
        <w:bottom w:val="none" w:sz="0" w:space="0" w:color="auto"/>
        <w:right w:val="none" w:sz="0" w:space="0" w:color="auto"/>
      </w:divBdr>
    </w:div>
    <w:div w:id="1421172826">
      <w:bodyDiv w:val="1"/>
      <w:marLeft w:val="0"/>
      <w:marRight w:val="0"/>
      <w:marTop w:val="0"/>
      <w:marBottom w:val="0"/>
      <w:divBdr>
        <w:top w:val="none" w:sz="0" w:space="0" w:color="auto"/>
        <w:left w:val="none" w:sz="0" w:space="0" w:color="auto"/>
        <w:bottom w:val="none" w:sz="0" w:space="0" w:color="auto"/>
        <w:right w:val="none" w:sz="0" w:space="0" w:color="auto"/>
      </w:divBdr>
      <w:divsChild>
        <w:div w:id="1857187723">
          <w:marLeft w:val="0"/>
          <w:marRight w:val="0"/>
          <w:marTop w:val="0"/>
          <w:marBottom w:val="0"/>
          <w:divBdr>
            <w:top w:val="none" w:sz="0" w:space="0" w:color="auto"/>
            <w:left w:val="none" w:sz="0" w:space="0" w:color="auto"/>
            <w:bottom w:val="none" w:sz="0" w:space="0" w:color="auto"/>
            <w:right w:val="none" w:sz="0" w:space="0" w:color="auto"/>
          </w:divBdr>
        </w:div>
        <w:div w:id="2104374957">
          <w:marLeft w:val="0"/>
          <w:marRight w:val="0"/>
          <w:marTop w:val="0"/>
          <w:marBottom w:val="0"/>
          <w:divBdr>
            <w:top w:val="none" w:sz="0" w:space="0" w:color="auto"/>
            <w:left w:val="none" w:sz="0" w:space="0" w:color="auto"/>
            <w:bottom w:val="none" w:sz="0" w:space="0" w:color="auto"/>
            <w:right w:val="none" w:sz="0" w:space="0" w:color="auto"/>
          </w:divBdr>
          <w:divsChild>
            <w:div w:id="1099912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1228176">
      <w:bodyDiv w:val="1"/>
      <w:marLeft w:val="0"/>
      <w:marRight w:val="0"/>
      <w:marTop w:val="0"/>
      <w:marBottom w:val="0"/>
      <w:divBdr>
        <w:top w:val="none" w:sz="0" w:space="0" w:color="auto"/>
        <w:left w:val="none" w:sz="0" w:space="0" w:color="auto"/>
        <w:bottom w:val="none" w:sz="0" w:space="0" w:color="auto"/>
        <w:right w:val="none" w:sz="0" w:space="0" w:color="auto"/>
      </w:divBdr>
    </w:div>
    <w:div w:id="1641181405">
      <w:bodyDiv w:val="1"/>
      <w:marLeft w:val="0"/>
      <w:marRight w:val="0"/>
      <w:marTop w:val="0"/>
      <w:marBottom w:val="0"/>
      <w:divBdr>
        <w:top w:val="none" w:sz="0" w:space="0" w:color="auto"/>
        <w:left w:val="none" w:sz="0" w:space="0" w:color="auto"/>
        <w:bottom w:val="none" w:sz="0" w:space="0" w:color="auto"/>
        <w:right w:val="none" w:sz="0" w:space="0" w:color="auto"/>
      </w:divBdr>
    </w:div>
    <w:div w:id="1658339698">
      <w:bodyDiv w:val="1"/>
      <w:marLeft w:val="0"/>
      <w:marRight w:val="0"/>
      <w:marTop w:val="0"/>
      <w:marBottom w:val="0"/>
      <w:divBdr>
        <w:top w:val="none" w:sz="0" w:space="0" w:color="auto"/>
        <w:left w:val="none" w:sz="0" w:space="0" w:color="auto"/>
        <w:bottom w:val="none" w:sz="0" w:space="0" w:color="auto"/>
        <w:right w:val="none" w:sz="0" w:space="0" w:color="auto"/>
      </w:divBdr>
    </w:div>
    <w:div w:id="1664165869">
      <w:bodyDiv w:val="1"/>
      <w:marLeft w:val="0"/>
      <w:marRight w:val="0"/>
      <w:marTop w:val="0"/>
      <w:marBottom w:val="0"/>
      <w:divBdr>
        <w:top w:val="none" w:sz="0" w:space="0" w:color="auto"/>
        <w:left w:val="none" w:sz="0" w:space="0" w:color="auto"/>
        <w:bottom w:val="none" w:sz="0" w:space="0" w:color="auto"/>
        <w:right w:val="none" w:sz="0" w:space="0" w:color="auto"/>
      </w:divBdr>
    </w:div>
    <w:div w:id="1965035769">
      <w:bodyDiv w:val="1"/>
      <w:marLeft w:val="0"/>
      <w:marRight w:val="0"/>
      <w:marTop w:val="0"/>
      <w:marBottom w:val="0"/>
      <w:divBdr>
        <w:top w:val="none" w:sz="0" w:space="0" w:color="auto"/>
        <w:left w:val="none" w:sz="0" w:space="0" w:color="auto"/>
        <w:bottom w:val="none" w:sz="0" w:space="0" w:color="auto"/>
        <w:right w:val="none" w:sz="0" w:space="0" w:color="auto"/>
      </w:divBdr>
    </w:div>
    <w:div w:id="1986933023">
      <w:bodyDiv w:val="1"/>
      <w:marLeft w:val="0"/>
      <w:marRight w:val="0"/>
      <w:marTop w:val="0"/>
      <w:marBottom w:val="0"/>
      <w:divBdr>
        <w:top w:val="none" w:sz="0" w:space="0" w:color="auto"/>
        <w:left w:val="none" w:sz="0" w:space="0" w:color="auto"/>
        <w:bottom w:val="none" w:sz="0" w:space="0" w:color="auto"/>
        <w:right w:val="none" w:sz="0" w:space="0" w:color="auto"/>
      </w:divBdr>
      <w:divsChild>
        <w:div w:id="119109567">
          <w:marLeft w:val="0"/>
          <w:marRight w:val="0"/>
          <w:marTop w:val="0"/>
          <w:marBottom w:val="0"/>
          <w:divBdr>
            <w:top w:val="none" w:sz="0" w:space="0" w:color="auto"/>
            <w:left w:val="none" w:sz="0" w:space="0" w:color="auto"/>
            <w:bottom w:val="none" w:sz="0" w:space="0" w:color="auto"/>
            <w:right w:val="none" w:sz="0" w:space="0" w:color="auto"/>
          </w:divBdr>
        </w:div>
        <w:div w:id="155846811">
          <w:marLeft w:val="0"/>
          <w:marRight w:val="0"/>
          <w:marTop w:val="0"/>
          <w:marBottom w:val="0"/>
          <w:divBdr>
            <w:top w:val="none" w:sz="0" w:space="0" w:color="auto"/>
            <w:left w:val="none" w:sz="0" w:space="0" w:color="auto"/>
            <w:bottom w:val="none" w:sz="0" w:space="0" w:color="auto"/>
            <w:right w:val="none" w:sz="0" w:space="0" w:color="auto"/>
          </w:divBdr>
        </w:div>
        <w:div w:id="261914548">
          <w:marLeft w:val="0"/>
          <w:marRight w:val="0"/>
          <w:marTop w:val="0"/>
          <w:marBottom w:val="0"/>
          <w:divBdr>
            <w:top w:val="none" w:sz="0" w:space="0" w:color="auto"/>
            <w:left w:val="none" w:sz="0" w:space="0" w:color="auto"/>
            <w:bottom w:val="none" w:sz="0" w:space="0" w:color="auto"/>
            <w:right w:val="none" w:sz="0" w:space="0" w:color="auto"/>
          </w:divBdr>
        </w:div>
        <w:div w:id="371996686">
          <w:marLeft w:val="0"/>
          <w:marRight w:val="0"/>
          <w:marTop w:val="0"/>
          <w:marBottom w:val="0"/>
          <w:divBdr>
            <w:top w:val="none" w:sz="0" w:space="0" w:color="auto"/>
            <w:left w:val="none" w:sz="0" w:space="0" w:color="auto"/>
            <w:bottom w:val="none" w:sz="0" w:space="0" w:color="auto"/>
            <w:right w:val="none" w:sz="0" w:space="0" w:color="auto"/>
          </w:divBdr>
        </w:div>
        <w:div w:id="796992594">
          <w:marLeft w:val="0"/>
          <w:marRight w:val="0"/>
          <w:marTop w:val="0"/>
          <w:marBottom w:val="0"/>
          <w:divBdr>
            <w:top w:val="none" w:sz="0" w:space="0" w:color="auto"/>
            <w:left w:val="none" w:sz="0" w:space="0" w:color="auto"/>
            <w:bottom w:val="none" w:sz="0" w:space="0" w:color="auto"/>
            <w:right w:val="none" w:sz="0" w:space="0" w:color="auto"/>
          </w:divBdr>
        </w:div>
        <w:div w:id="810558669">
          <w:marLeft w:val="0"/>
          <w:marRight w:val="0"/>
          <w:marTop w:val="0"/>
          <w:marBottom w:val="0"/>
          <w:divBdr>
            <w:top w:val="none" w:sz="0" w:space="0" w:color="auto"/>
            <w:left w:val="none" w:sz="0" w:space="0" w:color="auto"/>
            <w:bottom w:val="none" w:sz="0" w:space="0" w:color="auto"/>
            <w:right w:val="none" w:sz="0" w:space="0" w:color="auto"/>
          </w:divBdr>
        </w:div>
        <w:div w:id="856582184">
          <w:marLeft w:val="0"/>
          <w:marRight w:val="0"/>
          <w:marTop w:val="0"/>
          <w:marBottom w:val="0"/>
          <w:divBdr>
            <w:top w:val="none" w:sz="0" w:space="0" w:color="auto"/>
            <w:left w:val="none" w:sz="0" w:space="0" w:color="auto"/>
            <w:bottom w:val="none" w:sz="0" w:space="0" w:color="auto"/>
            <w:right w:val="none" w:sz="0" w:space="0" w:color="auto"/>
          </w:divBdr>
        </w:div>
        <w:div w:id="923801835">
          <w:marLeft w:val="0"/>
          <w:marRight w:val="0"/>
          <w:marTop w:val="0"/>
          <w:marBottom w:val="0"/>
          <w:divBdr>
            <w:top w:val="none" w:sz="0" w:space="0" w:color="auto"/>
            <w:left w:val="none" w:sz="0" w:space="0" w:color="auto"/>
            <w:bottom w:val="none" w:sz="0" w:space="0" w:color="auto"/>
            <w:right w:val="none" w:sz="0" w:space="0" w:color="auto"/>
          </w:divBdr>
        </w:div>
        <w:div w:id="1046300295">
          <w:marLeft w:val="0"/>
          <w:marRight w:val="0"/>
          <w:marTop w:val="0"/>
          <w:marBottom w:val="0"/>
          <w:divBdr>
            <w:top w:val="none" w:sz="0" w:space="0" w:color="auto"/>
            <w:left w:val="none" w:sz="0" w:space="0" w:color="auto"/>
            <w:bottom w:val="none" w:sz="0" w:space="0" w:color="auto"/>
            <w:right w:val="none" w:sz="0" w:space="0" w:color="auto"/>
          </w:divBdr>
        </w:div>
        <w:div w:id="1147549044">
          <w:marLeft w:val="0"/>
          <w:marRight w:val="0"/>
          <w:marTop w:val="0"/>
          <w:marBottom w:val="0"/>
          <w:divBdr>
            <w:top w:val="none" w:sz="0" w:space="0" w:color="auto"/>
            <w:left w:val="none" w:sz="0" w:space="0" w:color="auto"/>
            <w:bottom w:val="none" w:sz="0" w:space="0" w:color="auto"/>
            <w:right w:val="none" w:sz="0" w:space="0" w:color="auto"/>
          </w:divBdr>
        </w:div>
        <w:div w:id="1373529874">
          <w:marLeft w:val="0"/>
          <w:marRight w:val="0"/>
          <w:marTop w:val="0"/>
          <w:marBottom w:val="0"/>
          <w:divBdr>
            <w:top w:val="none" w:sz="0" w:space="0" w:color="auto"/>
            <w:left w:val="none" w:sz="0" w:space="0" w:color="auto"/>
            <w:bottom w:val="none" w:sz="0" w:space="0" w:color="auto"/>
            <w:right w:val="none" w:sz="0" w:space="0" w:color="auto"/>
          </w:divBdr>
        </w:div>
        <w:div w:id="1394624061">
          <w:marLeft w:val="0"/>
          <w:marRight w:val="0"/>
          <w:marTop w:val="0"/>
          <w:marBottom w:val="0"/>
          <w:divBdr>
            <w:top w:val="none" w:sz="0" w:space="0" w:color="auto"/>
            <w:left w:val="none" w:sz="0" w:space="0" w:color="auto"/>
            <w:bottom w:val="none" w:sz="0" w:space="0" w:color="auto"/>
            <w:right w:val="none" w:sz="0" w:space="0" w:color="auto"/>
          </w:divBdr>
        </w:div>
        <w:div w:id="1565096294">
          <w:marLeft w:val="0"/>
          <w:marRight w:val="0"/>
          <w:marTop w:val="0"/>
          <w:marBottom w:val="0"/>
          <w:divBdr>
            <w:top w:val="none" w:sz="0" w:space="0" w:color="auto"/>
            <w:left w:val="none" w:sz="0" w:space="0" w:color="auto"/>
            <w:bottom w:val="none" w:sz="0" w:space="0" w:color="auto"/>
            <w:right w:val="none" w:sz="0" w:space="0" w:color="auto"/>
          </w:divBdr>
        </w:div>
        <w:div w:id="1690913189">
          <w:marLeft w:val="0"/>
          <w:marRight w:val="0"/>
          <w:marTop w:val="0"/>
          <w:marBottom w:val="0"/>
          <w:divBdr>
            <w:top w:val="none" w:sz="0" w:space="0" w:color="auto"/>
            <w:left w:val="none" w:sz="0" w:space="0" w:color="auto"/>
            <w:bottom w:val="none" w:sz="0" w:space="0" w:color="auto"/>
            <w:right w:val="none" w:sz="0" w:space="0" w:color="auto"/>
          </w:divBdr>
        </w:div>
        <w:div w:id="1750302222">
          <w:marLeft w:val="0"/>
          <w:marRight w:val="0"/>
          <w:marTop w:val="0"/>
          <w:marBottom w:val="0"/>
          <w:divBdr>
            <w:top w:val="none" w:sz="0" w:space="0" w:color="auto"/>
            <w:left w:val="none" w:sz="0" w:space="0" w:color="auto"/>
            <w:bottom w:val="none" w:sz="0" w:space="0" w:color="auto"/>
            <w:right w:val="none" w:sz="0" w:space="0" w:color="auto"/>
          </w:divBdr>
        </w:div>
        <w:div w:id="1768886321">
          <w:marLeft w:val="0"/>
          <w:marRight w:val="0"/>
          <w:marTop w:val="0"/>
          <w:marBottom w:val="0"/>
          <w:divBdr>
            <w:top w:val="none" w:sz="0" w:space="0" w:color="auto"/>
            <w:left w:val="none" w:sz="0" w:space="0" w:color="auto"/>
            <w:bottom w:val="none" w:sz="0" w:space="0" w:color="auto"/>
            <w:right w:val="none" w:sz="0" w:space="0" w:color="auto"/>
          </w:divBdr>
        </w:div>
        <w:div w:id="1874994709">
          <w:marLeft w:val="0"/>
          <w:marRight w:val="0"/>
          <w:marTop w:val="0"/>
          <w:marBottom w:val="0"/>
          <w:divBdr>
            <w:top w:val="none" w:sz="0" w:space="0" w:color="auto"/>
            <w:left w:val="none" w:sz="0" w:space="0" w:color="auto"/>
            <w:bottom w:val="none" w:sz="0" w:space="0" w:color="auto"/>
            <w:right w:val="none" w:sz="0" w:space="0" w:color="auto"/>
          </w:divBdr>
        </w:div>
        <w:div w:id="1999843805">
          <w:marLeft w:val="0"/>
          <w:marRight w:val="0"/>
          <w:marTop w:val="0"/>
          <w:marBottom w:val="0"/>
          <w:divBdr>
            <w:top w:val="none" w:sz="0" w:space="0" w:color="auto"/>
            <w:left w:val="none" w:sz="0" w:space="0" w:color="auto"/>
            <w:bottom w:val="none" w:sz="0" w:space="0" w:color="auto"/>
            <w:right w:val="none" w:sz="0" w:space="0" w:color="auto"/>
          </w:divBdr>
        </w:div>
      </w:divsChild>
    </w:div>
    <w:div w:id="2146196115">
      <w:bodyDiv w:val="1"/>
      <w:marLeft w:val="0"/>
      <w:marRight w:val="0"/>
      <w:marTop w:val="0"/>
      <w:marBottom w:val="0"/>
      <w:divBdr>
        <w:top w:val="none" w:sz="0" w:space="0" w:color="auto"/>
        <w:left w:val="none" w:sz="0" w:space="0" w:color="auto"/>
        <w:bottom w:val="none" w:sz="0" w:space="0" w:color="auto"/>
        <w:right w:val="none" w:sz="0" w:space="0" w:color="auto"/>
      </w:divBdr>
      <w:divsChild>
        <w:div w:id="166755091">
          <w:marLeft w:val="0"/>
          <w:marRight w:val="0"/>
          <w:marTop w:val="0"/>
          <w:marBottom w:val="0"/>
          <w:divBdr>
            <w:top w:val="none" w:sz="0" w:space="0" w:color="auto"/>
            <w:left w:val="none" w:sz="0" w:space="0" w:color="auto"/>
            <w:bottom w:val="none" w:sz="0" w:space="0" w:color="auto"/>
            <w:right w:val="none" w:sz="0" w:space="0" w:color="auto"/>
          </w:divBdr>
        </w:div>
        <w:div w:id="289634711">
          <w:marLeft w:val="0"/>
          <w:marRight w:val="0"/>
          <w:marTop w:val="0"/>
          <w:marBottom w:val="0"/>
          <w:divBdr>
            <w:top w:val="none" w:sz="0" w:space="0" w:color="auto"/>
            <w:left w:val="none" w:sz="0" w:space="0" w:color="auto"/>
            <w:bottom w:val="none" w:sz="0" w:space="0" w:color="auto"/>
            <w:right w:val="none" w:sz="0" w:space="0" w:color="auto"/>
          </w:divBdr>
        </w:div>
        <w:div w:id="367145669">
          <w:marLeft w:val="0"/>
          <w:marRight w:val="0"/>
          <w:marTop w:val="0"/>
          <w:marBottom w:val="0"/>
          <w:divBdr>
            <w:top w:val="none" w:sz="0" w:space="0" w:color="auto"/>
            <w:left w:val="none" w:sz="0" w:space="0" w:color="auto"/>
            <w:bottom w:val="none" w:sz="0" w:space="0" w:color="auto"/>
            <w:right w:val="none" w:sz="0" w:space="0" w:color="auto"/>
          </w:divBdr>
        </w:div>
        <w:div w:id="641038692">
          <w:marLeft w:val="0"/>
          <w:marRight w:val="0"/>
          <w:marTop w:val="0"/>
          <w:marBottom w:val="0"/>
          <w:divBdr>
            <w:top w:val="none" w:sz="0" w:space="0" w:color="auto"/>
            <w:left w:val="none" w:sz="0" w:space="0" w:color="auto"/>
            <w:bottom w:val="none" w:sz="0" w:space="0" w:color="auto"/>
            <w:right w:val="none" w:sz="0" w:space="0" w:color="auto"/>
          </w:divBdr>
        </w:div>
        <w:div w:id="655453805">
          <w:marLeft w:val="0"/>
          <w:marRight w:val="0"/>
          <w:marTop w:val="0"/>
          <w:marBottom w:val="0"/>
          <w:divBdr>
            <w:top w:val="none" w:sz="0" w:space="0" w:color="auto"/>
            <w:left w:val="none" w:sz="0" w:space="0" w:color="auto"/>
            <w:bottom w:val="none" w:sz="0" w:space="0" w:color="auto"/>
            <w:right w:val="none" w:sz="0" w:space="0" w:color="auto"/>
          </w:divBdr>
        </w:div>
        <w:div w:id="785007717">
          <w:marLeft w:val="0"/>
          <w:marRight w:val="0"/>
          <w:marTop w:val="0"/>
          <w:marBottom w:val="0"/>
          <w:divBdr>
            <w:top w:val="none" w:sz="0" w:space="0" w:color="auto"/>
            <w:left w:val="none" w:sz="0" w:space="0" w:color="auto"/>
            <w:bottom w:val="none" w:sz="0" w:space="0" w:color="auto"/>
            <w:right w:val="none" w:sz="0" w:space="0" w:color="auto"/>
          </w:divBdr>
        </w:div>
        <w:div w:id="825248056">
          <w:marLeft w:val="0"/>
          <w:marRight w:val="0"/>
          <w:marTop w:val="0"/>
          <w:marBottom w:val="0"/>
          <w:divBdr>
            <w:top w:val="none" w:sz="0" w:space="0" w:color="auto"/>
            <w:left w:val="none" w:sz="0" w:space="0" w:color="auto"/>
            <w:bottom w:val="none" w:sz="0" w:space="0" w:color="auto"/>
            <w:right w:val="none" w:sz="0" w:space="0" w:color="auto"/>
          </w:divBdr>
        </w:div>
        <w:div w:id="893855765">
          <w:marLeft w:val="0"/>
          <w:marRight w:val="0"/>
          <w:marTop w:val="0"/>
          <w:marBottom w:val="0"/>
          <w:divBdr>
            <w:top w:val="none" w:sz="0" w:space="0" w:color="auto"/>
            <w:left w:val="none" w:sz="0" w:space="0" w:color="auto"/>
            <w:bottom w:val="none" w:sz="0" w:space="0" w:color="auto"/>
            <w:right w:val="none" w:sz="0" w:space="0" w:color="auto"/>
          </w:divBdr>
        </w:div>
        <w:div w:id="917253222">
          <w:marLeft w:val="0"/>
          <w:marRight w:val="0"/>
          <w:marTop w:val="0"/>
          <w:marBottom w:val="0"/>
          <w:divBdr>
            <w:top w:val="none" w:sz="0" w:space="0" w:color="auto"/>
            <w:left w:val="none" w:sz="0" w:space="0" w:color="auto"/>
            <w:bottom w:val="none" w:sz="0" w:space="0" w:color="auto"/>
            <w:right w:val="none" w:sz="0" w:space="0" w:color="auto"/>
          </w:divBdr>
        </w:div>
        <w:div w:id="931742970">
          <w:marLeft w:val="0"/>
          <w:marRight w:val="0"/>
          <w:marTop w:val="0"/>
          <w:marBottom w:val="0"/>
          <w:divBdr>
            <w:top w:val="none" w:sz="0" w:space="0" w:color="auto"/>
            <w:left w:val="none" w:sz="0" w:space="0" w:color="auto"/>
            <w:bottom w:val="none" w:sz="0" w:space="0" w:color="auto"/>
            <w:right w:val="none" w:sz="0" w:space="0" w:color="auto"/>
          </w:divBdr>
        </w:div>
        <w:div w:id="1037925354">
          <w:marLeft w:val="0"/>
          <w:marRight w:val="0"/>
          <w:marTop w:val="0"/>
          <w:marBottom w:val="0"/>
          <w:divBdr>
            <w:top w:val="none" w:sz="0" w:space="0" w:color="auto"/>
            <w:left w:val="none" w:sz="0" w:space="0" w:color="auto"/>
            <w:bottom w:val="none" w:sz="0" w:space="0" w:color="auto"/>
            <w:right w:val="none" w:sz="0" w:space="0" w:color="auto"/>
          </w:divBdr>
        </w:div>
        <w:div w:id="1129592652">
          <w:marLeft w:val="0"/>
          <w:marRight w:val="0"/>
          <w:marTop w:val="0"/>
          <w:marBottom w:val="0"/>
          <w:divBdr>
            <w:top w:val="none" w:sz="0" w:space="0" w:color="auto"/>
            <w:left w:val="none" w:sz="0" w:space="0" w:color="auto"/>
            <w:bottom w:val="none" w:sz="0" w:space="0" w:color="auto"/>
            <w:right w:val="none" w:sz="0" w:space="0" w:color="auto"/>
          </w:divBdr>
        </w:div>
        <w:div w:id="1581139658">
          <w:marLeft w:val="0"/>
          <w:marRight w:val="0"/>
          <w:marTop w:val="0"/>
          <w:marBottom w:val="0"/>
          <w:divBdr>
            <w:top w:val="none" w:sz="0" w:space="0" w:color="auto"/>
            <w:left w:val="none" w:sz="0" w:space="0" w:color="auto"/>
            <w:bottom w:val="none" w:sz="0" w:space="0" w:color="auto"/>
            <w:right w:val="none" w:sz="0" w:space="0" w:color="auto"/>
          </w:divBdr>
        </w:div>
        <w:div w:id="1816483030">
          <w:marLeft w:val="0"/>
          <w:marRight w:val="0"/>
          <w:marTop w:val="0"/>
          <w:marBottom w:val="0"/>
          <w:divBdr>
            <w:top w:val="none" w:sz="0" w:space="0" w:color="auto"/>
            <w:left w:val="none" w:sz="0" w:space="0" w:color="auto"/>
            <w:bottom w:val="none" w:sz="0" w:space="0" w:color="auto"/>
            <w:right w:val="none" w:sz="0" w:space="0" w:color="auto"/>
          </w:divBdr>
        </w:div>
        <w:div w:id="1929650371">
          <w:marLeft w:val="0"/>
          <w:marRight w:val="0"/>
          <w:marTop w:val="0"/>
          <w:marBottom w:val="0"/>
          <w:divBdr>
            <w:top w:val="none" w:sz="0" w:space="0" w:color="auto"/>
            <w:left w:val="none" w:sz="0" w:space="0" w:color="auto"/>
            <w:bottom w:val="none" w:sz="0" w:space="0" w:color="auto"/>
            <w:right w:val="none" w:sz="0" w:space="0" w:color="auto"/>
          </w:divBdr>
        </w:div>
        <w:div w:id="2140495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NCHI@Mass.gov" TargetMode="External"/><Relationship Id="rId4" Type="http://schemas.openxmlformats.org/officeDocument/2006/relationships/settings" Target="settings.xml"/><Relationship Id="rId9" Type="http://schemas.openxmlformats.org/officeDocument/2006/relationships/hyperlink" Target="mailto:dongrants@hria.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donahue.umass.edu/business-groups/economic-public-policy-research/massachusetts-population-estimates-program/population-projections" TargetMode="External"/><Relationship Id="rId13" Type="http://schemas.openxmlformats.org/officeDocument/2006/relationships/hyperlink" Target="https://www.ncbi.nlm.nih.gov/pmc/articles/PMC2729811/" TargetMode="External"/><Relationship Id="rId18" Type="http://schemas.openxmlformats.org/officeDocument/2006/relationships/hyperlink" Target="https://www.ncbi.nlm.nih.gov/pmc/articles/PMC6754202/" TargetMode="External"/><Relationship Id="rId26" Type="http://schemas.openxmlformats.org/officeDocument/2006/relationships/hyperlink" Target="https://www.ncbi.nlm.nih.gov/pmc/articles/PMC9498666/" TargetMode="External"/><Relationship Id="rId3" Type="http://schemas.openxmlformats.org/officeDocument/2006/relationships/hyperlink" Target="https://www.chiamass.gov/assets/docs/r/hospital-profiles/2020/hospital-health-systems/Beth-Israel-Lahey.pdf" TargetMode="External"/><Relationship Id="rId21" Type="http://schemas.openxmlformats.org/officeDocument/2006/relationships/hyperlink" Target="https://www.ncbi.nlm.nih.gov/pmc/articles/PMC6754202/" TargetMode="External"/><Relationship Id="rId7" Type="http://schemas.openxmlformats.org/officeDocument/2006/relationships/hyperlink" Target="https://donahue.umass.edu/business-groups/economic-public-policy-research/massachusetts-population-estimates-program/population-projections%20(last%20accessed%20July%2023,%202024)." TargetMode="External"/><Relationship Id="rId12" Type="http://schemas.openxmlformats.org/officeDocument/2006/relationships/hyperlink" Target="https://www.ncbi.nlm.nih.gov/pmc/articles/PMC2729811/" TargetMode="External"/><Relationship Id="rId17" Type="http://schemas.openxmlformats.org/officeDocument/2006/relationships/hyperlink" Target="https://www.ncbi.nlm.nih.gov/pmc/articles/PMC6754202/" TargetMode="External"/><Relationship Id="rId25" Type="http://schemas.openxmlformats.org/officeDocument/2006/relationships/hyperlink" Target="https://www.ncbi.nlm.nih.gov/pmc/articles/PMC9498666/" TargetMode="External"/><Relationship Id="rId2" Type="http://schemas.openxmlformats.org/officeDocument/2006/relationships/hyperlink" Target="https://www.chiamass.gov/assets/docs/r/hospital-profiles/2021/FY21-Massachusetts-Hospital-Profiles-Technical-Appendix.pdf" TargetMode="External"/><Relationship Id="rId16" Type="http://schemas.openxmlformats.org/officeDocument/2006/relationships/hyperlink" Target="https://www.hindawi.com/journals/aem/2014/495219/" TargetMode="External"/><Relationship Id="rId20" Type="http://schemas.openxmlformats.org/officeDocument/2006/relationships/hyperlink" Target="https://www.ncbi.nlm.nih.gov/pmc/articles/PMC6754202/" TargetMode="External"/><Relationship Id="rId29" Type="http://schemas.openxmlformats.org/officeDocument/2006/relationships/hyperlink" Target="https://onlinelibrary.wiley.com/doi/abs/10.1111/ecin.12849" TargetMode="External"/><Relationship Id="rId1" Type="http://schemas.openxmlformats.org/officeDocument/2006/relationships/hyperlink" Target="https://www.chiamass.gov/assets/docs/r/hospital-profiles/2019/FY19-Massachusetts-Hospital-Profiles-Technical-" TargetMode="External"/><Relationship Id="rId6" Type="http://schemas.openxmlformats.org/officeDocument/2006/relationships/hyperlink" Target="https://www.census.gov/quickfacts/plymouthcountymassachusetts" TargetMode="External"/><Relationship Id="rId11" Type="http://schemas.openxmlformats.org/officeDocument/2006/relationships/hyperlink" Target="https://www.ncbi.nlm.nih.gov/pmc/articles/PMC2729811/" TargetMode="External"/><Relationship Id="rId24" Type="http://schemas.openxmlformats.org/officeDocument/2006/relationships/hyperlink" Target="https://www.ncbi.nlm.nih.gov/pmc/articles/PMC2729811/" TargetMode="External"/><Relationship Id="rId32" Type="http://schemas.openxmlformats.org/officeDocument/2006/relationships/hyperlink" Target="https://www.ncbi.nlm.nih.gov/pmc/articles/PMC6754202/" TargetMode="External"/><Relationship Id="rId5" Type="http://schemas.openxmlformats.org/officeDocument/2006/relationships/hyperlink" Target="https://www.census.gov/quickfacts/plymouthcountymassachusetts" TargetMode="External"/><Relationship Id="rId15" Type="http://schemas.openxmlformats.org/officeDocument/2006/relationships/hyperlink" Target="https://www.hindawi.com/journals/aem/2014/495219/" TargetMode="External"/><Relationship Id="rId23" Type="http://schemas.openxmlformats.org/officeDocument/2006/relationships/hyperlink" Target="https://www.ncbi.nlm.nih.gov/pmc/articles/PMC2729811/" TargetMode="External"/><Relationship Id="rId28" Type="http://schemas.openxmlformats.org/officeDocument/2006/relationships/hyperlink" Target="https://urldefense.com/v3/__https:/onlinelibrary.wiley.com/doi/abs/10.1111/ecin.12849__;!!CPANwP4y!TKCF6JCs9yJRdm54VcarhXo1HyDimlN_N-bNJbZXKw3dJ6zvhk_90_cruoq1WaQvjBoAhOmEuns0QsnGKrDo3sOnHrvuxxAO3gCH9_Yp30mmJrfQig$" TargetMode="External"/><Relationship Id="rId10" Type="http://schemas.openxmlformats.org/officeDocument/2006/relationships/hyperlink" Target="https://www.ncbi.nlm.nih.gov/pmc/articles/PMC9498666/" TargetMode="External"/><Relationship Id="rId19" Type="http://schemas.openxmlformats.org/officeDocument/2006/relationships/hyperlink" Target="https://www.ncbi.nlm.nih.gov/pmc/articles/PMC6754202/" TargetMode="External"/><Relationship Id="rId31" Type="http://schemas.openxmlformats.org/officeDocument/2006/relationships/hyperlink" Target="https://www.ncbi.nlm.nih.gov/pmc/articles/PMC6754202/" TargetMode="External"/><Relationship Id="rId4" Type="http://schemas.openxmlformats.org/officeDocument/2006/relationships/hyperlink" Target="https://www.chiamass.gov/assets/docs/r/hospital-profiles/2021/hospital-health-systems/Beth-Israel-Lahey.pdf" TargetMode="External"/><Relationship Id="rId9" Type="http://schemas.openxmlformats.org/officeDocument/2006/relationships/hyperlink" Target="https://www.ncbi.nlm.nih.gov/pmc/articles/PMC9498666/" TargetMode="External"/><Relationship Id="rId14" Type="http://schemas.openxmlformats.org/officeDocument/2006/relationships/hyperlink" Target="https://www.ncbi.nlm.nih.gov/pmc/articles/PMC2729811/" TargetMode="External"/><Relationship Id="rId22" Type="http://schemas.openxmlformats.org/officeDocument/2006/relationships/hyperlink" Target="https://www.ncbi.nlm.nih.gov/pmc/articles/PMC6754202/" TargetMode="External"/><Relationship Id="rId27" Type="http://schemas.openxmlformats.org/officeDocument/2006/relationships/hyperlink" Target="https://onlinelibrary.wiley.com/doi/abs/10.1111/ecin.12849" TargetMode="External"/><Relationship Id="rId30" Type="http://schemas.openxmlformats.org/officeDocument/2006/relationships/hyperlink" Target="https://urldefense.com/v3/__https:/onlinelibrary.wiley.com/doi/abs/10.1111/ecin.12849__;!!CPANwP4y!TKCF6JCs9yJRdm54VcarhXo1HyDimlN_N-bNJbZXKw3dJ6zvhk_90_cruoq1WaQvjBoAhOmEuns0QsnGKrDo3sOnHrvuxxAO3gCH9_Yp30mmJrfQi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DD0A-058F-4FBE-A24A-6B3D3584C1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76</TotalTime>
  <Pages>27</Pages>
  <Words>9409</Words>
  <Characters>53634</Characters>
  <Application>Microsoft Office Word</Application>
  <DocSecurity>0</DocSecurity>
  <Lines>446</Lines>
  <Paragraphs>125</Paragraphs>
  <ScaleCrop>false</ScaleCrop>
  <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15</cp:revision>
  <cp:lastPrinted>2023-08-18T23:18:00Z</cp:lastPrinted>
  <dcterms:created xsi:type="dcterms:W3CDTF">2024-11-06T16:26:00Z</dcterms:created>
  <dcterms:modified xsi:type="dcterms:W3CDTF">2024-11-06T19:56:00Z</dcterms:modified>
  <cp:contentStatus/>
</cp:coreProperties>
</file>