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1A3D32" w:rsidRPr="0076797D" w14:paraId="489E41A6" w14:textId="77777777" w:rsidTr="00B96045">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5FBFF"/>
            <w:vAlign w:val="center"/>
          </w:tcPr>
          <w:p w14:paraId="61C473E0" w14:textId="4132B5CD" w:rsidR="001A3D32" w:rsidRPr="0076797D" w:rsidRDefault="00C94989" w:rsidP="00B96045">
            <w:pPr>
              <w:pStyle w:val="Header"/>
              <w:ind w:right="540"/>
              <w:contextualSpacing/>
              <w:jc w:val="center"/>
              <w:rPr>
                <w:rFonts w:cstheme="minorHAnsi"/>
                <w:b/>
                <w:highlight w:val="yellow"/>
              </w:rPr>
            </w:pPr>
            <w:r w:rsidRPr="00A3157F">
              <w:rPr>
                <w:b/>
                <w:bCs/>
                <w:sz w:val="24"/>
                <w:szCs w:val="24"/>
              </w:rPr>
              <w:t xml:space="preserve">STAFF REPORT TO THE COMMISSIONER </w:t>
            </w:r>
            <w:r w:rsidRPr="00A3157F">
              <w:rPr>
                <w:b/>
                <w:bCs/>
              </w:rPr>
              <w:t>FOR A DETERMINATION OF NEED</w:t>
            </w:r>
          </w:p>
        </w:tc>
      </w:tr>
      <w:tr w:rsidR="00311857" w:rsidRPr="0076797D" w14:paraId="773CB884" w14:textId="77777777" w:rsidTr="00B96045">
        <w:trPr>
          <w:trHeight w:val="454"/>
        </w:trPr>
        <w:tc>
          <w:tcPr>
            <w:tcW w:w="2274" w:type="pct"/>
            <w:tcBorders>
              <w:top w:val="single" w:sz="6" w:space="0" w:color="auto"/>
            </w:tcBorders>
            <w:shd w:val="clear" w:color="auto" w:fill="auto"/>
            <w:vAlign w:val="center"/>
          </w:tcPr>
          <w:p w14:paraId="7A495F02" w14:textId="73FB1D12" w:rsidR="00311857" w:rsidRPr="00A3157F" w:rsidRDefault="00311857" w:rsidP="00311857">
            <w:pPr>
              <w:ind w:right="540"/>
              <w:contextualSpacing/>
              <w:rPr>
                <w:rFonts w:asciiTheme="minorHAnsi" w:hAnsiTheme="minorHAnsi" w:cstheme="minorHAnsi"/>
              </w:rPr>
            </w:pPr>
            <w:r w:rsidRPr="00A3157F">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6BCECA88" w14:textId="77777777" w:rsidR="00311857" w:rsidRPr="003B061E" w:rsidRDefault="00311857" w:rsidP="00311857">
            <w:pPr>
              <w:ind w:right="540"/>
              <w:contextualSpacing/>
              <w:rPr>
                <w:rFonts w:asciiTheme="minorHAnsi" w:hAnsiTheme="minorHAnsi" w:cstheme="minorHAnsi"/>
              </w:rPr>
            </w:pPr>
            <w:r w:rsidRPr="003B061E">
              <w:rPr>
                <w:rFonts w:asciiTheme="minorHAnsi" w:hAnsiTheme="minorHAnsi" w:cstheme="minorHAnsi"/>
              </w:rPr>
              <w:t>Beth Israel</w:t>
            </w:r>
            <w:r w:rsidRPr="003B061E">
              <w:rPr>
                <w:rFonts w:asciiTheme="minorHAnsi" w:hAnsiTheme="minorHAnsi" w:cstheme="minorHAnsi"/>
                <w:spacing w:val="-4"/>
              </w:rPr>
              <w:t xml:space="preserve"> </w:t>
            </w:r>
            <w:r w:rsidRPr="003B061E">
              <w:rPr>
                <w:rFonts w:asciiTheme="minorHAnsi" w:hAnsiTheme="minorHAnsi" w:cstheme="minorHAnsi"/>
              </w:rPr>
              <w:t>Lahey</w:t>
            </w:r>
            <w:r w:rsidRPr="003B061E">
              <w:rPr>
                <w:rFonts w:asciiTheme="minorHAnsi" w:hAnsiTheme="minorHAnsi" w:cstheme="minorHAnsi"/>
                <w:spacing w:val="-2"/>
              </w:rPr>
              <w:t xml:space="preserve"> </w:t>
            </w:r>
            <w:r w:rsidRPr="003B061E">
              <w:rPr>
                <w:rFonts w:asciiTheme="minorHAnsi" w:hAnsiTheme="minorHAnsi" w:cstheme="minorHAnsi"/>
              </w:rPr>
              <w:t>Health,</w:t>
            </w:r>
            <w:r w:rsidRPr="003B061E">
              <w:rPr>
                <w:rFonts w:asciiTheme="minorHAnsi" w:hAnsiTheme="minorHAnsi" w:cstheme="minorHAnsi"/>
                <w:spacing w:val="-3"/>
              </w:rPr>
              <w:t xml:space="preserve"> </w:t>
            </w:r>
            <w:r w:rsidRPr="003B061E">
              <w:rPr>
                <w:rFonts w:asciiTheme="minorHAnsi" w:hAnsiTheme="minorHAnsi" w:cstheme="minorHAnsi"/>
                <w:spacing w:val="-4"/>
              </w:rPr>
              <w:t>Inc.</w:t>
            </w:r>
          </w:p>
        </w:tc>
      </w:tr>
      <w:tr w:rsidR="00311857" w:rsidRPr="0076797D" w14:paraId="32EDD97A" w14:textId="77777777" w:rsidTr="00B96045">
        <w:trPr>
          <w:trHeight w:val="306"/>
        </w:trPr>
        <w:tc>
          <w:tcPr>
            <w:tcW w:w="2274" w:type="pct"/>
            <w:shd w:val="clear" w:color="auto" w:fill="auto"/>
            <w:vAlign w:val="center"/>
          </w:tcPr>
          <w:p w14:paraId="6F7F9C8E" w14:textId="5D208B14" w:rsidR="00311857" w:rsidRPr="00A3157F" w:rsidRDefault="00311857" w:rsidP="00311857">
            <w:pPr>
              <w:ind w:right="540"/>
              <w:contextualSpacing/>
              <w:rPr>
                <w:rFonts w:asciiTheme="minorHAnsi" w:hAnsiTheme="minorHAnsi" w:cstheme="minorHAnsi"/>
              </w:rPr>
            </w:pPr>
            <w:r w:rsidRPr="00A3157F">
              <w:rPr>
                <w:rFonts w:asciiTheme="minorHAnsi" w:hAnsiTheme="minorHAnsi" w:cstheme="minorHAnsi"/>
              </w:rPr>
              <w:t xml:space="preserve">Applicant Address </w:t>
            </w:r>
          </w:p>
        </w:tc>
        <w:tc>
          <w:tcPr>
            <w:tcW w:w="2726" w:type="pct"/>
            <w:shd w:val="clear" w:color="auto" w:fill="auto"/>
            <w:vAlign w:val="center"/>
          </w:tcPr>
          <w:p w14:paraId="0DA5F67D" w14:textId="77777777" w:rsidR="00311857" w:rsidRPr="003B061E" w:rsidRDefault="00311857" w:rsidP="00311857">
            <w:pPr>
              <w:ind w:right="540"/>
              <w:contextualSpacing/>
              <w:rPr>
                <w:rFonts w:asciiTheme="minorHAnsi" w:hAnsiTheme="minorHAnsi" w:cstheme="minorHAnsi"/>
              </w:rPr>
            </w:pPr>
            <w:r w:rsidRPr="003B061E">
              <w:rPr>
                <w:rFonts w:asciiTheme="minorHAnsi" w:hAnsiTheme="minorHAnsi" w:cstheme="minorHAnsi"/>
              </w:rPr>
              <w:t>20 University Road, Suite 700, Cambridge, MA 02138</w:t>
            </w:r>
          </w:p>
        </w:tc>
      </w:tr>
      <w:tr w:rsidR="00311857" w:rsidRPr="0076797D" w14:paraId="4A113619" w14:textId="77777777" w:rsidTr="00B96045">
        <w:trPr>
          <w:trHeight w:val="323"/>
        </w:trPr>
        <w:tc>
          <w:tcPr>
            <w:tcW w:w="2274" w:type="pct"/>
            <w:shd w:val="clear" w:color="auto" w:fill="auto"/>
            <w:vAlign w:val="center"/>
          </w:tcPr>
          <w:p w14:paraId="69BCDC68" w14:textId="29173D3A" w:rsidR="00311857" w:rsidRPr="00A3157F" w:rsidRDefault="00311857" w:rsidP="00311857">
            <w:pPr>
              <w:ind w:right="540"/>
              <w:contextualSpacing/>
              <w:rPr>
                <w:rFonts w:asciiTheme="minorHAnsi" w:hAnsiTheme="minorHAnsi" w:cstheme="minorHAnsi"/>
              </w:rPr>
            </w:pPr>
            <w:r w:rsidRPr="00A3157F">
              <w:rPr>
                <w:rFonts w:asciiTheme="minorHAnsi" w:hAnsiTheme="minorHAnsi" w:cstheme="minorHAnsi"/>
              </w:rPr>
              <w:t>Filing Date</w:t>
            </w:r>
          </w:p>
        </w:tc>
        <w:tc>
          <w:tcPr>
            <w:tcW w:w="2726" w:type="pct"/>
            <w:shd w:val="clear" w:color="auto" w:fill="auto"/>
            <w:vAlign w:val="center"/>
          </w:tcPr>
          <w:p w14:paraId="0D607FBD" w14:textId="16F944B5" w:rsidR="00311857" w:rsidRPr="0076797D" w:rsidRDefault="004900CD" w:rsidP="00311857">
            <w:pPr>
              <w:ind w:right="540"/>
              <w:contextualSpacing/>
              <w:rPr>
                <w:rFonts w:asciiTheme="minorHAnsi" w:hAnsiTheme="minorHAnsi" w:cstheme="minorHAnsi"/>
                <w:highlight w:val="yellow"/>
              </w:rPr>
            </w:pPr>
            <w:r w:rsidRPr="004900CD">
              <w:rPr>
                <w:rFonts w:asciiTheme="minorHAnsi" w:hAnsiTheme="minorHAnsi" w:cstheme="minorHAnsi"/>
              </w:rPr>
              <w:t>October 20, 2023</w:t>
            </w:r>
          </w:p>
        </w:tc>
      </w:tr>
      <w:tr w:rsidR="003E134D" w:rsidRPr="0076797D" w14:paraId="7711945C" w14:textId="77777777" w:rsidTr="00B96045">
        <w:trPr>
          <w:trHeight w:val="300"/>
        </w:trPr>
        <w:tc>
          <w:tcPr>
            <w:tcW w:w="2274" w:type="pct"/>
            <w:shd w:val="clear" w:color="auto" w:fill="auto"/>
            <w:vAlign w:val="center"/>
          </w:tcPr>
          <w:p w14:paraId="11553F04" w14:textId="0E855456" w:rsidR="003E134D" w:rsidRPr="00A3157F" w:rsidRDefault="003E134D" w:rsidP="003E134D">
            <w:pPr>
              <w:ind w:right="540"/>
              <w:contextualSpacing/>
              <w:rPr>
                <w:rFonts w:asciiTheme="minorHAnsi" w:hAnsiTheme="minorHAnsi" w:cstheme="minorHAnsi"/>
              </w:rPr>
            </w:pPr>
            <w:r w:rsidRPr="00A3157F">
              <w:rPr>
                <w:rFonts w:asciiTheme="minorHAnsi" w:hAnsiTheme="minorHAnsi" w:cstheme="minorHAnsi"/>
              </w:rPr>
              <w:t>Type of DoN Application</w:t>
            </w:r>
          </w:p>
        </w:tc>
        <w:tc>
          <w:tcPr>
            <w:tcW w:w="2726" w:type="pct"/>
            <w:shd w:val="clear" w:color="auto" w:fill="auto"/>
            <w:vAlign w:val="center"/>
          </w:tcPr>
          <w:p w14:paraId="0E5F3F71" w14:textId="40283D2D" w:rsidR="003E134D" w:rsidRPr="003B061E" w:rsidRDefault="003E134D" w:rsidP="003E134D">
            <w:pPr>
              <w:ind w:right="540"/>
              <w:contextualSpacing/>
              <w:rPr>
                <w:rFonts w:asciiTheme="minorHAnsi" w:hAnsiTheme="minorHAnsi" w:cstheme="minorHAnsi"/>
              </w:rPr>
            </w:pPr>
            <w:r w:rsidRPr="003B061E">
              <w:rPr>
                <w:rFonts w:asciiTheme="minorHAnsi" w:hAnsiTheme="minorHAnsi" w:cstheme="minorHAnsi"/>
              </w:rPr>
              <w:t xml:space="preserve">DoN Required Equipment </w:t>
            </w:r>
          </w:p>
        </w:tc>
      </w:tr>
      <w:tr w:rsidR="003E134D" w:rsidRPr="0076797D" w14:paraId="49215776" w14:textId="77777777" w:rsidTr="00B96045">
        <w:trPr>
          <w:trHeight w:val="300"/>
        </w:trPr>
        <w:tc>
          <w:tcPr>
            <w:tcW w:w="2274" w:type="pct"/>
            <w:shd w:val="clear" w:color="auto" w:fill="auto"/>
            <w:vAlign w:val="center"/>
          </w:tcPr>
          <w:p w14:paraId="7875841B" w14:textId="3FB5EA2C" w:rsidR="003E134D" w:rsidRPr="00A3157F" w:rsidRDefault="003E134D" w:rsidP="003E134D">
            <w:pPr>
              <w:ind w:right="540"/>
              <w:contextualSpacing/>
              <w:rPr>
                <w:rFonts w:asciiTheme="minorHAnsi" w:hAnsiTheme="minorHAnsi" w:cstheme="minorHAnsi"/>
              </w:rPr>
            </w:pPr>
            <w:r w:rsidRPr="00A3157F">
              <w:rPr>
                <w:rFonts w:asciiTheme="minorHAnsi" w:hAnsiTheme="minorHAnsi" w:cstheme="minorHAnsi"/>
              </w:rPr>
              <w:t>Total Value</w:t>
            </w:r>
          </w:p>
        </w:tc>
        <w:tc>
          <w:tcPr>
            <w:tcW w:w="2726" w:type="pct"/>
            <w:shd w:val="clear" w:color="auto" w:fill="auto"/>
            <w:vAlign w:val="center"/>
          </w:tcPr>
          <w:p w14:paraId="4F59F538" w14:textId="06F8583D" w:rsidR="003E134D" w:rsidRPr="0076797D" w:rsidRDefault="009D3931" w:rsidP="003E134D">
            <w:pPr>
              <w:ind w:right="540"/>
              <w:contextualSpacing/>
              <w:rPr>
                <w:rFonts w:asciiTheme="minorHAnsi" w:hAnsiTheme="minorHAnsi" w:cstheme="minorHAnsi"/>
                <w:highlight w:val="yellow"/>
              </w:rPr>
            </w:pPr>
            <w:r>
              <w:rPr>
                <w:rFonts w:asciiTheme="minorHAnsi" w:hAnsiTheme="minorHAnsi" w:cstheme="minorHAnsi"/>
              </w:rPr>
              <w:t>$34,500.00</w:t>
            </w:r>
          </w:p>
        </w:tc>
      </w:tr>
      <w:tr w:rsidR="003E134D" w:rsidRPr="0076797D" w14:paraId="3182B137" w14:textId="77777777" w:rsidTr="00B96045">
        <w:trPr>
          <w:trHeight w:val="300"/>
        </w:trPr>
        <w:tc>
          <w:tcPr>
            <w:tcW w:w="2274" w:type="pct"/>
            <w:shd w:val="clear" w:color="auto" w:fill="auto"/>
            <w:vAlign w:val="center"/>
          </w:tcPr>
          <w:p w14:paraId="1F2515D9" w14:textId="3F6AE260" w:rsidR="003E134D" w:rsidRPr="00A3157F" w:rsidRDefault="003E134D" w:rsidP="003E134D">
            <w:pPr>
              <w:ind w:right="540"/>
              <w:contextualSpacing/>
              <w:rPr>
                <w:rFonts w:asciiTheme="minorHAnsi" w:hAnsiTheme="minorHAnsi" w:cstheme="minorHAnsi"/>
              </w:rPr>
            </w:pPr>
            <w:r w:rsidRPr="00A3157F">
              <w:rPr>
                <w:rFonts w:asciiTheme="minorHAnsi" w:hAnsiTheme="minorHAnsi" w:cstheme="minorHAnsi"/>
              </w:rPr>
              <w:t>Project Number</w:t>
            </w:r>
          </w:p>
        </w:tc>
        <w:tc>
          <w:tcPr>
            <w:tcW w:w="2726" w:type="pct"/>
            <w:shd w:val="clear" w:color="auto" w:fill="auto"/>
            <w:vAlign w:val="center"/>
          </w:tcPr>
          <w:p w14:paraId="6CC3E059" w14:textId="21AEBE0F" w:rsidR="003E134D" w:rsidRPr="0076797D" w:rsidRDefault="00161792" w:rsidP="003E134D">
            <w:pPr>
              <w:ind w:right="540"/>
              <w:contextualSpacing/>
              <w:rPr>
                <w:rFonts w:asciiTheme="minorHAnsi" w:hAnsiTheme="minorHAnsi" w:cstheme="minorHAnsi"/>
                <w:highlight w:val="yellow"/>
              </w:rPr>
            </w:pPr>
            <w:r w:rsidRPr="00415044">
              <w:rPr>
                <w:rFonts w:asciiTheme="minorHAnsi" w:hAnsiTheme="minorHAnsi" w:cstheme="minorHAnsi"/>
                <w:bCs/>
                <w:spacing w:val="-2"/>
              </w:rPr>
              <w:t>#</w:t>
            </w:r>
            <w:r w:rsidRPr="005C4E0E">
              <w:rPr>
                <w:rFonts w:asciiTheme="minorHAnsi" w:hAnsiTheme="minorHAnsi" w:cstheme="minorHAnsi"/>
                <w:bCs/>
                <w:spacing w:val="-2"/>
              </w:rPr>
              <w:t>BILH-23082513-RE</w:t>
            </w:r>
          </w:p>
        </w:tc>
      </w:tr>
      <w:tr w:rsidR="003E134D" w:rsidRPr="0076797D" w14:paraId="61169607" w14:textId="77777777" w:rsidTr="00B96045">
        <w:trPr>
          <w:trHeight w:val="300"/>
        </w:trPr>
        <w:tc>
          <w:tcPr>
            <w:tcW w:w="2274" w:type="pct"/>
            <w:shd w:val="clear" w:color="auto" w:fill="auto"/>
            <w:vAlign w:val="center"/>
          </w:tcPr>
          <w:p w14:paraId="7DD5609F" w14:textId="4E591792" w:rsidR="003E134D" w:rsidRPr="00A3157F" w:rsidRDefault="003E134D" w:rsidP="003E134D">
            <w:pPr>
              <w:ind w:right="540"/>
              <w:contextualSpacing/>
              <w:rPr>
                <w:rFonts w:asciiTheme="minorHAnsi" w:hAnsiTheme="minorHAnsi" w:cstheme="minorHAnsi"/>
              </w:rPr>
            </w:pPr>
            <w:r w:rsidRPr="00A3157F">
              <w:rPr>
                <w:rFonts w:asciiTheme="minorHAnsi" w:hAnsiTheme="minorHAnsi" w:cstheme="minorHAnsi"/>
              </w:rPr>
              <w:t>Ten Taxpayer Groups (TTG)</w:t>
            </w:r>
          </w:p>
        </w:tc>
        <w:tc>
          <w:tcPr>
            <w:tcW w:w="2726" w:type="pct"/>
            <w:shd w:val="clear" w:color="auto" w:fill="auto"/>
            <w:vAlign w:val="center"/>
          </w:tcPr>
          <w:p w14:paraId="7DE8A533" w14:textId="014349D5" w:rsidR="003E134D" w:rsidRPr="0076797D" w:rsidRDefault="003E134D" w:rsidP="003E134D">
            <w:pPr>
              <w:ind w:right="540"/>
              <w:contextualSpacing/>
              <w:rPr>
                <w:rFonts w:asciiTheme="minorHAnsi" w:hAnsiTheme="minorHAnsi" w:cstheme="minorHAnsi"/>
                <w:highlight w:val="yellow"/>
              </w:rPr>
            </w:pPr>
            <w:r w:rsidRPr="003B061E">
              <w:rPr>
                <w:rFonts w:asciiTheme="minorHAnsi" w:hAnsiTheme="minorHAnsi" w:cstheme="minorHAnsi"/>
              </w:rPr>
              <w:t>None</w:t>
            </w:r>
          </w:p>
        </w:tc>
      </w:tr>
      <w:tr w:rsidR="003E134D" w:rsidRPr="0076797D" w14:paraId="0930EAF5" w14:textId="77777777" w:rsidTr="00B96045">
        <w:trPr>
          <w:trHeight w:val="300"/>
        </w:trPr>
        <w:tc>
          <w:tcPr>
            <w:tcW w:w="2274" w:type="pct"/>
            <w:shd w:val="clear" w:color="auto" w:fill="auto"/>
            <w:vAlign w:val="center"/>
          </w:tcPr>
          <w:p w14:paraId="3A86782A" w14:textId="0FF79132" w:rsidR="003E134D" w:rsidRPr="00A3157F" w:rsidRDefault="003E134D" w:rsidP="003E134D">
            <w:pPr>
              <w:ind w:right="540"/>
              <w:contextualSpacing/>
              <w:rPr>
                <w:rFonts w:asciiTheme="minorHAnsi" w:hAnsiTheme="minorHAnsi" w:cstheme="minorHAnsi"/>
              </w:rPr>
            </w:pPr>
            <w:r w:rsidRPr="00A3157F">
              <w:rPr>
                <w:rFonts w:asciiTheme="minorHAnsi" w:hAnsiTheme="minorHAnsi" w:cstheme="minorHAnsi"/>
              </w:rPr>
              <w:t>Community Health Initiative (CHI)</w:t>
            </w:r>
            <w:r w:rsidRPr="00A3157F" w:rsidDel="00FB532E">
              <w:rPr>
                <w:rFonts w:asciiTheme="minorHAnsi" w:hAnsiTheme="minorHAnsi" w:cstheme="minorHAnsi"/>
              </w:rPr>
              <w:t xml:space="preserve"> </w:t>
            </w:r>
          </w:p>
        </w:tc>
        <w:tc>
          <w:tcPr>
            <w:tcW w:w="2726" w:type="pct"/>
            <w:shd w:val="clear" w:color="auto" w:fill="auto"/>
            <w:vAlign w:val="center"/>
          </w:tcPr>
          <w:p w14:paraId="53BCB321" w14:textId="40EB9D2C" w:rsidR="003E134D" w:rsidRPr="0076797D" w:rsidRDefault="00FA7C58" w:rsidP="003E134D">
            <w:pPr>
              <w:ind w:right="540"/>
              <w:contextualSpacing/>
              <w:rPr>
                <w:rFonts w:asciiTheme="minorHAnsi" w:hAnsiTheme="minorHAnsi" w:cstheme="minorHAnsi"/>
                <w:highlight w:val="yellow"/>
              </w:rPr>
            </w:pPr>
            <w:r>
              <w:rPr>
                <w:rFonts w:asciiTheme="minorHAnsi" w:hAnsiTheme="minorHAnsi" w:cstheme="minorHAnsi"/>
              </w:rPr>
              <w:t>$</w:t>
            </w:r>
            <w:r w:rsidRPr="003A2D44">
              <w:rPr>
                <w:rFonts w:asciiTheme="minorHAnsi" w:hAnsiTheme="minorHAnsi" w:cstheme="minorHAnsi"/>
              </w:rPr>
              <w:t>1,725.00</w:t>
            </w:r>
            <w:r>
              <w:rPr>
                <w:rFonts w:asciiTheme="minorHAnsi" w:hAnsiTheme="minorHAnsi" w:cstheme="minorHAnsi"/>
              </w:rPr>
              <w:t xml:space="preserve"> (Statewide Fund)</w:t>
            </w:r>
          </w:p>
        </w:tc>
      </w:tr>
      <w:tr w:rsidR="00311857" w:rsidRPr="0076797D" w14:paraId="038FDB09" w14:textId="77777777" w:rsidTr="00B96045">
        <w:trPr>
          <w:trHeight w:val="300"/>
        </w:trPr>
        <w:tc>
          <w:tcPr>
            <w:tcW w:w="2274" w:type="pct"/>
            <w:shd w:val="clear" w:color="auto" w:fill="auto"/>
            <w:vAlign w:val="center"/>
          </w:tcPr>
          <w:p w14:paraId="34B2770C" w14:textId="6E5D34B0" w:rsidR="00311857" w:rsidRPr="00A3157F" w:rsidRDefault="00311857" w:rsidP="00311857">
            <w:pPr>
              <w:ind w:right="540"/>
              <w:contextualSpacing/>
              <w:rPr>
                <w:rFonts w:asciiTheme="minorHAnsi" w:hAnsiTheme="minorHAnsi" w:cstheme="minorHAnsi"/>
              </w:rPr>
            </w:pPr>
            <w:r w:rsidRPr="00A3157F">
              <w:rPr>
                <w:rFonts w:asciiTheme="minorHAnsi" w:hAnsiTheme="minorHAnsi" w:cstheme="minorHAnsi"/>
              </w:rPr>
              <w:t>Staff Recommendation</w:t>
            </w:r>
          </w:p>
        </w:tc>
        <w:tc>
          <w:tcPr>
            <w:tcW w:w="2726" w:type="pct"/>
            <w:shd w:val="clear" w:color="auto" w:fill="auto"/>
            <w:vAlign w:val="center"/>
          </w:tcPr>
          <w:p w14:paraId="3D8DCA1F" w14:textId="77777777" w:rsidR="00311857" w:rsidRPr="003B061E" w:rsidRDefault="00311857" w:rsidP="00311857">
            <w:pPr>
              <w:ind w:right="540"/>
              <w:contextualSpacing/>
              <w:rPr>
                <w:rFonts w:asciiTheme="minorHAnsi" w:hAnsiTheme="minorHAnsi" w:cstheme="minorHAnsi"/>
              </w:rPr>
            </w:pPr>
            <w:r w:rsidRPr="003B061E">
              <w:rPr>
                <w:rFonts w:asciiTheme="minorHAnsi" w:hAnsiTheme="minorHAnsi" w:cstheme="minorHAnsi"/>
              </w:rPr>
              <w:t>Approval</w:t>
            </w:r>
          </w:p>
        </w:tc>
      </w:tr>
      <w:tr w:rsidR="00311857" w:rsidRPr="0076797D" w14:paraId="052190B0" w14:textId="77777777" w:rsidTr="00B96045">
        <w:trPr>
          <w:trHeight w:val="300"/>
        </w:trPr>
        <w:tc>
          <w:tcPr>
            <w:tcW w:w="2274" w:type="pct"/>
            <w:shd w:val="clear" w:color="auto" w:fill="auto"/>
            <w:vAlign w:val="center"/>
          </w:tcPr>
          <w:p w14:paraId="40D29E98" w14:textId="1237D601" w:rsidR="00311857" w:rsidRPr="00A3157F" w:rsidRDefault="00311857" w:rsidP="00311857">
            <w:pPr>
              <w:ind w:right="540"/>
              <w:contextualSpacing/>
              <w:rPr>
                <w:rFonts w:asciiTheme="minorHAnsi" w:hAnsiTheme="minorHAnsi" w:cstheme="minorHAnsi"/>
              </w:rPr>
            </w:pPr>
            <w:r w:rsidRPr="00A3157F">
              <w:rPr>
                <w:rFonts w:asciiTheme="minorHAnsi" w:hAnsiTheme="minorHAnsi" w:cstheme="minorHAnsi"/>
              </w:rPr>
              <w:t>Delegated Review</w:t>
            </w:r>
          </w:p>
        </w:tc>
        <w:tc>
          <w:tcPr>
            <w:tcW w:w="2726" w:type="pct"/>
            <w:shd w:val="clear" w:color="auto" w:fill="auto"/>
            <w:vAlign w:val="center"/>
          </w:tcPr>
          <w:p w14:paraId="6B1AFB24" w14:textId="7B8C049B" w:rsidR="00311857" w:rsidRPr="003B061E" w:rsidRDefault="00191CCA" w:rsidP="00311857">
            <w:pPr>
              <w:ind w:right="540"/>
              <w:contextualSpacing/>
              <w:rPr>
                <w:rFonts w:asciiTheme="minorHAnsi" w:hAnsiTheme="minorHAnsi" w:cstheme="minorHAnsi"/>
              </w:rPr>
            </w:pPr>
            <w:r w:rsidRPr="003B061E">
              <w:rPr>
                <w:rFonts w:asciiTheme="minorHAnsi" w:hAnsiTheme="minorHAnsi" w:cstheme="minorHAnsi"/>
              </w:rPr>
              <w:t>Commissioner Approval</w:t>
            </w:r>
          </w:p>
        </w:tc>
      </w:tr>
      <w:tr w:rsidR="001A3D32" w:rsidRPr="0076797D" w14:paraId="27483B4E" w14:textId="77777777" w:rsidTr="00B96045">
        <w:tblPrEx>
          <w:tblLook w:val="0000" w:firstRow="0" w:lastRow="0" w:firstColumn="0" w:lastColumn="0" w:noHBand="0" w:noVBand="0"/>
        </w:tblPrEx>
        <w:trPr>
          <w:trHeight w:val="3509"/>
        </w:trPr>
        <w:tc>
          <w:tcPr>
            <w:tcW w:w="5000" w:type="pct"/>
            <w:gridSpan w:val="2"/>
          </w:tcPr>
          <w:p w14:paraId="73B8661C" w14:textId="77777777" w:rsidR="001A3D32" w:rsidRPr="00FA7C58" w:rsidRDefault="001A3D32" w:rsidP="00B96045">
            <w:pPr>
              <w:spacing w:before="240" w:after="200"/>
              <w:ind w:left="108"/>
              <w:jc w:val="center"/>
              <w:rPr>
                <w:rFonts w:asciiTheme="minorHAnsi" w:eastAsia="Calibri" w:hAnsiTheme="minorHAnsi" w:cstheme="minorHAnsi"/>
                <w:b/>
              </w:rPr>
            </w:pPr>
            <w:r w:rsidRPr="00FA7C58">
              <w:rPr>
                <w:rFonts w:asciiTheme="minorHAnsi" w:eastAsia="Calibri" w:hAnsiTheme="minorHAnsi" w:cstheme="minorHAnsi"/>
                <w:b/>
                <w:u w:val="single"/>
              </w:rPr>
              <w:t>Project Summary and Regulatory Review</w:t>
            </w:r>
          </w:p>
          <w:p w14:paraId="4DB236F1" w14:textId="3D56F626" w:rsidR="001C172B" w:rsidRPr="001E6386" w:rsidRDefault="001C172B" w:rsidP="001C172B">
            <w:pPr>
              <w:pStyle w:val="NoSpacing"/>
              <w:contextualSpacing/>
              <w:rPr>
                <w:rFonts w:cstheme="minorHAnsi"/>
                <w:sz w:val="24"/>
                <w:szCs w:val="24"/>
                <w:highlight w:val="yellow"/>
              </w:rPr>
            </w:pPr>
            <w:r w:rsidRPr="001E6386">
              <w:rPr>
                <w:rFonts w:eastAsia="Calibri" w:cstheme="minorHAnsi"/>
                <w:sz w:val="24"/>
                <w:szCs w:val="24"/>
              </w:rPr>
              <w:t xml:space="preserve">Beth Israel Lahey Health, Inc., with a principal place of business at 20 University Road, Suite 700, Cambridge, MA 02138, </w:t>
            </w:r>
            <w:r w:rsidRPr="001E6386">
              <w:rPr>
                <w:rFonts w:cstheme="minorHAnsi"/>
                <w:sz w:val="24"/>
                <w:szCs w:val="24"/>
              </w:rPr>
              <w:t xml:space="preserve">filed a Notice of Determination of Need with the Massachusetts Department of Public Health to </w:t>
            </w:r>
            <w:r w:rsidR="00A970D8">
              <w:rPr>
                <w:rFonts w:cstheme="minorHAnsi"/>
                <w:sz w:val="24"/>
                <w:szCs w:val="24"/>
              </w:rPr>
              <w:t>add a second</w:t>
            </w:r>
            <w:r w:rsidRPr="001E6386">
              <w:rPr>
                <w:rFonts w:cstheme="minorHAnsi"/>
                <w:sz w:val="24"/>
                <w:szCs w:val="24"/>
              </w:rPr>
              <w:t xml:space="preserve"> linear accelerator (</w:t>
            </w:r>
            <w:r>
              <w:rPr>
                <w:rFonts w:cstheme="minorHAnsi"/>
                <w:sz w:val="24"/>
                <w:szCs w:val="24"/>
              </w:rPr>
              <w:t>“</w:t>
            </w:r>
            <w:r w:rsidRPr="001E6386">
              <w:rPr>
                <w:rFonts w:cstheme="minorHAnsi"/>
                <w:sz w:val="24"/>
                <w:szCs w:val="24"/>
              </w:rPr>
              <w:t>LINAC</w:t>
            </w:r>
            <w:r>
              <w:rPr>
                <w:rFonts w:cstheme="minorHAnsi"/>
                <w:sz w:val="24"/>
                <w:szCs w:val="24"/>
              </w:rPr>
              <w:t>”</w:t>
            </w:r>
            <w:r w:rsidRPr="001E6386">
              <w:rPr>
                <w:rFonts w:cstheme="minorHAnsi"/>
                <w:sz w:val="24"/>
                <w:szCs w:val="24"/>
              </w:rPr>
              <w:t xml:space="preserve">) unit for operation at </w:t>
            </w:r>
            <w:r w:rsidRPr="001E6386">
              <w:rPr>
                <w:rFonts w:eastAsia="Times New Roman" w:cstheme="minorHAnsi"/>
                <w:kern w:val="2"/>
                <w:sz w:val="24"/>
                <w:szCs w:val="24"/>
              </w:rPr>
              <w:t xml:space="preserve">Beth Israel Deaconess Hospital - Plymouth, Inc. (“BID-P” or “Hospital”) </w:t>
            </w:r>
            <w:r w:rsidRPr="001E6386">
              <w:rPr>
                <w:rFonts w:cstheme="minorHAnsi"/>
                <w:sz w:val="24"/>
                <w:szCs w:val="24"/>
              </w:rPr>
              <w:t xml:space="preserve">located at </w:t>
            </w:r>
            <w:r w:rsidRPr="001E6386">
              <w:rPr>
                <w:rFonts w:eastAsia="Times New Roman" w:cstheme="minorHAnsi"/>
                <w:kern w:val="2"/>
                <w:sz w:val="24"/>
                <w:szCs w:val="24"/>
              </w:rPr>
              <w:t>275 Sandwich St, Plymouth, MA 02360.</w:t>
            </w:r>
          </w:p>
          <w:p w14:paraId="48F2A593" w14:textId="77777777" w:rsidR="001C172B" w:rsidRPr="00C25892" w:rsidRDefault="001C172B" w:rsidP="001C172B">
            <w:pPr>
              <w:ind w:left="108"/>
              <w:rPr>
                <w:rFonts w:asciiTheme="minorHAnsi" w:eastAsia="Calibri" w:hAnsiTheme="minorHAnsi" w:cstheme="minorHAnsi"/>
                <w:highlight w:val="yellow"/>
              </w:rPr>
            </w:pPr>
          </w:p>
          <w:p w14:paraId="1FC6D311" w14:textId="77777777" w:rsidR="001C172B" w:rsidRDefault="001C172B" w:rsidP="001C172B">
            <w:pPr>
              <w:rPr>
                <w:rFonts w:asciiTheme="minorHAnsi" w:eastAsia="Calibri" w:hAnsiTheme="minorHAnsi" w:cstheme="minorHAnsi"/>
              </w:rPr>
            </w:pPr>
            <w:r w:rsidRPr="00665315">
              <w:rPr>
                <w:rFonts w:asciiTheme="minorHAnsi" w:eastAsia="Calibri" w:hAnsiTheme="minorHAnsi" w:cstheme="minorHAnsi"/>
              </w:rPr>
              <w:t>This DoN application falls within the definition of DoN-Required Equipment and Services,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059103B7" w14:textId="77777777" w:rsidR="001A3D32" w:rsidRPr="0076797D" w:rsidRDefault="001A3D32" w:rsidP="00B96045">
            <w:pPr>
              <w:spacing w:after="200"/>
              <w:rPr>
                <w:rFonts w:asciiTheme="minorHAnsi" w:eastAsia="Calibri" w:hAnsiTheme="minorHAnsi" w:cstheme="minorHAnsi"/>
                <w:highlight w:val="yellow"/>
              </w:rPr>
            </w:pPr>
          </w:p>
        </w:tc>
      </w:tr>
    </w:tbl>
    <w:p w14:paraId="413EE2C9" w14:textId="77777777" w:rsidR="00333EA3" w:rsidRPr="0076797D" w:rsidRDefault="00333EA3" w:rsidP="007A57C4">
      <w:pPr>
        <w:contextualSpacing/>
        <w:rPr>
          <w:rFonts w:asciiTheme="minorHAnsi" w:hAnsiTheme="minorHAnsi" w:cstheme="minorHAnsi"/>
          <w:highlight w:val="yellow"/>
        </w:rPr>
      </w:pPr>
    </w:p>
    <w:p w14:paraId="23623837" w14:textId="0F1C1A78" w:rsidR="00C4570F" w:rsidRPr="0076797D" w:rsidRDefault="00C4570F">
      <w:pPr>
        <w:spacing w:after="200" w:line="276" w:lineRule="auto"/>
        <w:rPr>
          <w:rFonts w:asciiTheme="minorHAnsi" w:hAnsiTheme="minorHAnsi" w:cstheme="minorHAnsi"/>
          <w:highlight w:val="yellow"/>
        </w:rPr>
      </w:pPr>
      <w:r w:rsidRPr="0076797D">
        <w:rPr>
          <w:rFonts w:asciiTheme="minorHAnsi" w:hAnsiTheme="minorHAnsi" w:cstheme="minorHAnsi"/>
          <w:highlight w:val="yellow"/>
        </w:rPr>
        <w:br w:type="page"/>
      </w:r>
    </w:p>
    <w:p w14:paraId="0EA9B51B" w14:textId="1F957738" w:rsidR="005D4009" w:rsidRPr="001C172B" w:rsidRDefault="005D4009" w:rsidP="007A57C4">
      <w:pPr>
        <w:contextualSpacing/>
        <w:rPr>
          <w:rFonts w:asciiTheme="minorHAnsi" w:hAnsiTheme="minorHAnsi" w:cstheme="minorHAnsi"/>
        </w:rPr>
      </w:pP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1C172B" w:rsidRDefault="00E8532F" w:rsidP="007A57C4">
          <w:pPr>
            <w:pStyle w:val="TOCHeading"/>
            <w:spacing w:line="240" w:lineRule="auto"/>
            <w:ind w:right="90"/>
            <w:rPr>
              <w:rFonts w:asciiTheme="minorHAnsi" w:hAnsiTheme="minorHAnsi" w:cstheme="minorHAnsi"/>
              <w:b/>
              <w:bCs/>
              <w:sz w:val="28"/>
              <w:szCs w:val="28"/>
            </w:rPr>
          </w:pPr>
          <w:r w:rsidRPr="001C172B">
            <w:rPr>
              <w:rFonts w:asciiTheme="minorHAnsi" w:hAnsiTheme="minorHAnsi" w:cstheme="minorHAnsi"/>
              <w:b/>
              <w:bCs/>
              <w:sz w:val="28"/>
              <w:szCs w:val="28"/>
            </w:rPr>
            <w:t>Table of Contents</w:t>
          </w:r>
          <w:r w:rsidR="00B5536D" w:rsidRPr="001C172B">
            <w:rPr>
              <w:rFonts w:asciiTheme="minorHAnsi" w:hAnsiTheme="minorHAnsi" w:cstheme="minorHAnsi"/>
              <w:b/>
              <w:bCs/>
              <w:sz w:val="28"/>
              <w:szCs w:val="28"/>
            </w:rPr>
            <w:t xml:space="preserve"> </w:t>
          </w:r>
        </w:p>
        <w:p w14:paraId="16EE5660" w14:textId="522EB126" w:rsidR="00DB23DC" w:rsidRPr="00DB23DC" w:rsidRDefault="00E8532F">
          <w:pPr>
            <w:pStyle w:val="TOC1"/>
            <w:rPr>
              <w:rFonts w:asciiTheme="minorHAnsi" w:eastAsiaTheme="minorEastAsia" w:hAnsiTheme="minorHAnsi" w:cstheme="minorHAnsi"/>
              <w:kern w:val="2"/>
              <w14:ligatures w14:val="standardContextual"/>
            </w:rPr>
          </w:pPr>
          <w:r w:rsidRPr="00DB23DC">
            <w:rPr>
              <w:rFonts w:asciiTheme="minorHAnsi" w:eastAsia="Times New Roman" w:hAnsiTheme="minorHAnsi" w:cstheme="minorHAnsi"/>
              <w:noProof w:val="0"/>
            </w:rPr>
            <w:fldChar w:fldCharType="begin"/>
          </w:r>
          <w:r w:rsidRPr="00DB23DC">
            <w:rPr>
              <w:rFonts w:asciiTheme="minorHAnsi" w:hAnsiTheme="minorHAnsi" w:cstheme="minorHAnsi"/>
            </w:rPr>
            <w:instrText xml:space="preserve"> TOC \o "1-3" \h \z \u </w:instrText>
          </w:r>
          <w:r w:rsidRPr="00DB23DC">
            <w:rPr>
              <w:rFonts w:asciiTheme="minorHAnsi" w:eastAsia="Times New Roman" w:hAnsiTheme="minorHAnsi" w:cstheme="minorHAnsi"/>
              <w:noProof w:val="0"/>
            </w:rPr>
            <w:fldChar w:fldCharType="separate"/>
          </w:r>
          <w:hyperlink w:anchor="_Toc155341739" w:history="1">
            <w:r w:rsidR="00DB23DC" w:rsidRPr="00DB23DC">
              <w:rPr>
                <w:rStyle w:val="Hyperlink"/>
                <w:rFonts w:asciiTheme="minorHAnsi" w:hAnsiTheme="minorHAnsi" w:cstheme="minorHAnsi"/>
              </w:rPr>
              <w:t>Applicant Background and Application Overview</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_Toc155341739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3</w:t>
            </w:r>
            <w:r w:rsidR="00DB23DC" w:rsidRPr="00DB23DC">
              <w:rPr>
                <w:rFonts w:asciiTheme="minorHAnsi" w:hAnsiTheme="minorHAnsi" w:cstheme="minorHAnsi"/>
                <w:webHidden/>
              </w:rPr>
              <w:fldChar w:fldCharType="end"/>
            </w:r>
          </w:hyperlink>
        </w:p>
        <w:p w14:paraId="50745985" w14:textId="66EF2154" w:rsidR="00DB23DC" w:rsidRPr="00DB23DC" w:rsidRDefault="00000000">
          <w:pPr>
            <w:pStyle w:val="TOC1"/>
            <w:rPr>
              <w:rFonts w:asciiTheme="minorHAnsi" w:eastAsiaTheme="minorEastAsia" w:hAnsiTheme="minorHAnsi" w:cstheme="minorHAnsi"/>
              <w:kern w:val="2"/>
              <w14:ligatures w14:val="standardContextual"/>
            </w:rPr>
          </w:pPr>
          <w:hyperlink w:anchor="_Toc155341740" w:history="1">
            <w:r w:rsidR="00DB23DC" w:rsidRPr="00DB23DC">
              <w:rPr>
                <w:rStyle w:val="Hyperlink"/>
                <w:rFonts w:asciiTheme="minorHAnsi" w:hAnsiTheme="minorHAnsi" w:cstheme="minorHAnsi"/>
              </w:rPr>
              <w:t>Factor 1</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_Toc155341740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4</w:t>
            </w:r>
            <w:r w:rsidR="00DB23DC" w:rsidRPr="00DB23DC">
              <w:rPr>
                <w:rFonts w:asciiTheme="minorHAnsi" w:hAnsiTheme="minorHAnsi" w:cstheme="minorHAnsi"/>
                <w:webHidden/>
              </w:rPr>
              <w:fldChar w:fldCharType="end"/>
            </w:r>
          </w:hyperlink>
        </w:p>
        <w:p w14:paraId="1A9B2972" w14:textId="010794E4" w:rsidR="00DB23DC" w:rsidRPr="00DB23DC" w:rsidRDefault="00000000">
          <w:pPr>
            <w:pStyle w:val="TOC1"/>
            <w:rPr>
              <w:rFonts w:asciiTheme="minorHAnsi" w:eastAsiaTheme="minorEastAsia" w:hAnsiTheme="minorHAnsi" w:cstheme="minorHAnsi"/>
              <w:kern w:val="2"/>
              <w14:ligatures w14:val="standardContextual"/>
            </w:rPr>
          </w:pPr>
          <w:hyperlink w:anchor="_Toc155341741" w:history="1">
            <w:r w:rsidR="00DB23DC" w:rsidRPr="00DB23DC">
              <w:rPr>
                <w:rStyle w:val="Hyperlink"/>
                <w:rFonts w:asciiTheme="minorHAnsi" w:hAnsiTheme="minorHAnsi" w:cstheme="minorHAnsi"/>
              </w:rPr>
              <w:t>Patient Panel</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_Toc155341741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4</w:t>
            </w:r>
            <w:r w:rsidR="00DB23DC" w:rsidRPr="00DB23DC">
              <w:rPr>
                <w:rFonts w:asciiTheme="minorHAnsi" w:hAnsiTheme="minorHAnsi" w:cstheme="minorHAnsi"/>
                <w:webHidden/>
              </w:rPr>
              <w:fldChar w:fldCharType="end"/>
            </w:r>
          </w:hyperlink>
        </w:p>
        <w:p w14:paraId="4D91C3FE" w14:textId="367D1ED1" w:rsidR="00DB23DC" w:rsidRPr="00DB23DC" w:rsidRDefault="00000000">
          <w:pPr>
            <w:pStyle w:val="TOC1"/>
            <w:rPr>
              <w:rFonts w:asciiTheme="minorHAnsi" w:eastAsiaTheme="minorEastAsia" w:hAnsiTheme="minorHAnsi" w:cstheme="minorHAnsi"/>
              <w:kern w:val="2"/>
              <w14:ligatures w14:val="standardContextual"/>
            </w:rPr>
          </w:pPr>
          <w:hyperlink w:anchor="_Toc155341742" w:history="1">
            <w:r w:rsidR="00DB23DC" w:rsidRPr="00DB23DC">
              <w:rPr>
                <w:rStyle w:val="Hyperlink"/>
                <w:rFonts w:asciiTheme="minorHAnsi" w:eastAsia="Calibri" w:hAnsiTheme="minorHAnsi" w:cstheme="minorHAnsi"/>
              </w:rPr>
              <w:t>Factor 1: a) Patient Panel Need</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_Toc155341742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6</w:t>
            </w:r>
            <w:r w:rsidR="00DB23DC" w:rsidRPr="00DB23DC">
              <w:rPr>
                <w:rFonts w:asciiTheme="minorHAnsi" w:hAnsiTheme="minorHAnsi" w:cstheme="minorHAnsi"/>
                <w:webHidden/>
              </w:rPr>
              <w:fldChar w:fldCharType="end"/>
            </w:r>
          </w:hyperlink>
        </w:p>
        <w:p w14:paraId="6C18CF59" w14:textId="339B0D7A" w:rsidR="00DB23DC" w:rsidRPr="00DB23DC" w:rsidRDefault="00000000">
          <w:pPr>
            <w:pStyle w:val="TOC1"/>
            <w:rPr>
              <w:rFonts w:asciiTheme="minorHAnsi" w:eastAsiaTheme="minorEastAsia" w:hAnsiTheme="minorHAnsi" w:cstheme="minorHAnsi"/>
              <w:kern w:val="2"/>
              <w14:ligatures w14:val="standardContextual"/>
            </w:rPr>
          </w:pPr>
          <w:hyperlink w:anchor="_Toc155341743" w:history="1">
            <w:r w:rsidR="00DB23DC" w:rsidRPr="00DB23DC">
              <w:rPr>
                <w:rStyle w:val="Hyperlink"/>
                <w:rFonts w:asciiTheme="minorHAnsi" w:hAnsiTheme="minorHAnsi" w:cstheme="minorHAnsi"/>
              </w:rPr>
              <w:t>Factor 1: b) Public Health Value, Improved Health Outcomes and Quality of Life; Assurances of Health Equity</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_Toc155341743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8</w:t>
            </w:r>
            <w:r w:rsidR="00DB23DC" w:rsidRPr="00DB23DC">
              <w:rPr>
                <w:rFonts w:asciiTheme="minorHAnsi" w:hAnsiTheme="minorHAnsi" w:cstheme="minorHAnsi"/>
                <w:webHidden/>
              </w:rPr>
              <w:fldChar w:fldCharType="end"/>
            </w:r>
          </w:hyperlink>
        </w:p>
        <w:p w14:paraId="0ED76EA3" w14:textId="1B61480B" w:rsidR="00DB23DC" w:rsidRPr="00DB23DC" w:rsidRDefault="00000000">
          <w:pPr>
            <w:pStyle w:val="TOC1"/>
            <w:rPr>
              <w:rFonts w:asciiTheme="minorHAnsi" w:eastAsiaTheme="minorEastAsia" w:hAnsiTheme="minorHAnsi" w:cstheme="minorHAnsi"/>
              <w:kern w:val="2"/>
              <w14:ligatures w14:val="standardContextual"/>
            </w:rPr>
          </w:pPr>
          <w:hyperlink w:anchor="_Toc155341744" w:history="1">
            <w:r w:rsidR="00DB23DC" w:rsidRPr="00DB23DC">
              <w:rPr>
                <w:rStyle w:val="Hyperlink"/>
                <w:rFonts w:asciiTheme="minorHAnsi" w:hAnsiTheme="minorHAnsi" w:cstheme="minorHAnsi"/>
              </w:rPr>
              <w:t>Factor 1: c) Efficiency, Continuity of Care, Coordination of Care</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_Toc155341744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10</w:t>
            </w:r>
            <w:r w:rsidR="00DB23DC" w:rsidRPr="00DB23DC">
              <w:rPr>
                <w:rFonts w:asciiTheme="minorHAnsi" w:hAnsiTheme="minorHAnsi" w:cstheme="minorHAnsi"/>
                <w:webHidden/>
              </w:rPr>
              <w:fldChar w:fldCharType="end"/>
            </w:r>
          </w:hyperlink>
        </w:p>
        <w:p w14:paraId="79BC2CDE" w14:textId="4AFBB3E8" w:rsidR="00DB23DC" w:rsidRPr="00DB23DC" w:rsidRDefault="00000000">
          <w:pPr>
            <w:pStyle w:val="TOC1"/>
            <w:rPr>
              <w:rFonts w:asciiTheme="minorHAnsi" w:eastAsiaTheme="minorEastAsia" w:hAnsiTheme="minorHAnsi" w:cstheme="minorHAnsi"/>
              <w:kern w:val="2"/>
              <w14:ligatures w14:val="standardContextual"/>
            </w:rPr>
          </w:pPr>
          <w:hyperlink w:anchor="_Toc155341745" w:history="1">
            <w:r w:rsidR="00DB23DC" w:rsidRPr="00DB23DC">
              <w:rPr>
                <w:rStyle w:val="Hyperlink"/>
                <w:rFonts w:asciiTheme="minorHAnsi" w:hAnsiTheme="minorHAnsi" w:cstheme="minorHAnsi"/>
              </w:rPr>
              <w:t>Factor 1: d) Consultation</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_Toc155341745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11</w:t>
            </w:r>
            <w:r w:rsidR="00DB23DC" w:rsidRPr="00DB23DC">
              <w:rPr>
                <w:rFonts w:asciiTheme="minorHAnsi" w:hAnsiTheme="minorHAnsi" w:cstheme="minorHAnsi"/>
                <w:webHidden/>
              </w:rPr>
              <w:fldChar w:fldCharType="end"/>
            </w:r>
          </w:hyperlink>
        </w:p>
        <w:p w14:paraId="43122FB1" w14:textId="788EF130" w:rsidR="00DB23DC" w:rsidRPr="00DB23DC" w:rsidRDefault="00000000">
          <w:pPr>
            <w:pStyle w:val="TOC1"/>
            <w:rPr>
              <w:rFonts w:asciiTheme="minorHAnsi" w:eastAsiaTheme="minorEastAsia" w:hAnsiTheme="minorHAnsi" w:cstheme="minorHAnsi"/>
              <w:kern w:val="2"/>
              <w14:ligatures w14:val="standardContextual"/>
            </w:rPr>
          </w:pPr>
          <w:hyperlink w:anchor="_Toc155341746" w:history="1">
            <w:r w:rsidR="00DB23DC" w:rsidRPr="00DB23DC">
              <w:rPr>
                <w:rStyle w:val="Hyperlink"/>
                <w:rFonts w:asciiTheme="minorHAnsi" w:hAnsiTheme="minorHAnsi" w:cstheme="minorHAnsi"/>
              </w:rPr>
              <w:t>Factor 1: e) Evidence of Sound Community Engagement through the Patient Panel</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_Toc155341746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11</w:t>
            </w:r>
            <w:r w:rsidR="00DB23DC" w:rsidRPr="00DB23DC">
              <w:rPr>
                <w:rFonts w:asciiTheme="minorHAnsi" w:hAnsiTheme="minorHAnsi" w:cstheme="minorHAnsi"/>
                <w:webHidden/>
              </w:rPr>
              <w:fldChar w:fldCharType="end"/>
            </w:r>
          </w:hyperlink>
        </w:p>
        <w:p w14:paraId="2BBC7AA2" w14:textId="535EEE61" w:rsidR="00DB23DC" w:rsidRPr="00DB23DC" w:rsidRDefault="00000000">
          <w:pPr>
            <w:pStyle w:val="TOC1"/>
            <w:rPr>
              <w:rFonts w:asciiTheme="minorHAnsi" w:eastAsiaTheme="minorEastAsia" w:hAnsiTheme="minorHAnsi" w:cstheme="minorHAnsi"/>
              <w:kern w:val="2"/>
              <w14:ligatures w14:val="standardContextual"/>
            </w:rPr>
          </w:pPr>
          <w:hyperlink w:anchor="_Toc155341747" w:history="1">
            <w:r w:rsidR="00DB23DC" w:rsidRPr="00DB23DC">
              <w:rPr>
                <w:rStyle w:val="Hyperlink"/>
                <w:rFonts w:asciiTheme="minorHAnsi" w:hAnsiTheme="minorHAnsi" w:cstheme="minorHAnsi"/>
              </w:rPr>
              <w:t>Factor 1: f) Competition on price, total medical expenses (TME), costs and other measures of health care spending</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_Toc155341747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12</w:t>
            </w:r>
            <w:r w:rsidR="00DB23DC" w:rsidRPr="00DB23DC">
              <w:rPr>
                <w:rFonts w:asciiTheme="minorHAnsi" w:hAnsiTheme="minorHAnsi" w:cstheme="minorHAnsi"/>
                <w:webHidden/>
              </w:rPr>
              <w:fldChar w:fldCharType="end"/>
            </w:r>
          </w:hyperlink>
        </w:p>
        <w:p w14:paraId="78B970D0" w14:textId="309A02DC" w:rsidR="00DB23DC" w:rsidRPr="00DB23DC" w:rsidRDefault="00000000">
          <w:pPr>
            <w:pStyle w:val="TOC2"/>
            <w:rPr>
              <w:rFonts w:asciiTheme="minorHAnsi" w:eastAsiaTheme="minorEastAsia" w:hAnsiTheme="minorHAnsi" w:cstheme="minorHAnsi"/>
              <w:color w:val="auto"/>
              <w:kern w:val="2"/>
              <w14:ligatures w14:val="standardContextual"/>
            </w:rPr>
          </w:pPr>
          <w:hyperlink w:anchor="_Toc155341748" w:history="1">
            <w:r w:rsidR="00DB23DC" w:rsidRPr="00DB23DC">
              <w:rPr>
                <w:rStyle w:val="Hyperlink"/>
                <w:rFonts w:asciiTheme="minorHAnsi" w:hAnsiTheme="minorHAnsi" w:cstheme="minorHAnsi"/>
              </w:rPr>
              <w:t>Summary, FACTOR 1</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_Toc155341748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12</w:t>
            </w:r>
            <w:r w:rsidR="00DB23DC" w:rsidRPr="00DB23DC">
              <w:rPr>
                <w:rFonts w:asciiTheme="minorHAnsi" w:hAnsiTheme="minorHAnsi" w:cstheme="minorHAnsi"/>
                <w:webHidden/>
              </w:rPr>
              <w:fldChar w:fldCharType="end"/>
            </w:r>
          </w:hyperlink>
        </w:p>
        <w:p w14:paraId="7D29E534" w14:textId="66A2C833" w:rsidR="00DB23DC" w:rsidRPr="00DB23DC" w:rsidRDefault="00000000">
          <w:pPr>
            <w:pStyle w:val="TOC1"/>
            <w:rPr>
              <w:rFonts w:asciiTheme="minorHAnsi" w:eastAsiaTheme="minorEastAsia" w:hAnsiTheme="minorHAnsi" w:cstheme="minorHAnsi"/>
              <w:kern w:val="2"/>
              <w14:ligatures w14:val="standardContextual"/>
            </w:rPr>
          </w:pPr>
          <w:hyperlink w:anchor="_Toc155341749" w:history="1">
            <w:r w:rsidR="00DB23DC" w:rsidRPr="00DB23DC">
              <w:rPr>
                <w:rStyle w:val="Hyperlink"/>
                <w:rFonts w:asciiTheme="minorHAnsi" w:hAnsiTheme="minorHAnsi" w:cstheme="minorHAnsi"/>
              </w:rPr>
              <w:t>Factor 2: Cost containment, Improved Public Health Outcomes and Delivery System Transformation</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_Toc155341749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12</w:t>
            </w:r>
            <w:r w:rsidR="00DB23DC" w:rsidRPr="00DB23DC">
              <w:rPr>
                <w:rFonts w:asciiTheme="minorHAnsi" w:hAnsiTheme="minorHAnsi" w:cstheme="minorHAnsi"/>
                <w:webHidden/>
              </w:rPr>
              <w:fldChar w:fldCharType="end"/>
            </w:r>
          </w:hyperlink>
        </w:p>
        <w:p w14:paraId="4B4AEFA8" w14:textId="27FEBED1" w:rsidR="00DB23DC" w:rsidRPr="00DB23DC" w:rsidRDefault="00000000">
          <w:pPr>
            <w:pStyle w:val="TOC1"/>
            <w:rPr>
              <w:rFonts w:asciiTheme="minorHAnsi" w:eastAsiaTheme="minorEastAsia" w:hAnsiTheme="minorHAnsi" w:cstheme="minorHAnsi"/>
              <w:kern w:val="2"/>
              <w14:ligatures w14:val="standardContextual"/>
            </w:rPr>
          </w:pPr>
          <w:hyperlink w:anchor="_Toc155341750" w:history="1">
            <w:r w:rsidR="00DB23DC" w:rsidRPr="00DB23DC">
              <w:rPr>
                <w:rStyle w:val="Hyperlink"/>
                <w:rFonts w:asciiTheme="minorHAnsi" w:hAnsiTheme="minorHAnsi" w:cstheme="minorHAnsi"/>
                <w:i/>
                <w:iCs/>
              </w:rPr>
              <w:t>Summary, FACTOR 2</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_Toc155341750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14</w:t>
            </w:r>
            <w:r w:rsidR="00DB23DC" w:rsidRPr="00DB23DC">
              <w:rPr>
                <w:rFonts w:asciiTheme="minorHAnsi" w:hAnsiTheme="minorHAnsi" w:cstheme="minorHAnsi"/>
                <w:webHidden/>
              </w:rPr>
              <w:fldChar w:fldCharType="end"/>
            </w:r>
          </w:hyperlink>
        </w:p>
        <w:p w14:paraId="14D8CBF0" w14:textId="1FB7A53C" w:rsidR="00DB23DC" w:rsidRPr="00DB23DC" w:rsidRDefault="00000000">
          <w:pPr>
            <w:pStyle w:val="TOC1"/>
            <w:rPr>
              <w:rFonts w:asciiTheme="minorHAnsi" w:eastAsiaTheme="minorEastAsia" w:hAnsiTheme="minorHAnsi" w:cstheme="minorHAnsi"/>
              <w:kern w:val="2"/>
              <w14:ligatures w14:val="standardContextual"/>
            </w:rPr>
          </w:pPr>
          <w:hyperlink w:anchor="_Toc155341751" w:history="1">
            <w:r w:rsidR="00DB23DC" w:rsidRPr="00DB23DC">
              <w:rPr>
                <w:rStyle w:val="Hyperlink"/>
                <w:rFonts w:asciiTheme="minorHAnsi" w:hAnsiTheme="minorHAnsi" w:cstheme="minorHAnsi"/>
              </w:rPr>
              <w:t>Factor 3: Relevant Licensure/Oversight Compliance</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_Toc155341751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14</w:t>
            </w:r>
            <w:r w:rsidR="00DB23DC" w:rsidRPr="00DB23DC">
              <w:rPr>
                <w:rFonts w:asciiTheme="minorHAnsi" w:hAnsiTheme="minorHAnsi" w:cstheme="minorHAnsi"/>
                <w:webHidden/>
              </w:rPr>
              <w:fldChar w:fldCharType="end"/>
            </w:r>
          </w:hyperlink>
        </w:p>
        <w:p w14:paraId="5C1469BD" w14:textId="6CE3E622" w:rsidR="00DB23DC" w:rsidRPr="00DB23DC" w:rsidRDefault="00000000">
          <w:pPr>
            <w:pStyle w:val="TOC1"/>
            <w:rPr>
              <w:rFonts w:asciiTheme="minorHAnsi" w:eastAsiaTheme="minorEastAsia" w:hAnsiTheme="minorHAnsi" w:cstheme="minorHAnsi"/>
              <w:kern w:val="2"/>
              <w14:ligatures w14:val="standardContextual"/>
            </w:rPr>
          </w:pPr>
          <w:hyperlink w:anchor="_Toc155341752" w:history="1">
            <w:r w:rsidR="00DB23DC" w:rsidRPr="00DB23DC">
              <w:rPr>
                <w:rStyle w:val="Hyperlink"/>
                <w:rFonts w:asciiTheme="minorHAnsi" w:hAnsiTheme="minorHAnsi" w:cstheme="minorHAnsi"/>
              </w:rPr>
              <w:t>Factor 4: Demonstration of Sufficient Funds as Supported by an Independent CPA Analysis</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_Toc155341752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14</w:t>
            </w:r>
            <w:r w:rsidR="00DB23DC" w:rsidRPr="00DB23DC">
              <w:rPr>
                <w:rFonts w:asciiTheme="minorHAnsi" w:hAnsiTheme="minorHAnsi" w:cstheme="minorHAnsi"/>
                <w:webHidden/>
              </w:rPr>
              <w:fldChar w:fldCharType="end"/>
            </w:r>
          </w:hyperlink>
        </w:p>
        <w:p w14:paraId="1629504E" w14:textId="6CF46EBE" w:rsidR="00DB23DC" w:rsidRPr="00DB23DC" w:rsidRDefault="00000000">
          <w:pPr>
            <w:pStyle w:val="TOC1"/>
            <w:rPr>
              <w:rFonts w:asciiTheme="minorHAnsi" w:eastAsiaTheme="minorEastAsia" w:hAnsiTheme="minorHAnsi" w:cstheme="minorHAnsi"/>
              <w:kern w:val="2"/>
              <w14:ligatures w14:val="standardContextual"/>
            </w:rPr>
          </w:pPr>
          <w:hyperlink w:anchor="_Toc155341753" w:history="1">
            <w:r w:rsidR="00DB23DC" w:rsidRPr="00DB23DC">
              <w:rPr>
                <w:rStyle w:val="Hyperlink"/>
                <w:rFonts w:asciiTheme="minorHAnsi" w:hAnsiTheme="minorHAnsi" w:cstheme="minorHAnsi"/>
              </w:rPr>
              <w:t>Factor 5: Assessment of the Proposed Project’s Relative Merit</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_Toc155341753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14</w:t>
            </w:r>
            <w:r w:rsidR="00DB23DC" w:rsidRPr="00DB23DC">
              <w:rPr>
                <w:rFonts w:asciiTheme="minorHAnsi" w:hAnsiTheme="minorHAnsi" w:cstheme="minorHAnsi"/>
                <w:webHidden/>
              </w:rPr>
              <w:fldChar w:fldCharType="end"/>
            </w:r>
          </w:hyperlink>
        </w:p>
        <w:p w14:paraId="49FA6F3E" w14:textId="64466039" w:rsidR="00DB23DC" w:rsidRPr="00DB23DC" w:rsidRDefault="00000000">
          <w:pPr>
            <w:pStyle w:val="TOC1"/>
            <w:rPr>
              <w:rFonts w:asciiTheme="minorHAnsi" w:eastAsiaTheme="minorEastAsia" w:hAnsiTheme="minorHAnsi" w:cstheme="minorHAnsi"/>
              <w:kern w:val="2"/>
              <w14:ligatures w14:val="standardContextual"/>
            </w:rPr>
          </w:pPr>
          <w:hyperlink w:anchor="_Toc155341754" w:history="1">
            <w:r w:rsidR="00DB23DC" w:rsidRPr="00DB23DC">
              <w:rPr>
                <w:rStyle w:val="Hyperlink"/>
                <w:rFonts w:asciiTheme="minorHAnsi" w:eastAsia="Times New Roman" w:hAnsiTheme="minorHAnsi" w:cstheme="minorHAnsi"/>
              </w:rPr>
              <w:t>Factor 6: Fulfillment of DPH Community-based Health Initiatives Guideline</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_Toc155341754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15</w:t>
            </w:r>
            <w:r w:rsidR="00DB23DC" w:rsidRPr="00DB23DC">
              <w:rPr>
                <w:rFonts w:asciiTheme="minorHAnsi" w:hAnsiTheme="minorHAnsi" w:cstheme="minorHAnsi"/>
                <w:webHidden/>
              </w:rPr>
              <w:fldChar w:fldCharType="end"/>
            </w:r>
          </w:hyperlink>
        </w:p>
        <w:p w14:paraId="278A6C20" w14:textId="5AEAAE0C" w:rsidR="00DB23DC" w:rsidRPr="00DB23DC" w:rsidRDefault="00000000">
          <w:pPr>
            <w:pStyle w:val="TOC1"/>
            <w:rPr>
              <w:rFonts w:asciiTheme="minorHAnsi" w:eastAsiaTheme="minorEastAsia" w:hAnsiTheme="minorHAnsi" w:cstheme="minorHAnsi"/>
              <w:kern w:val="2"/>
              <w14:ligatures w14:val="standardContextual"/>
            </w:rPr>
          </w:pPr>
          <w:hyperlink w:anchor="_Toc155341755" w:history="1">
            <w:r w:rsidR="00DB23DC" w:rsidRPr="00DB23DC">
              <w:rPr>
                <w:rStyle w:val="Hyperlink"/>
                <w:rFonts w:asciiTheme="minorHAnsi" w:hAnsiTheme="minorHAnsi" w:cstheme="minorHAnsi"/>
              </w:rPr>
              <w:t>Findings and Recommendations</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_Toc155341755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15</w:t>
            </w:r>
            <w:r w:rsidR="00DB23DC" w:rsidRPr="00DB23DC">
              <w:rPr>
                <w:rFonts w:asciiTheme="minorHAnsi" w:hAnsiTheme="minorHAnsi" w:cstheme="minorHAnsi"/>
                <w:webHidden/>
              </w:rPr>
              <w:fldChar w:fldCharType="end"/>
            </w:r>
          </w:hyperlink>
        </w:p>
        <w:p w14:paraId="0462CFDC" w14:textId="5326D472" w:rsidR="00DB23DC" w:rsidRPr="00DB23DC" w:rsidRDefault="00000000">
          <w:pPr>
            <w:pStyle w:val="TOC1"/>
            <w:rPr>
              <w:rFonts w:asciiTheme="minorHAnsi" w:eastAsiaTheme="minorEastAsia" w:hAnsiTheme="minorHAnsi" w:cstheme="minorHAnsi"/>
              <w:kern w:val="2"/>
              <w14:ligatures w14:val="standardContextual"/>
            </w:rPr>
          </w:pPr>
          <w:hyperlink w:anchor="_Toc155341756" w:history="1">
            <w:r w:rsidR="00DB23DC" w:rsidRPr="00DB23DC">
              <w:rPr>
                <w:rStyle w:val="Hyperlink"/>
                <w:rFonts w:asciiTheme="minorHAnsi" w:eastAsia="Times New Roman" w:hAnsiTheme="minorHAnsi" w:cstheme="minorHAnsi"/>
              </w:rPr>
              <w:t>Other Conditions</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_Toc155341756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15</w:t>
            </w:r>
            <w:r w:rsidR="00DB23DC" w:rsidRPr="00DB23DC">
              <w:rPr>
                <w:rFonts w:asciiTheme="minorHAnsi" w:hAnsiTheme="minorHAnsi" w:cstheme="minorHAnsi"/>
                <w:webHidden/>
              </w:rPr>
              <w:fldChar w:fldCharType="end"/>
            </w:r>
          </w:hyperlink>
        </w:p>
        <w:p w14:paraId="5DCCE24B" w14:textId="7AC5E184" w:rsidR="00DB23DC" w:rsidRPr="00DB23DC" w:rsidRDefault="00000000">
          <w:pPr>
            <w:pStyle w:val="TOC1"/>
            <w:rPr>
              <w:rFonts w:asciiTheme="minorHAnsi" w:eastAsiaTheme="minorEastAsia" w:hAnsiTheme="minorHAnsi" w:cstheme="minorHAnsi"/>
              <w:kern w:val="2"/>
              <w14:ligatures w14:val="standardContextual"/>
            </w:rPr>
          </w:pPr>
          <w:hyperlink w:anchor="_Toc155341757" w:history="1">
            <w:r w:rsidR="00DB23DC" w:rsidRPr="00DB23DC">
              <w:rPr>
                <w:rStyle w:val="Hyperlink"/>
                <w:rFonts w:asciiTheme="minorHAnsi" w:hAnsiTheme="minorHAnsi" w:cstheme="minorHAnsi"/>
              </w:rPr>
              <w:t>Appendix I: Measures for Annual Reporting</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_Toc155341757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16</w:t>
            </w:r>
            <w:r w:rsidR="00DB23DC" w:rsidRPr="00DB23DC">
              <w:rPr>
                <w:rFonts w:asciiTheme="minorHAnsi" w:hAnsiTheme="minorHAnsi" w:cstheme="minorHAnsi"/>
                <w:webHidden/>
              </w:rPr>
              <w:fldChar w:fldCharType="end"/>
            </w:r>
          </w:hyperlink>
        </w:p>
        <w:p w14:paraId="18123A01" w14:textId="0CD32424" w:rsidR="00DB23DC" w:rsidRPr="00DB23DC" w:rsidRDefault="00000000">
          <w:pPr>
            <w:pStyle w:val="TOC1"/>
            <w:rPr>
              <w:rFonts w:asciiTheme="minorHAnsi" w:eastAsiaTheme="minorEastAsia" w:hAnsiTheme="minorHAnsi" w:cstheme="minorHAnsi"/>
              <w:kern w:val="2"/>
              <w14:ligatures w14:val="standardContextual"/>
            </w:rPr>
          </w:pPr>
          <w:hyperlink w:anchor="_Toc155341758" w:history="1">
            <w:r w:rsidR="00DB23DC" w:rsidRPr="00DB23DC">
              <w:rPr>
                <w:rStyle w:val="Hyperlink"/>
                <w:rFonts w:asciiTheme="minorHAnsi" w:hAnsiTheme="minorHAnsi" w:cstheme="minorHAnsi"/>
              </w:rPr>
              <w:t>Appendix II: BILH Patient Panel Demographic Profile</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_Toc155341758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17</w:t>
            </w:r>
            <w:r w:rsidR="00DB23DC" w:rsidRPr="00DB23DC">
              <w:rPr>
                <w:rFonts w:asciiTheme="minorHAnsi" w:hAnsiTheme="minorHAnsi" w:cstheme="minorHAnsi"/>
                <w:webHidden/>
              </w:rPr>
              <w:fldChar w:fldCharType="end"/>
            </w:r>
          </w:hyperlink>
        </w:p>
        <w:p w14:paraId="0E47FB47" w14:textId="70D2D057" w:rsidR="00DB23DC" w:rsidRPr="00DB23DC" w:rsidRDefault="00000000">
          <w:pPr>
            <w:pStyle w:val="TOC1"/>
            <w:rPr>
              <w:rFonts w:asciiTheme="minorHAnsi" w:eastAsiaTheme="minorEastAsia" w:hAnsiTheme="minorHAnsi" w:cstheme="minorHAnsi"/>
              <w:kern w:val="2"/>
              <w14:ligatures w14:val="standardContextual"/>
            </w:rPr>
          </w:pPr>
          <w:hyperlink w:anchor="_Toc155341759" w:history="1">
            <w:r w:rsidR="00DB23DC" w:rsidRPr="00DB23DC">
              <w:rPr>
                <w:rStyle w:val="Hyperlink"/>
                <w:rFonts w:asciiTheme="minorHAnsi" w:hAnsiTheme="minorHAnsi" w:cstheme="minorHAnsi"/>
              </w:rPr>
              <w:t>Appendix III: Literature Review</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_Toc155341759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18</w:t>
            </w:r>
            <w:r w:rsidR="00DB23DC" w:rsidRPr="00DB23DC">
              <w:rPr>
                <w:rFonts w:asciiTheme="minorHAnsi" w:hAnsiTheme="minorHAnsi" w:cstheme="minorHAnsi"/>
                <w:webHidden/>
              </w:rPr>
              <w:fldChar w:fldCharType="end"/>
            </w:r>
          </w:hyperlink>
        </w:p>
        <w:p w14:paraId="7A7F8E22" w14:textId="34E2F9F6" w:rsidR="00DB23DC" w:rsidRPr="00DB23DC" w:rsidRDefault="00000000">
          <w:pPr>
            <w:pStyle w:val="TOC1"/>
            <w:rPr>
              <w:rFonts w:asciiTheme="minorHAnsi" w:eastAsiaTheme="minorEastAsia" w:hAnsiTheme="minorHAnsi" w:cstheme="minorHAnsi"/>
              <w:kern w:val="2"/>
              <w14:ligatures w14:val="standardContextual"/>
            </w:rPr>
          </w:pPr>
          <w:hyperlink w:anchor="_Toc155341760" w:history="1">
            <w:r w:rsidR="00DB23DC" w:rsidRPr="00DB23DC">
              <w:rPr>
                <w:rStyle w:val="Hyperlink"/>
                <w:rFonts w:asciiTheme="minorHAnsi" w:hAnsiTheme="minorHAnsi" w:cstheme="minorHAnsi"/>
                <w:iCs/>
              </w:rPr>
              <w:t>REFERENCES</w:t>
            </w:r>
            <w:r w:rsidR="00DB23DC" w:rsidRPr="00DB23DC">
              <w:rPr>
                <w:rFonts w:asciiTheme="minorHAnsi" w:hAnsiTheme="minorHAnsi" w:cstheme="minorHAnsi"/>
                <w:webHidden/>
              </w:rPr>
              <w:tab/>
            </w:r>
            <w:r w:rsidR="00DB23DC" w:rsidRPr="00DB23DC">
              <w:rPr>
                <w:rFonts w:asciiTheme="minorHAnsi" w:hAnsiTheme="minorHAnsi" w:cstheme="minorHAnsi"/>
                <w:webHidden/>
              </w:rPr>
              <w:fldChar w:fldCharType="begin"/>
            </w:r>
            <w:r w:rsidR="00DB23DC" w:rsidRPr="00DB23DC">
              <w:rPr>
                <w:rFonts w:asciiTheme="minorHAnsi" w:hAnsiTheme="minorHAnsi" w:cstheme="minorHAnsi"/>
                <w:webHidden/>
              </w:rPr>
              <w:instrText xml:space="preserve"> PAGEREF _Toc155341760 \h </w:instrText>
            </w:r>
            <w:r w:rsidR="00DB23DC" w:rsidRPr="00DB23DC">
              <w:rPr>
                <w:rFonts w:asciiTheme="minorHAnsi" w:hAnsiTheme="minorHAnsi" w:cstheme="minorHAnsi"/>
                <w:webHidden/>
              </w:rPr>
            </w:r>
            <w:r w:rsidR="00DB23DC" w:rsidRPr="00DB23DC">
              <w:rPr>
                <w:rFonts w:asciiTheme="minorHAnsi" w:hAnsiTheme="minorHAnsi" w:cstheme="minorHAnsi"/>
                <w:webHidden/>
              </w:rPr>
              <w:fldChar w:fldCharType="separate"/>
            </w:r>
            <w:r w:rsidR="00DB23DC" w:rsidRPr="00DB23DC">
              <w:rPr>
                <w:rFonts w:asciiTheme="minorHAnsi" w:hAnsiTheme="minorHAnsi" w:cstheme="minorHAnsi"/>
                <w:webHidden/>
              </w:rPr>
              <w:t>19</w:t>
            </w:r>
            <w:r w:rsidR="00DB23DC" w:rsidRPr="00DB23DC">
              <w:rPr>
                <w:rFonts w:asciiTheme="minorHAnsi" w:hAnsiTheme="minorHAnsi" w:cstheme="minorHAnsi"/>
                <w:webHidden/>
              </w:rPr>
              <w:fldChar w:fldCharType="end"/>
            </w:r>
          </w:hyperlink>
        </w:p>
        <w:p w14:paraId="0CA65F95" w14:textId="0A7CA92A" w:rsidR="00E8532F" w:rsidRPr="005667BA" w:rsidRDefault="00E8532F" w:rsidP="007A57C4">
          <w:pPr>
            <w:ind w:right="90"/>
            <w:rPr>
              <w:rFonts w:asciiTheme="minorHAnsi" w:hAnsiTheme="minorHAnsi" w:cstheme="minorHAnsi"/>
            </w:rPr>
          </w:pPr>
          <w:r w:rsidRPr="00DB23DC">
            <w:rPr>
              <w:rFonts w:asciiTheme="minorHAnsi" w:hAnsiTheme="minorHAnsi" w:cstheme="minorHAnsi"/>
              <w:bCs/>
              <w:noProof/>
              <w:sz w:val="22"/>
              <w:szCs w:val="22"/>
            </w:rPr>
            <w:fldChar w:fldCharType="end"/>
          </w:r>
        </w:p>
      </w:sdtContent>
    </w:sdt>
    <w:p w14:paraId="65AD7C71" w14:textId="667F85A1" w:rsidR="00AC5DD1" w:rsidRPr="005667BA" w:rsidRDefault="00F336DE" w:rsidP="00F336DE">
      <w:pPr>
        <w:pStyle w:val="Heading1"/>
        <w:tabs>
          <w:tab w:val="left" w:pos="8055"/>
        </w:tabs>
        <w:spacing w:line="240" w:lineRule="auto"/>
        <w:rPr>
          <w:rFonts w:asciiTheme="minorHAnsi" w:hAnsiTheme="minorHAnsi" w:cstheme="minorHAnsi"/>
          <w:sz w:val="24"/>
          <w:szCs w:val="24"/>
        </w:rPr>
      </w:pPr>
      <w:r w:rsidRPr="005667BA">
        <w:rPr>
          <w:rFonts w:asciiTheme="minorHAnsi" w:hAnsiTheme="minorHAnsi" w:cstheme="minorHAnsi"/>
          <w:sz w:val="24"/>
          <w:szCs w:val="24"/>
        </w:rPr>
        <w:tab/>
      </w:r>
      <w:r w:rsidR="006020C2" w:rsidRPr="005667BA">
        <w:rPr>
          <w:rFonts w:asciiTheme="minorHAnsi" w:hAnsiTheme="minorHAnsi" w:cstheme="minorHAnsi"/>
          <w:sz w:val="24"/>
          <w:szCs w:val="24"/>
        </w:rPr>
        <w:t xml:space="preserve"> </w:t>
      </w:r>
    </w:p>
    <w:p w14:paraId="4B8BE66C" w14:textId="77777777" w:rsidR="00AC5DD1" w:rsidRPr="005667BA" w:rsidRDefault="00AC5DD1" w:rsidP="007A57C4">
      <w:pPr>
        <w:pStyle w:val="Heading1"/>
        <w:spacing w:line="240" w:lineRule="auto"/>
        <w:rPr>
          <w:rFonts w:asciiTheme="minorHAnsi" w:hAnsiTheme="minorHAnsi" w:cstheme="minorHAnsi"/>
          <w:sz w:val="24"/>
          <w:szCs w:val="24"/>
          <w:highlight w:val="yellow"/>
        </w:rPr>
      </w:pPr>
    </w:p>
    <w:p w14:paraId="5113A23D" w14:textId="77777777" w:rsidR="00C173D5" w:rsidRPr="005667BA" w:rsidRDefault="00C173D5" w:rsidP="007A57C4">
      <w:pPr>
        <w:rPr>
          <w:rFonts w:asciiTheme="minorHAnsi" w:hAnsiTheme="minorHAnsi" w:cstheme="minorHAnsi"/>
          <w:highlight w:val="yellow"/>
        </w:rPr>
      </w:pPr>
    </w:p>
    <w:p w14:paraId="7943D24D" w14:textId="77777777" w:rsidR="00C173D5" w:rsidRPr="005667BA" w:rsidRDefault="00C173D5" w:rsidP="007A57C4">
      <w:pPr>
        <w:rPr>
          <w:rFonts w:asciiTheme="minorHAnsi" w:hAnsiTheme="minorHAnsi" w:cstheme="minorHAnsi"/>
          <w:highlight w:val="yellow"/>
        </w:rPr>
      </w:pPr>
    </w:p>
    <w:p w14:paraId="0DA9B556" w14:textId="4CEED6A9" w:rsidR="00F109EA" w:rsidRPr="005667BA" w:rsidRDefault="00F109EA" w:rsidP="007B6BF9">
      <w:pPr>
        <w:rPr>
          <w:rFonts w:asciiTheme="minorHAnsi" w:hAnsiTheme="minorHAnsi" w:cstheme="minorHAnsi"/>
          <w:highlight w:val="yellow"/>
        </w:rPr>
      </w:pPr>
    </w:p>
    <w:p w14:paraId="6682667E" w14:textId="77777777" w:rsidR="002344DA" w:rsidRPr="001C172B" w:rsidRDefault="002344DA" w:rsidP="001478F1">
      <w:pPr>
        <w:pStyle w:val="Heading1"/>
        <w:spacing w:line="240" w:lineRule="auto"/>
        <w:rPr>
          <w:rFonts w:asciiTheme="minorHAnsi" w:hAnsiTheme="minorHAnsi" w:cstheme="minorHAnsi"/>
        </w:rPr>
      </w:pPr>
      <w:bookmarkStart w:id="1" w:name="_Toc155341739"/>
      <w:bookmarkStart w:id="2" w:name="_Toc17474921"/>
      <w:bookmarkStart w:id="3" w:name="_Toc17151135"/>
      <w:bookmarkStart w:id="4" w:name="_Toc17731308"/>
      <w:bookmarkStart w:id="5" w:name="_Toc18420176"/>
      <w:bookmarkStart w:id="6" w:name="_Toc18922397"/>
      <w:bookmarkStart w:id="7" w:name="_Toc27567690"/>
      <w:bookmarkStart w:id="8" w:name="_Toc17151137"/>
      <w:bookmarkEnd w:id="0"/>
      <w:r w:rsidRPr="001C172B">
        <w:rPr>
          <w:rFonts w:asciiTheme="minorHAnsi" w:hAnsiTheme="minorHAnsi" w:cstheme="minorHAnsi"/>
        </w:rPr>
        <w:t>Applicant Background and Application Overview</w:t>
      </w:r>
      <w:bookmarkEnd w:id="1"/>
    </w:p>
    <w:p w14:paraId="34EC1501" w14:textId="77777777" w:rsidR="00863767" w:rsidRPr="00C25892" w:rsidRDefault="00863767" w:rsidP="00863767">
      <w:pPr>
        <w:rPr>
          <w:rFonts w:asciiTheme="minorHAnsi" w:hAnsiTheme="minorHAnsi" w:cstheme="minorHAnsi"/>
          <w:b/>
          <w:bCs/>
          <w:color w:val="42558C" w:themeColor="accent1" w:themeShade="BF"/>
          <w:highlight w:val="yellow"/>
        </w:rPr>
      </w:pPr>
      <w:bookmarkStart w:id="9" w:name="_Toc99993051"/>
      <w:bookmarkStart w:id="10" w:name="_Toc18922409"/>
      <w:bookmarkStart w:id="11" w:name="_Toc17151150"/>
      <w:bookmarkStart w:id="12" w:name="_Toc17322394"/>
      <w:bookmarkEnd w:id="2"/>
      <w:bookmarkEnd w:id="3"/>
      <w:bookmarkEnd w:id="4"/>
      <w:bookmarkEnd w:id="5"/>
      <w:bookmarkEnd w:id="6"/>
      <w:bookmarkEnd w:id="7"/>
      <w:bookmarkEnd w:id="8"/>
    </w:p>
    <w:p w14:paraId="5FEE9C1B" w14:textId="77777777" w:rsidR="00863767" w:rsidRPr="00A61EA5" w:rsidRDefault="00863767" w:rsidP="00863767">
      <w:pPr>
        <w:pStyle w:val="BodyText"/>
        <w:spacing w:after="0"/>
        <w:ind w:right="133"/>
        <w:rPr>
          <w:b/>
          <w:bCs/>
          <w:sz w:val="24"/>
          <w:szCs w:val="24"/>
        </w:rPr>
      </w:pPr>
      <w:r w:rsidRPr="00A61EA5">
        <w:rPr>
          <w:b/>
          <w:bCs/>
          <w:sz w:val="24"/>
          <w:szCs w:val="24"/>
        </w:rPr>
        <w:t>Beth Israel Lahey Health, Inc.</w:t>
      </w:r>
    </w:p>
    <w:p w14:paraId="5FE7A25B" w14:textId="77777777" w:rsidR="00863767" w:rsidRDefault="00863767" w:rsidP="00863767">
      <w:pPr>
        <w:pStyle w:val="BodyText"/>
        <w:spacing w:after="0" w:line="240" w:lineRule="auto"/>
        <w:ind w:right="130"/>
      </w:pPr>
      <w:r w:rsidRPr="00A54B19">
        <w:rPr>
          <w:sz w:val="24"/>
          <w:szCs w:val="24"/>
        </w:rPr>
        <w:t xml:space="preserve">The </w:t>
      </w:r>
      <w:r>
        <w:rPr>
          <w:sz w:val="24"/>
          <w:szCs w:val="24"/>
        </w:rPr>
        <w:t>Beth Israel Lahey Health, Inc (BILH or Applicant)</w:t>
      </w:r>
      <w:r w:rsidRPr="00A54B19">
        <w:rPr>
          <w:sz w:val="24"/>
          <w:szCs w:val="24"/>
        </w:rPr>
        <w:t>, is a Massachusetts, non-profit, tax-exempt corporation that oversees an integrated health care delivery system comprised of teaching and community hospitals, physician groups, behavioral health providers, post-acute care providers and other caregivers serving</w:t>
      </w:r>
      <w:r w:rsidRPr="00A54B19">
        <w:rPr>
          <w:spacing w:val="-3"/>
          <w:sz w:val="24"/>
          <w:szCs w:val="24"/>
        </w:rPr>
        <w:t xml:space="preserve"> </w:t>
      </w:r>
      <w:r w:rsidRPr="00A54B19">
        <w:rPr>
          <w:sz w:val="24"/>
          <w:szCs w:val="24"/>
        </w:rPr>
        <w:t>patients</w:t>
      </w:r>
      <w:r w:rsidRPr="00A54B19">
        <w:rPr>
          <w:spacing w:val="-5"/>
          <w:sz w:val="24"/>
          <w:szCs w:val="24"/>
        </w:rPr>
        <w:t xml:space="preserve"> </w:t>
      </w:r>
      <w:r w:rsidRPr="00A54B19">
        <w:rPr>
          <w:sz w:val="24"/>
          <w:szCs w:val="24"/>
        </w:rPr>
        <w:t>in</w:t>
      </w:r>
      <w:r w:rsidRPr="00A54B19">
        <w:rPr>
          <w:spacing w:val="-2"/>
          <w:sz w:val="24"/>
          <w:szCs w:val="24"/>
        </w:rPr>
        <w:t xml:space="preserve"> </w:t>
      </w:r>
      <w:r w:rsidRPr="00A54B19">
        <w:rPr>
          <w:sz w:val="24"/>
          <w:szCs w:val="24"/>
        </w:rPr>
        <w:t>Greater</w:t>
      </w:r>
      <w:r w:rsidRPr="00A54B19">
        <w:rPr>
          <w:spacing w:val="-2"/>
          <w:sz w:val="24"/>
          <w:szCs w:val="24"/>
        </w:rPr>
        <w:t xml:space="preserve"> </w:t>
      </w:r>
      <w:r w:rsidRPr="00A54B19">
        <w:rPr>
          <w:sz w:val="24"/>
          <w:szCs w:val="24"/>
        </w:rPr>
        <w:t>Boston</w:t>
      </w:r>
      <w:r w:rsidRPr="00A54B19">
        <w:rPr>
          <w:spacing w:val="-2"/>
          <w:sz w:val="24"/>
          <w:szCs w:val="24"/>
        </w:rPr>
        <w:t xml:space="preserve"> </w:t>
      </w:r>
      <w:r w:rsidRPr="00A54B19">
        <w:rPr>
          <w:sz w:val="24"/>
          <w:szCs w:val="24"/>
        </w:rPr>
        <w:t>and</w:t>
      </w:r>
      <w:r w:rsidRPr="00A54B19">
        <w:rPr>
          <w:spacing w:val="-4"/>
          <w:sz w:val="24"/>
          <w:szCs w:val="24"/>
        </w:rPr>
        <w:t xml:space="preserve"> </w:t>
      </w:r>
      <w:r w:rsidRPr="00A54B19">
        <w:rPr>
          <w:sz w:val="24"/>
          <w:szCs w:val="24"/>
        </w:rPr>
        <w:t>the</w:t>
      </w:r>
      <w:r w:rsidRPr="00A54B19">
        <w:rPr>
          <w:spacing w:val="-2"/>
          <w:sz w:val="24"/>
          <w:szCs w:val="24"/>
        </w:rPr>
        <w:t xml:space="preserve"> </w:t>
      </w:r>
      <w:r w:rsidRPr="00A54B19">
        <w:rPr>
          <w:sz w:val="24"/>
          <w:szCs w:val="24"/>
        </w:rPr>
        <w:t>surrounding</w:t>
      </w:r>
      <w:r w:rsidRPr="00A54B19">
        <w:rPr>
          <w:spacing w:val="-5"/>
          <w:sz w:val="24"/>
          <w:szCs w:val="24"/>
        </w:rPr>
        <w:t xml:space="preserve"> </w:t>
      </w:r>
      <w:r w:rsidRPr="00A54B19">
        <w:rPr>
          <w:sz w:val="24"/>
          <w:szCs w:val="24"/>
        </w:rPr>
        <w:t>communities</w:t>
      </w:r>
      <w:r w:rsidRPr="00A54B19">
        <w:rPr>
          <w:spacing w:val="-3"/>
          <w:sz w:val="24"/>
          <w:szCs w:val="24"/>
        </w:rPr>
        <w:t xml:space="preserve"> </w:t>
      </w:r>
      <w:r w:rsidRPr="00A54B19">
        <w:rPr>
          <w:sz w:val="24"/>
          <w:szCs w:val="24"/>
        </w:rPr>
        <w:t>in</w:t>
      </w:r>
      <w:r w:rsidRPr="00A54B19">
        <w:rPr>
          <w:spacing w:val="-4"/>
          <w:sz w:val="24"/>
          <w:szCs w:val="24"/>
        </w:rPr>
        <w:t xml:space="preserve"> </w:t>
      </w:r>
      <w:r w:rsidRPr="00A54B19">
        <w:rPr>
          <w:sz w:val="24"/>
          <w:szCs w:val="24"/>
        </w:rPr>
        <w:t>Eastern</w:t>
      </w:r>
      <w:r w:rsidRPr="00A54B19">
        <w:rPr>
          <w:spacing w:val="-4"/>
          <w:sz w:val="24"/>
          <w:szCs w:val="24"/>
        </w:rPr>
        <w:t xml:space="preserve"> </w:t>
      </w:r>
      <w:r w:rsidRPr="00A54B19">
        <w:rPr>
          <w:sz w:val="24"/>
          <w:szCs w:val="24"/>
        </w:rPr>
        <w:t>Massachusetts and South Eastern New Hampshire</w:t>
      </w:r>
      <w:r>
        <w:t>.</w:t>
      </w:r>
      <w:r>
        <w:rPr>
          <w:rStyle w:val="FootnoteReference"/>
        </w:rPr>
        <w:footnoteReference w:id="2"/>
      </w:r>
      <w:r>
        <w:t xml:space="preserve"> </w:t>
      </w:r>
    </w:p>
    <w:p w14:paraId="544C6223" w14:textId="77777777" w:rsidR="00863767" w:rsidRDefault="00863767" w:rsidP="001F7365">
      <w:pPr>
        <w:pStyle w:val="BodyText"/>
        <w:spacing w:before="1" w:line="240" w:lineRule="auto"/>
      </w:pPr>
    </w:p>
    <w:p w14:paraId="115DB3D5" w14:textId="77777777" w:rsidR="00863767" w:rsidRPr="00A54B19" w:rsidRDefault="00863767" w:rsidP="001F7365">
      <w:pPr>
        <w:pStyle w:val="BodyText"/>
        <w:spacing w:line="240" w:lineRule="auto"/>
        <w:rPr>
          <w:sz w:val="24"/>
          <w:szCs w:val="24"/>
        </w:rPr>
      </w:pPr>
      <w:r w:rsidRPr="00DC509D">
        <w:rPr>
          <w:sz w:val="24"/>
          <w:szCs w:val="24"/>
        </w:rPr>
        <w:t>Collectively</w:t>
      </w:r>
      <w:r w:rsidRPr="00DC509D">
        <w:rPr>
          <w:spacing w:val="-4"/>
          <w:sz w:val="24"/>
          <w:szCs w:val="24"/>
        </w:rPr>
        <w:t xml:space="preserve"> </w:t>
      </w:r>
      <w:r w:rsidRPr="00DC509D">
        <w:rPr>
          <w:sz w:val="24"/>
          <w:szCs w:val="24"/>
        </w:rPr>
        <w:t>known as</w:t>
      </w:r>
      <w:r w:rsidRPr="00DC509D">
        <w:rPr>
          <w:spacing w:val="-3"/>
          <w:sz w:val="24"/>
          <w:szCs w:val="24"/>
        </w:rPr>
        <w:t xml:space="preserve"> </w:t>
      </w:r>
      <w:r w:rsidRPr="00DC509D">
        <w:rPr>
          <w:sz w:val="24"/>
          <w:szCs w:val="24"/>
        </w:rPr>
        <w:t>“BILH</w:t>
      </w:r>
      <w:r w:rsidRPr="00DC509D">
        <w:rPr>
          <w:spacing w:val="-2"/>
          <w:sz w:val="24"/>
          <w:szCs w:val="24"/>
        </w:rPr>
        <w:t xml:space="preserve"> </w:t>
      </w:r>
      <w:r w:rsidRPr="00DC509D">
        <w:rPr>
          <w:sz w:val="24"/>
          <w:szCs w:val="24"/>
        </w:rPr>
        <w:t>Hospitals,”</w:t>
      </w:r>
      <w:r w:rsidRPr="00DC509D">
        <w:rPr>
          <w:spacing w:val="-3"/>
          <w:sz w:val="24"/>
          <w:szCs w:val="24"/>
        </w:rPr>
        <w:t xml:space="preserve"> </w:t>
      </w:r>
      <w:r w:rsidRPr="00DC509D">
        <w:rPr>
          <w:sz w:val="24"/>
          <w:szCs w:val="24"/>
        </w:rPr>
        <w:t>BILH’s</w:t>
      </w:r>
      <w:r w:rsidRPr="00DC509D">
        <w:rPr>
          <w:spacing w:val="-2"/>
          <w:sz w:val="24"/>
          <w:szCs w:val="24"/>
        </w:rPr>
        <w:t xml:space="preserve"> </w:t>
      </w:r>
      <w:r w:rsidRPr="00DC509D">
        <w:rPr>
          <w:sz w:val="24"/>
          <w:szCs w:val="24"/>
        </w:rPr>
        <w:t>member</w:t>
      </w:r>
      <w:r w:rsidRPr="00DC509D">
        <w:rPr>
          <w:spacing w:val="-3"/>
          <w:sz w:val="24"/>
          <w:szCs w:val="24"/>
        </w:rPr>
        <w:t xml:space="preserve"> </w:t>
      </w:r>
      <w:r w:rsidRPr="00DC509D">
        <w:rPr>
          <w:sz w:val="24"/>
          <w:szCs w:val="24"/>
        </w:rPr>
        <w:t>hospitals</w:t>
      </w:r>
      <w:r w:rsidRPr="00DC509D">
        <w:rPr>
          <w:spacing w:val="-1"/>
          <w:sz w:val="24"/>
          <w:szCs w:val="24"/>
        </w:rPr>
        <w:t xml:space="preserve"> </w:t>
      </w:r>
      <w:r w:rsidRPr="00DC509D">
        <w:rPr>
          <w:spacing w:val="-2"/>
          <w:sz w:val="24"/>
          <w:szCs w:val="24"/>
        </w:rPr>
        <w:t>include:</w:t>
      </w:r>
    </w:p>
    <w:p w14:paraId="52C8A10F" w14:textId="77777777" w:rsidR="00863767" w:rsidRDefault="00863767" w:rsidP="00863767">
      <w:pPr>
        <w:pStyle w:val="BodyText"/>
        <w:spacing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863767" w14:paraId="5A1883F9" w14:textId="77777777" w:rsidTr="00597F67">
        <w:trPr>
          <w:cantSplit/>
          <w:trHeight w:val="292"/>
          <w:tblHeader/>
        </w:trPr>
        <w:tc>
          <w:tcPr>
            <w:tcW w:w="4675" w:type="dxa"/>
            <w:shd w:val="clear" w:color="auto" w:fill="F1F1F1"/>
          </w:tcPr>
          <w:p w14:paraId="75D79C81" w14:textId="77777777" w:rsidR="00863767" w:rsidRPr="00DB23DC" w:rsidRDefault="00863767" w:rsidP="00F00FBF">
            <w:pPr>
              <w:pStyle w:val="TableParagraph"/>
              <w:spacing w:line="272" w:lineRule="exact"/>
              <w:ind w:left="1562"/>
              <w:rPr>
                <w:rFonts w:asciiTheme="minorHAnsi" w:hAnsiTheme="minorHAnsi" w:cstheme="minorHAnsi"/>
                <w:b/>
                <w:sz w:val="24"/>
              </w:rPr>
            </w:pPr>
            <w:r w:rsidRPr="00DB23DC">
              <w:rPr>
                <w:rFonts w:asciiTheme="minorHAnsi" w:hAnsiTheme="minorHAnsi" w:cstheme="minorHAnsi"/>
                <w:b/>
                <w:sz w:val="24"/>
              </w:rPr>
              <w:t xml:space="preserve">Acute </w:t>
            </w:r>
            <w:r w:rsidRPr="00DB23DC">
              <w:rPr>
                <w:rFonts w:asciiTheme="minorHAnsi" w:hAnsiTheme="minorHAnsi" w:cstheme="minorHAnsi"/>
                <w:b/>
                <w:spacing w:val="-2"/>
                <w:sz w:val="24"/>
              </w:rPr>
              <w:t>Hospital</w:t>
            </w:r>
            <w:r w:rsidRPr="00DB23DC">
              <w:rPr>
                <w:rStyle w:val="FootnoteReference"/>
                <w:rFonts w:asciiTheme="minorHAnsi" w:hAnsiTheme="minorHAnsi" w:cstheme="minorHAnsi"/>
                <w:b/>
                <w:spacing w:val="-2"/>
                <w:sz w:val="24"/>
              </w:rPr>
              <w:footnoteReference w:id="3"/>
            </w:r>
          </w:p>
        </w:tc>
        <w:tc>
          <w:tcPr>
            <w:tcW w:w="4675" w:type="dxa"/>
            <w:shd w:val="clear" w:color="auto" w:fill="F1F1F1"/>
          </w:tcPr>
          <w:p w14:paraId="6B9BFBD1" w14:textId="77777777" w:rsidR="00863767" w:rsidRPr="00DB23DC" w:rsidRDefault="00863767" w:rsidP="00F00FBF">
            <w:pPr>
              <w:pStyle w:val="TableParagraph"/>
              <w:spacing w:line="272" w:lineRule="exact"/>
              <w:ind w:left="996"/>
              <w:rPr>
                <w:rFonts w:asciiTheme="minorHAnsi" w:hAnsiTheme="minorHAnsi" w:cstheme="minorHAnsi"/>
                <w:b/>
                <w:sz w:val="24"/>
              </w:rPr>
            </w:pPr>
            <w:r w:rsidRPr="00DB23DC">
              <w:rPr>
                <w:rFonts w:asciiTheme="minorHAnsi" w:hAnsiTheme="minorHAnsi" w:cstheme="minorHAnsi"/>
                <w:b/>
                <w:sz w:val="24"/>
              </w:rPr>
              <w:t>Type</w:t>
            </w:r>
            <w:r w:rsidRPr="00DB23DC">
              <w:rPr>
                <w:rFonts w:asciiTheme="minorHAnsi" w:hAnsiTheme="minorHAnsi" w:cstheme="minorHAnsi"/>
                <w:b/>
                <w:spacing w:val="-2"/>
                <w:sz w:val="24"/>
              </w:rPr>
              <w:t xml:space="preserve"> </w:t>
            </w:r>
            <w:r w:rsidRPr="00DB23DC">
              <w:rPr>
                <w:rFonts w:asciiTheme="minorHAnsi" w:hAnsiTheme="minorHAnsi" w:cstheme="minorHAnsi"/>
                <w:b/>
                <w:sz w:val="24"/>
              </w:rPr>
              <w:t>(Per</w:t>
            </w:r>
            <w:r w:rsidRPr="00DB23DC">
              <w:rPr>
                <w:rFonts w:asciiTheme="minorHAnsi" w:hAnsiTheme="minorHAnsi" w:cstheme="minorHAnsi"/>
                <w:b/>
                <w:spacing w:val="1"/>
                <w:sz w:val="24"/>
              </w:rPr>
              <w:t xml:space="preserve"> </w:t>
            </w:r>
            <w:r w:rsidRPr="00DB23DC">
              <w:rPr>
                <w:rFonts w:asciiTheme="minorHAnsi" w:hAnsiTheme="minorHAnsi" w:cstheme="minorHAnsi"/>
                <w:b/>
                <w:sz w:val="24"/>
              </w:rPr>
              <w:t>CHIA</w:t>
            </w:r>
            <w:r w:rsidRPr="00DB23DC">
              <w:rPr>
                <w:rFonts w:asciiTheme="minorHAnsi" w:hAnsiTheme="minorHAnsi" w:cstheme="minorHAnsi"/>
                <w:b/>
                <w:spacing w:val="-2"/>
                <w:sz w:val="24"/>
              </w:rPr>
              <w:t xml:space="preserve"> Category </w:t>
            </w:r>
            <w:r w:rsidRPr="00DB23DC">
              <w:rPr>
                <w:rStyle w:val="EndnoteReference"/>
                <w:rFonts w:asciiTheme="minorHAnsi" w:hAnsiTheme="minorHAnsi" w:cstheme="minorHAnsi"/>
                <w:b/>
                <w:spacing w:val="-2"/>
                <w:sz w:val="24"/>
              </w:rPr>
              <w:endnoteReference w:id="2"/>
            </w:r>
            <w:r w:rsidRPr="00DB23DC">
              <w:rPr>
                <w:rStyle w:val="EndnoteReference"/>
                <w:rFonts w:asciiTheme="minorHAnsi" w:hAnsiTheme="minorHAnsi" w:cstheme="minorHAnsi"/>
                <w:sz w:val="24"/>
              </w:rPr>
              <w:t xml:space="preserve">, </w:t>
            </w:r>
            <w:r w:rsidRPr="00DB23DC">
              <w:rPr>
                <w:rStyle w:val="EndnoteReference"/>
                <w:rFonts w:asciiTheme="minorHAnsi" w:hAnsiTheme="minorHAnsi" w:cstheme="minorHAnsi"/>
                <w:b/>
                <w:spacing w:val="-2"/>
                <w:sz w:val="24"/>
              </w:rPr>
              <w:endnoteReference w:id="3"/>
            </w:r>
            <w:r w:rsidRPr="00DB23DC">
              <w:rPr>
                <w:rFonts w:asciiTheme="minorHAnsi" w:hAnsiTheme="minorHAnsi" w:cstheme="minorHAnsi"/>
                <w:b/>
                <w:sz w:val="24"/>
              </w:rPr>
              <w:t>)</w:t>
            </w:r>
          </w:p>
        </w:tc>
      </w:tr>
      <w:tr w:rsidR="00863767" w14:paraId="2356DAD8" w14:textId="77777777" w:rsidTr="00597F67">
        <w:trPr>
          <w:cantSplit/>
          <w:trHeight w:val="294"/>
        </w:trPr>
        <w:tc>
          <w:tcPr>
            <w:tcW w:w="4675" w:type="dxa"/>
          </w:tcPr>
          <w:p w14:paraId="798BDBD1" w14:textId="77777777" w:rsidR="00863767" w:rsidRPr="00DB23DC" w:rsidRDefault="00863767" w:rsidP="00F00FBF">
            <w:pPr>
              <w:pStyle w:val="TableParagraph"/>
              <w:spacing w:line="275" w:lineRule="exact"/>
              <w:ind w:left="107"/>
              <w:rPr>
                <w:rFonts w:asciiTheme="minorHAnsi" w:hAnsiTheme="minorHAnsi" w:cstheme="minorHAnsi"/>
                <w:sz w:val="24"/>
              </w:rPr>
            </w:pPr>
            <w:r w:rsidRPr="00DB23DC">
              <w:rPr>
                <w:rFonts w:asciiTheme="minorHAnsi" w:hAnsiTheme="minorHAnsi" w:cstheme="minorHAnsi"/>
                <w:sz w:val="24"/>
              </w:rPr>
              <w:t>Anna</w:t>
            </w:r>
            <w:r w:rsidRPr="00DB23DC">
              <w:rPr>
                <w:rFonts w:asciiTheme="minorHAnsi" w:hAnsiTheme="minorHAnsi" w:cstheme="minorHAnsi"/>
                <w:spacing w:val="-2"/>
                <w:sz w:val="24"/>
              </w:rPr>
              <w:t xml:space="preserve"> </w:t>
            </w:r>
            <w:r w:rsidRPr="00DB23DC">
              <w:rPr>
                <w:rFonts w:asciiTheme="minorHAnsi" w:hAnsiTheme="minorHAnsi" w:cstheme="minorHAnsi"/>
                <w:sz w:val="24"/>
              </w:rPr>
              <w:t>Jaques</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c>
          <w:tcPr>
            <w:tcW w:w="4675" w:type="dxa"/>
          </w:tcPr>
          <w:p w14:paraId="057CE481" w14:textId="77777777" w:rsidR="00863767" w:rsidRPr="00DB23DC" w:rsidRDefault="00863767" w:rsidP="00F00FBF">
            <w:pPr>
              <w:pStyle w:val="TableParagraph"/>
              <w:spacing w:line="275" w:lineRule="exact"/>
              <w:ind w:left="107"/>
              <w:rPr>
                <w:rFonts w:asciiTheme="minorHAnsi" w:hAnsiTheme="minorHAnsi" w:cstheme="minorHAnsi"/>
                <w:sz w:val="24"/>
              </w:rPr>
            </w:pPr>
            <w:r w:rsidRPr="00DB23DC">
              <w:rPr>
                <w:rFonts w:asciiTheme="minorHAnsi" w:hAnsiTheme="minorHAnsi" w:cstheme="minorHAnsi"/>
                <w:sz w:val="24"/>
              </w:rPr>
              <w:t>Community</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50C23D3E" w14:textId="77777777" w:rsidTr="00597F67">
        <w:trPr>
          <w:cantSplit/>
          <w:trHeight w:val="292"/>
        </w:trPr>
        <w:tc>
          <w:tcPr>
            <w:tcW w:w="4675" w:type="dxa"/>
          </w:tcPr>
          <w:p w14:paraId="561649DD"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Beth Israel</w:t>
            </w:r>
            <w:r w:rsidRPr="00DB23DC">
              <w:rPr>
                <w:rFonts w:asciiTheme="minorHAnsi" w:hAnsiTheme="minorHAnsi" w:cstheme="minorHAnsi"/>
                <w:spacing w:val="-4"/>
                <w:sz w:val="24"/>
              </w:rPr>
              <w:t xml:space="preserve"> </w:t>
            </w:r>
            <w:r w:rsidRPr="00DB23DC">
              <w:rPr>
                <w:rFonts w:asciiTheme="minorHAnsi" w:hAnsiTheme="minorHAnsi" w:cstheme="minorHAnsi"/>
                <w:sz w:val="24"/>
              </w:rPr>
              <w:t>Deaconess</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Hospital–Milton</w:t>
            </w:r>
          </w:p>
        </w:tc>
        <w:tc>
          <w:tcPr>
            <w:tcW w:w="4675" w:type="dxa"/>
          </w:tcPr>
          <w:p w14:paraId="301C825F"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Community</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61E939A7" w14:textId="77777777" w:rsidTr="00597F67">
        <w:trPr>
          <w:cantSplit/>
          <w:trHeight w:val="292"/>
        </w:trPr>
        <w:tc>
          <w:tcPr>
            <w:tcW w:w="4675" w:type="dxa"/>
          </w:tcPr>
          <w:p w14:paraId="46B45F58"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Beth Israel</w:t>
            </w:r>
            <w:r w:rsidRPr="00DB23DC">
              <w:rPr>
                <w:rFonts w:asciiTheme="minorHAnsi" w:hAnsiTheme="minorHAnsi" w:cstheme="minorHAnsi"/>
                <w:spacing w:val="-4"/>
                <w:sz w:val="24"/>
              </w:rPr>
              <w:t xml:space="preserve"> </w:t>
            </w:r>
            <w:r w:rsidRPr="00DB23DC">
              <w:rPr>
                <w:rFonts w:asciiTheme="minorHAnsi" w:hAnsiTheme="minorHAnsi" w:cstheme="minorHAnsi"/>
                <w:sz w:val="24"/>
              </w:rPr>
              <w:t>Deaconess</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Hospital–Needham</w:t>
            </w:r>
          </w:p>
        </w:tc>
        <w:tc>
          <w:tcPr>
            <w:tcW w:w="4675" w:type="dxa"/>
          </w:tcPr>
          <w:p w14:paraId="10BA9B6C"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Community</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4D2C99A6" w14:textId="77777777" w:rsidTr="00597F67">
        <w:trPr>
          <w:cantSplit/>
          <w:trHeight w:val="292"/>
        </w:trPr>
        <w:tc>
          <w:tcPr>
            <w:tcW w:w="4675" w:type="dxa"/>
          </w:tcPr>
          <w:p w14:paraId="4B559715"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Beth Israel</w:t>
            </w:r>
            <w:r w:rsidRPr="00DB23DC">
              <w:rPr>
                <w:rFonts w:asciiTheme="minorHAnsi" w:hAnsiTheme="minorHAnsi" w:cstheme="minorHAnsi"/>
                <w:spacing w:val="-4"/>
                <w:sz w:val="24"/>
              </w:rPr>
              <w:t xml:space="preserve"> </w:t>
            </w:r>
            <w:r w:rsidRPr="00DB23DC">
              <w:rPr>
                <w:rFonts w:asciiTheme="minorHAnsi" w:hAnsiTheme="minorHAnsi" w:cstheme="minorHAnsi"/>
                <w:sz w:val="24"/>
              </w:rPr>
              <w:t>Deaconess</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Hospital–Plymouth</w:t>
            </w:r>
          </w:p>
        </w:tc>
        <w:tc>
          <w:tcPr>
            <w:tcW w:w="4675" w:type="dxa"/>
          </w:tcPr>
          <w:p w14:paraId="2D91CB2F"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Community-High</w:t>
            </w:r>
            <w:r w:rsidRPr="00DB23DC">
              <w:rPr>
                <w:rFonts w:asciiTheme="minorHAnsi" w:hAnsiTheme="minorHAnsi" w:cstheme="minorHAnsi"/>
                <w:spacing w:val="-3"/>
                <w:sz w:val="24"/>
              </w:rPr>
              <w:t xml:space="preserve"> </w:t>
            </w:r>
            <w:r w:rsidRPr="00DB23DC">
              <w:rPr>
                <w:rFonts w:asciiTheme="minorHAnsi" w:hAnsiTheme="minorHAnsi" w:cstheme="minorHAnsi"/>
                <w:sz w:val="24"/>
              </w:rPr>
              <w:t>Public</w:t>
            </w:r>
            <w:r w:rsidRPr="00DB23DC">
              <w:rPr>
                <w:rFonts w:asciiTheme="minorHAnsi" w:hAnsiTheme="minorHAnsi" w:cstheme="minorHAnsi"/>
                <w:spacing w:val="-5"/>
                <w:sz w:val="24"/>
              </w:rPr>
              <w:t xml:space="preserve"> </w:t>
            </w:r>
            <w:r w:rsidRPr="00DB23DC">
              <w:rPr>
                <w:rFonts w:asciiTheme="minorHAnsi" w:hAnsiTheme="minorHAnsi" w:cstheme="minorHAnsi"/>
                <w:sz w:val="24"/>
              </w:rPr>
              <w:t>Payer</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06225365" w14:textId="77777777" w:rsidTr="00597F67">
        <w:trPr>
          <w:cantSplit/>
          <w:trHeight w:val="292"/>
        </w:trPr>
        <w:tc>
          <w:tcPr>
            <w:tcW w:w="4675" w:type="dxa"/>
          </w:tcPr>
          <w:p w14:paraId="430F4B66"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Beth Israel</w:t>
            </w:r>
            <w:r w:rsidRPr="00DB23DC">
              <w:rPr>
                <w:rFonts w:asciiTheme="minorHAnsi" w:hAnsiTheme="minorHAnsi" w:cstheme="minorHAnsi"/>
                <w:spacing w:val="-4"/>
                <w:sz w:val="24"/>
              </w:rPr>
              <w:t xml:space="preserve"> </w:t>
            </w:r>
            <w:r w:rsidRPr="00DB23DC">
              <w:rPr>
                <w:rFonts w:asciiTheme="minorHAnsi" w:hAnsiTheme="minorHAnsi" w:cstheme="minorHAnsi"/>
                <w:sz w:val="24"/>
              </w:rPr>
              <w:t>Deaconess</w:t>
            </w:r>
            <w:r w:rsidRPr="00DB23DC">
              <w:rPr>
                <w:rFonts w:asciiTheme="minorHAnsi" w:hAnsiTheme="minorHAnsi" w:cstheme="minorHAnsi"/>
                <w:spacing w:val="-4"/>
                <w:sz w:val="24"/>
              </w:rPr>
              <w:t xml:space="preserve"> </w:t>
            </w:r>
            <w:r w:rsidRPr="00DB23DC">
              <w:rPr>
                <w:rFonts w:asciiTheme="minorHAnsi" w:hAnsiTheme="minorHAnsi" w:cstheme="minorHAnsi"/>
                <w:sz w:val="24"/>
              </w:rPr>
              <w:t xml:space="preserve">Medical </w:t>
            </w:r>
            <w:r w:rsidRPr="00DB23DC">
              <w:rPr>
                <w:rFonts w:asciiTheme="minorHAnsi" w:hAnsiTheme="minorHAnsi" w:cstheme="minorHAnsi"/>
                <w:spacing w:val="-2"/>
                <w:sz w:val="24"/>
              </w:rPr>
              <w:t>Center</w:t>
            </w:r>
          </w:p>
        </w:tc>
        <w:tc>
          <w:tcPr>
            <w:tcW w:w="4675" w:type="dxa"/>
          </w:tcPr>
          <w:p w14:paraId="3CCC5694"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Academic</w:t>
            </w:r>
            <w:r w:rsidRPr="00DB23DC">
              <w:rPr>
                <w:rFonts w:asciiTheme="minorHAnsi" w:hAnsiTheme="minorHAnsi" w:cstheme="minorHAnsi"/>
                <w:spacing w:val="-1"/>
                <w:sz w:val="24"/>
              </w:rPr>
              <w:t xml:space="preserve"> </w:t>
            </w:r>
            <w:r w:rsidRPr="00DB23DC">
              <w:rPr>
                <w:rFonts w:asciiTheme="minorHAnsi" w:hAnsiTheme="minorHAnsi" w:cstheme="minorHAnsi"/>
                <w:sz w:val="24"/>
              </w:rPr>
              <w:t xml:space="preserve">Medical </w:t>
            </w:r>
            <w:r w:rsidRPr="00DB23DC">
              <w:rPr>
                <w:rFonts w:asciiTheme="minorHAnsi" w:hAnsiTheme="minorHAnsi" w:cstheme="minorHAnsi"/>
                <w:spacing w:val="-2"/>
                <w:sz w:val="24"/>
              </w:rPr>
              <w:t>Center</w:t>
            </w:r>
          </w:p>
        </w:tc>
      </w:tr>
      <w:tr w:rsidR="00863767" w14:paraId="3CD45503" w14:textId="77777777" w:rsidTr="00597F67">
        <w:trPr>
          <w:cantSplit/>
          <w:trHeight w:val="294"/>
        </w:trPr>
        <w:tc>
          <w:tcPr>
            <w:tcW w:w="4675" w:type="dxa"/>
          </w:tcPr>
          <w:p w14:paraId="6DE6052F" w14:textId="77777777" w:rsidR="00863767" w:rsidRPr="00DB23DC" w:rsidRDefault="00863767" w:rsidP="00F00FBF">
            <w:pPr>
              <w:pStyle w:val="TableParagraph"/>
              <w:spacing w:before="1" w:line="273" w:lineRule="exact"/>
              <w:ind w:left="107"/>
              <w:rPr>
                <w:rFonts w:asciiTheme="minorHAnsi" w:hAnsiTheme="minorHAnsi" w:cstheme="minorHAnsi"/>
                <w:sz w:val="24"/>
              </w:rPr>
            </w:pPr>
            <w:r w:rsidRPr="00DB23DC">
              <w:rPr>
                <w:rFonts w:asciiTheme="minorHAnsi" w:hAnsiTheme="minorHAnsi" w:cstheme="minorHAnsi"/>
                <w:sz w:val="24"/>
              </w:rPr>
              <w:t>Lahey</w:t>
            </w:r>
            <w:r w:rsidRPr="00DB23DC">
              <w:rPr>
                <w:rFonts w:asciiTheme="minorHAnsi" w:hAnsiTheme="minorHAnsi" w:cstheme="minorHAnsi"/>
                <w:spacing w:val="-1"/>
                <w:sz w:val="24"/>
              </w:rPr>
              <w:t xml:space="preserve"> </w:t>
            </w:r>
            <w:r w:rsidRPr="00DB23DC">
              <w:rPr>
                <w:rFonts w:asciiTheme="minorHAnsi" w:hAnsiTheme="minorHAnsi" w:cstheme="minorHAnsi"/>
                <w:sz w:val="24"/>
              </w:rPr>
              <w:t>Hospital</w:t>
            </w:r>
            <w:r w:rsidRPr="00DB23DC">
              <w:rPr>
                <w:rFonts w:asciiTheme="minorHAnsi" w:hAnsiTheme="minorHAnsi" w:cstheme="minorHAnsi"/>
                <w:spacing w:val="-1"/>
                <w:sz w:val="24"/>
              </w:rPr>
              <w:t xml:space="preserve"> </w:t>
            </w:r>
            <w:r w:rsidRPr="00DB23DC">
              <w:rPr>
                <w:rFonts w:asciiTheme="minorHAnsi" w:hAnsiTheme="minorHAnsi" w:cstheme="minorHAnsi"/>
                <w:sz w:val="24"/>
              </w:rPr>
              <w:t>&amp;</w:t>
            </w:r>
            <w:r w:rsidRPr="00DB23DC">
              <w:rPr>
                <w:rFonts w:asciiTheme="minorHAnsi" w:hAnsiTheme="minorHAnsi" w:cstheme="minorHAnsi"/>
                <w:spacing w:val="-2"/>
                <w:sz w:val="24"/>
              </w:rPr>
              <w:t xml:space="preserve"> </w:t>
            </w:r>
            <w:r w:rsidRPr="00DB23DC">
              <w:rPr>
                <w:rFonts w:asciiTheme="minorHAnsi" w:hAnsiTheme="minorHAnsi" w:cstheme="minorHAnsi"/>
                <w:sz w:val="24"/>
              </w:rPr>
              <w:t xml:space="preserve">Medical </w:t>
            </w:r>
            <w:r w:rsidRPr="00DB23DC">
              <w:rPr>
                <w:rFonts w:asciiTheme="minorHAnsi" w:hAnsiTheme="minorHAnsi" w:cstheme="minorHAnsi"/>
                <w:spacing w:val="-2"/>
                <w:sz w:val="24"/>
              </w:rPr>
              <w:t>Center</w:t>
            </w:r>
          </w:p>
        </w:tc>
        <w:tc>
          <w:tcPr>
            <w:tcW w:w="4675" w:type="dxa"/>
          </w:tcPr>
          <w:p w14:paraId="2C61BE75" w14:textId="77777777" w:rsidR="00863767" w:rsidRPr="00DB23DC" w:rsidRDefault="00863767" w:rsidP="00F00FBF">
            <w:pPr>
              <w:pStyle w:val="TableParagraph"/>
              <w:spacing w:before="1" w:line="273" w:lineRule="exact"/>
              <w:ind w:left="107"/>
              <w:rPr>
                <w:rFonts w:asciiTheme="minorHAnsi" w:hAnsiTheme="minorHAnsi" w:cstheme="minorHAnsi"/>
                <w:sz w:val="24"/>
              </w:rPr>
            </w:pPr>
            <w:r w:rsidRPr="00DB23DC">
              <w:rPr>
                <w:rFonts w:asciiTheme="minorHAnsi" w:hAnsiTheme="minorHAnsi" w:cstheme="minorHAnsi"/>
                <w:sz w:val="24"/>
              </w:rPr>
              <w:t>Teaching</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45773101" w14:textId="77777777" w:rsidTr="00597F67">
        <w:trPr>
          <w:cantSplit/>
          <w:trHeight w:val="292"/>
        </w:trPr>
        <w:tc>
          <w:tcPr>
            <w:tcW w:w="4675" w:type="dxa"/>
          </w:tcPr>
          <w:p w14:paraId="38CE2B02"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Mount</w:t>
            </w:r>
            <w:r w:rsidRPr="00DB23DC">
              <w:rPr>
                <w:rFonts w:asciiTheme="minorHAnsi" w:hAnsiTheme="minorHAnsi" w:cstheme="minorHAnsi"/>
                <w:spacing w:val="-3"/>
                <w:sz w:val="24"/>
              </w:rPr>
              <w:t xml:space="preserve"> </w:t>
            </w:r>
            <w:r w:rsidRPr="00DB23DC">
              <w:rPr>
                <w:rFonts w:asciiTheme="minorHAnsi" w:hAnsiTheme="minorHAnsi" w:cstheme="minorHAnsi"/>
                <w:sz w:val="24"/>
              </w:rPr>
              <w:t>Auburn</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c>
          <w:tcPr>
            <w:tcW w:w="4675" w:type="dxa"/>
          </w:tcPr>
          <w:p w14:paraId="5854BA2D"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Teaching</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7C2710FC" w14:textId="77777777" w:rsidTr="00597F67">
        <w:trPr>
          <w:cantSplit/>
          <w:trHeight w:val="292"/>
        </w:trPr>
        <w:tc>
          <w:tcPr>
            <w:tcW w:w="4675" w:type="dxa"/>
          </w:tcPr>
          <w:p w14:paraId="089FD958"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New</w:t>
            </w:r>
            <w:r w:rsidRPr="00DB23DC">
              <w:rPr>
                <w:rFonts w:asciiTheme="minorHAnsi" w:hAnsiTheme="minorHAnsi" w:cstheme="minorHAnsi"/>
                <w:spacing w:val="-2"/>
                <w:sz w:val="24"/>
              </w:rPr>
              <w:t xml:space="preserve"> </w:t>
            </w:r>
            <w:r w:rsidRPr="00DB23DC">
              <w:rPr>
                <w:rFonts w:asciiTheme="minorHAnsi" w:hAnsiTheme="minorHAnsi" w:cstheme="minorHAnsi"/>
                <w:sz w:val="24"/>
              </w:rPr>
              <w:t>England</w:t>
            </w:r>
            <w:r w:rsidRPr="00DB23DC">
              <w:rPr>
                <w:rFonts w:asciiTheme="minorHAnsi" w:hAnsiTheme="minorHAnsi" w:cstheme="minorHAnsi"/>
                <w:spacing w:val="-2"/>
                <w:sz w:val="24"/>
              </w:rPr>
              <w:t xml:space="preserve"> </w:t>
            </w:r>
            <w:r w:rsidRPr="00DB23DC">
              <w:rPr>
                <w:rFonts w:asciiTheme="minorHAnsi" w:hAnsiTheme="minorHAnsi" w:cstheme="minorHAnsi"/>
                <w:sz w:val="24"/>
              </w:rPr>
              <w:t>Baptist</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c>
          <w:tcPr>
            <w:tcW w:w="4675" w:type="dxa"/>
          </w:tcPr>
          <w:p w14:paraId="7761C09C"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Specialty</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r w:rsidR="00863767" w14:paraId="2056BEC1" w14:textId="77777777" w:rsidTr="00597F67">
        <w:trPr>
          <w:cantSplit/>
          <w:trHeight w:val="292"/>
        </w:trPr>
        <w:tc>
          <w:tcPr>
            <w:tcW w:w="4675" w:type="dxa"/>
          </w:tcPr>
          <w:p w14:paraId="01C39E8B"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Northeast</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c>
          <w:tcPr>
            <w:tcW w:w="4675" w:type="dxa"/>
          </w:tcPr>
          <w:p w14:paraId="48A5EBE0" w14:textId="77777777" w:rsidR="00863767" w:rsidRPr="00DB23DC" w:rsidRDefault="00863767" w:rsidP="00F00FBF">
            <w:pPr>
              <w:pStyle w:val="TableParagraph"/>
              <w:spacing w:line="272" w:lineRule="exact"/>
              <w:ind w:left="107"/>
              <w:rPr>
                <w:rFonts w:asciiTheme="minorHAnsi" w:hAnsiTheme="minorHAnsi" w:cstheme="minorHAnsi"/>
                <w:sz w:val="24"/>
              </w:rPr>
            </w:pPr>
            <w:r w:rsidRPr="00DB23DC">
              <w:rPr>
                <w:rFonts w:asciiTheme="minorHAnsi" w:hAnsiTheme="minorHAnsi" w:cstheme="minorHAnsi"/>
                <w:sz w:val="24"/>
              </w:rPr>
              <w:t>Community-High</w:t>
            </w:r>
            <w:r w:rsidRPr="00DB23DC">
              <w:rPr>
                <w:rFonts w:asciiTheme="minorHAnsi" w:hAnsiTheme="minorHAnsi" w:cstheme="minorHAnsi"/>
                <w:spacing w:val="-4"/>
                <w:sz w:val="24"/>
              </w:rPr>
              <w:t xml:space="preserve"> </w:t>
            </w:r>
            <w:r w:rsidRPr="00DB23DC">
              <w:rPr>
                <w:rFonts w:asciiTheme="minorHAnsi" w:hAnsiTheme="minorHAnsi" w:cstheme="minorHAnsi"/>
                <w:sz w:val="24"/>
              </w:rPr>
              <w:t>Public</w:t>
            </w:r>
            <w:r w:rsidRPr="00DB23DC">
              <w:rPr>
                <w:rFonts w:asciiTheme="minorHAnsi" w:hAnsiTheme="minorHAnsi" w:cstheme="minorHAnsi"/>
                <w:spacing w:val="-5"/>
                <w:sz w:val="24"/>
              </w:rPr>
              <w:t xml:space="preserve"> </w:t>
            </w:r>
            <w:r w:rsidRPr="00DB23DC">
              <w:rPr>
                <w:rFonts w:asciiTheme="minorHAnsi" w:hAnsiTheme="minorHAnsi" w:cstheme="minorHAnsi"/>
                <w:spacing w:val="-2"/>
                <w:sz w:val="24"/>
              </w:rPr>
              <w:t>Payer</w:t>
            </w:r>
          </w:p>
        </w:tc>
      </w:tr>
      <w:tr w:rsidR="00863767" w14:paraId="4B043416" w14:textId="77777777" w:rsidTr="00597F67">
        <w:trPr>
          <w:cantSplit/>
          <w:trHeight w:val="294"/>
        </w:trPr>
        <w:tc>
          <w:tcPr>
            <w:tcW w:w="4675" w:type="dxa"/>
          </w:tcPr>
          <w:p w14:paraId="3AE0BC71" w14:textId="77777777" w:rsidR="00863767" w:rsidRPr="00DB23DC" w:rsidRDefault="00863767" w:rsidP="00F00FBF">
            <w:pPr>
              <w:pStyle w:val="TableParagraph"/>
              <w:spacing w:before="1" w:line="273" w:lineRule="exact"/>
              <w:ind w:left="107"/>
              <w:rPr>
                <w:rFonts w:asciiTheme="minorHAnsi" w:hAnsiTheme="minorHAnsi" w:cstheme="minorHAnsi"/>
                <w:sz w:val="24"/>
              </w:rPr>
            </w:pPr>
            <w:r w:rsidRPr="00DB23DC">
              <w:rPr>
                <w:rFonts w:asciiTheme="minorHAnsi" w:hAnsiTheme="minorHAnsi" w:cstheme="minorHAnsi"/>
                <w:sz w:val="24"/>
              </w:rPr>
              <w:t>Winchester</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c>
          <w:tcPr>
            <w:tcW w:w="4675" w:type="dxa"/>
          </w:tcPr>
          <w:p w14:paraId="5AAA1C15" w14:textId="77777777" w:rsidR="00863767" w:rsidRPr="00DB23DC" w:rsidRDefault="00863767" w:rsidP="00F00FBF">
            <w:pPr>
              <w:pStyle w:val="TableParagraph"/>
              <w:spacing w:before="1" w:line="273" w:lineRule="exact"/>
              <w:ind w:left="107"/>
              <w:rPr>
                <w:rFonts w:asciiTheme="minorHAnsi" w:hAnsiTheme="minorHAnsi" w:cstheme="minorHAnsi"/>
                <w:sz w:val="24"/>
              </w:rPr>
            </w:pPr>
            <w:r w:rsidRPr="00DB23DC">
              <w:rPr>
                <w:rFonts w:asciiTheme="minorHAnsi" w:hAnsiTheme="minorHAnsi" w:cstheme="minorHAnsi"/>
                <w:sz w:val="24"/>
              </w:rPr>
              <w:t>Community</w:t>
            </w:r>
            <w:r w:rsidRPr="00DB23DC">
              <w:rPr>
                <w:rFonts w:asciiTheme="minorHAnsi" w:hAnsiTheme="minorHAnsi" w:cstheme="minorHAnsi"/>
                <w:spacing w:val="-1"/>
                <w:sz w:val="24"/>
              </w:rPr>
              <w:t xml:space="preserve"> </w:t>
            </w:r>
            <w:r w:rsidRPr="00DB23DC">
              <w:rPr>
                <w:rFonts w:asciiTheme="minorHAnsi" w:hAnsiTheme="minorHAnsi" w:cstheme="minorHAnsi"/>
                <w:spacing w:val="-2"/>
                <w:sz w:val="24"/>
              </w:rPr>
              <w:t>Hospital</w:t>
            </w:r>
          </w:p>
        </w:tc>
      </w:tr>
    </w:tbl>
    <w:p w14:paraId="7B4EFD64" w14:textId="77777777" w:rsidR="00863767" w:rsidRDefault="00863767" w:rsidP="00863767">
      <w:pPr>
        <w:pStyle w:val="BodyText"/>
        <w:spacing w:before="4"/>
      </w:pPr>
    </w:p>
    <w:p w14:paraId="205BD785" w14:textId="77777777" w:rsidR="00863767" w:rsidRPr="000F5814" w:rsidRDefault="00863767" w:rsidP="00863767">
      <w:pPr>
        <w:pStyle w:val="BodyText"/>
        <w:spacing w:after="100" w:afterAutospacing="1" w:line="240" w:lineRule="auto"/>
        <w:ind w:right="130"/>
        <w:rPr>
          <w:sz w:val="24"/>
          <w:szCs w:val="24"/>
        </w:rPr>
      </w:pPr>
      <w:r w:rsidRPr="00A54B19">
        <w:rPr>
          <w:sz w:val="24"/>
          <w:szCs w:val="24"/>
        </w:rPr>
        <w:t>BILH operates Beth Israel Lahey Health Performance Network, LLC (BILHPN), a Massachusetts Health Policy Commission (HPC) certified Accountable Care Organization (ACO), which the Applicant states is a value-based physician and hospital network whose goal is to partner with other</w:t>
      </w:r>
      <w:r w:rsidRPr="00A54B19">
        <w:rPr>
          <w:spacing w:val="-3"/>
          <w:sz w:val="24"/>
          <w:szCs w:val="24"/>
        </w:rPr>
        <w:t xml:space="preserve"> </w:t>
      </w:r>
      <w:r w:rsidRPr="00A54B19">
        <w:rPr>
          <w:sz w:val="24"/>
          <w:szCs w:val="24"/>
        </w:rPr>
        <w:t>community</w:t>
      </w:r>
      <w:r w:rsidRPr="00A54B19">
        <w:rPr>
          <w:spacing w:val="-3"/>
          <w:sz w:val="24"/>
          <w:szCs w:val="24"/>
        </w:rPr>
        <w:t xml:space="preserve"> </w:t>
      </w:r>
      <w:r w:rsidRPr="00A54B19">
        <w:rPr>
          <w:sz w:val="24"/>
          <w:szCs w:val="24"/>
        </w:rPr>
        <w:t>hospitals</w:t>
      </w:r>
      <w:r w:rsidRPr="00A54B19">
        <w:rPr>
          <w:spacing w:val="-3"/>
          <w:sz w:val="24"/>
          <w:szCs w:val="24"/>
        </w:rPr>
        <w:t xml:space="preserve"> </w:t>
      </w:r>
      <w:r w:rsidRPr="00A54B19">
        <w:rPr>
          <w:sz w:val="24"/>
          <w:szCs w:val="24"/>
        </w:rPr>
        <w:t>and</w:t>
      </w:r>
      <w:r w:rsidRPr="00A54B19">
        <w:rPr>
          <w:spacing w:val="-4"/>
          <w:sz w:val="24"/>
          <w:szCs w:val="24"/>
        </w:rPr>
        <w:t xml:space="preserve"> </w:t>
      </w:r>
      <w:r w:rsidRPr="00A54B19">
        <w:rPr>
          <w:sz w:val="24"/>
          <w:szCs w:val="24"/>
        </w:rPr>
        <w:t>providers</w:t>
      </w:r>
      <w:r w:rsidRPr="00A54B19">
        <w:rPr>
          <w:spacing w:val="-5"/>
          <w:sz w:val="24"/>
          <w:szCs w:val="24"/>
        </w:rPr>
        <w:t xml:space="preserve"> </w:t>
      </w:r>
      <w:r w:rsidRPr="00A54B19">
        <w:rPr>
          <w:sz w:val="24"/>
          <w:szCs w:val="24"/>
        </w:rPr>
        <w:t>throughout</w:t>
      </w:r>
      <w:r w:rsidRPr="00A54B19">
        <w:rPr>
          <w:spacing w:val="-2"/>
          <w:sz w:val="24"/>
          <w:szCs w:val="24"/>
        </w:rPr>
        <w:t xml:space="preserve"> </w:t>
      </w:r>
      <w:r w:rsidRPr="00A54B19">
        <w:rPr>
          <w:sz w:val="24"/>
          <w:szCs w:val="24"/>
        </w:rPr>
        <w:t>Eastern</w:t>
      </w:r>
      <w:r w:rsidRPr="00A54B19">
        <w:rPr>
          <w:spacing w:val="-3"/>
          <w:sz w:val="24"/>
          <w:szCs w:val="24"/>
        </w:rPr>
        <w:t xml:space="preserve"> </w:t>
      </w:r>
      <w:r w:rsidRPr="00A54B19">
        <w:rPr>
          <w:sz w:val="24"/>
          <w:szCs w:val="24"/>
        </w:rPr>
        <w:t>Massachusetts</w:t>
      </w:r>
      <w:r w:rsidRPr="00A54B19">
        <w:rPr>
          <w:spacing w:val="-4"/>
          <w:sz w:val="24"/>
          <w:szCs w:val="24"/>
        </w:rPr>
        <w:t xml:space="preserve"> </w:t>
      </w:r>
      <w:r w:rsidRPr="00A54B19">
        <w:rPr>
          <w:sz w:val="24"/>
          <w:szCs w:val="24"/>
        </w:rPr>
        <w:t>to</w:t>
      </w:r>
      <w:r w:rsidRPr="00A54B19">
        <w:rPr>
          <w:spacing w:val="-4"/>
          <w:sz w:val="24"/>
          <w:szCs w:val="24"/>
        </w:rPr>
        <w:t xml:space="preserve"> </w:t>
      </w:r>
      <w:r w:rsidRPr="00A54B19">
        <w:rPr>
          <w:sz w:val="24"/>
          <w:szCs w:val="24"/>
        </w:rPr>
        <w:t>improve</w:t>
      </w:r>
      <w:r w:rsidRPr="00A54B19">
        <w:rPr>
          <w:spacing w:val="-4"/>
          <w:sz w:val="24"/>
          <w:szCs w:val="24"/>
        </w:rPr>
        <w:t xml:space="preserve"> </w:t>
      </w:r>
      <w:r w:rsidRPr="00A54B19">
        <w:rPr>
          <w:sz w:val="24"/>
          <w:szCs w:val="24"/>
        </w:rPr>
        <w:t>quality of care while managing medical costs.</w:t>
      </w:r>
    </w:p>
    <w:p w14:paraId="7E67DC42" w14:textId="77777777" w:rsidR="00863767" w:rsidRPr="00A61EA5" w:rsidRDefault="00863767" w:rsidP="00863767">
      <w:pPr>
        <w:pStyle w:val="BodyText"/>
        <w:spacing w:after="0"/>
        <w:ind w:right="133"/>
        <w:rPr>
          <w:b/>
          <w:bCs/>
          <w:sz w:val="24"/>
          <w:szCs w:val="24"/>
        </w:rPr>
      </w:pPr>
      <w:r w:rsidRPr="00A61EA5">
        <w:rPr>
          <w:b/>
          <w:bCs/>
          <w:sz w:val="24"/>
          <w:szCs w:val="24"/>
        </w:rPr>
        <w:t xml:space="preserve">Beth Israel Deaconess Hospital </w:t>
      </w:r>
      <w:r>
        <w:rPr>
          <w:b/>
          <w:bCs/>
          <w:sz w:val="24"/>
          <w:szCs w:val="24"/>
        </w:rPr>
        <w:t>–</w:t>
      </w:r>
      <w:r w:rsidRPr="00A61EA5">
        <w:rPr>
          <w:b/>
          <w:bCs/>
          <w:sz w:val="24"/>
          <w:szCs w:val="24"/>
        </w:rPr>
        <w:t xml:space="preserve"> Plymouth</w:t>
      </w:r>
      <w:r>
        <w:rPr>
          <w:b/>
          <w:bCs/>
          <w:sz w:val="24"/>
          <w:szCs w:val="24"/>
        </w:rPr>
        <w:t xml:space="preserve"> </w:t>
      </w:r>
    </w:p>
    <w:p w14:paraId="7179D319" w14:textId="0A21570A" w:rsidR="00863767" w:rsidRPr="00DB10E7" w:rsidRDefault="00863767" w:rsidP="00863767">
      <w:pPr>
        <w:rPr>
          <w:rFonts w:asciiTheme="minorHAnsi" w:hAnsiTheme="minorHAnsi" w:cstheme="minorHAnsi"/>
          <w:kern w:val="2"/>
        </w:rPr>
      </w:pPr>
      <w:r w:rsidRPr="00DB10E7">
        <w:rPr>
          <w:rFonts w:asciiTheme="minorHAnsi" w:hAnsiTheme="minorHAnsi" w:cstheme="minorHAnsi"/>
          <w:kern w:val="2"/>
        </w:rPr>
        <w:t>Beth Israel Deaconess Hospital-Plymouth (“BID-P” or “Hospital”)</w:t>
      </w:r>
      <w:r w:rsidRPr="00DB10E7">
        <w:rPr>
          <w:rFonts w:asciiTheme="minorHAnsi" w:hAnsiTheme="minorHAnsi" w:cstheme="minorHAnsi"/>
        </w:rPr>
        <w:t>,</w:t>
      </w:r>
      <w:r w:rsidRPr="00DB10E7">
        <w:rPr>
          <w:rFonts w:asciiTheme="minorHAnsi" w:hAnsiTheme="minorHAnsi" w:cstheme="minorHAnsi"/>
          <w:color w:val="000000" w:themeColor="text1"/>
          <w:kern w:val="2"/>
        </w:rPr>
        <w:t xml:space="preserve"> </w:t>
      </w:r>
      <w:r w:rsidRPr="00DB10E7">
        <w:rPr>
          <w:rFonts w:asciiTheme="minorHAnsi" w:hAnsiTheme="minorHAnsi" w:cstheme="minorHAnsi"/>
          <w:kern w:val="2"/>
        </w:rPr>
        <w:t xml:space="preserve">is a 170-bed acute care hospital serving the communities of </w:t>
      </w:r>
      <w:r w:rsidRPr="00DB10E7">
        <w:rPr>
          <w:rFonts w:asciiTheme="minorHAnsi" w:hAnsiTheme="minorHAnsi" w:cstheme="minorHAnsi"/>
        </w:rPr>
        <w:t>Plymouth, Carver, Kingston, Middleboro, Duxbury, Marshfield, Bourne, Pembroke, Sandwich, Halifax, and Plympton</w:t>
      </w:r>
      <w:r w:rsidRPr="00DB10E7">
        <w:rPr>
          <w:rFonts w:asciiTheme="minorHAnsi" w:hAnsiTheme="minorHAnsi" w:cstheme="minorHAnsi"/>
          <w:kern w:val="2"/>
        </w:rPr>
        <w:t>. The Hospital provides a full range of comprehensive community hospital services including primary and preventative care, emergency services, inpatient acute care, inpatient psychiatric services, and specialty services. The Hospital joined Beth Israel Deaconess in 2014.</w:t>
      </w:r>
    </w:p>
    <w:p w14:paraId="69A4617D" w14:textId="77777777" w:rsidR="00863767" w:rsidRPr="00A61EA5" w:rsidRDefault="00863767" w:rsidP="00863767">
      <w:pPr>
        <w:pStyle w:val="BodyText"/>
        <w:ind w:right="90"/>
        <w:rPr>
          <w:rFonts w:cstheme="minorHAnsi"/>
          <w:sz w:val="24"/>
          <w:szCs w:val="24"/>
          <w:highlight w:val="yellow"/>
          <w:u w:val="single"/>
        </w:rPr>
      </w:pPr>
    </w:p>
    <w:p w14:paraId="623CD88B" w14:textId="77777777" w:rsidR="00863767" w:rsidRPr="00DB10E7" w:rsidRDefault="00863767" w:rsidP="00863767">
      <w:pPr>
        <w:pStyle w:val="NoSpacing"/>
        <w:ind w:right="540"/>
        <w:contextualSpacing/>
        <w:rPr>
          <w:rFonts w:cstheme="minorHAnsi"/>
          <w:b/>
          <w:bCs/>
          <w:sz w:val="24"/>
          <w:szCs w:val="24"/>
        </w:rPr>
      </w:pPr>
      <w:r w:rsidRPr="00DB10E7">
        <w:rPr>
          <w:rFonts w:cstheme="minorHAnsi"/>
          <w:b/>
          <w:bCs/>
          <w:sz w:val="24"/>
          <w:szCs w:val="24"/>
        </w:rPr>
        <w:t>Proposed Project</w:t>
      </w:r>
    </w:p>
    <w:p w14:paraId="721E7580" w14:textId="42B46F08" w:rsidR="00080085" w:rsidRPr="00863767" w:rsidRDefault="00863767" w:rsidP="00863767">
      <w:pPr>
        <w:rPr>
          <w:rFonts w:asciiTheme="minorHAnsi" w:hAnsiTheme="minorHAnsi" w:cstheme="minorHAnsi"/>
        </w:rPr>
      </w:pPr>
      <w:r w:rsidRPr="00E00F56">
        <w:rPr>
          <w:rFonts w:asciiTheme="minorHAnsi" w:hAnsiTheme="minorHAnsi" w:cstheme="minorHAnsi"/>
        </w:rPr>
        <w:t>The Proposed Project would</w:t>
      </w:r>
      <w:r w:rsidR="00A970D8">
        <w:rPr>
          <w:rFonts w:asciiTheme="minorHAnsi" w:hAnsiTheme="minorHAnsi" w:cstheme="minorHAnsi"/>
        </w:rPr>
        <w:t xml:space="preserve"> add a </w:t>
      </w:r>
      <w:r w:rsidR="00A970D8" w:rsidRPr="0050342D">
        <w:rPr>
          <w:rFonts w:asciiTheme="minorHAnsi" w:hAnsiTheme="minorHAnsi" w:cstheme="minorHAnsi"/>
          <w:kern w:val="2"/>
        </w:rPr>
        <w:t>second</w:t>
      </w:r>
      <w:r w:rsidR="0050342D" w:rsidRPr="0050342D">
        <w:rPr>
          <w:rFonts w:asciiTheme="minorHAnsi" w:hAnsiTheme="minorHAnsi" w:cstheme="minorHAnsi"/>
          <w:kern w:val="2"/>
        </w:rPr>
        <w:t xml:space="preserve"> L</w:t>
      </w:r>
      <w:r w:rsidRPr="00E00F56">
        <w:rPr>
          <w:rFonts w:asciiTheme="minorHAnsi" w:hAnsiTheme="minorHAnsi" w:cstheme="minorHAnsi"/>
          <w:kern w:val="2"/>
        </w:rPr>
        <w:t xml:space="preserve">INAC </w:t>
      </w:r>
      <w:r w:rsidR="00A970D8">
        <w:rPr>
          <w:rFonts w:asciiTheme="minorHAnsi" w:hAnsiTheme="minorHAnsi" w:cstheme="minorHAnsi"/>
          <w:kern w:val="2"/>
        </w:rPr>
        <w:t>unit by reactivating</w:t>
      </w:r>
      <w:r w:rsidR="00EE703E">
        <w:rPr>
          <w:rFonts w:asciiTheme="minorHAnsi" w:hAnsiTheme="minorHAnsi" w:cstheme="minorHAnsi"/>
          <w:kern w:val="2"/>
        </w:rPr>
        <w:t xml:space="preserve"> a</w:t>
      </w:r>
      <w:r w:rsidR="00A970D8">
        <w:rPr>
          <w:rFonts w:asciiTheme="minorHAnsi" w:hAnsiTheme="minorHAnsi" w:cstheme="minorHAnsi"/>
          <w:kern w:val="2"/>
        </w:rPr>
        <w:t xml:space="preserve"> </w:t>
      </w:r>
      <w:r w:rsidRPr="00E00F56">
        <w:rPr>
          <w:rFonts w:asciiTheme="minorHAnsi" w:hAnsiTheme="minorHAnsi" w:cstheme="minorHAnsi"/>
          <w:kern w:val="2"/>
        </w:rPr>
        <w:t xml:space="preserve">dormant </w:t>
      </w:r>
      <w:r w:rsidR="0050342D">
        <w:rPr>
          <w:rFonts w:asciiTheme="minorHAnsi" w:hAnsiTheme="minorHAnsi" w:cstheme="minorHAnsi"/>
          <w:kern w:val="2"/>
        </w:rPr>
        <w:t xml:space="preserve">machine </w:t>
      </w:r>
      <w:r w:rsidRPr="00E00F56">
        <w:rPr>
          <w:rFonts w:asciiTheme="minorHAnsi" w:hAnsiTheme="minorHAnsi" w:cstheme="minorHAnsi"/>
          <w:kern w:val="2"/>
        </w:rPr>
        <w:t>and would also include necessary renovations to the LINAC vault and control rooms to meet current DPH architectural standards</w:t>
      </w:r>
      <w:r w:rsidRPr="00E00F56">
        <w:rPr>
          <w:rFonts w:asciiTheme="minorHAnsi" w:hAnsiTheme="minorHAnsi" w:cstheme="minorHAnsi"/>
        </w:rPr>
        <w:t xml:space="preserve">. </w:t>
      </w:r>
      <w:r w:rsidR="003E2655" w:rsidRPr="00E00F56">
        <w:rPr>
          <w:rFonts w:asciiTheme="minorHAnsi" w:hAnsiTheme="minorHAnsi" w:cstheme="minorHAnsi"/>
        </w:rPr>
        <w:t>The dormant</w:t>
      </w:r>
      <w:r w:rsidR="003645F4">
        <w:rPr>
          <w:rFonts w:asciiTheme="minorHAnsi" w:hAnsiTheme="minorHAnsi" w:cstheme="minorHAnsi"/>
        </w:rPr>
        <w:t xml:space="preserve"> 2005 Varian</w:t>
      </w:r>
      <w:r w:rsidR="00BA3CFA">
        <w:rPr>
          <w:rFonts w:asciiTheme="minorHAnsi" w:hAnsiTheme="minorHAnsi" w:cstheme="minorHAnsi"/>
        </w:rPr>
        <w:t>2100EX</w:t>
      </w:r>
      <w:r w:rsidR="003E2655" w:rsidRPr="00E00F56">
        <w:rPr>
          <w:rFonts w:asciiTheme="minorHAnsi" w:hAnsiTheme="minorHAnsi" w:cstheme="minorHAnsi"/>
        </w:rPr>
        <w:t xml:space="preserve"> LINAC was replaced with a </w:t>
      </w:r>
      <w:r w:rsidR="00166E4E">
        <w:rPr>
          <w:rFonts w:asciiTheme="minorHAnsi" w:hAnsiTheme="minorHAnsi" w:cstheme="minorHAnsi"/>
        </w:rPr>
        <w:t>Varian TrueBeam LINAC</w:t>
      </w:r>
      <w:r w:rsidR="003E2655" w:rsidRPr="00E00F56">
        <w:rPr>
          <w:rFonts w:asciiTheme="minorHAnsi" w:hAnsiTheme="minorHAnsi" w:cstheme="minorHAnsi"/>
        </w:rPr>
        <w:t xml:space="preserve"> </w:t>
      </w:r>
      <w:r w:rsidR="003E2655">
        <w:rPr>
          <w:rFonts w:asciiTheme="minorHAnsi" w:hAnsiTheme="minorHAnsi" w:cstheme="minorHAnsi"/>
        </w:rPr>
        <w:t xml:space="preserve">(currently in operation) </w:t>
      </w:r>
      <w:r w:rsidR="003E2655" w:rsidRPr="00E00F56">
        <w:rPr>
          <w:rFonts w:asciiTheme="minorHAnsi" w:hAnsiTheme="minorHAnsi" w:cstheme="minorHAnsi"/>
        </w:rPr>
        <w:t xml:space="preserve">in early 2021. Because the hospital had DoN approval for </w:t>
      </w:r>
      <w:r w:rsidR="003E2655">
        <w:rPr>
          <w:rFonts w:asciiTheme="minorHAnsi" w:hAnsiTheme="minorHAnsi" w:cstheme="minorHAnsi"/>
        </w:rPr>
        <w:t xml:space="preserve">only one </w:t>
      </w:r>
      <w:r w:rsidR="003E2655" w:rsidRPr="00E00F56">
        <w:rPr>
          <w:rFonts w:asciiTheme="minorHAnsi" w:hAnsiTheme="minorHAnsi" w:cstheme="minorHAnsi"/>
        </w:rPr>
        <w:t>LINAC when the new model was put in use, the old machine was p</w:t>
      </w:r>
      <w:r w:rsidR="003E2655">
        <w:rPr>
          <w:rFonts w:asciiTheme="minorHAnsi" w:hAnsiTheme="minorHAnsi" w:cstheme="minorHAnsi"/>
        </w:rPr>
        <w:t>laced</w:t>
      </w:r>
      <w:r w:rsidR="003E2655" w:rsidRPr="00E00F56">
        <w:rPr>
          <w:rFonts w:asciiTheme="minorHAnsi" w:hAnsiTheme="minorHAnsi" w:cstheme="minorHAnsi"/>
        </w:rPr>
        <w:t xml:space="preserve"> in a dormant state despite being fully functional.</w:t>
      </w:r>
      <w:r w:rsidR="003E2655">
        <w:rPr>
          <w:rFonts w:asciiTheme="minorHAnsi" w:hAnsiTheme="minorHAnsi" w:cstheme="minorHAnsi"/>
        </w:rPr>
        <w:t xml:space="preserve"> </w:t>
      </w:r>
      <w:r w:rsidRPr="00E00F56">
        <w:rPr>
          <w:rFonts w:asciiTheme="minorHAnsi" w:hAnsiTheme="minorHAnsi" w:cstheme="minorHAnsi"/>
          <w:kern w:val="2"/>
        </w:rPr>
        <w:t xml:space="preserve">Currently, the Hospital is limited to use of a single LINAC, which </w:t>
      </w:r>
      <w:r w:rsidR="00B845DC">
        <w:rPr>
          <w:rFonts w:asciiTheme="minorHAnsi" w:hAnsiTheme="minorHAnsi" w:cstheme="minorHAnsi"/>
          <w:kern w:val="2"/>
        </w:rPr>
        <w:t xml:space="preserve">the Applicant notes </w:t>
      </w:r>
      <w:r w:rsidRPr="00E00F56">
        <w:rPr>
          <w:rFonts w:asciiTheme="minorHAnsi" w:hAnsiTheme="minorHAnsi" w:cstheme="minorHAnsi"/>
          <w:kern w:val="2"/>
        </w:rPr>
        <w:t xml:space="preserve">decreases the Hospital’s ability to accommodate flexible scheduling for different procedure types, puts strain on the single machine currently in use, and risks the unavailability of services if the single LINAC </w:t>
      </w:r>
      <w:r w:rsidR="000102C3">
        <w:rPr>
          <w:rFonts w:asciiTheme="minorHAnsi" w:hAnsiTheme="minorHAnsi" w:cstheme="minorHAnsi"/>
          <w:kern w:val="2"/>
        </w:rPr>
        <w:t>experiences downtime</w:t>
      </w:r>
      <w:r w:rsidRPr="00E00F56">
        <w:rPr>
          <w:rFonts w:asciiTheme="minorHAnsi" w:hAnsiTheme="minorHAnsi" w:cstheme="minorHAnsi"/>
          <w:kern w:val="2"/>
        </w:rPr>
        <w:t xml:space="preserve">. </w:t>
      </w:r>
      <w:r w:rsidRPr="00E00F56">
        <w:rPr>
          <w:rFonts w:asciiTheme="minorHAnsi" w:hAnsiTheme="minorHAnsi" w:cstheme="minorHAnsi"/>
        </w:rPr>
        <w:t>T</w:t>
      </w:r>
      <w:r w:rsidRPr="00E00F56">
        <w:rPr>
          <w:rFonts w:asciiTheme="minorHAnsi" w:hAnsiTheme="minorHAnsi" w:cstheme="minorHAnsi"/>
          <w:kern w:val="2"/>
        </w:rPr>
        <w:t>he Hospital asserts that the reactivation of the LINAC unit will accommodate projected demand for radiation therapy.</w:t>
      </w:r>
    </w:p>
    <w:p w14:paraId="6103F1D0" w14:textId="77777777" w:rsidR="00E828B4" w:rsidRPr="00E677D5" w:rsidRDefault="00E828B4" w:rsidP="00E828B4">
      <w:pPr>
        <w:pStyle w:val="Heading1"/>
        <w:spacing w:line="240" w:lineRule="auto"/>
        <w:rPr>
          <w:rFonts w:asciiTheme="minorHAnsi" w:hAnsiTheme="minorHAnsi" w:cstheme="minorHAnsi"/>
        </w:rPr>
      </w:pPr>
      <w:bookmarkStart w:id="13" w:name="_Toc155341740"/>
      <w:r w:rsidRPr="00E677D5">
        <w:rPr>
          <w:rFonts w:asciiTheme="minorHAnsi" w:hAnsiTheme="minorHAnsi" w:cstheme="minorHAnsi"/>
        </w:rPr>
        <w:t>Factor 1</w:t>
      </w:r>
      <w:bookmarkEnd w:id="13"/>
      <w:r w:rsidRPr="00E677D5">
        <w:rPr>
          <w:rFonts w:asciiTheme="minorHAnsi" w:hAnsiTheme="minorHAnsi" w:cstheme="minorHAnsi"/>
        </w:rPr>
        <w:t xml:space="preserve"> </w:t>
      </w:r>
    </w:p>
    <w:p w14:paraId="2F2DAB5A" w14:textId="77777777" w:rsidR="00E677D5" w:rsidRDefault="00E677D5" w:rsidP="00E677D5">
      <w:pPr>
        <w:pStyle w:val="NoSpacing"/>
        <w:contextualSpacing/>
        <w:rPr>
          <w:rFonts w:cstheme="minorHAnsi"/>
          <w:sz w:val="24"/>
          <w:szCs w:val="24"/>
        </w:rPr>
      </w:pPr>
      <w:bookmarkStart w:id="14" w:name="_Toc99993053"/>
      <w:bookmarkEnd w:id="9"/>
      <w:r w:rsidRPr="00E677D5">
        <w:rPr>
          <w:rFonts w:cstheme="minorHAnsi"/>
          <w:sz w:val="24"/>
          <w:szCs w:val="24"/>
        </w:rPr>
        <w:t>In this section,</w:t>
      </w:r>
      <w:r w:rsidRPr="00575366">
        <w:rPr>
          <w:rFonts w:cstheme="minorHAnsi"/>
          <w:sz w:val="24"/>
          <w:szCs w:val="24"/>
        </w:rPr>
        <w:t xml:space="preserve"> we assess if the Applicant has sufficiently addressed </w:t>
      </w:r>
      <w:r>
        <w:rPr>
          <w:rFonts w:cstheme="minorHAnsi"/>
          <w:sz w:val="24"/>
          <w:szCs w:val="24"/>
        </w:rPr>
        <w:t>P</w:t>
      </w:r>
      <w:r w:rsidRPr="00575366">
        <w:rPr>
          <w:rFonts w:cstheme="minorHAnsi"/>
          <w:sz w:val="24"/>
          <w:szCs w:val="24"/>
        </w:rPr>
        <w:t xml:space="preserve">atient </w:t>
      </w:r>
      <w:r>
        <w:rPr>
          <w:rFonts w:cstheme="minorHAnsi"/>
          <w:sz w:val="24"/>
          <w:szCs w:val="24"/>
        </w:rPr>
        <w:t>P</w:t>
      </w:r>
      <w:r w:rsidRPr="00575366">
        <w:rPr>
          <w:rFonts w:cstheme="minorHAnsi"/>
          <w:sz w:val="24"/>
          <w:szCs w:val="24"/>
        </w:rPr>
        <w:t>anel need, public health value, competitiveness and cost containment, and community engagement for th</w:t>
      </w:r>
      <w:r>
        <w:rPr>
          <w:rFonts w:cstheme="minorHAnsi"/>
          <w:sz w:val="24"/>
          <w:szCs w:val="24"/>
        </w:rPr>
        <w:t>is Required Equipment application</w:t>
      </w:r>
      <w:r w:rsidRPr="00575366">
        <w:rPr>
          <w:rFonts w:cstheme="minorHAnsi"/>
          <w:sz w:val="24"/>
          <w:szCs w:val="24"/>
        </w:rPr>
        <w:t>.</w:t>
      </w:r>
    </w:p>
    <w:p w14:paraId="06135E03" w14:textId="77777777" w:rsidR="00E677D5" w:rsidRPr="00DA068D" w:rsidRDefault="00E677D5" w:rsidP="00E677D5">
      <w:pPr>
        <w:pStyle w:val="NoSpacing"/>
        <w:contextualSpacing/>
        <w:rPr>
          <w:rFonts w:cstheme="minorHAnsi"/>
          <w:sz w:val="24"/>
          <w:szCs w:val="24"/>
        </w:rPr>
      </w:pPr>
    </w:p>
    <w:p w14:paraId="300A430D" w14:textId="77777777" w:rsidR="00E677D5" w:rsidRPr="009449AF" w:rsidRDefault="00E677D5" w:rsidP="00E677D5">
      <w:pPr>
        <w:pStyle w:val="Heading1"/>
        <w:spacing w:before="0" w:line="240" w:lineRule="auto"/>
        <w:rPr>
          <w:rFonts w:asciiTheme="minorHAnsi" w:hAnsiTheme="minorHAnsi" w:cstheme="minorHAnsi"/>
        </w:rPr>
      </w:pPr>
      <w:bookmarkStart w:id="15" w:name="_Toc155341741"/>
      <w:r w:rsidRPr="00102597">
        <w:rPr>
          <w:rFonts w:asciiTheme="minorHAnsi" w:hAnsiTheme="minorHAnsi" w:cstheme="minorHAnsi"/>
        </w:rPr>
        <w:t>Patient Panel</w:t>
      </w:r>
      <w:r w:rsidRPr="00102597">
        <w:rPr>
          <w:rFonts w:asciiTheme="minorHAnsi" w:hAnsiTheme="minorHAnsi" w:cstheme="minorHAnsi"/>
          <w:b w:val="0"/>
          <w:vertAlign w:val="superscript"/>
        </w:rPr>
        <w:footnoteReference w:id="4"/>
      </w:r>
      <w:bookmarkEnd w:id="15"/>
    </w:p>
    <w:p w14:paraId="68B22F9B" w14:textId="5C6ED65D" w:rsidR="00E677D5" w:rsidRPr="001F7365" w:rsidRDefault="00E677D5" w:rsidP="001F7365">
      <w:pPr>
        <w:rPr>
          <w:rFonts w:asciiTheme="minorHAnsi" w:eastAsia="Verdana" w:hAnsiTheme="minorHAnsi" w:cstheme="minorHAnsi"/>
          <w:sz w:val="20"/>
        </w:rPr>
      </w:pPr>
      <w:r w:rsidRPr="009449AF">
        <w:rPr>
          <w:rFonts w:asciiTheme="minorHAnsi" w:eastAsia="Verdana" w:hAnsiTheme="minorHAnsi" w:cstheme="minorHAnsi"/>
        </w:rPr>
        <w:t>As shown in Table 1, the BILH Patient Panel consisted of 1,</w:t>
      </w:r>
      <w:r>
        <w:rPr>
          <w:rFonts w:asciiTheme="minorHAnsi" w:eastAsia="Verdana" w:hAnsiTheme="minorHAnsi" w:cstheme="minorHAnsi"/>
        </w:rPr>
        <w:t>324,649</w:t>
      </w:r>
      <w:r w:rsidRPr="009449AF">
        <w:rPr>
          <w:rFonts w:asciiTheme="minorHAnsi" w:eastAsia="Verdana" w:hAnsiTheme="minorHAnsi" w:cstheme="minorHAnsi"/>
        </w:rPr>
        <w:t xml:space="preserve"> patients in </w:t>
      </w:r>
      <w:r>
        <w:rPr>
          <w:rFonts w:asciiTheme="minorHAnsi" w:eastAsia="Verdana" w:hAnsiTheme="minorHAnsi" w:cstheme="minorHAnsi"/>
        </w:rPr>
        <w:t>F</w:t>
      </w:r>
      <w:r w:rsidRPr="009449AF">
        <w:rPr>
          <w:rFonts w:asciiTheme="minorHAnsi" w:eastAsia="Verdana" w:hAnsiTheme="minorHAnsi" w:cstheme="minorHAnsi"/>
        </w:rPr>
        <w:t xml:space="preserve">iscal </w:t>
      </w:r>
      <w:r>
        <w:rPr>
          <w:rFonts w:asciiTheme="minorHAnsi" w:eastAsia="Verdana" w:hAnsiTheme="minorHAnsi" w:cstheme="minorHAnsi"/>
        </w:rPr>
        <w:t>Y</w:t>
      </w:r>
      <w:r w:rsidRPr="009449AF">
        <w:rPr>
          <w:rFonts w:asciiTheme="minorHAnsi" w:eastAsia="Verdana" w:hAnsiTheme="minorHAnsi" w:cstheme="minorHAnsi"/>
        </w:rPr>
        <w:t>ear</w:t>
      </w:r>
      <w:r>
        <w:rPr>
          <w:rFonts w:asciiTheme="minorHAnsi" w:eastAsia="Verdana" w:hAnsiTheme="minorHAnsi" w:cstheme="minorHAnsi"/>
        </w:rPr>
        <w:t xml:space="preserve"> (FY)</w:t>
      </w:r>
      <w:r w:rsidRPr="009449AF">
        <w:rPr>
          <w:rFonts w:asciiTheme="minorHAnsi" w:eastAsia="Verdana" w:hAnsiTheme="minorHAnsi" w:cstheme="minorHAnsi"/>
        </w:rPr>
        <w:t xml:space="preserve"> 202</w:t>
      </w:r>
      <w:r>
        <w:rPr>
          <w:rFonts w:asciiTheme="minorHAnsi" w:eastAsia="Verdana" w:hAnsiTheme="minorHAnsi" w:cstheme="minorHAnsi"/>
        </w:rPr>
        <w:t>3</w:t>
      </w:r>
      <w:r w:rsidRPr="009449AF">
        <w:rPr>
          <w:rStyle w:val="FootnoteReference"/>
          <w:rFonts w:asciiTheme="minorHAnsi" w:eastAsia="Verdana" w:hAnsiTheme="minorHAnsi" w:cstheme="minorHAnsi"/>
          <w:sz w:val="20"/>
        </w:rPr>
        <w:footnoteReference w:id="5"/>
      </w:r>
      <w:r w:rsidRPr="009449AF">
        <w:rPr>
          <w:rFonts w:asciiTheme="minorHAnsi" w:eastAsia="Verdana" w:hAnsiTheme="minorHAnsi" w:cstheme="minorHAnsi"/>
        </w:rPr>
        <w:t xml:space="preserve">. </w:t>
      </w:r>
      <w:r w:rsidRPr="00D82940">
        <w:rPr>
          <w:rFonts w:asciiTheme="minorHAnsi" w:eastAsia="Verdana" w:hAnsiTheme="minorHAnsi" w:cstheme="minorHAnsi"/>
        </w:rPr>
        <w:t xml:space="preserve">The Applicant notes that </w:t>
      </w:r>
      <w:r>
        <w:rPr>
          <w:rFonts w:asciiTheme="minorHAnsi" w:eastAsia="Verdana" w:hAnsiTheme="minorHAnsi" w:cstheme="minorHAnsi"/>
        </w:rPr>
        <w:t>a</w:t>
      </w:r>
      <w:r w:rsidRPr="00D82940">
        <w:rPr>
          <w:rFonts w:asciiTheme="minorHAnsi" w:eastAsia="Verdana" w:hAnsiTheme="minorHAnsi" w:cstheme="minorHAnsi"/>
        </w:rPr>
        <w:t xml:space="preserve"> drop in COVID testing and immunizations between 2022 and 2023</w:t>
      </w:r>
      <w:r>
        <w:rPr>
          <w:rFonts w:asciiTheme="minorHAnsi" w:eastAsia="Verdana" w:hAnsiTheme="minorHAnsi" w:cstheme="minorHAnsi"/>
        </w:rPr>
        <w:t xml:space="preserve"> resulted in a lower number of total unique patients in FY2023</w:t>
      </w:r>
      <w:r w:rsidRPr="00D82940">
        <w:rPr>
          <w:rFonts w:asciiTheme="minorHAnsi" w:eastAsia="Verdana" w:hAnsiTheme="minorHAnsi" w:cstheme="minorHAnsi"/>
        </w:rPr>
        <w:t>.</w:t>
      </w:r>
    </w:p>
    <w:p w14:paraId="16D938AF" w14:textId="77777777" w:rsidR="00E677D5" w:rsidRPr="00B4171C" w:rsidRDefault="00E677D5" w:rsidP="00E677D5">
      <w:pPr>
        <w:autoSpaceDE w:val="0"/>
        <w:autoSpaceDN w:val="0"/>
        <w:adjustRightInd w:val="0"/>
        <w:jc w:val="center"/>
        <w:rPr>
          <w:rFonts w:asciiTheme="minorHAnsi" w:eastAsiaTheme="minorHAnsi" w:hAnsiTheme="minorHAnsi" w:cstheme="minorHAnsi"/>
          <w:color w:val="191919"/>
          <w:highlight w:val="yellow"/>
        </w:rPr>
      </w:pPr>
    </w:p>
    <w:p w14:paraId="26605037" w14:textId="77777777" w:rsidR="00E677D5" w:rsidRPr="00CC2C09" w:rsidRDefault="00E677D5" w:rsidP="00E677D5">
      <w:pPr>
        <w:pStyle w:val="Caption"/>
        <w:spacing w:after="0"/>
        <w:contextualSpacing/>
        <w:jc w:val="center"/>
        <w:rPr>
          <w:rFonts w:cstheme="minorHAnsi"/>
          <w:color w:val="42558C" w:themeColor="accent1" w:themeShade="BF"/>
          <w:sz w:val="24"/>
          <w:szCs w:val="24"/>
        </w:rPr>
      </w:pPr>
      <w:r w:rsidRPr="00CC2C09">
        <w:rPr>
          <w:rFonts w:cstheme="minorHAnsi"/>
          <w:color w:val="42558C" w:themeColor="accent1" w:themeShade="BF"/>
          <w:sz w:val="24"/>
          <w:szCs w:val="24"/>
          <w:u w:val="single"/>
        </w:rPr>
        <w:t>Table 1:</w:t>
      </w:r>
      <w:r w:rsidRPr="00CC2C09">
        <w:rPr>
          <w:rFonts w:cstheme="minorHAnsi"/>
          <w:color w:val="42558C" w:themeColor="accent1" w:themeShade="BF"/>
          <w:sz w:val="24"/>
          <w:szCs w:val="24"/>
        </w:rPr>
        <w:t xml:space="preserve"> </w:t>
      </w:r>
      <w:r>
        <w:rPr>
          <w:rFonts w:cstheme="minorHAnsi"/>
          <w:color w:val="42558C" w:themeColor="accent1" w:themeShade="BF"/>
          <w:sz w:val="24"/>
          <w:szCs w:val="24"/>
        </w:rPr>
        <w:t>Overview of BILH Patient Panel</w:t>
      </w:r>
    </w:p>
    <w:tbl>
      <w:tblPr>
        <w:tblStyle w:val="TableGrid"/>
        <w:tblW w:w="7974" w:type="dxa"/>
        <w:jc w:val="center"/>
        <w:tblLook w:val="04A0" w:firstRow="1" w:lastRow="0" w:firstColumn="1" w:lastColumn="0" w:noHBand="0" w:noVBand="1"/>
      </w:tblPr>
      <w:tblGrid>
        <w:gridCol w:w="2970"/>
        <w:gridCol w:w="1192"/>
        <w:gridCol w:w="1192"/>
        <w:gridCol w:w="1192"/>
        <w:gridCol w:w="1428"/>
      </w:tblGrid>
      <w:tr w:rsidR="00E677D5" w:rsidRPr="00377AF9" w14:paraId="706F976B" w14:textId="77777777" w:rsidTr="00F00FBF">
        <w:trPr>
          <w:trHeight w:val="300"/>
          <w:jc w:val="center"/>
        </w:trPr>
        <w:tc>
          <w:tcPr>
            <w:tcW w:w="2970" w:type="dxa"/>
            <w:shd w:val="clear" w:color="auto" w:fill="BFC8E1" w:themeFill="accent1" w:themeFillTint="66"/>
            <w:noWrap/>
            <w:hideMark/>
          </w:tcPr>
          <w:p w14:paraId="57F22220" w14:textId="77777777" w:rsidR="00E677D5" w:rsidRPr="00377AF9" w:rsidRDefault="00E677D5" w:rsidP="00F00FBF">
            <w:pPr>
              <w:rPr>
                <w:rFonts w:asciiTheme="minorHAnsi" w:hAnsiTheme="minorHAnsi" w:cstheme="minorHAnsi"/>
              </w:rPr>
            </w:pPr>
          </w:p>
        </w:tc>
        <w:tc>
          <w:tcPr>
            <w:tcW w:w="1192" w:type="dxa"/>
            <w:shd w:val="clear" w:color="auto" w:fill="BFC8E1" w:themeFill="accent1" w:themeFillTint="66"/>
            <w:hideMark/>
          </w:tcPr>
          <w:p w14:paraId="7F13FEC9" w14:textId="77777777" w:rsidR="00E677D5" w:rsidRPr="00377AF9" w:rsidRDefault="00E677D5" w:rsidP="00F00FBF">
            <w:pPr>
              <w:jc w:val="center"/>
              <w:rPr>
                <w:rFonts w:asciiTheme="minorHAnsi" w:hAnsiTheme="minorHAnsi" w:cstheme="minorHAnsi"/>
                <w:b/>
                <w:bCs/>
                <w:color w:val="000000"/>
              </w:rPr>
            </w:pPr>
            <w:r w:rsidRPr="00377AF9">
              <w:rPr>
                <w:rFonts w:asciiTheme="minorHAnsi" w:hAnsiTheme="minorHAnsi" w:cstheme="minorHAnsi"/>
                <w:b/>
                <w:bCs/>
                <w:color w:val="000000"/>
              </w:rPr>
              <w:t>FY</w:t>
            </w:r>
            <w:r>
              <w:rPr>
                <w:rFonts w:asciiTheme="minorHAnsi" w:hAnsiTheme="minorHAnsi" w:cstheme="minorHAnsi"/>
                <w:b/>
                <w:bCs/>
                <w:color w:val="000000"/>
              </w:rPr>
              <w:t>2020</w:t>
            </w:r>
          </w:p>
        </w:tc>
        <w:tc>
          <w:tcPr>
            <w:tcW w:w="1192" w:type="dxa"/>
            <w:shd w:val="clear" w:color="auto" w:fill="BFC8E1" w:themeFill="accent1" w:themeFillTint="66"/>
            <w:hideMark/>
          </w:tcPr>
          <w:p w14:paraId="3D226B11" w14:textId="77777777" w:rsidR="00E677D5" w:rsidRPr="00377AF9" w:rsidRDefault="00E677D5" w:rsidP="00F00FBF">
            <w:pPr>
              <w:jc w:val="center"/>
              <w:rPr>
                <w:rFonts w:asciiTheme="minorHAnsi" w:hAnsiTheme="minorHAnsi" w:cstheme="minorHAnsi"/>
                <w:b/>
                <w:bCs/>
                <w:color w:val="000000"/>
              </w:rPr>
            </w:pPr>
            <w:r w:rsidRPr="00377AF9">
              <w:rPr>
                <w:rFonts w:asciiTheme="minorHAnsi" w:hAnsiTheme="minorHAnsi" w:cstheme="minorHAnsi"/>
                <w:b/>
                <w:bCs/>
                <w:color w:val="000000"/>
              </w:rPr>
              <w:t>FY</w:t>
            </w:r>
            <w:r>
              <w:rPr>
                <w:rFonts w:asciiTheme="minorHAnsi" w:hAnsiTheme="minorHAnsi" w:cstheme="minorHAnsi"/>
                <w:b/>
                <w:bCs/>
                <w:color w:val="000000"/>
              </w:rPr>
              <w:t>20</w:t>
            </w:r>
            <w:r w:rsidRPr="00377AF9">
              <w:rPr>
                <w:rFonts w:asciiTheme="minorHAnsi" w:hAnsiTheme="minorHAnsi" w:cstheme="minorHAnsi"/>
                <w:b/>
                <w:bCs/>
                <w:color w:val="000000"/>
              </w:rPr>
              <w:t>2</w:t>
            </w:r>
            <w:r>
              <w:rPr>
                <w:rFonts w:asciiTheme="minorHAnsi" w:hAnsiTheme="minorHAnsi" w:cstheme="minorHAnsi"/>
                <w:b/>
                <w:bCs/>
                <w:color w:val="000000"/>
              </w:rPr>
              <w:t>1</w:t>
            </w:r>
          </w:p>
        </w:tc>
        <w:tc>
          <w:tcPr>
            <w:tcW w:w="1192" w:type="dxa"/>
            <w:shd w:val="clear" w:color="auto" w:fill="BFC8E1" w:themeFill="accent1" w:themeFillTint="66"/>
            <w:hideMark/>
          </w:tcPr>
          <w:p w14:paraId="6C72435D" w14:textId="77777777" w:rsidR="00E677D5" w:rsidRPr="00377AF9" w:rsidRDefault="00E677D5" w:rsidP="00F00FBF">
            <w:pPr>
              <w:jc w:val="center"/>
              <w:rPr>
                <w:rFonts w:asciiTheme="minorHAnsi" w:hAnsiTheme="minorHAnsi" w:cstheme="minorHAnsi"/>
                <w:b/>
                <w:bCs/>
                <w:color w:val="000000"/>
              </w:rPr>
            </w:pPr>
            <w:r w:rsidRPr="00377AF9">
              <w:rPr>
                <w:rFonts w:asciiTheme="minorHAnsi" w:hAnsiTheme="minorHAnsi" w:cstheme="minorHAnsi"/>
                <w:b/>
                <w:bCs/>
                <w:color w:val="000000"/>
              </w:rPr>
              <w:t>FY</w:t>
            </w:r>
            <w:r>
              <w:rPr>
                <w:rFonts w:asciiTheme="minorHAnsi" w:hAnsiTheme="minorHAnsi" w:cstheme="minorHAnsi"/>
                <w:b/>
                <w:bCs/>
                <w:color w:val="000000"/>
              </w:rPr>
              <w:t>20</w:t>
            </w:r>
            <w:r w:rsidRPr="00377AF9">
              <w:rPr>
                <w:rFonts w:asciiTheme="minorHAnsi" w:hAnsiTheme="minorHAnsi" w:cstheme="minorHAnsi"/>
                <w:b/>
                <w:bCs/>
                <w:color w:val="000000"/>
              </w:rPr>
              <w:t>2</w:t>
            </w:r>
            <w:r>
              <w:rPr>
                <w:rFonts w:asciiTheme="minorHAnsi" w:hAnsiTheme="minorHAnsi" w:cstheme="minorHAnsi"/>
                <w:b/>
                <w:bCs/>
                <w:color w:val="000000"/>
              </w:rPr>
              <w:t>2</w:t>
            </w:r>
          </w:p>
        </w:tc>
        <w:tc>
          <w:tcPr>
            <w:tcW w:w="1428" w:type="dxa"/>
            <w:shd w:val="clear" w:color="auto" w:fill="BFC8E1" w:themeFill="accent1" w:themeFillTint="66"/>
          </w:tcPr>
          <w:p w14:paraId="768F3EF8" w14:textId="77777777" w:rsidR="00E677D5" w:rsidRPr="00377AF9" w:rsidRDefault="00E677D5" w:rsidP="00F00FBF">
            <w:pPr>
              <w:jc w:val="center"/>
              <w:rPr>
                <w:rFonts w:asciiTheme="minorHAnsi" w:hAnsiTheme="minorHAnsi" w:cstheme="minorHAnsi"/>
                <w:b/>
                <w:bCs/>
                <w:color w:val="000000"/>
              </w:rPr>
            </w:pPr>
            <w:r>
              <w:rPr>
                <w:rFonts w:asciiTheme="minorHAnsi" w:hAnsiTheme="minorHAnsi" w:cstheme="minorHAnsi"/>
                <w:b/>
                <w:bCs/>
                <w:color w:val="000000"/>
              </w:rPr>
              <w:t>FY2023</w:t>
            </w:r>
          </w:p>
        </w:tc>
      </w:tr>
      <w:tr w:rsidR="00E677D5" w:rsidRPr="00377AF9" w14:paraId="3D92E6AA" w14:textId="77777777" w:rsidTr="00F00FBF">
        <w:trPr>
          <w:trHeight w:val="386"/>
          <w:jc w:val="center"/>
        </w:trPr>
        <w:tc>
          <w:tcPr>
            <w:tcW w:w="2970" w:type="dxa"/>
            <w:hideMark/>
          </w:tcPr>
          <w:p w14:paraId="0410D04C" w14:textId="77777777" w:rsidR="00E677D5" w:rsidRPr="00377AF9" w:rsidRDefault="00E677D5" w:rsidP="00F00FBF">
            <w:pPr>
              <w:rPr>
                <w:rFonts w:asciiTheme="minorHAnsi" w:hAnsiTheme="minorHAnsi" w:cstheme="minorHAnsi"/>
                <w:b/>
                <w:bCs/>
                <w:color w:val="000000"/>
              </w:rPr>
            </w:pPr>
            <w:r w:rsidRPr="00377AF9">
              <w:rPr>
                <w:rFonts w:asciiTheme="minorHAnsi" w:hAnsiTheme="minorHAnsi" w:cstheme="minorHAnsi"/>
                <w:b/>
                <w:bCs/>
                <w:color w:val="000000"/>
              </w:rPr>
              <w:t>B</w:t>
            </w:r>
            <w:r>
              <w:rPr>
                <w:rFonts w:asciiTheme="minorHAnsi" w:hAnsiTheme="minorHAnsi" w:cstheme="minorHAnsi"/>
                <w:b/>
                <w:bCs/>
                <w:color w:val="000000"/>
              </w:rPr>
              <w:t>ILH</w:t>
            </w:r>
            <w:r w:rsidRPr="00377AF9">
              <w:rPr>
                <w:rFonts w:asciiTheme="minorHAnsi" w:hAnsiTheme="minorHAnsi" w:cstheme="minorHAnsi"/>
                <w:b/>
                <w:bCs/>
                <w:color w:val="000000"/>
              </w:rPr>
              <w:t xml:space="preserve"> Total Unique Patients</w:t>
            </w:r>
          </w:p>
        </w:tc>
        <w:tc>
          <w:tcPr>
            <w:tcW w:w="1192" w:type="dxa"/>
            <w:hideMark/>
          </w:tcPr>
          <w:p w14:paraId="1413A0CB" w14:textId="77777777" w:rsidR="00E677D5" w:rsidRPr="00377AF9" w:rsidRDefault="00E677D5" w:rsidP="00F00FBF">
            <w:pPr>
              <w:jc w:val="center"/>
              <w:rPr>
                <w:rFonts w:asciiTheme="minorHAnsi" w:hAnsiTheme="minorHAnsi" w:cstheme="minorHAnsi"/>
                <w:b/>
                <w:bCs/>
                <w:color w:val="000000"/>
              </w:rPr>
            </w:pPr>
            <w:r w:rsidRPr="009D39A8">
              <w:rPr>
                <w:rFonts w:asciiTheme="minorHAnsi" w:hAnsiTheme="minorHAnsi" w:cstheme="minorHAnsi"/>
                <w:b/>
                <w:bCs/>
                <w:color w:val="000000"/>
              </w:rPr>
              <w:t>1,219,718</w:t>
            </w:r>
          </w:p>
        </w:tc>
        <w:tc>
          <w:tcPr>
            <w:tcW w:w="1192" w:type="dxa"/>
            <w:hideMark/>
          </w:tcPr>
          <w:p w14:paraId="500C5387" w14:textId="77777777" w:rsidR="00E677D5" w:rsidRPr="00377AF9" w:rsidRDefault="00E677D5" w:rsidP="00F00FBF">
            <w:pPr>
              <w:jc w:val="center"/>
              <w:rPr>
                <w:rFonts w:asciiTheme="minorHAnsi" w:hAnsiTheme="minorHAnsi" w:cstheme="minorHAnsi"/>
                <w:b/>
                <w:bCs/>
                <w:color w:val="000000"/>
              </w:rPr>
            </w:pPr>
            <w:r w:rsidRPr="009D39A8">
              <w:rPr>
                <w:rFonts w:asciiTheme="minorHAnsi" w:hAnsiTheme="minorHAnsi" w:cstheme="minorHAnsi"/>
                <w:b/>
                <w:bCs/>
                <w:color w:val="000000"/>
              </w:rPr>
              <w:t>1,427,711</w:t>
            </w:r>
          </w:p>
        </w:tc>
        <w:tc>
          <w:tcPr>
            <w:tcW w:w="1192" w:type="dxa"/>
            <w:hideMark/>
          </w:tcPr>
          <w:p w14:paraId="03ED3C56" w14:textId="77777777" w:rsidR="00E677D5" w:rsidRPr="00377AF9" w:rsidRDefault="00E677D5" w:rsidP="00F00FBF">
            <w:pPr>
              <w:jc w:val="center"/>
              <w:rPr>
                <w:rFonts w:asciiTheme="minorHAnsi" w:hAnsiTheme="minorHAnsi" w:cstheme="minorHAnsi"/>
                <w:b/>
                <w:bCs/>
                <w:color w:val="000000"/>
              </w:rPr>
            </w:pPr>
            <w:r w:rsidRPr="009D39A8">
              <w:rPr>
                <w:rFonts w:asciiTheme="minorHAnsi" w:hAnsiTheme="minorHAnsi" w:cstheme="minorHAnsi"/>
                <w:b/>
                <w:bCs/>
                <w:color w:val="000000"/>
              </w:rPr>
              <w:t>1,633,109</w:t>
            </w:r>
          </w:p>
        </w:tc>
        <w:tc>
          <w:tcPr>
            <w:tcW w:w="1428" w:type="dxa"/>
          </w:tcPr>
          <w:p w14:paraId="3F305DFF" w14:textId="77777777" w:rsidR="00E677D5" w:rsidRPr="00377AF9" w:rsidRDefault="00E677D5" w:rsidP="00F00FBF">
            <w:pPr>
              <w:jc w:val="center"/>
              <w:rPr>
                <w:rFonts w:asciiTheme="minorHAnsi" w:hAnsiTheme="minorHAnsi" w:cstheme="minorHAnsi"/>
                <w:b/>
                <w:bCs/>
                <w:color w:val="000000"/>
              </w:rPr>
            </w:pPr>
            <w:r w:rsidRPr="00E43622">
              <w:rPr>
                <w:rFonts w:asciiTheme="minorHAnsi" w:hAnsiTheme="minorHAnsi" w:cstheme="minorHAnsi"/>
                <w:b/>
                <w:bCs/>
                <w:color w:val="000000"/>
              </w:rPr>
              <w:t>1,324,649</w:t>
            </w:r>
          </w:p>
        </w:tc>
      </w:tr>
    </w:tbl>
    <w:p w14:paraId="47A7D83B" w14:textId="77777777" w:rsidR="00E677D5" w:rsidRPr="00B4171C" w:rsidRDefault="00E677D5" w:rsidP="00E677D5">
      <w:pPr>
        <w:rPr>
          <w:rFonts w:asciiTheme="minorHAnsi" w:hAnsiTheme="minorHAnsi" w:cstheme="minorHAnsi"/>
          <w:highlight w:val="yellow"/>
        </w:rPr>
      </w:pPr>
    </w:p>
    <w:p w14:paraId="0D1F2C6C" w14:textId="2529CD69" w:rsidR="00E677D5" w:rsidRDefault="00E677D5" w:rsidP="00E677D5">
      <w:pPr>
        <w:rPr>
          <w:rFonts w:asciiTheme="minorHAnsi" w:eastAsiaTheme="minorHAnsi" w:hAnsiTheme="minorHAnsi" w:cstheme="minorHAnsi"/>
          <w:color w:val="191919"/>
        </w:rPr>
      </w:pPr>
      <w:r>
        <w:rPr>
          <w:rFonts w:asciiTheme="minorHAnsi" w:eastAsiaTheme="minorHAnsi" w:hAnsiTheme="minorHAnsi" w:cstheme="minorHAnsi"/>
          <w:color w:val="191919"/>
        </w:rPr>
        <w:t>The Applicant provided data showing that the top 15 patient origins of their Patient Panel included Plymouth, Woburn, Beverly, Peabody, Gloucester, Quincy, Boston, Cambridge, Billerica, Burlington, Dorchester, Arlington, Danvers, Medford, and Wilmington</w:t>
      </w:r>
      <w:r>
        <w:rPr>
          <w:rStyle w:val="FootnoteReference"/>
          <w:rFonts w:asciiTheme="minorHAnsi" w:eastAsiaTheme="minorHAnsi" w:hAnsiTheme="minorHAnsi" w:cstheme="minorHAnsi"/>
          <w:color w:val="191919"/>
        </w:rPr>
        <w:footnoteReference w:id="6"/>
      </w:r>
      <w:r>
        <w:rPr>
          <w:rFonts w:asciiTheme="minorHAnsi" w:eastAsiaTheme="minorHAnsi" w:hAnsiTheme="minorHAnsi" w:cstheme="minorHAnsi"/>
          <w:color w:val="191919"/>
        </w:rPr>
        <w:t xml:space="preserve">. </w:t>
      </w:r>
      <w:r w:rsidRPr="00F94315">
        <w:rPr>
          <w:rFonts w:asciiTheme="minorHAnsi" w:eastAsiaTheme="minorHAnsi" w:hAnsiTheme="minorHAnsi" w:cstheme="minorHAnsi"/>
          <w:color w:val="191919"/>
        </w:rPr>
        <w:t xml:space="preserve">The Applicant </w:t>
      </w:r>
      <w:r>
        <w:rPr>
          <w:rFonts w:asciiTheme="minorHAnsi" w:eastAsiaTheme="minorHAnsi" w:hAnsiTheme="minorHAnsi" w:cstheme="minorHAnsi"/>
          <w:color w:val="191919"/>
        </w:rPr>
        <w:t xml:space="preserve">also </w:t>
      </w:r>
      <w:r w:rsidRPr="00F94315">
        <w:rPr>
          <w:rFonts w:asciiTheme="minorHAnsi" w:eastAsiaTheme="minorHAnsi" w:hAnsiTheme="minorHAnsi" w:cstheme="minorHAnsi"/>
          <w:color w:val="191919"/>
        </w:rPr>
        <w:t xml:space="preserve">provided demographic data for </w:t>
      </w:r>
      <w:r>
        <w:rPr>
          <w:rFonts w:asciiTheme="minorHAnsi" w:eastAsiaTheme="minorHAnsi" w:hAnsiTheme="minorHAnsi" w:cstheme="minorHAnsi"/>
          <w:color w:val="191919"/>
        </w:rPr>
        <w:t>BILH’s</w:t>
      </w:r>
      <w:r w:rsidRPr="00F94315">
        <w:rPr>
          <w:rFonts w:asciiTheme="minorHAnsi" w:eastAsiaTheme="minorHAnsi" w:hAnsiTheme="minorHAnsi" w:cstheme="minorHAnsi"/>
          <w:color w:val="191919"/>
        </w:rPr>
        <w:t xml:space="preserve"> Patient Panel, which is presented in </w:t>
      </w:r>
      <w:r w:rsidR="00BF5D02" w:rsidRPr="002536D4">
        <w:rPr>
          <w:rFonts w:asciiTheme="minorHAnsi" w:eastAsiaTheme="minorHAnsi" w:hAnsiTheme="minorHAnsi" w:cstheme="minorHAnsi"/>
          <w:color w:val="191919"/>
        </w:rPr>
        <w:t>Appendix II</w:t>
      </w:r>
      <w:r w:rsidRPr="002536D4">
        <w:rPr>
          <w:rFonts w:asciiTheme="minorHAnsi" w:eastAsiaTheme="minorHAnsi" w:hAnsiTheme="minorHAnsi" w:cstheme="minorHAnsi"/>
          <w:color w:val="191919"/>
        </w:rPr>
        <w:t>. Staff</w:t>
      </w:r>
      <w:r w:rsidRPr="00F94315">
        <w:rPr>
          <w:rFonts w:asciiTheme="minorHAnsi" w:eastAsiaTheme="minorHAnsi" w:hAnsiTheme="minorHAnsi" w:cstheme="minorHAnsi"/>
          <w:color w:val="191919"/>
        </w:rPr>
        <w:t xml:space="preserve"> notes the following observations about the </w:t>
      </w:r>
      <w:r w:rsidR="00BF5D02">
        <w:rPr>
          <w:rFonts w:asciiTheme="minorHAnsi" w:eastAsiaTheme="minorHAnsi" w:hAnsiTheme="minorHAnsi" w:cstheme="minorHAnsi"/>
          <w:color w:val="191919"/>
        </w:rPr>
        <w:t>FY2022</w:t>
      </w:r>
      <w:r>
        <w:rPr>
          <w:rFonts w:asciiTheme="minorHAnsi" w:eastAsiaTheme="minorHAnsi" w:hAnsiTheme="minorHAnsi" w:cstheme="minorHAnsi"/>
          <w:color w:val="191919"/>
        </w:rPr>
        <w:t xml:space="preserve"> </w:t>
      </w:r>
      <w:r w:rsidRPr="00F94315">
        <w:rPr>
          <w:rFonts w:asciiTheme="minorHAnsi" w:eastAsiaTheme="minorHAnsi" w:hAnsiTheme="minorHAnsi" w:cstheme="minorHAnsi"/>
          <w:color w:val="191919"/>
        </w:rPr>
        <w:t>data:</w:t>
      </w:r>
    </w:p>
    <w:p w14:paraId="7FF7EEAB" w14:textId="77777777" w:rsidR="00E677D5" w:rsidRPr="00F94315" w:rsidRDefault="00E677D5" w:rsidP="00E677D5">
      <w:pPr>
        <w:rPr>
          <w:rFonts w:asciiTheme="minorHAnsi" w:eastAsiaTheme="minorHAnsi" w:hAnsiTheme="minorHAnsi" w:cstheme="minorHAnsi"/>
          <w:color w:val="191919"/>
        </w:rPr>
      </w:pPr>
    </w:p>
    <w:p w14:paraId="658C023E" w14:textId="7971591E" w:rsidR="00E677D5" w:rsidRPr="0085670E" w:rsidRDefault="00E677D5" w:rsidP="00E677D5">
      <w:pPr>
        <w:pStyle w:val="ListParagraph"/>
        <w:numPr>
          <w:ilvl w:val="0"/>
          <w:numId w:val="1"/>
        </w:numPr>
        <w:rPr>
          <w:rFonts w:cstheme="minorHAnsi"/>
          <w:color w:val="191919"/>
          <w:sz w:val="24"/>
          <w:szCs w:val="24"/>
        </w:rPr>
      </w:pPr>
      <w:r w:rsidRPr="0085670E">
        <w:rPr>
          <w:rFonts w:cstheme="minorHAnsi"/>
          <w:b/>
          <w:bCs/>
          <w:color w:val="191919"/>
          <w:sz w:val="24"/>
          <w:szCs w:val="24"/>
        </w:rPr>
        <w:t>Age:</w:t>
      </w:r>
      <w:r w:rsidRPr="0085670E">
        <w:rPr>
          <w:rFonts w:cstheme="minorHAnsi"/>
          <w:color w:val="191919"/>
          <w:sz w:val="24"/>
          <w:szCs w:val="24"/>
        </w:rPr>
        <w:t xml:space="preserve"> </w:t>
      </w:r>
      <w:r w:rsidR="00C43B0B">
        <w:rPr>
          <w:sz w:val="24"/>
          <w:szCs w:val="24"/>
        </w:rPr>
        <w:t xml:space="preserve">Most patients fall in the </w:t>
      </w:r>
      <w:r w:rsidRPr="0085670E">
        <w:rPr>
          <w:sz w:val="24"/>
          <w:szCs w:val="24"/>
        </w:rPr>
        <w:t xml:space="preserve">18-64 age group </w:t>
      </w:r>
      <w:r w:rsidR="00C43B0B">
        <w:rPr>
          <w:sz w:val="24"/>
          <w:szCs w:val="24"/>
        </w:rPr>
        <w:t>(</w:t>
      </w:r>
      <w:r w:rsidRPr="0085670E">
        <w:rPr>
          <w:sz w:val="24"/>
          <w:szCs w:val="24"/>
        </w:rPr>
        <w:t>60</w:t>
      </w:r>
      <w:r>
        <w:rPr>
          <w:sz w:val="24"/>
          <w:szCs w:val="24"/>
        </w:rPr>
        <w:t>.84</w:t>
      </w:r>
      <w:r w:rsidRPr="0085670E">
        <w:rPr>
          <w:sz w:val="24"/>
          <w:szCs w:val="24"/>
        </w:rPr>
        <w:t>%</w:t>
      </w:r>
      <w:r w:rsidR="00C43B0B">
        <w:rPr>
          <w:sz w:val="24"/>
          <w:szCs w:val="24"/>
        </w:rPr>
        <w:t>)</w:t>
      </w:r>
      <w:r w:rsidRPr="0085670E">
        <w:rPr>
          <w:sz w:val="24"/>
          <w:szCs w:val="24"/>
        </w:rPr>
        <w:t xml:space="preserve">, followed by the over 65 age group at </w:t>
      </w:r>
      <w:r>
        <w:rPr>
          <w:sz w:val="24"/>
          <w:szCs w:val="24"/>
        </w:rPr>
        <w:t>28.09</w:t>
      </w:r>
      <w:r w:rsidRPr="0085670E">
        <w:rPr>
          <w:sz w:val="24"/>
          <w:szCs w:val="24"/>
        </w:rPr>
        <w:t>%</w:t>
      </w:r>
      <w:r>
        <w:rPr>
          <w:rFonts w:cstheme="minorHAnsi"/>
          <w:color w:val="191919"/>
        </w:rPr>
        <w:t>.</w:t>
      </w:r>
    </w:p>
    <w:p w14:paraId="473EE28F" w14:textId="21DE15A7" w:rsidR="00E677D5" w:rsidRPr="00C42178" w:rsidRDefault="00E677D5" w:rsidP="00E677D5">
      <w:pPr>
        <w:pStyle w:val="ListParagraph"/>
        <w:numPr>
          <w:ilvl w:val="0"/>
          <w:numId w:val="1"/>
        </w:numPr>
        <w:rPr>
          <w:rFonts w:cstheme="minorHAnsi"/>
          <w:b/>
          <w:bCs/>
          <w:color w:val="191919"/>
          <w:sz w:val="24"/>
          <w:szCs w:val="24"/>
        </w:rPr>
      </w:pPr>
      <w:r w:rsidRPr="0085670E">
        <w:rPr>
          <w:rFonts w:cstheme="minorHAnsi"/>
          <w:b/>
          <w:bCs/>
          <w:color w:val="191919"/>
          <w:sz w:val="24"/>
          <w:szCs w:val="24"/>
        </w:rPr>
        <w:t xml:space="preserve">Race: </w:t>
      </w:r>
      <w:r w:rsidRPr="0085670E">
        <w:rPr>
          <w:rFonts w:cstheme="minorHAnsi"/>
          <w:color w:val="191919"/>
          <w:sz w:val="24"/>
          <w:szCs w:val="24"/>
        </w:rPr>
        <w:t>T</w:t>
      </w:r>
      <w:r w:rsidRPr="0085670E">
        <w:rPr>
          <w:sz w:val="24"/>
          <w:szCs w:val="24"/>
        </w:rPr>
        <w:t>he</w:t>
      </w:r>
      <w:r w:rsidRPr="0085670E">
        <w:rPr>
          <w:spacing w:val="-7"/>
          <w:sz w:val="24"/>
          <w:szCs w:val="24"/>
        </w:rPr>
        <w:t xml:space="preserve"> </w:t>
      </w:r>
      <w:r w:rsidRPr="0085670E">
        <w:rPr>
          <w:sz w:val="24"/>
          <w:szCs w:val="24"/>
        </w:rPr>
        <w:t>majority</w:t>
      </w:r>
      <w:r w:rsidRPr="0085670E">
        <w:rPr>
          <w:spacing w:val="-7"/>
          <w:sz w:val="24"/>
          <w:szCs w:val="24"/>
        </w:rPr>
        <w:t xml:space="preserve"> </w:t>
      </w:r>
      <w:r w:rsidRPr="0085670E">
        <w:rPr>
          <w:sz w:val="24"/>
          <w:szCs w:val="24"/>
        </w:rPr>
        <w:t>of</w:t>
      </w:r>
      <w:r w:rsidRPr="0085670E">
        <w:rPr>
          <w:spacing w:val="-6"/>
          <w:sz w:val="24"/>
          <w:szCs w:val="24"/>
        </w:rPr>
        <w:t xml:space="preserve"> </w:t>
      </w:r>
      <w:r w:rsidRPr="0085670E">
        <w:rPr>
          <w:sz w:val="24"/>
          <w:szCs w:val="24"/>
        </w:rPr>
        <w:t>BILH’s patients self-identified as White (74</w:t>
      </w:r>
      <w:r>
        <w:rPr>
          <w:sz w:val="24"/>
          <w:szCs w:val="24"/>
        </w:rPr>
        <w:t>.05</w:t>
      </w:r>
      <w:r w:rsidRPr="0085670E">
        <w:rPr>
          <w:sz w:val="24"/>
          <w:szCs w:val="24"/>
        </w:rPr>
        <w:t xml:space="preserve">%). </w:t>
      </w:r>
    </w:p>
    <w:p w14:paraId="52866037" w14:textId="77777777" w:rsidR="00E677D5" w:rsidRPr="00903C1E" w:rsidRDefault="00E677D5" w:rsidP="00E677D5">
      <w:pPr>
        <w:pStyle w:val="ListParagraph"/>
        <w:numPr>
          <w:ilvl w:val="0"/>
          <w:numId w:val="1"/>
        </w:numPr>
        <w:rPr>
          <w:rFonts w:cstheme="minorHAnsi"/>
          <w:b/>
          <w:bCs/>
          <w:color w:val="191919"/>
          <w:sz w:val="24"/>
          <w:szCs w:val="24"/>
        </w:rPr>
      </w:pPr>
      <w:r>
        <w:rPr>
          <w:rFonts w:cstheme="minorHAnsi"/>
          <w:b/>
          <w:bCs/>
          <w:color w:val="191919"/>
          <w:sz w:val="24"/>
          <w:szCs w:val="24"/>
        </w:rPr>
        <w:t xml:space="preserve">Ethnicity: </w:t>
      </w:r>
      <w:r w:rsidRPr="00903C1E">
        <w:rPr>
          <w:rFonts w:cstheme="minorHAnsi"/>
          <w:color w:val="191919"/>
          <w:sz w:val="24"/>
          <w:szCs w:val="24"/>
        </w:rPr>
        <w:t>Over 80% of patients identify as “Not Hispanic”.</w:t>
      </w:r>
    </w:p>
    <w:p w14:paraId="70891AA3" w14:textId="2372AF13" w:rsidR="00E677D5" w:rsidRPr="001F7365" w:rsidRDefault="00E677D5" w:rsidP="001F7365">
      <w:pPr>
        <w:pStyle w:val="ListParagraph"/>
        <w:numPr>
          <w:ilvl w:val="0"/>
          <w:numId w:val="1"/>
        </w:numPr>
        <w:spacing w:line="240" w:lineRule="auto"/>
        <w:rPr>
          <w:rFonts w:cstheme="minorHAnsi"/>
          <w:sz w:val="24"/>
          <w:szCs w:val="24"/>
        </w:rPr>
      </w:pPr>
      <w:r w:rsidRPr="0085670E">
        <w:rPr>
          <w:rFonts w:cstheme="minorHAnsi"/>
          <w:b/>
          <w:bCs/>
          <w:color w:val="191919"/>
          <w:sz w:val="24"/>
          <w:szCs w:val="24"/>
        </w:rPr>
        <w:lastRenderedPageBreak/>
        <w:t>Payer Mix:</w:t>
      </w:r>
      <w:r w:rsidRPr="0085670E">
        <w:rPr>
          <w:rFonts w:cstheme="minorHAnsi"/>
          <w:color w:val="191919"/>
          <w:sz w:val="24"/>
          <w:szCs w:val="24"/>
        </w:rPr>
        <w:t xml:space="preserve"> </w:t>
      </w:r>
      <w:r>
        <w:rPr>
          <w:rFonts w:cstheme="minorHAnsi"/>
          <w:color w:val="191919"/>
          <w:sz w:val="24"/>
          <w:szCs w:val="24"/>
        </w:rPr>
        <w:t>Approximately 53.23</w:t>
      </w:r>
      <w:r w:rsidRPr="0085670E">
        <w:rPr>
          <w:rFonts w:cstheme="minorHAnsi"/>
          <w:color w:val="191919"/>
          <w:sz w:val="24"/>
          <w:szCs w:val="24"/>
        </w:rPr>
        <w:t>%</w:t>
      </w:r>
      <w:r>
        <w:rPr>
          <w:rFonts w:cstheme="minorHAnsi"/>
          <w:color w:val="191919"/>
          <w:sz w:val="24"/>
          <w:szCs w:val="24"/>
        </w:rPr>
        <w:t xml:space="preserve"> of patients</w:t>
      </w:r>
      <w:r w:rsidRPr="0085670E">
        <w:rPr>
          <w:rFonts w:cstheme="minorHAnsi"/>
          <w:color w:val="191919"/>
          <w:sz w:val="24"/>
          <w:szCs w:val="24"/>
        </w:rPr>
        <w:t xml:space="preserve"> were covered by Commercial insurance, followed by Medicare </w:t>
      </w:r>
      <w:r>
        <w:rPr>
          <w:rFonts w:cstheme="minorHAnsi"/>
          <w:color w:val="191919"/>
          <w:sz w:val="24"/>
          <w:szCs w:val="24"/>
        </w:rPr>
        <w:t xml:space="preserve">(26.02%) </w:t>
      </w:r>
      <w:r w:rsidRPr="0085670E">
        <w:rPr>
          <w:rFonts w:cstheme="minorHAnsi"/>
          <w:color w:val="191919"/>
          <w:sz w:val="24"/>
          <w:szCs w:val="24"/>
        </w:rPr>
        <w:t>and Medicaid</w:t>
      </w:r>
      <w:r>
        <w:rPr>
          <w:rFonts w:cstheme="minorHAnsi"/>
          <w:color w:val="191919"/>
          <w:sz w:val="24"/>
          <w:szCs w:val="24"/>
        </w:rPr>
        <w:t xml:space="preserve"> (10.14%)</w:t>
      </w:r>
      <w:r w:rsidRPr="0085670E">
        <w:rPr>
          <w:rFonts w:cstheme="minorHAnsi"/>
          <w:color w:val="191919"/>
          <w:sz w:val="24"/>
          <w:szCs w:val="24"/>
        </w:rPr>
        <w:t xml:space="preserve">.  </w:t>
      </w:r>
    </w:p>
    <w:p w14:paraId="56CFC7D0" w14:textId="092CE882" w:rsidR="00E677D5" w:rsidRPr="006378A4" w:rsidRDefault="00E677D5" w:rsidP="001F7365">
      <w:pPr>
        <w:contextualSpacing/>
        <w:rPr>
          <w:rFonts w:asciiTheme="minorHAnsi" w:hAnsiTheme="minorHAnsi" w:cstheme="minorHAnsi"/>
        </w:rPr>
      </w:pPr>
      <w:r w:rsidRPr="006378A4">
        <w:rPr>
          <w:rFonts w:asciiTheme="minorHAnsi" w:hAnsiTheme="minorHAnsi" w:cstheme="minorHAnsi"/>
        </w:rPr>
        <w:t>The Applicant provided information for BID-P’s patient population, the Hospital targeted for this DoN Application.</w:t>
      </w:r>
      <w:r w:rsidRPr="006378A4">
        <w:rPr>
          <w:rFonts w:asciiTheme="minorHAnsi" w:hAnsiTheme="minorHAnsi" w:cstheme="minorHAnsi"/>
          <w:color w:val="000000" w:themeColor="text1"/>
          <w:kern w:val="2"/>
        </w:rPr>
        <w:t xml:space="preserve"> </w:t>
      </w:r>
      <w:r w:rsidR="00534B3C">
        <w:rPr>
          <w:rFonts w:asciiTheme="minorHAnsi" w:hAnsiTheme="minorHAnsi" w:cstheme="minorHAnsi"/>
          <w:color w:val="000000" w:themeColor="text1"/>
          <w:kern w:val="2"/>
        </w:rPr>
        <w:t xml:space="preserve">Many data points are similar to the demographics of the </w:t>
      </w:r>
      <w:r w:rsidR="002536D4">
        <w:rPr>
          <w:rFonts w:asciiTheme="minorHAnsi" w:hAnsiTheme="minorHAnsi" w:cstheme="minorHAnsi"/>
          <w:color w:val="000000" w:themeColor="text1"/>
          <w:kern w:val="2"/>
        </w:rPr>
        <w:t xml:space="preserve">BILH </w:t>
      </w:r>
      <w:r w:rsidR="00534B3C">
        <w:rPr>
          <w:rFonts w:asciiTheme="minorHAnsi" w:hAnsiTheme="minorHAnsi" w:cstheme="minorHAnsi"/>
          <w:color w:val="000000" w:themeColor="text1"/>
          <w:kern w:val="2"/>
        </w:rPr>
        <w:t xml:space="preserve">Patient Panel. </w:t>
      </w:r>
      <w:r w:rsidRPr="006378A4">
        <w:rPr>
          <w:rFonts w:asciiTheme="minorHAnsi" w:hAnsiTheme="minorHAnsi" w:cstheme="minorHAnsi"/>
        </w:rPr>
        <w:t xml:space="preserve">Table </w:t>
      </w:r>
      <w:r w:rsidR="00A60FF9">
        <w:rPr>
          <w:rFonts w:asciiTheme="minorHAnsi" w:hAnsiTheme="minorHAnsi" w:cstheme="minorHAnsi"/>
        </w:rPr>
        <w:t>2</w:t>
      </w:r>
      <w:r w:rsidRPr="006378A4">
        <w:rPr>
          <w:rFonts w:asciiTheme="minorHAnsi" w:hAnsiTheme="minorHAnsi" w:cstheme="minorHAnsi"/>
        </w:rPr>
        <w:t xml:space="preserve"> include</w:t>
      </w:r>
      <w:r w:rsidR="00F671D8">
        <w:rPr>
          <w:rFonts w:asciiTheme="minorHAnsi" w:hAnsiTheme="minorHAnsi" w:cstheme="minorHAnsi"/>
        </w:rPr>
        <w:t xml:space="preserve">s </w:t>
      </w:r>
      <w:r w:rsidR="00967BCD">
        <w:rPr>
          <w:rFonts w:asciiTheme="minorHAnsi" w:hAnsiTheme="minorHAnsi" w:cstheme="minorHAnsi"/>
        </w:rPr>
        <w:t>information notably different from the Patient Panel data in the following areas</w:t>
      </w:r>
      <w:r w:rsidRPr="006378A4">
        <w:rPr>
          <w:rFonts w:asciiTheme="minorHAnsi" w:hAnsiTheme="minorHAnsi" w:cstheme="minorHAnsi"/>
        </w:rPr>
        <w:t>:</w:t>
      </w:r>
    </w:p>
    <w:p w14:paraId="7C316647" w14:textId="77777777" w:rsidR="00E677D5" w:rsidRPr="00432B30" w:rsidRDefault="00E677D5" w:rsidP="00E677D5">
      <w:pPr>
        <w:contextualSpacing/>
        <w:rPr>
          <w:rFonts w:asciiTheme="minorHAnsi" w:hAnsiTheme="minorHAnsi" w:cstheme="minorHAnsi"/>
          <w:highlight w:val="yellow"/>
        </w:rPr>
      </w:pPr>
    </w:p>
    <w:p w14:paraId="0E2DAB54" w14:textId="55459A54" w:rsidR="00E677D5" w:rsidRPr="00525EA8" w:rsidRDefault="00E677D5" w:rsidP="00E677D5">
      <w:pPr>
        <w:pStyle w:val="ListParagraph"/>
        <w:numPr>
          <w:ilvl w:val="0"/>
          <w:numId w:val="12"/>
        </w:numPr>
        <w:rPr>
          <w:rFonts w:cstheme="minorHAnsi"/>
          <w:b/>
          <w:bCs/>
          <w:color w:val="191919"/>
          <w:sz w:val="24"/>
          <w:szCs w:val="24"/>
        </w:rPr>
      </w:pPr>
      <w:r w:rsidRPr="00525EA8">
        <w:rPr>
          <w:rFonts w:cstheme="minorHAnsi"/>
          <w:b/>
          <w:bCs/>
          <w:color w:val="191919"/>
          <w:sz w:val="24"/>
          <w:szCs w:val="24"/>
        </w:rPr>
        <w:t>Age:</w:t>
      </w:r>
      <w:r w:rsidRPr="00525EA8">
        <w:rPr>
          <w:rFonts w:cstheme="minorHAnsi"/>
          <w:color w:val="191919"/>
          <w:sz w:val="24"/>
          <w:szCs w:val="24"/>
        </w:rPr>
        <w:t xml:space="preserve"> </w:t>
      </w:r>
      <w:r w:rsidRPr="00525EA8">
        <w:rPr>
          <w:rFonts w:eastAsia="Verdana" w:cstheme="minorHAnsi"/>
          <w:sz w:val="24"/>
          <w:szCs w:val="24"/>
        </w:rPr>
        <w:t xml:space="preserve">The largest portion </w:t>
      </w:r>
      <w:r>
        <w:rPr>
          <w:rFonts w:eastAsia="Verdana" w:cstheme="minorHAnsi"/>
          <w:sz w:val="24"/>
          <w:szCs w:val="24"/>
        </w:rPr>
        <w:t xml:space="preserve">(35%) </w:t>
      </w:r>
      <w:r w:rsidRPr="00525EA8">
        <w:rPr>
          <w:rFonts w:eastAsia="Verdana" w:cstheme="minorHAnsi"/>
          <w:sz w:val="24"/>
          <w:szCs w:val="24"/>
        </w:rPr>
        <w:t>of BID-P’s patient population is aged 65+,</w:t>
      </w:r>
      <w:r w:rsidR="00BB780F">
        <w:rPr>
          <w:rFonts w:eastAsia="Verdana" w:cstheme="minorHAnsi"/>
          <w:sz w:val="24"/>
          <w:szCs w:val="24"/>
        </w:rPr>
        <w:t xml:space="preserve"> compared to only </w:t>
      </w:r>
      <w:r w:rsidR="00BF59E3">
        <w:rPr>
          <w:rFonts w:eastAsia="Verdana" w:cstheme="minorHAnsi"/>
          <w:sz w:val="24"/>
          <w:szCs w:val="24"/>
        </w:rPr>
        <w:t>28% of BILH’s overall Patient Panel.</w:t>
      </w:r>
    </w:p>
    <w:p w14:paraId="091280F9" w14:textId="095ED885" w:rsidR="00E677D5" w:rsidRPr="008258FB" w:rsidRDefault="00E677D5" w:rsidP="00E677D5">
      <w:pPr>
        <w:pStyle w:val="ListParagraph"/>
        <w:numPr>
          <w:ilvl w:val="0"/>
          <w:numId w:val="12"/>
        </w:numPr>
        <w:rPr>
          <w:rFonts w:cstheme="minorHAnsi"/>
          <w:b/>
          <w:bCs/>
          <w:color w:val="191919"/>
          <w:sz w:val="24"/>
          <w:szCs w:val="24"/>
        </w:rPr>
      </w:pPr>
      <w:r w:rsidRPr="008258FB">
        <w:rPr>
          <w:rFonts w:cstheme="minorHAnsi"/>
          <w:b/>
          <w:bCs/>
          <w:color w:val="191919"/>
          <w:sz w:val="24"/>
          <w:szCs w:val="24"/>
        </w:rPr>
        <w:t xml:space="preserve">Race: </w:t>
      </w:r>
      <w:r w:rsidR="00534B3C" w:rsidRPr="00191621">
        <w:rPr>
          <w:rFonts w:cstheme="minorHAnsi"/>
          <w:color w:val="191919"/>
          <w:sz w:val="24"/>
          <w:szCs w:val="24"/>
        </w:rPr>
        <w:t xml:space="preserve">A higher proportion of patients identify </w:t>
      </w:r>
      <w:r w:rsidR="00191621" w:rsidRPr="00191621">
        <w:rPr>
          <w:rFonts w:cstheme="minorHAnsi"/>
          <w:color w:val="191919"/>
          <w:sz w:val="24"/>
          <w:szCs w:val="24"/>
        </w:rPr>
        <w:t xml:space="preserve">as White (89%) compared to the </w:t>
      </w:r>
      <w:r w:rsidR="00BF59E3">
        <w:rPr>
          <w:rFonts w:cstheme="minorHAnsi"/>
          <w:color w:val="191919"/>
          <w:sz w:val="24"/>
          <w:szCs w:val="24"/>
        </w:rPr>
        <w:t xml:space="preserve">BILH </w:t>
      </w:r>
      <w:r w:rsidR="00191621" w:rsidRPr="00191621">
        <w:rPr>
          <w:rFonts w:cstheme="minorHAnsi"/>
          <w:color w:val="191919"/>
          <w:sz w:val="24"/>
          <w:szCs w:val="24"/>
        </w:rPr>
        <w:t>Patient Panel.</w:t>
      </w:r>
      <w:r w:rsidR="00811E56">
        <w:rPr>
          <w:rFonts w:cstheme="minorHAnsi"/>
          <w:color w:val="191919"/>
          <w:sz w:val="24"/>
          <w:szCs w:val="24"/>
        </w:rPr>
        <w:t xml:space="preserve"> This is consistent with the </w:t>
      </w:r>
      <w:r w:rsidR="005A1EAB">
        <w:rPr>
          <w:rFonts w:cstheme="minorHAnsi"/>
          <w:color w:val="191919"/>
          <w:sz w:val="24"/>
          <w:szCs w:val="24"/>
        </w:rPr>
        <w:t>demographics of Plymouth County</w:t>
      </w:r>
      <w:r w:rsidR="00E66253">
        <w:rPr>
          <w:rFonts w:cstheme="minorHAnsi"/>
          <w:color w:val="191919"/>
          <w:sz w:val="24"/>
          <w:szCs w:val="24"/>
        </w:rPr>
        <w:t>, as reported by the 2022 US Census.</w:t>
      </w:r>
      <w:r w:rsidR="00E66253">
        <w:rPr>
          <w:rStyle w:val="EndnoteReference"/>
          <w:rFonts w:cstheme="minorHAnsi"/>
          <w:color w:val="191919"/>
          <w:sz w:val="24"/>
          <w:szCs w:val="24"/>
        </w:rPr>
        <w:endnoteReference w:id="4"/>
      </w:r>
    </w:p>
    <w:p w14:paraId="28676E25" w14:textId="0D5CE6AD" w:rsidR="00E677D5" w:rsidRPr="004915CD" w:rsidRDefault="00E677D5" w:rsidP="00E677D5">
      <w:pPr>
        <w:pStyle w:val="ListParagraph"/>
        <w:numPr>
          <w:ilvl w:val="0"/>
          <w:numId w:val="12"/>
        </w:numPr>
        <w:rPr>
          <w:sz w:val="24"/>
          <w:szCs w:val="24"/>
        </w:rPr>
      </w:pPr>
      <w:r w:rsidRPr="006070FD">
        <w:rPr>
          <w:b/>
          <w:bCs/>
          <w:sz w:val="24"/>
          <w:szCs w:val="24"/>
        </w:rPr>
        <w:t>Payer Mix:</w:t>
      </w:r>
      <w:r w:rsidRPr="006070FD">
        <w:rPr>
          <w:sz w:val="24"/>
          <w:szCs w:val="24"/>
        </w:rPr>
        <w:t xml:space="preserve"> </w:t>
      </w:r>
      <w:r w:rsidR="00A673C7">
        <w:rPr>
          <w:sz w:val="24"/>
          <w:szCs w:val="24"/>
        </w:rPr>
        <w:t>BID-P has a larger portion</w:t>
      </w:r>
      <w:r w:rsidRPr="006070FD">
        <w:rPr>
          <w:sz w:val="24"/>
          <w:szCs w:val="24"/>
        </w:rPr>
        <w:t xml:space="preserve"> </w:t>
      </w:r>
      <w:r w:rsidR="00A673C7">
        <w:rPr>
          <w:sz w:val="24"/>
          <w:szCs w:val="24"/>
        </w:rPr>
        <w:t xml:space="preserve">covered </w:t>
      </w:r>
      <w:r w:rsidRPr="006070FD">
        <w:rPr>
          <w:sz w:val="24"/>
          <w:szCs w:val="24"/>
        </w:rPr>
        <w:t>by Medicare (31.30%</w:t>
      </w:r>
      <w:r w:rsidR="00A673C7">
        <w:rPr>
          <w:sz w:val="24"/>
          <w:szCs w:val="24"/>
        </w:rPr>
        <w:t xml:space="preserve"> at BID-P </w:t>
      </w:r>
      <w:r w:rsidR="003C2E04">
        <w:rPr>
          <w:sz w:val="24"/>
          <w:szCs w:val="24"/>
        </w:rPr>
        <w:t xml:space="preserve">versus </w:t>
      </w:r>
      <w:r w:rsidR="0019317E">
        <w:rPr>
          <w:sz w:val="24"/>
          <w:szCs w:val="24"/>
        </w:rPr>
        <w:t>BILH at 26%</w:t>
      </w:r>
      <w:r w:rsidRPr="006070FD">
        <w:rPr>
          <w:sz w:val="24"/>
          <w:szCs w:val="24"/>
        </w:rPr>
        <w:t>) and Medicaid (17%</w:t>
      </w:r>
      <w:r w:rsidR="0085346C">
        <w:rPr>
          <w:sz w:val="24"/>
          <w:szCs w:val="24"/>
        </w:rPr>
        <w:t xml:space="preserve"> at BID-P </w:t>
      </w:r>
      <w:r w:rsidR="0084263A">
        <w:rPr>
          <w:sz w:val="24"/>
          <w:szCs w:val="24"/>
        </w:rPr>
        <w:t>while BILH is at 10%</w:t>
      </w:r>
      <w:r w:rsidRPr="006070FD">
        <w:rPr>
          <w:sz w:val="24"/>
          <w:szCs w:val="24"/>
        </w:rPr>
        <w:t xml:space="preserve">). </w:t>
      </w:r>
      <w:r w:rsidR="006C63D1" w:rsidRPr="006070FD">
        <w:rPr>
          <w:sz w:val="24"/>
          <w:szCs w:val="24"/>
        </w:rPr>
        <w:t>BID-P patients</w:t>
      </w:r>
      <w:r w:rsidR="006C63D1">
        <w:rPr>
          <w:sz w:val="24"/>
          <w:szCs w:val="24"/>
        </w:rPr>
        <w:t xml:space="preserve"> have </w:t>
      </w:r>
      <w:r w:rsidR="009C1F70">
        <w:rPr>
          <w:sz w:val="24"/>
          <w:szCs w:val="24"/>
        </w:rPr>
        <w:t>a lower</w:t>
      </w:r>
      <w:r w:rsidR="006C63D1">
        <w:rPr>
          <w:sz w:val="24"/>
          <w:szCs w:val="24"/>
        </w:rPr>
        <w:t xml:space="preserve"> proportion of Commercially insured patients compared to the BILH Patient Panel</w:t>
      </w:r>
      <w:r w:rsidR="006C63D1" w:rsidRPr="006070FD">
        <w:rPr>
          <w:sz w:val="24"/>
          <w:szCs w:val="24"/>
        </w:rPr>
        <w:t xml:space="preserve"> (38.1%</w:t>
      </w:r>
      <w:r w:rsidR="006C63D1">
        <w:rPr>
          <w:sz w:val="24"/>
          <w:szCs w:val="24"/>
        </w:rPr>
        <w:t xml:space="preserve"> at BID-P and BILH at 53%</w:t>
      </w:r>
      <w:r w:rsidR="006C63D1" w:rsidRPr="006070FD">
        <w:rPr>
          <w:sz w:val="24"/>
          <w:szCs w:val="24"/>
        </w:rPr>
        <w:t>)</w:t>
      </w:r>
      <w:r w:rsidR="006C63D1">
        <w:rPr>
          <w:sz w:val="24"/>
          <w:szCs w:val="24"/>
        </w:rPr>
        <w:t>.</w:t>
      </w:r>
    </w:p>
    <w:p w14:paraId="22F9524B" w14:textId="2E483F4F" w:rsidR="00E677D5" w:rsidRPr="00432B30" w:rsidRDefault="00E677D5" w:rsidP="00E677D5">
      <w:pPr>
        <w:pStyle w:val="Caption"/>
        <w:spacing w:after="0"/>
        <w:contextualSpacing/>
        <w:jc w:val="center"/>
        <w:rPr>
          <w:rFonts w:cstheme="minorHAnsi"/>
          <w:color w:val="42558C" w:themeColor="accent1" w:themeShade="BF"/>
          <w:sz w:val="24"/>
          <w:szCs w:val="24"/>
          <w:highlight w:val="yellow"/>
        </w:rPr>
      </w:pPr>
      <w:r w:rsidRPr="006378A4">
        <w:rPr>
          <w:rFonts w:cstheme="minorHAnsi"/>
          <w:color w:val="42558C" w:themeColor="accent1" w:themeShade="BF"/>
          <w:sz w:val="24"/>
          <w:szCs w:val="24"/>
          <w:u w:val="single"/>
        </w:rPr>
        <w:t xml:space="preserve">Table </w:t>
      </w:r>
      <w:r w:rsidR="00A60FF9">
        <w:rPr>
          <w:rFonts w:cstheme="minorHAnsi"/>
          <w:color w:val="42558C" w:themeColor="accent1" w:themeShade="BF"/>
          <w:sz w:val="24"/>
          <w:szCs w:val="24"/>
          <w:u w:val="single"/>
        </w:rPr>
        <w:t>2</w:t>
      </w:r>
      <w:r w:rsidRPr="006378A4">
        <w:rPr>
          <w:rFonts w:cstheme="minorHAnsi"/>
          <w:color w:val="42558C" w:themeColor="accent1" w:themeShade="BF"/>
          <w:sz w:val="24"/>
          <w:szCs w:val="24"/>
        </w:rPr>
        <w:t>: Beth Israel Deaconess Hospital - Plymouth Patient Population</w:t>
      </w:r>
    </w:p>
    <w:tbl>
      <w:tblPr>
        <w:tblStyle w:val="TableGrid"/>
        <w:tblW w:w="0" w:type="auto"/>
        <w:jc w:val="center"/>
        <w:tblLook w:val="04A0" w:firstRow="1" w:lastRow="0" w:firstColumn="1" w:lastColumn="0" w:noHBand="0" w:noVBand="1"/>
      </w:tblPr>
      <w:tblGrid>
        <w:gridCol w:w="5215"/>
        <w:gridCol w:w="1980"/>
      </w:tblGrid>
      <w:tr w:rsidR="00E677D5" w:rsidRPr="00432B30" w14:paraId="64EEABAC" w14:textId="77777777" w:rsidTr="00F00FBF">
        <w:trPr>
          <w:cantSplit/>
          <w:trHeight w:val="144"/>
          <w:tblHeader/>
          <w:jc w:val="center"/>
        </w:trPr>
        <w:tc>
          <w:tcPr>
            <w:tcW w:w="5215" w:type="dxa"/>
            <w:tcBorders>
              <w:bottom w:val="single" w:sz="4" w:space="0" w:color="auto"/>
            </w:tcBorders>
            <w:shd w:val="clear" w:color="auto" w:fill="BFC8E1" w:themeFill="accent1" w:themeFillTint="66"/>
          </w:tcPr>
          <w:p w14:paraId="51D6BA59" w14:textId="77777777" w:rsidR="00E677D5" w:rsidRPr="00432B30" w:rsidRDefault="00E677D5" w:rsidP="00F00FBF">
            <w:pPr>
              <w:rPr>
                <w:rFonts w:asciiTheme="minorHAnsi" w:hAnsiTheme="minorHAnsi" w:cstheme="minorHAnsi"/>
                <w:highlight w:val="yellow"/>
              </w:rPr>
            </w:pPr>
          </w:p>
        </w:tc>
        <w:tc>
          <w:tcPr>
            <w:tcW w:w="1980" w:type="dxa"/>
            <w:tcBorders>
              <w:bottom w:val="single" w:sz="4" w:space="0" w:color="auto"/>
            </w:tcBorders>
            <w:shd w:val="clear" w:color="auto" w:fill="BFC8E1" w:themeFill="accent1" w:themeFillTint="66"/>
          </w:tcPr>
          <w:p w14:paraId="35B7BD87" w14:textId="77777777" w:rsidR="00E677D5" w:rsidRPr="00432B30" w:rsidRDefault="00E677D5" w:rsidP="00F00FBF">
            <w:pPr>
              <w:jc w:val="center"/>
              <w:rPr>
                <w:rFonts w:asciiTheme="minorHAnsi" w:eastAsia="Calibri" w:hAnsiTheme="minorHAnsi" w:cstheme="minorHAnsi"/>
                <w:b/>
                <w:highlight w:val="yellow"/>
              </w:rPr>
            </w:pPr>
            <w:r w:rsidRPr="006378A4">
              <w:rPr>
                <w:rFonts w:asciiTheme="minorHAnsi" w:eastAsia="Calibri" w:hAnsiTheme="minorHAnsi" w:cstheme="minorHAnsi"/>
                <w:b/>
              </w:rPr>
              <w:t>FY2022 Totals</w:t>
            </w:r>
          </w:p>
        </w:tc>
      </w:tr>
      <w:tr w:rsidR="00E677D5" w:rsidRPr="00432B30" w14:paraId="4B055FBE" w14:textId="77777777" w:rsidTr="00F00FBF">
        <w:trPr>
          <w:cantSplit/>
          <w:trHeight w:val="144"/>
          <w:jc w:val="center"/>
        </w:trPr>
        <w:tc>
          <w:tcPr>
            <w:tcW w:w="5215" w:type="dxa"/>
            <w:tcBorders>
              <w:bottom w:val="single" w:sz="4" w:space="0" w:color="auto"/>
            </w:tcBorders>
          </w:tcPr>
          <w:p w14:paraId="333CD833" w14:textId="77777777" w:rsidR="00E677D5" w:rsidRPr="006378A4" w:rsidRDefault="00E677D5" w:rsidP="00F00FBF">
            <w:pPr>
              <w:rPr>
                <w:rFonts w:asciiTheme="minorHAnsi" w:hAnsiTheme="minorHAnsi" w:cstheme="minorHAnsi"/>
              </w:rPr>
            </w:pPr>
            <w:r w:rsidRPr="006378A4">
              <w:rPr>
                <w:rFonts w:asciiTheme="minorHAnsi" w:eastAsia="Calibri" w:hAnsiTheme="minorHAnsi" w:cstheme="minorHAnsi"/>
                <w:b/>
              </w:rPr>
              <w:t>Total Unique Patients</w:t>
            </w:r>
          </w:p>
        </w:tc>
        <w:tc>
          <w:tcPr>
            <w:tcW w:w="1980" w:type="dxa"/>
            <w:tcBorders>
              <w:bottom w:val="single" w:sz="4" w:space="0" w:color="auto"/>
            </w:tcBorders>
          </w:tcPr>
          <w:p w14:paraId="403EF9E3" w14:textId="77777777" w:rsidR="00E677D5" w:rsidRPr="007C6C22" w:rsidRDefault="00E677D5" w:rsidP="00F00FBF">
            <w:pPr>
              <w:ind w:left="720" w:hanging="557"/>
              <w:contextualSpacing/>
              <w:jc w:val="right"/>
              <w:rPr>
                <w:rFonts w:asciiTheme="minorHAnsi" w:eastAsia="Calibri" w:hAnsiTheme="minorHAnsi" w:cstheme="minorHAnsi"/>
                <w:highlight w:val="yellow"/>
              </w:rPr>
            </w:pPr>
            <w:r w:rsidRPr="007C6C22">
              <w:rPr>
                <w:rFonts w:asciiTheme="minorHAnsi" w:hAnsiTheme="minorHAnsi" w:cstheme="minorHAnsi"/>
                <w:color w:val="000000"/>
              </w:rPr>
              <w:t>83,796</w:t>
            </w:r>
          </w:p>
        </w:tc>
      </w:tr>
      <w:tr w:rsidR="00E677D5" w:rsidRPr="00432B30" w14:paraId="5B8F3CCD" w14:textId="77777777" w:rsidTr="00F00FBF">
        <w:trPr>
          <w:cantSplit/>
          <w:trHeight w:val="144"/>
          <w:jc w:val="center"/>
        </w:trPr>
        <w:tc>
          <w:tcPr>
            <w:tcW w:w="5215" w:type="dxa"/>
            <w:tcBorders>
              <w:top w:val="single" w:sz="4" w:space="0" w:color="auto"/>
              <w:left w:val="single" w:sz="4" w:space="0" w:color="auto"/>
              <w:bottom w:val="nil"/>
              <w:right w:val="single" w:sz="4" w:space="0" w:color="auto"/>
            </w:tcBorders>
          </w:tcPr>
          <w:p w14:paraId="2660D785" w14:textId="77777777" w:rsidR="00E677D5" w:rsidRPr="006378A4" w:rsidRDefault="00E677D5" w:rsidP="00F00FBF">
            <w:pPr>
              <w:contextualSpacing/>
              <w:rPr>
                <w:rFonts w:asciiTheme="minorHAnsi" w:eastAsia="Calibri" w:hAnsiTheme="minorHAnsi" w:cstheme="minorHAnsi"/>
                <w:bCs/>
              </w:rPr>
            </w:pPr>
            <w:r w:rsidRPr="006378A4">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6C38D6A4" w14:textId="77777777" w:rsidR="00E677D5" w:rsidRPr="00432B30" w:rsidRDefault="00E677D5" w:rsidP="00F00FBF">
            <w:pPr>
              <w:contextualSpacing/>
              <w:rPr>
                <w:rFonts w:asciiTheme="minorHAnsi" w:eastAsia="Calibri" w:hAnsiTheme="minorHAnsi" w:cstheme="minorHAnsi"/>
                <w:bCs/>
                <w:highlight w:val="yellow"/>
              </w:rPr>
            </w:pPr>
          </w:p>
        </w:tc>
      </w:tr>
      <w:tr w:rsidR="00E677D5" w:rsidRPr="00432B30" w14:paraId="3284C5A0" w14:textId="77777777" w:rsidTr="00F00FBF">
        <w:trPr>
          <w:cantSplit/>
          <w:trHeight w:val="144"/>
          <w:jc w:val="center"/>
        </w:trPr>
        <w:tc>
          <w:tcPr>
            <w:tcW w:w="5215" w:type="dxa"/>
            <w:tcBorders>
              <w:top w:val="nil"/>
              <w:left w:val="single" w:sz="4" w:space="0" w:color="auto"/>
              <w:bottom w:val="nil"/>
              <w:right w:val="single" w:sz="4" w:space="0" w:color="auto"/>
            </w:tcBorders>
          </w:tcPr>
          <w:p w14:paraId="211C5B9E" w14:textId="77777777" w:rsidR="00E677D5" w:rsidRPr="006378A4" w:rsidRDefault="00E677D5" w:rsidP="00F00FBF">
            <w:pPr>
              <w:contextualSpacing/>
              <w:rPr>
                <w:rFonts w:asciiTheme="minorHAnsi" w:eastAsia="Calibri" w:hAnsiTheme="minorHAnsi" w:cstheme="minorHAnsi"/>
                <w:b/>
              </w:rPr>
            </w:pPr>
            <w:r w:rsidRPr="006378A4">
              <w:rPr>
                <w:rFonts w:asciiTheme="minorHAnsi" w:eastAsia="Calibri" w:hAnsiTheme="minorHAnsi" w:cstheme="minorHAnsi"/>
                <w:bCs/>
              </w:rPr>
              <w:t xml:space="preserve">    0-17</w:t>
            </w:r>
          </w:p>
        </w:tc>
        <w:tc>
          <w:tcPr>
            <w:tcW w:w="1980" w:type="dxa"/>
            <w:tcBorders>
              <w:top w:val="nil"/>
              <w:left w:val="single" w:sz="4" w:space="0" w:color="auto"/>
              <w:bottom w:val="nil"/>
              <w:right w:val="single" w:sz="4" w:space="0" w:color="auto"/>
            </w:tcBorders>
            <w:vAlign w:val="center"/>
          </w:tcPr>
          <w:p w14:paraId="57F37964" w14:textId="77777777" w:rsidR="00E677D5" w:rsidRPr="009F449A" w:rsidRDefault="00E677D5" w:rsidP="00F00FBF">
            <w:pPr>
              <w:ind w:left="720" w:hanging="557"/>
              <w:contextualSpacing/>
              <w:jc w:val="right"/>
              <w:rPr>
                <w:rFonts w:asciiTheme="minorHAnsi" w:eastAsia="Calibri" w:hAnsiTheme="minorHAnsi" w:cstheme="minorHAnsi"/>
                <w:bCs/>
                <w:highlight w:val="yellow"/>
              </w:rPr>
            </w:pPr>
            <w:r w:rsidRPr="009F449A">
              <w:rPr>
                <w:rFonts w:asciiTheme="minorHAnsi" w:hAnsiTheme="minorHAnsi" w:cstheme="minorHAnsi"/>
                <w:color w:val="000000"/>
              </w:rPr>
              <w:t>8.6</w:t>
            </w:r>
            <w:r>
              <w:rPr>
                <w:rFonts w:asciiTheme="minorHAnsi" w:hAnsiTheme="minorHAnsi" w:cstheme="minorHAnsi"/>
                <w:color w:val="000000"/>
              </w:rPr>
              <w:t>0</w:t>
            </w:r>
            <w:r w:rsidRPr="009F449A">
              <w:rPr>
                <w:rFonts w:asciiTheme="minorHAnsi" w:hAnsiTheme="minorHAnsi" w:cstheme="minorHAnsi"/>
                <w:color w:val="000000"/>
              </w:rPr>
              <w:t>%</w:t>
            </w:r>
          </w:p>
        </w:tc>
      </w:tr>
      <w:tr w:rsidR="00E677D5" w:rsidRPr="00432B30" w14:paraId="15E09C70" w14:textId="77777777" w:rsidTr="00F00FBF">
        <w:trPr>
          <w:cantSplit/>
          <w:trHeight w:val="144"/>
          <w:jc w:val="center"/>
        </w:trPr>
        <w:tc>
          <w:tcPr>
            <w:tcW w:w="5215" w:type="dxa"/>
            <w:tcBorders>
              <w:top w:val="nil"/>
              <w:left w:val="single" w:sz="4" w:space="0" w:color="auto"/>
              <w:bottom w:val="nil"/>
              <w:right w:val="single" w:sz="4" w:space="0" w:color="auto"/>
            </w:tcBorders>
          </w:tcPr>
          <w:p w14:paraId="2A9E4BDD" w14:textId="77777777" w:rsidR="00E677D5" w:rsidRPr="006378A4" w:rsidRDefault="00E677D5" w:rsidP="00F00FBF">
            <w:pPr>
              <w:ind w:left="720" w:hanging="557"/>
              <w:contextualSpacing/>
              <w:rPr>
                <w:rFonts w:asciiTheme="minorHAnsi" w:eastAsia="Calibri" w:hAnsiTheme="minorHAnsi" w:cstheme="minorHAnsi"/>
                <w:bCs/>
              </w:rPr>
            </w:pPr>
            <w:r w:rsidRPr="006378A4">
              <w:rPr>
                <w:rFonts w:asciiTheme="minorHAnsi" w:eastAsia="Calibri" w:hAnsiTheme="minorHAnsi" w:cstheme="minorHAnsi"/>
                <w:bCs/>
              </w:rPr>
              <w:t>18-</w:t>
            </w:r>
            <w:r>
              <w:rPr>
                <w:rFonts w:asciiTheme="minorHAnsi" w:eastAsia="Calibri" w:hAnsiTheme="minorHAnsi" w:cstheme="minorHAnsi"/>
                <w:bCs/>
              </w:rPr>
              <w:t>25</w:t>
            </w:r>
          </w:p>
        </w:tc>
        <w:tc>
          <w:tcPr>
            <w:tcW w:w="1980" w:type="dxa"/>
            <w:tcBorders>
              <w:top w:val="nil"/>
              <w:left w:val="single" w:sz="4" w:space="0" w:color="auto"/>
              <w:bottom w:val="nil"/>
              <w:right w:val="single" w:sz="4" w:space="0" w:color="auto"/>
            </w:tcBorders>
            <w:vAlign w:val="center"/>
          </w:tcPr>
          <w:p w14:paraId="15D134BB" w14:textId="77777777" w:rsidR="00E677D5" w:rsidRPr="009F449A" w:rsidRDefault="00E677D5" w:rsidP="00F00FBF">
            <w:pPr>
              <w:ind w:left="720" w:hanging="557"/>
              <w:contextualSpacing/>
              <w:jc w:val="right"/>
              <w:rPr>
                <w:rFonts w:asciiTheme="minorHAnsi" w:eastAsia="Calibri" w:hAnsiTheme="minorHAnsi" w:cstheme="minorHAnsi"/>
                <w:bCs/>
                <w:highlight w:val="yellow"/>
              </w:rPr>
            </w:pPr>
            <w:r w:rsidRPr="009F449A">
              <w:rPr>
                <w:rFonts w:asciiTheme="minorHAnsi" w:hAnsiTheme="minorHAnsi" w:cstheme="minorHAnsi"/>
                <w:color w:val="000000"/>
              </w:rPr>
              <w:t>6.1</w:t>
            </w:r>
            <w:r>
              <w:rPr>
                <w:rFonts w:asciiTheme="minorHAnsi" w:hAnsiTheme="minorHAnsi" w:cstheme="minorHAnsi"/>
                <w:color w:val="000000"/>
              </w:rPr>
              <w:t>0</w:t>
            </w:r>
            <w:r w:rsidRPr="009F449A">
              <w:rPr>
                <w:rFonts w:asciiTheme="minorHAnsi" w:hAnsiTheme="minorHAnsi" w:cstheme="minorHAnsi"/>
                <w:color w:val="000000"/>
              </w:rPr>
              <w:t>%</w:t>
            </w:r>
          </w:p>
        </w:tc>
      </w:tr>
      <w:tr w:rsidR="00E677D5" w:rsidRPr="00432B30" w14:paraId="3D354404" w14:textId="77777777" w:rsidTr="00F00FBF">
        <w:trPr>
          <w:cantSplit/>
          <w:trHeight w:val="144"/>
          <w:jc w:val="center"/>
        </w:trPr>
        <w:tc>
          <w:tcPr>
            <w:tcW w:w="5215" w:type="dxa"/>
            <w:tcBorders>
              <w:top w:val="nil"/>
              <w:left w:val="single" w:sz="4" w:space="0" w:color="auto"/>
              <w:bottom w:val="nil"/>
              <w:right w:val="single" w:sz="4" w:space="0" w:color="auto"/>
            </w:tcBorders>
          </w:tcPr>
          <w:p w14:paraId="64DE387F" w14:textId="77777777" w:rsidR="00E677D5" w:rsidRPr="006378A4" w:rsidRDefault="00E677D5" w:rsidP="00F00FBF">
            <w:pPr>
              <w:ind w:left="720" w:hanging="557"/>
              <w:contextualSpacing/>
              <w:rPr>
                <w:rFonts w:asciiTheme="minorHAnsi" w:eastAsia="Calibri" w:hAnsiTheme="minorHAnsi" w:cstheme="minorHAnsi"/>
                <w:bCs/>
              </w:rPr>
            </w:pPr>
            <w:r>
              <w:rPr>
                <w:rFonts w:asciiTheme="minorHAnsi" w:eastAsia="Calibri" w:hAnsiTheme="minorHAnsi" w:cstheme="minorHAnsi"/>
                <w:bCs/>
              </w:rPr>
              <w:t>26-45</w:t>
            </w:r>
          </w:p>
        </w:tc>
        <w:tc>
          <w:tcPr>
            <w:tcW w:w="1980" w:type="dxa"/>
            <w:tcBorders>
              <w:top w:val="nil"/>
              <w:left w:val="single" w:sz="4" w:space="0" w:color="auto"/>
              <w:bottom w:val="nil"/>
              <w:right w:val="single" w:sz="4" w:space="0" w:color="auto"/>
            </w:tcBorders>
            <w:vAlign w:val="center"/>
          </w:tcPr>
          <w:p w14:paraId="3C2A48BD" w14:textId="77777777" w:rsidR="00E677D5" w:rsidRPr="009F449A" w:rsidRDefault="00E677D5" w:rsidP="00F00FBF">
            <w:pPr>
              <w:ind w:left="720" w:hanging="557"/>
              <w:contextualSpacing/>
              <w:jc w:val="right"/>
              <w:rPr>
                <w:rFonts w:asciiTheme="minorHAnsi" w:hAnsiTheme="minorHAnsi" w:cstheme="minorHAnsi"/>
                <w:color w:val="000000"/>
                <w:highlight w:val="yellow"/>
              </w:rPr>
            </w:pPr>
            <w:r w:rsidRPr="009F449A">
              <w:rPr>
                <w:rFonts w:asciiTheme="minorHAnsi" w:hAnsiTheme="minorHAnsi" w:cstheme="minorHAnsi"/>
                <w:color w:val="000000"/>
              </w:rPr>
              <w:t>20.2</w:t>
            </w:r>
            <w:r>
              <w:rPr>
                <w:rFonts w:asciiTheme="minorHAnsi" w:hAnsiTheme="minorHAnsi" w:cstheme="minorHAnsi"/>
                <w:color w:val="000000"/>
              </w:rPr>
              <w:t>0</w:t>
            </w:r>
            <w:r w:rsidRPr="009F449A">
              <w:rPr>
                <w:rFonts w:asciiTheme="minorHAnsi" w:hAnsiTheme="minorHAnsi" w:cstheme="minorHAnsi"/>
                <w:color w:val="000000"/>
              </w:rPr>
              <w:t>%</w:t>
            </w:r>
          </w:p>
        </w:tc>
      </w:tr>
      <w:tr w:rsidR="00E677D5" w:rsidRPr="00432B30" w14:paraId="0226F57F" w14:textId="77777777" w:rsidTr="00F00FBF">
        <w:trPr>
          <w:cantSplit/>
          <w:trHeight w:val="144"/>
          <w:jc w:val="center"/>
        </w:trPr>
        <w:tc>
          <w:tcPr>
            <w:tcW w:w="5215" w:type="dxa"/>
            <w:tcBorders>
              <w:top w:val="nil"/>
              <w:left w:val="single" w:sz="4" w:space="0" w:color="auto"/>
              <w:bottom w:val="nil"/>
              <w:right w:val="single" w:sz="4" w:space="0" w:color="auto"/>
            </w:tcBorders>
          </w:tcPr>
          <w:p w14:paraId="3F7F20A0" w14:textId="77777777" w:rsidR="00E677D5" w:rsidRPr="006378A4" w:rsidRDefault="00E677D5" w:rsidP="00F00FBF">
            <w:pPr>
              <w:ind w:left="720" w:hanging="557"/>
              <w:contextualSpacing/>
              <w:rPr>
                <w:rFonts w:asciiTheme="minorHAnsi" w:eastAsia="Calibri" w:hAnsiTheme="minorHAnsi" w:cstheme="minorHAnsi"/>
                <w:bCs/>
              </w:rPr>
            </w:pPr>
            <w:r>
              <w:rPr>
                <w:rFonts w:asciiTheme="minorHAnsi" w:eastAsia="Calibri" w:hAnsiTheme="minorHAnsi" w:cstheme="minorHAnsi"/>
                <w:bCs/>
              </w:rPr>
              <w:t>46-64</w:t>
            </w:r>
          </w:p>
        </w:tc>
        <w:tc>
          <w:tcPr>
            <w:tcW w:w="1980" w:type="dxa"/>
            <w:tcBorders>
              <w:top w:val="nil"/>
              <w:left w:val="single" w:sz="4" w:space="0" w:color="auto"/>
              <w:bottom w:val="nil"/>
              <w:right w:val="single" w:sz="4" w:space="0" w:color="auto"/>
            </w:tcBorders>
            <w:vAlign w:val="center"/>
          </w:tcPr>
          <w:p w14:paraId="0B13656E" w14:textId="77777777" w:rsidR="00E677D5" w:rsidRPr="009F449A" w:rsidRDefault="00E677D5" w:rsidP="00F00FBF">
            <w:pPr>
              <w:ind w:left="720" w:hanging="557"/>
              <w:contextualSpacing/>
              <w:jc w:val="right"/>
              <w:rPr>
                <w:rFonts w:asciiTheme="minorHAnsi" w:hAnsiTheme="minorHAnsi" w:cstheme="minorHAnsi"/>
                <w:color w:val="000000"/>
                <w:highlight w:val="yellow"/>
              </w:rPr>
            </w:pPr>
            <w:r w:rsidRPr="009F449A">
              <w:rPr>
                <w:rFonts w:asciiTheme="minorHAnsi" w:hAnsiTheme="minorHAnsi" w:cstheme="minorHAnsi"/>
                <w:color w:val="000000"/>
              </w:rPr>
              <w:t>30.1</w:t>
            </w:r>
            <w:r>
              <w:rPr>
                <w:rFonts w:asciiTheme="minorHAnsi" w:hAnsiTheme="minorHAnsi" w:cstheme="minorHAnsi"/>
                <w:color w:val="000000"/>
              </w:rPr>
              <w:t>0</w:t>
            </w:r>
            <w:r w:rsidRPr="009F449A">
              <w:rPr>
                <w:rFonts w:asciiTheme="minorHAnsi" w:hAnsiTheme="minorHAnsi" w:cstheme="minorHAnsi"/>
                <w:color w:val="000000"/>
              </w:rPr>
              <w:t>%</w:t>
            </w:r>
          </w:p>
        </w:tc>
      </w:tr>
      <w:tr w:rsidR="00E677D5" w:rsidRPr="00432B30" w14:paraId="1B5B3DC5" w14:textId="77777777" w:rsidTr="00F00FBF">
        <w:trPr>
          <w:cantSplit/>
          <w:trHeight w:val="144"/>
          <w:jc w:val="center"/>
        </w:trPr>
        <w:tc>
          <w:tcPr>
            <w:tcW w:w="5215" w:type="dxa"/>
            <w:tcBorders>
              <w:top w:val="nil"/>
              <w:left w:val="single" w:sz="4" w:space="0" w:color="auto"/>
              <w:bottom w:val="nil"/>
              <w:right w:val="single" w:sz="4" w:space="0" w:color="auto"/>
            </w:tcBorders>
          </w:tcPr>
          <w:p w14:paraId="2BA4B605" w14:textId="77777777" w:rsidR="00E677D5" w:rsidRPr="006378A4" w:rsidRDefault="00E677D5" w:rsidP="00F00FBF">
            <w:pPr>
              <w:ind w:left="720" w:hanging="557"/>
              <w:contextualSpacing/>
              <w:rPr>
                <w:rFonts w:asciiTheme="minorHAnsi" w:eastAsia="Calibri" w:hAnsiTheme="minorHAnsi" w:cstheme="minorHAnsi"/>
                <w:bCs/>
              </w:rPr>
            </w:pPr>
            <w:r w:rsidRPr="006378A4">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vAlign w:val="center"/>
          </w:tcPr>
          <w:p w14:paraId="68E7B016" w14:textId="77777777" w:rsidR="00E677D5" w:rsidRPr="009F449A" w:rsidRDefault="00E677D5" w:rsidP="00F00FBF">
            <w:pPr>
              <w:ind w:left="720" w:hanging="557"/>
              <w:contextualSpacing/>
              <w:jc w:val="right"/>
              <w:rPr>
                <w:rFonts w:asciiTheme="minorHAnsi" w:eastAsia="Calibri" w:hAnsiTheme="minorHAnsi" w:cstheme="minorHAnsi"/>
                <w:bCs/>
                <w:highlight w:val="yellow"/>
              </w:rPr>
            </w:pPr>
            <w:r w:rsidRPr="009F449A">
              <w:rPr>
                <w:rFonts w:asciiTheme="minorHAnsi" w:hAnsiTheme="minorHAnsi" w:cstheme="minorHAnsi"/>
                <w:color w:val="000000"/>
              </w:rPr>
              <w:t>35.0</w:t>
            </w:r>
            <w:r>
              <w:rPr>
                <w:rFonts w:asciiTheme="minorHAnsi" w:hAnsiTheme="minorHAnsi" w:cstheme="minorHAnsi"/>
                <w:color w:val="000000"/>
              </w:rPr>
              <w:t>0</w:t>
            </w:r>
            <w:r w:rsidRPr="009F449A">
              <w:rPr>
                <w:rFonts w:asciiTheme="minorHAnsi" w:hAnsiTheme="minorHAnsi" w:cstheme="minorHAnsi"/>
                <w:color w:val="000000"/>
              </w:rPr>
              <w:t>%</w:t>
            </w:r>
          </w:p>
        </w:tc>
      </w:tr>
      <w:tr w:rsidR="00E677D5" w:rsidRPr="00432B30" w14:paraId="60750CD5" w14:textId="77777777" w:rsidTr="00F00FBF">
        <w:trPr>
          <w:cantSplit/>
          <w:trHeight w:val="144"/>
          <w:jc w:val="center"/>
        </w:trPr>
        <w:tc>
          <w:tcPr>
            <w:tcW w:w="5215" w:type="dxa"/>
            <w:tcBorders>
              <w:top w:val="nil"/>
              <w:left w:val="single" w:sz="4" w:space="0" w:color="auto"/>
              <w:bottom w:val="single" w:sz="4" w:space="0" w:color="auto"/>
              <w:right w:val="single" w:sz="4" w:space="0" w:color="auto"/>
            </w:tcBorders>
          </w:tcPr>
          <w:p w14:paraId="165D791F" w14:textId="77777777" w:rsidR="00E677D5" w:rsidRPr="006378A4" w:rsidRDefault="00E677D5" w:rsidP="00F00FBF">
            <w:pPr>
              <w:ind w:left="520" w:hanging="557"/>
              <w:contextualSpacing/>
              <w:rPr>
                <w:rFonts w:asciiTheme="minorHAnsi" w:eastAsia="Calibri" w:hAnsiTheme="minorHAnsi" w:cstheme="minorHAnsi"/>
                <w:b/>
              </w:rPr>
            </w:pPr>
            <w:r w:rsidRPr="006378A4">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vAlign w:val="center"/>
          </w:tcPr>
          <w:p w14:paraId="1AFC69D7" w14:textId="77777777" w:rsidR="00E677D5" w:rsidRPr="00432B30" w:rsidRDefault="00E677D5" w:rsidP="00F00FBF">
            <w:pPr>
              <w:ind w:left="720" w:hanging="557"/>
              <w:contextualSpacing/>
              <w:jc w:val="right"/>
              <w:rPr>
                <w:rFonts w:asciiTheme="minorHAnsi" w:eastAsia="Calibri" w:hAnsiTheme="minorHAnsi" w:cstheme="minorHAnsi"/>
                <w:b/>
                <w:bCs/>
                <w:highlight w:val="yellow"/>
              </w:rPr>
            </w:pPr>
            <w:r w:rsidRPr="009F449A">
              <w:rPr>
                <w:rFonts w:asciiTheme="minorHAnsi" w:hAnsiTheme="minorHAnsi" w:cstheme="minorHAnsi"/>
                <w:b/>
                <w:bCs/>
                <w:color w:val="000000"/>
              </w:rPr>
              <w:t>100.00%</w:t>
            </w:r>
          </w:p>
        </w:tc>
      </w:tr>
      <w:tr w:rsidR="00E677D5" w:rsidRPr="00432B30" w14:paraId="2F524C60" w14:textId="77777777" w:rsidTr="00F00FBF">
        <w:trPr>
          <w:cantSplit/>
          <w:trHeight w:val="144"/>
          <w:jc w:val="center"/>
        </w:trPr>
        <w:tc>
          <w:tcPr>
            <w:tcW w:w="5215" w:type="dxa"/>
            <w:tcBorders>
              <w:top w:val="single" w:sz="4" w:space="0" w:color="auto"/>
              <w:left w:val="single" w:sz="4" w:space="0" w:color="auto"/>
              <w:bottom w:val="nil"/>
              <w:right w:val="single" w:sz="4" w:space="0" w:color="auto"/>
            </w:tcBorders>
          </w:tcPr>
          <w:p w14:paraId="057A3C45" w14:textId="77777777" w:rsidR="00E677D5" w:rsidRPr="006378A4" w:rsidRDefault="00E677D5" w:rsidP="00F00FBF">
            <w:pPr>
              <w:contextualSpacing/>
              <w:rPr>
                <w:rFonts w:asciiTheme="minorHAnsi" w:eastAsia="Calibri" w:hAnsiTheme="minorHAnsi" w:cstheme="minorHAnsi"/>
                <w:b/>
              </w:rPr>
            </w:pPr>
            <w:bookmarkStart w:id="16" w:name="_Hlk147152989"/>
            <w:r w:rsidRPr="006378A4">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3D66E454" w14:textId="77777777" w:rsidR="00E677D5" w:rsidRPr="00432B30" w:rsidRDefault="00E677D5" w:rsidP="00F00FBF">
            <w:pPr>
              <w:rPr>
                <w:rFonts w:asciiTheme="minorHAnsi" w:hAnsiTheme="minorHAnsi" w:cstheme="minorHAnsi"/>
                <w:b/>
                <w:bCs/>
                <w:color w:val="000000"/>
                <w:highlight w:val="yellow"/>
              </w:rPr>
            </w:pPr>
          </w:p>
        </w:tc>
      </w:tr>
      <w:tr w:rsidR="00E677D5" w:rsidRPr="00432B30" w14:paraId="04162F14"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0348BAE6" w14:textId="77777777" w:rsidR="00E677D5" w:rsidRPr="006378A4" w:rsidRDefault="00E677D5" w:rsidP="00F00FBF">
            <w:pPr>
              <w:ind w:left="720" w:hanging="557"/>
              <w:contextualSpacing/>
              <w:rPr>
                <w:rFonts w:asciiTheme="minorHAnsi" w:hAnsiTheme="minorHAnsi" w:cstheme="minorHAnsi"/>
                <w:spacing w:val="-2"/>
              </w:rPr>
            </w:pPr>
            <w:r w:rsidRPr="006378A4">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center"/>
          </w:tcPr>
          <w:p w14:paraId="1836A9A0" w14:textId="77777777" w:rsidR="00E677D5" w:rsidRPr="00685CAA" w:rsidRDefault="00E677D5" w:rsidP="00F00FBF">
            <w:pPr>
              <w:ind w:left="720" w:hanging="557"/>
              <w:contextualSpacing/>
              <w:jc w:val="right"/>
              <w:rPr>
                <w:rFonts w:asciiTheme="minorHAnsi" w:hAnsiTheme="minorHAnsi" w:cstheme="minorHAnsi"/>
                <w:color w:val="000000"/>
                <w:highlight w:val="yellow"/>
              </w:rPr>
            </w:pPr>
            <w:r w:rsidRPr="00685CAA">
              <w:rPr>
                <w:rFonts w:asciiTheme="minorHAnsi" w:hAnsiTheme="minorHAnsi" w:cstheme="minorHAnsi"/>
                <w:color w:val="000000"/>
              </w:rPr>
              <w:t>89.10%</w:t>
            </w:r>
          </w:p>
        </w:tc>
      </w:tr>
      <w:tr w:rsidR="00E677D5" w:rsidRPr="00432B30" w14:paraId="59C9F217"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6218D579"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African American</w:t>
            </w:r>
          </w:p>
        </w:tc>
        <w:tc>
          <w:tcPr>
            <w:tcW w:w="1980" w:type="dxa"/>
            <w:tcBorders>
              <w:top w:val="nil"/>
              <w:left w:val="single" w:sz="4" w:space="0" w:color="auto"/>
              <w:bottom w:val="nil"/>
              <w:right w:val="single" w:sz="4" w:space="0" w:color="auto"/>
            </w:tcBorders>
            <w:vAlign w:val="center"/>
          </w:tcPr>
          <w:p w14:paraId="6DC28089" w14:textId="77777777" w:rsidR="00E677D5" w:rsidRPr="00685CAA" w:rsidRDefault="00E677D5" w:rsidP="00F00FBF">
            <w:pPr>
              <w:jc w:val="right"/>
              <w:rPr>
                <w:rFonts w:asciiTheme="minorHAnsi" w:hAnsiTheme="minorHAnsi" w:cstheme="minorHAnsi"/>
                <w:color w:val="000000"/>
                <w:highlight w:val="yellow"/>
              </w:rPr>
            </w:pPr>
            <w:r w:rsidRPr="00685CAA">
              <w:rPr>
                <w:rFonts w:asciiTheme="minorHAnsi" w:hAnsiTheme="minorHAnsi" w:cstheme="minorHAnsi"/>
                <w:color w:val="000000"/>
              </w:rPr>
              <w:t>2.10%</w:t>
            </w:r>
          </w:p>
        </w:tc>
      </w:tr>
      <w:tr w:rsidR="00E677D5" w:rsidRPr="00432B30" w14:paraId="56CFDA25"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335952F8"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center"/>
          </w:tcPr>
          <w:p w14:paraId="04D0BC2E" w14:textId="77777777" w:rsidR="00E677D5" w:rsidRPr="00685CAA" w:rsidRDefault="00E677D5" w:rsidP="00F00FBF">
            <w:pPr>
              <w:jc w:val="right"/>
              <w:rPr>
                <w:rFonts w:asciiTheme="minorHAnsi" w:hAnsiTheme="minorHAnsi" w:cstheme="minorHAnsi"/>
                <w:color w:val="000000"/>
                <w:highlight w:val="yellow"/>
              </w:rPr>
            </w:pPr>
            <w:r w:rsidRPr="00685CAA">
              <w:rPr>
                <w:rFonts w:asciiTheme="minorHAnsi" w:hAnsiTheme="minorHAnsi" w:cstheme="minorHAnsi"/>
                <w:color w:val="000000"/>
              </w:rPr>
              <w:t>0.10%</w:t>
            </w:r>
          </w:p>
        </w:tc>
      </w:tr>
      <w:tr w:rsidR="00E677D5" w:rsidRPr="00432B30" w14:paraId="0C203572"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7EF0A86F"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center"/>
          </w:tcPr>
          <w:p w14:paraId="717AB936" w14:textId="77777777" w:rsidR="00E677D5" w:rsidRPr="00685CAA" w:rsidRDefault="00E677D5" w:rsidP="00F00FBF">
            <w:pPr>
              <w:jc w:val="right"/>
              <w:rPr>
                <w:rFonts w:asciiTheme="minorHAnsi" w:hAnsiTheme="minorHAnsi" w:cstheme="minorHAnsi"/>
                <w:color w:val="000000"/>
                <w:highlight w:val="yellow"/>
              </w:rPr>
            </w:pPr>
            <w:r w:rsidRPr="00685CAA">
              <w:rPr>
                <w:rFonts w:asciiTheme="minorHAnsi" w:hAnsiTheme="minorHAnsi" w:cstheme="minorHAnsi"/>
                <w:color w:val="000000"/>
              </w:rPr>
              <w:t>0.60%</w:t>
            </w:r>
          </w:p>
        </w:tc>
      </w:tr>
      <w:tr w:rsidR="00E677D5" w:rsidRPr="00432B30" w14:paraId="612D7654"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4AAF0E63"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center"/>
          </w:tcPr>
          <w:p w14:paraId="38C7B9BE" w14:textId="77777777" w:rsidR="00E677D5" w:rsidRPr="00685CAA" w:rsidRDefault="00E677D5" w:rsidP="00F00FBF">
            <w:pPr>
              <w:jc w:val="right"/>
              <w:rPr>
                <w:rFonts w:asciiTheme="minorHAnsi" w:hAnsiTheme="minorHAnsi" w:cstheme="minorHAnsi"/>
                <w:color w:val="000000"/>
                <w:highlight w:val="yellow"/>
              </w:rPr>
            </w:pPr>
            <w:r w:rsidRPr="00685CAA">
              <w:rPr>
                <w:rFonts w:asciiTheme="minorHAnsi" w:hAnsiTheme="minorHAnsi" w:cstheme="minorHAnsi"/>
                <w:color w:val="000000"/>
              </w:rPr>
              <w:t>0.00%</w:t>
            </w:r>
          </w:p>
        </w:tc>
      </w:tr>
      <w:tr w:rsidR="00E677D5" w:rsidRPr="00432B30" w14:paraId="219B3B79"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28215939"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Other</w:t>
            </w:r>
            <w:r>
              <w:rPr>
                <w:rStyle w:val="FootnoteReference"/>
                <w:rFonts w:asciiTheme="minorHAnsi" w:hAnsiTheme="minorHAnsi" w:cstheme="minorHAnsi"/>
                <w:color w:val="000000"/>
              </w:rPr>
              <w:footnoteReference w:id="7"/>
            </w:r>
          </w:p>
        </w:tc>
        <w:tc>
          <w:tcPr>
            <w:tcW w:w="1980" w:type="dxa"/>
            <w:tcBorders>
              <w:top w:val="nil"/>
              <w:left w:val="single" w:sz="4" w:space="0" w:color="auto"/>
              <w:bottom w:val="nil"/>
              <w:right w:val="single" w:sz="4" w:space="0" w:color="auto"/>
            </w:tcBorders>
            <w:vAlign w:val="center"/>
          </w:tcPr>
          <w:p w14:paraId="226897FB" w14:textId="77777777" w:rsidR="00E677D5" w:rsidRPr="00685CAA" w:rsidRDefault="00E677D5" w:rsidP="00F00FBF">
            <w:pPr>
              <w:jc w:val="right"/>
              <w:rPr>
                <w:rFonts w:asciiTheme="minorHAnsi" w:hAnsiTheme="minorHAnsi" w:cstheme="minorHAnsi"/>
                <w:color w:val="000000"/>
                <w:highlight w:val="yellow"/>
              </w:rPr>
            </w:pPr>
            <w:r w:rsidRPr="00685CAA">
              <w:rPr>
                <w:rFonts w:asciiTheme="minorHAnsi" w:hAnsiTheme="minorHAnsi" w:cstheme="minorHAnsi"/>
                <w:color w:val="000000"/>
              </w:rPr>
              <w:t>1.40%</w:t>
            </w:r>
          </w:p>
        </w:tc>
      </w:tr>
      <w:tr w:rsidR="00E677D5" w:rsidRPr="00432B30" w14:paraId="588238AF"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5B4548C7"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Patient Declined</w:t>
            </w:r>
          </w:p>
        </w:tc>
        <w:tc>
          <w:tcPr>
            <w:tcW w:w="1980" w:type="dxa"/>
            <w:tcBorders>
              <w:top w:val="nil"/>
              <w:left w:val="single" w:sz="4" w:space="0" w:color="auto"/>
              <w:bottom w:val="nil"/>
              <w:right w:val="single" w:sz="4" w:space="0" w:color="auto"/>
            </w:tcBorders>
            <w:vAlign w:val="center"/>
          </w:tcPr>
          <w:p w14:paraId="0C05E080" w14:textId="77777777" w:rsidR="00E677D5" w:rsidRPr="00685CAA" w:rsidRDefault="00E677D5" w:rsidP="00F00FBF">
            <w:pPr>
              <w:jc w:val="right"/>
              <w:rPr>
                <w:rFonts w:asciiTheme="minorHAnsi" w:hAnsiTheme="minorHAnsi" w:cstheme="minorHAnsi"/>
                <w:color w:val="000000"/>
                <w:highlight w:val="yellow"/>
              </w:rPr>
            </w:pPr>
            <w:r w:rsidRPr="00685CAA">
              <w:rPr>
                <w:rFonts w:asciiTheme="minorHAnsi" w:hAnsiTheme="minorHAnsi" w:cstheme="minorHAnsi"/>
                <w:color w:val="000000"/>
              </w:rPr>
              <w:t>6.70%</w:t>
            </w:r>
          </w:p>
        </w:tc>
      </w:tr>
      <w:tr w:rsidR="00E677D5" w:rsidRPr="00432B30" w14:paraId="545AFC57" w14:textId="77777777" w:rsidTr="00F00FBF">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16C57588" w14:textId="77777777" w:rsidR="00E677D5" w:rsidRPr="006378A4" w:rsidRDefault="00E677D5" w:rsidP="00F00FBF">
            <w:pPr>
              <w:ind w:left="520" w:hanging="557"/>
              <w:contextualSpacing/>
              <w:rPr>
                <w:rFonts w:asciiTheme="minorHAnsi" w:hAnsiTheme="minorHAnsi" w:cstheme="minorHAnsi"/>
                <w:b/>
                <w:bCs/>
              </w:rPr>
            </w:pPr>
            <w:r w:rsidRPr="006378A4">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vAlign w:val="center"/>
          </w:tcPr>
          <w:p w14:paraId="303AA1B9" w14:textId="77777777" w:rsidR="00E677D5" w:rsidRPr="00685CAA" w:rsidRDefault="00E677D5" w:rsidP="00F00FBF">
            <w:pPr>
              <w:jc w:val="right"/>
              <w:rPr>
                <w:rFonts w:asciiTheme="minorHAnsi" w:hAnsiTheme="minorHAnsi" w:cstheme="minorHAnsi"/>
                <w:b/>
                <w:bCs/>
                <w:color w:val="000000"/>
                <w:highlight w:val="yellow"/>
              </w:rPr>
            </w:pPr>
            <w:r w:rsidRPr="00685CAA">
              <w:rPr>
                <w:rFonts w:asciiTheme="minorHAnsi" w:hAnsiTheme="minorHAnsi" w:cstheme="minorHAnsi"/>
                <w:b/>
                <w:bCs/>
                <w:color w:val="000000"/>
              </w:rPr>
              <w:t>100.00%</w:t>
            </w:r>
          </w:p>
        </w:tc>
      </w:tr>
      <w:bookmarkEnd w:id="16"/>
      <w:tr w:rsidR="00E677D5" w:rsidRPr="00432B30" w14:paraId="3EA596FD" w14:textId="77777777" w:rsidTr="00F00FBF">
        <w:trPr>
          <w:cantSplit/>
          <w:trHeight w:val="144"/>
          <w:jc w:val="center"/>
        </w:trPr>
        <w:tc>
          <w:tcPr>
            <w:tcW w:w="5215" w:type="dxa"/>
            <w:tcBorders>
              <w:top w:val="single" w:sz="4" w:space="0" w:color="auto"/>
              <w:left w:val="single" w:sz="4" w:space="0" w:color="auto"/>
              <w:bottom w:val="nil"/>
              <w:right w:val="single" w:sz="4" w:space="0" w:color="auto"/>
            </w:tcBorders>
          </w:tcPr>
          <w:p w14:paraId="6AA0ABDD" w14:textId="77777777" w:rsidR="00E677D5" w:rsidRPr="006378A4" w:rsidRDefault="00E677D5" w:rsidP="00F00FBF">
            <w:pPr>
              <w:contextualSpacing/>
              <w:rPr>
                <w:rFonts w:asciiTheme="minorHAnsi" w:eastAsia="Calibri" w:hAnsiTheme="minorHAnsi" w:cstheme="minorHAnsi"/>
                <w:b/>
              </w:rPr>
            </w:pPr>
            <w:r w:rsidRPr="006378A4">
              <w:rPr>
                <w:rFonts w:asciiTheme="minorHAnsi" w:eastAsia="Calibri" w:hAnsiTheme="minorHAnsi" w:cstheme="minorHAnsi"/>
                <w:b/>
              </w:rPr>
              <w:t>Payer Mix</w:t>
            </w:r>
          </w:p>
        </w:tc>
        <w:tc>
          <w:tcPr>
            <w:tcW w:w="1980" w:type="dxa"/>
            <w:tcBorders>
              <w:top w:val="single" w:sz="4" w:space="0" w:color="auto"/>
              <w:left w:val="single" w:sz="4" w:space="0" w:color="auto"/>
              <w:bottom w:val="nil"/>
              <w:right w:val="single" w:sz="4" w:space="0" w:color="auto"/>
            </w:tcBorders>
          </w:tcPr>
          <w:p w14:paraId="30EE3CF7" w14:textId="77777777" w:rsidR="00E677D5" w:rsidRPr="00432B30" w:rsidRDefault="00E677D5" w:rsidP="00F00FBF">
            <w:pPr>
              <w:contextualSpacing/>
              <w:rPr>
                <w:rFonts w:asciiTheme="minorHAnsi" w:eastAsia="Calibri" w:hAnsiTheme="minorHAnsi" w:cstheme="minorHAnsi"/>
                <w:bCs/>
                <w:highlight w:val="yellow"/>
              </w:rPr>
            </w:pPr>
          </w:p>
        </w:tc>
      </w:tr>
      <w:tr w:rsidR="00E677D5" w:rsidRPr="00432B30" w14:paraId="654BE93D"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719E37C8" w14:textId="77777777" w:rsidR="00E677D5" w:rsidRPr="006378A4" w:rsidRDefault="00E677D5" w:rsidP="00F00FBF">
            <w:pPr>
              <w:contextualSpacing/>
              <w:rPr>
                <w:rFonts w:asciiTheme="minorHAnsi" w:eastAsia="Calibri" w:hAnsiTheme="minorHAnsi" w:cstheme="minorHAnsi"/>
                <w:b/>
              </w:rPr>
            </w:pPr>
            <w:r w:rsidRPr="006378A4">
              <w:rPr>
                <w:rFonts w:asciiTheme="minorHAnsi" w:hAnsiTheme="minorHAnsi" w:cstheme="minorHAnsi"/>
                <w:color w:val="000000"/>
              </w:rPr>
              <w:t xml:space="preserve">   Commercial</w:t>
            </w:r>
          </w:p>
        </w:tc>
        <w:tc>
          <w:tcPr>
            <w:tcW w:w="1980" w:type="dxa"/>
            <w:tcBorders>
              <w:top w:val="nil"/>
              <w:left w:val="single" w:sz="4" w:space="0" w:color="auto"/>
              <w:bottom w:val="nil"/>
              <w:right w:val="single" w:sz="4" w:space="0" w:color="auto"/>
            </w:tcBorders>
          </w:tcPr>
          <w:p w14:paraId="5DCEE59F" w14:textId="77777777" w:rsidR="00E677D5" w:rsidRPr="003D5EE4" w:rsidRDefault="00E677D5" w:rsidP="00F00FBF">
            <w:pPr>
              <w:ind w:left="720" w:hanging="557"/>
              <w:contextualSpacing/>
              <w:jc w:val="right"/>
              <w:rPr>
                <w:rFonts w:asciiTheme="minorHAnsi" w:hAnsiTheme="minorHAnsi" w:cstheme="minorHAnsi"/>
                <w:spacing w:val="-5"/>
                <w:highlight w:val="yellow"/>
              </w:rPr>
            </w:pPr>
            <w:r w:rsidRPr="003D5EE4">
              <w:rPr>
                <w:rFonts w:asciiTheme="minorHAnsi" w:hAnsiTheme="minorHAnsi" w:cstheme="minorHAnsi"/>
              </w:rPr>
              <w:t>38.1</w:t>
            </w:r>
            <w:r>
              <w:rPr>
                <w:rFonts w:asciiTheme="minorHAnsi" w:hAnsiTheme="minorHAnsi" w:cstheme="minorHAnsi"/>
              </w:rPr>
              <w:t>0</w:t>
            </w:r>
            <w:r w:rsidRPr="003D5EE4">
              <w:rPr>
                <w:rFonts w:asciiTheme="minorHAnsi" w:hAnsiTheme="minorHAnsi" w:cstheme="minorHAnsi"/>
              </w:rPr>
              <w:t>%</w:t>
            </w:r>
          </w:p>
        </w:tc>
      </w:tr>
      <w:tr w:rsidR="00E677D5" w:rsidRPr="00432B30" w14:paraId="1BD36167"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2C3FB941"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Medica</w:t>
            </w:r>
            <w:r>
              <w:rPr>
                <w:rFonts w:asciiTheme="minorHAnsi" w:hAnsiTheme="minorHAnsi" w:cstheme="minorHAnsi"/>
                <w:color w:val="000000"/>
              </w:rPr>
              <w:t>id</w:t>
            </w:r>
          </w:p>
        </w:tc>
        <w:tc>
          <w:tcPr>
            <w:tcW w:w="1980" w:type="dxa"/>
            <w:tcBorders>
              <w:top w:val="nil"/>
              <w:left w:val="single" w:sz="4" w:space="0" w:color="auto"/>
              <w:bottom w:val="nil"/>
              <w:right w:val="single" w:sz="4" w:space="0" w:color="auto"/>
            </w:tcBorders>
          </w:tcPr>
          <w:p w14:paraId="23B2C244" w14:textId="77777777" w:rsidR="00E677D5" w:rsidRPr="003D5EE4" w:rsidRDefault="00E677D5" w:rsidP="00F00FBF">
            <w:pPr>
              <w:ind w:left="720" w:hanging="557"/>
              <w:contextualSpacing/>
              <w:jc w:val="right"/>
              <w:rPr>
                <w:rFonts w:asciiTheme="minorHAnsi" w:hAnsiTheme="minorHAnsi" w:cstheme="minorHAnsi"/>
                <w:spacing w:val="-5"/>
                <w:highlight w:val="yellow"/>
              </w:rPr>
            </w:pPr>
            <w:r w:rsidRPr="003D5EE4">
              <w:rPr>
                <w:rFonts w:asciiTheme="minorHAnsi" w:hAnsiTheme="minorHAnsi" w:cstheme="minorHAnsi"/>
              </w:rPr>
              <w:t>17.1</w:t>
            </w:r>
            <w:r>
              <w:rPr>
                <w:rFonts w:asciiTheme="minorHAnsi" w:hAnsiTheme="minorHAnsi" w:cstheme="minorHAnsi"/>
              </w:rPr>
              <w:t>0</w:t>
            </w:r>
            <w:r w:rsidRPr="003D5EE4">
              <w:rPr>
                <w:rFonts w:asciiTheme="minorHAnsi" w:hAnsiTheme="minorHAnsi" w:cstheme="minorHAnsi"/>
              </w:rPr>
              <w:t>%</w:t>
            </w:r>
          </w:p>
        </w:tc>
      </w:tr>
      <w:tr w:rsidR="00E677D5" w:rsidRPr="00432B30" w14:paraId="589D7B37"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174C76D3" w14:textId="77777777" w:rsidR="00E677D5" w:rsidRPr="006378A4" w:rsidRDefault="00E677D5" w:rsidP="00F00FBF">
            <w:pPr>
              <w:ind w:left="720" w:hanging="557"/>
              <w:contextualSpacing/>
              <w:rPr>
                <w:rFonts w:asciiTheme="minorHAnsi" w:hAnsiTheme="minorHAnsi" w:cstheme="minorHAnsi"/>
                <w:bCs/>
                <w:spacing w:val="-2"/>
              </w:rPr>
            </w:pPr>
            <w:r w:rsidRPr="006378A4">
              <w:rPr>
                <w:rFonts w:asciiTheme="minorHAnsi" w:hAnsiTheme="minorHAnsi" w:cstheme="minorHAnsi"/>
                <w:color w:val="000000"/>
              </w:rPr>
              <w:t>Medica</w:t>
            </w:r>
            <w:r>
              <w:rPr>
                <w:rFonts w:asciiTheme="minorHAnsi" w:hAnsiTheme="minorHAnsi" w:cstheme="minorHAnsi"/>
                <w:color w:val="000000"/>
              </w:rPr>
              <w:t>re</w:t>
            </w:r>
          </w:p>
        </w:tc>
        <w:tc>
          <w:tcPr>
            <w:tcW w:w="1980" w:type="dxa"/>
            <w:tcBorders>
              <w:top w:val="nil"/>
              <w:left w:val="single" w:sz="4" w:space="0" w:color="auto"/>
              <w:bottom w:val="nil"/>
              <w:right w:val="single" w:sz="4" w:space="0" w:color="auto"/>
            </w:tcBorders>
          </w:tcPr>
          <w:p w14:paraId="6B773E4A" w14:textId="77777777" w:rsidR="00E677D5" w:rsidRPr="003D5EE4" w:rsidRDefault="00E677D5" w:rsidP="00F00FBF">
            <w:pPr>
              <w:ind w:left="720" w:hanging="557"/>
              <w:contextualSpacing/>
              <w:jc w:val="right"/>
              <w:rPr>
                <w:rFonts w:asciiTheme="minorHAnsi" w:hAnsiTheme="minorHAnsi" w:cstheme="minorHAnsi"/>
                <w:spacing w:val="-5"/>
                <w:highlight w:val="yellow"/>
              </w:rPr>
            </w:pPr>
            <w:r w:rsidRPr="003D5EE4">
              <w:rPr>
                <w:rFonts w:asciiTheme="minorHAnsi" w:hAnsiTheme="minorHAnsi" w:cstheme="minorHAnsi"/>
              </w:rPr>
              <w:t>31.3</w:t>
            </w:r>
            <w:r>
              <w:rPr>
                <w:rFonts w:asciiTheme="minorHAnsi" w:hAnsiTheme="minorHAnsi" w:cstheme="minorHAnsi"/>
              </w:rPr>
              <w:t>0</w:t>
            </w:r>
            <w:r w:rsidRPr="003D5EE4">
              <w:rPr>
                <w:rFonts w:asciiTheme="minorHAnsi" w:hAnsiTheme="minorHAnsi" w:cstheme="minorHAnsi"/>
              </w:rPr>
              <w:t>%</w:t>
            </w:r>
          </w:p>
        </w:tc>
      </w:tr>
      <w:tr w:rsidR="00E677D5" w:rsidRPr="00432B30" w14:paraId="50A54B45"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2C8CE132" w14:textId="77777777" w:rsidR="00E677D5" w:rsidRPr="006378A4" w:rsidRDefault="00E677D5" w:rsidP="00F00FBF">
            <w:pPr>
              <w:ind w:left="720" w:hanging="557"/>
              <w:contextualSpacing/>
              <w:rPr>
                <w:rFonts w:asciiTheme="minorHAnsi" w:hAnsiTheme="minorHAnsi" w:cstheme="minorHAnsi"/>
                <w:bCs/>
                <w:spacing w:val="-2"/>
              </w:rPr>
            </w:pPr>
            <w:r w:rsidRPr="00013A97">
              <w:rPr>
                <w:rFonts w:asciiTheme="minorHAnsi" w:hAnsiTheme="minorHAnsi" w:cstheme="minorHAnsi"/>
                <w:color w:val="000000"/>
              </w:rPr>
              <w:t>Other</w:t>
            </w:r>
            <w:r w:rsidRPr="00013A97">
              <w:rPr>
                <w:rStyle w:val="FootnoteReference"/>
                <w:rFonts w:asciiTheme="minorHAnsi" w:hAnsiTheme="minorHAnsi" w:cstheme="minorHAnsi"/>
                <w:color w:val="000000"/>
              </w:rPr>
              <w:footnoteReference w:id="8"/>
            </w:r>
          </w:p>
        </w:tc>
        <w:tc>
          <w:tcPr>
            <w:tcW w:w="1980" w:type="dxa"/>
            <w:tcBorders>
              <w:top w:val="nil"/>
              <w:left w:val="single" w:sz="4" w:space="0" w:color="auto"/>
              <w:bottom w:val="nil"/>
              <w:right w:val="single" w:sz="4" w:space="0" w:color="auto"/>
            </w:tcBorders>
          </w:tcPr>
          <w:p w14:paraId="33A80A70" w14:textId="77777777" w:rsidR="00E677D5" w:rsidRPr="003D5EE4" w:rsidRDefault="00E677D5" w:rsidP="00F00FBF">
            <w:pPr>
              <w:ind w:left="720" w:hanging="557"/>
              <w:contextualSpacing/>
              <w:jc w:val="right"/>
              <w:rPr>
                <w:rFonts w:asciiTheme="minorHAnsi" w:hAnsiTheme="minorHAnsi" w:cstheme="minorHAnsi"/>
                <w:spacing w:val="-5"/>
                <w:highlight w:val="yellow"/>
              </w:rPr>
            </w:pPr>
            <w:r w:rsidRPr="003D5EE4">
              <w:rPr>
                <w:rFonts w:asciiTheme="minorHAnsi" w:hAnsiTheme="minorHAnsi" w:cstheme="minorHAnsi"/>
              </w:rPr>
              <w:t>13.4</w:t>
            </w:r>
            <w:r>
              <w:rPr>
                <w:rFonts w:asciiTheme="minorHAnsi" w:hAnsiTheme="minorHAnsi" w:cstheme="minorHAnsi"/>
              </w:rPr>
              <w:t>0</w:t>
            </w:r>
            <w:r w:rsidRPr="003D5EE4">
              <w:rPr>
                <w:rFonts w:asciiTheme="minorHAnsi" w:hAnsiTheme="minorHAnsi" w:cstheme="minorHAnsi"/>
              </w:rPr>
              <w:t>%</w:t>
            </w:r>
          </w:p>
        </w:tc>
      </w:tr>
      <w:tr w:rsidR="00E677D5" w:rsidRPr="00432B30" w14:paraId="7F0A3C8F" w14:textId="77777777" w:rsidTr="00F00FBF">
        <w:trPr>
          <w:cantSplit/>
          <w:trHeight w:val="144"/>
          <w:jc w:val="center"/>
        </w:trPr>
        <w:tc>
          <w:tcPr>
            <w:tcW w:w="5215" w:type="dxa"/>
            <w:tcBorders>
              <w:top w:val="nil"/>
              <w:left w:val="single" w:sz="4" w:space="0" w:color="auto"/>
              <w:bottom w:val="nil"/>
              <w:right w:val="single" w:sz="4" w:space="0" w:color="auto"/>
            </w:tcBorders>
            <w:vAlign w:val="bottom"/>
          </w:tcPr>
          <w:p w14:paraId="70457513" w14:textId="77777777" w:rsidR="00E677D5" w:rsidRPr="006378A4" w:rsidRDefault="00E677D5" w:rsidP="00F00FBF">
            <w:pPr>
              <w:ind w:left="520" w:hanging="361"/>
              <w:contextualSpacing/>
              <w:rPr>
                <w:rFonts w:asciiTheme="minorHAnsi" w:hAnsiTheme="minorHAnsi" w:cstheme="minorHAnsi"/>
                <w:b/>
                <w:spacing w:val="-2"/>
              </w:rPr>
            </w:pPr>
            <w:r>
              <w:rPr>
                <w:rFonts w:asciiTheme="minorHAnsi" w:hAnsiTheme="minorHAnsi" w:cstheme="minorHAnsi"/>
                <w:color w:val="000000"/>
              </w:rPr>
              <w:lastRenderedPageBreak/>
              <w:t>Unknown</w:t>
            </w:r>
          </w:p>
        </w:tc>
        <w:tc>
          <w:tcPr>
            <w:tcW w:w="1980" w:type="dxa"/>
            <w:tcBorders>
              <w:top w:val="nil"/>
              <w:left w:val="single" w:sz="4" w:space="0" w:color="auto"/>
              <w:bottom w:val="nil"/>
              <w:right w:val="single" w:sz="4" w:space="0" w:color="auto"/>
            </w:tcBorders>
          </w:tcPr>
          <w:p w14:paraId="33A94008" w14:textId="77777777" w:rsidR="00E677D5" w:rsidRPr="003D5EE4" w:rsidRDefault="00E677D5" w:rsidP="00F00FBF">
            <w:pPr>
              <w:ind w:left="720" w:hanging="557"/>
              <w:contextualSpacing/>
              <w:jc w:val="right"/>
              <w:rPr>
                <w:rFonts w:asciiTheme="minorHAnsi" w:hAnsiTheme="minorHAnsi" w:cstheme="minorHAnsi"/>
                <w:spacing w:val="-5"/>
                <w:highlight w:val="yellow"/>
              </w:rPr>
            </w:pPr>
            <w:r w:rsidRPr="003D5EE4">
              <w:rPr>
                <w:rFonts w:asciiTheme="minorHAnsi" w:hAnsiTheme="minorHAnsi" w:cstheme="minorHAnsi"/>
                <w:color w:val="000000"/>
              </w:rPr>
              <w:t>0.1</w:t>
            </w:r>
            <w:r>
              <w:rPr>
                <w:rFonts w:asciiTheme="minorHAnsi" w:hAnsiTheme="minorHAnsi" w:cstheme="minorHAnsi"/>
                <w:color w:val="000000"/>
              </w:rPr>
              <w:t>0</w:t>
            </w:r>
            <w:r w:rsidRPr="003D5EE4">
              <w:rPr>
                <w:rFonts w:asciiTheme="minorHAnsi" w:hAnsiTheme="minorHAnsi" w:cstheme="minorHAnsi"/>
                <w:color w:val="000000"/>
              </w:rPr>
              <w:t>%</w:t>
            </w:r>
          </w:p>
        </w:tc>
      </w:tr>
      <w:tr w:rsidR="00E677D5" w:rsidRPr="00432B30" w14:paraId="4A650746" w14:textId="77777777" w:rsidTr="00F00FBF">
        <w:trPr>
          <w:cantSplit/>
          <w:trHeight w:val="144"/>
          <w:jc w:val="center"/>
        </w:trPr>
        <w:tc>
          <w:tcPr>
            <w:tcW w:w="5215" w:type="dxa"/>
            <w:tcBorders>
              <w:top w:val="nil"/>
              <w:left w:val="single" w:sz="4" w:space="0" w:color="auto"/>
              <w:bottom w:val="single" w:sz="4" w:space="0" w:color="auto"/>
              <w:right w:val="single" w:sz="4" w:space="0" w:color="auto"/>
            </w:tcBorders>
          </w:tcPr>
          <w:p w14:paraId="46C228FE" w14:textId="77777777" w:rsidR="00E677D5" w:rsidRPr="006378A4" w:rsidRDefault="00E677D5" w:rsidP="00F00FBF">
            <w:pPr>
              <w:contextualSpacing/>
              <w:rPr>
                <w:rFonts w:asciiTheme="minorHAnsi" w:eastAsia="Calibri" w:hAnsiTheme="minorHAnsi" w:cstheme="minorHAnsi"/>
                <w:b/>
              </w:rPr>
            </w:pPr>
            <w:r w:rsidRPr="006378A4">
              <w:rPr>
                <w:rFonts w:asciiTheme="minorHAnsi" w:hAnsiTheme="minorHAnsi" w:cstheme="minorHAnsi"/>
                <w:b/>
                <w:spacing w:val="-2"/>
              </w:rPr>
              <w:t xml:space="preserve">   Total</w:t>
            </w:r>
          </w:p>
        </w:tc>
        <w:tc>
          <w:tcPr>
            <w:tcW w:w="1980" w:type="dxa"/>
            <w:tcBorders>
              <w:top w:val="nil"/>
              <w:left w:val="single" w:sz="4" w:space="0" w:color="auto"/>
              <w:bottom w:val="single" w:sz="4" w:space="0" w:color="auto"/>
              <w:right w:val="single" w:sz="4" w:space="0" w:color="auto"/>
            </w:tcBorders>
          </w:tcPr>
          <w:p w14:paraId="21AB799C" w14:textId="77777777" w:rsidR="00E677D5" w:rsidRPr="00432B30" w:rsidRDefault="00E677D5" w:rsidP="00F00FBF">
            <w:pPr>
              <w:ind w:left="720" w:hanging="557"/>
              <w:contextualSpacing/>
              <w:jc w:val="right"/>
              <w:rPr>
                <w:rFonts w:asciiTheme="minorHAnsi" w:hAnsiTheme="minorHAnsi" w:cstheme="minorHAnsi"/>
                <w:b/>
                <w:bCs/>
                <w:spacing w:val="-5"/>
                <w:highlight w:val="yellow"/>
              </w:rPr>
            </w:pPr>
            <w:r w:rsidRPr="003D5EE4">
              <w:rPr>
                <w:rFonts w:asciiTheme="minorHAnsi" w:hAnsiTheme="minorHAnsi" w:cstheme="minorHAnsi"/>
                <w:b/>
                <w:bCs/>
                <w:color w:val="000000"/>
              </w:rPr>
              <w:t>100.00%</w:t>
            </w:r>
          </w:p>
        </w:tc>
      </w:tr>
    </w:tbl>
    <w:p w14:paraId="75CCC18C" w14:textId="77777777" w:rsidR="00E677D5" w:rsidRPr="00432B30" w:rsidRDefault="00E677D5" w:rsidP="001F7365">
      <w:pPr>
        <w:rPr>
          <w:rFonts w:asciiTheme="minorHAnsi" w:hAnsiTheme="minorHAnsi" w:cstheme="minorHAnsi"/>
          <w:color w:val="191919"/>
          <w:highlight w:val="yellow"/>
        </w:rPr>
      </w:pPr>
    </w:p>
    <w:p w14:paraId="2FD9EF2F" w14:textId="03D92310" w:rsidR="001F7365" w:rsidRDefault="00E677D5" w:rsidP="001F7365">
      <w:pPr>
        <w:spacing w:before="240"/>
        <w:rPr>
          <w:rFonts w:asciiTheme="minorHAnsi" w:hAnsiTheme="minorHAnsi" w:cstheme="minorHAnsi"/>
        </w:rPr>
      </w:pPr>
      <w:r w:rsidRPr="00853AE5">
        <w:rPr>
          <w:rFonts w:asciiTheme="minorHAnsi" w:hAnsiTheme="minorHAnsi" w:cstheme="minorHAnsi"/>
          <w:color w:val="191919"/>
        </w:rPr>
        <w:t xml:space="preserve">The Applicant also provided demographics for BID-P’s Radiation Oncology patient population. </w:t>
      </w:r>
      <w:r w:rsidRPr="00853AE5">
        <w:rPr>
          <w:rFonts w:asciiTheme="minorHAnsi" w:hAnsiTheme="minorHAnsi" w:cstheme="minorHAnsi"/>
        </w:rPr>
        <w:t xml:space="preserve">It is notable that </w:t>
      </w:r>
      <w:r w:rsidR="002536D4">
        <w:rPr>
          <w:rFonts w:asciiTheme="minorHAnsi" w:hAnsiTheme="minorHAnsi" w:cstheme="minorHAnsi"/>
        </w:rPr>
        <w:t xml:space="preserve">approximately </w:t>
      </w:r>
      <w:r w:rsidRPr="00853AE5">
        <w:rPr>
          <w:rFonts w:asciiTheme="minorHAnsi" w:hAnsiTheme="minorHAnsi" w:cstheme="minorHAnsi"/>
        </w:rPr>
        <w:t xml:space="preserve">three quarters of patients were over the age of 65. </w:t>
      </w:r>
    </w:p>
    <w:p w14:paraId="4E1CF24B" w14:textId="77777777" w:rsidR="001F7365" w:rsidRPr="001F7365" w:rsidRDefault="001F7365" w:rsidP="001F7365">
      <w:pPr>
        <w:spacing w:before="240"/>
        <w:rPr>
          <w:rFonts w:asciiTheme="minorHAnsi" w:hAnsiTheme="minorHAnsi" w:cstheme="minorHAnsi"/>
        </w:rPr>
      </w:pPr>
    </w:p>
    <w:p w14:paraId="5D0714F9" w14:textId="48624A3D" w:rsidR="00E677D5" w:rsidRPr="00E05AC3" w:rsidRDefault="00E677D5" w:rsidP="001F7365">
      <w:pPr>
        <w:pStyle w:val="Caption"/>
        <w:spacing w:after="0"/>
        <w:contextualSpacing/>
        <w:jc w:val="center"/>
        <w:rPr>
          <w:rFonts w:cstheme="minorHAnsi"/>
          <w:color w:val="42558C" w:themeColor="accent1" w:themeShade="BF"/>
          <w:sz w:val="24"/>
          <w:szCs w:val="24"/>
        </w:rPr>
      </w:pPr>
      <w:r w:rsidRPr="00E05AC3">
        <w:rPr>
          <w:rFonts w:cstheme="minorHAnsi"/>
          <w:color w:val="42558C" w:themeColor="accent1" w:themeShade="BF"/>
          <w:sz w:val="24"/>
          <w:szCs w:val="24"/>
          <w:u w:val="single"/>
        </w:rPr>
        <w:t xml:space="preserve">Table </w:t>
      </w:r>
      <w:r w:rsidR="00A60FF9">
        <w:rPr>
          <w:rFonts w:cstheme="minorHAnsi"/>
          <w:color w:val="42558C" w:themeColor="accent1" w:themeShade="BF"/>
          <w:sz w:val="24"/>
          <w:szCs w:val="24"/>
          <w:u w:val="single"/>
        </w:rPr>
        <w:t>3</w:t>
      </w:r>
      <w:r w:rsidRPr="00E05AC3">
        <w:rPr>
          <w:rFonts w:cstheme="minorHAnsi"/>
          <w:color w:val="42558C" w:themeColor="accent1" w:themeShade="BF"/>
          <w:sz w:val="24"/>
          <w:szCs w:val="24"/>
        </w:rPr>
        <w:t>: BID-P Radiation Oncology Patient Demographics</w:t>
      </w:r>
    </w:p>
    <w:tbl>
      <w:tblPr>
        <w:tblStyle w:val="TableGrid"/>
        <w:tblW w:w="0" w:type="auto"/>
        <w:jc w:val="center"/>
        <w:tblLook w:val="04A0" w:firstRow="1" w:lastRow="0" w:firstColumn="1" w:lastColumn="0" w:noHBand="0" w:noVBand="1"/>
      </w:tblPr>
      <w:tblGrid>
        <w:gridCol w:w="5215"/>
        <w:gridCol w:w="1980"/>
      </w:tblGrid>
      <w:tr w:rsidR="00E677D5" w:rsidRPr="00E05AC3" w14:paraId="57F5D083" w14:textId="77777777" w:rsidTr="00F00FBF">
        <w:trPr>
          <w:cantSplit/>
          <w:trHeight w:val="144"/>
          <w:tblHeader/>
          <w:jc w:val="center"/>
        </w:trPr>
        <w:tc>
          <w:tcPr>
            <w:tcW w:w="5215" w:type="dxa"/>
            <w:tcBorders>
              <w:bottom w:val="single" w:sz="4" w:space="0" w:color="auto"/>
            </w:tcBorders>
            <w:shd w:val="clear" w:color="auto" w:fill="DFE3F0" w:themeFill="accent1" w:themeFillTint="33"/>
          </w:tcPr>
          <w:p w14:paraId="73BC6CF2" w14:textId="77777777" w:rsidR="00E677D5" w:rsidRPr="00E05AC3" w:rsidRDefault="00E677D5" w:rsidP="00F00FBF">
            <w:pPr>
              <w:rPr>
                <w:rFonts w:asciiTheme="minorHAnsi" w:hAnsiTheme="minorHAnsi" w:cstheme="minorHAnsi"/>
              </w:rPr>
            </w:pPr>
          </w:p>
        </w:tc>
        <w:tc>
          <w:tcPr>
            <w:tcW w:w="1980" w:type="dxa"/>
            <w:tcBorders>
              <w:bottom w:val="single" w:sz="4" w:space="0" w:color="auto"/>
            </w:tcBorders>
            <w:shd w:val="clear" w:color="auto" w:fill="DFE3F0" w:themeFill="accent1" w:themeFillTint="33"/>
          </w:tcPr>
          <w:p w14:paraId="1EAC6D9D" w14:textId="77777777" w:rsidR="00E677D5" w:rsidRPr="00E05AC3" w:rsidRDefault="00E677D5" w:rsidP="00F00FBF">
            <w:pPr>
              <w:jc w:val="center"/>
              <w:rPr>
                <w:rFonts w:asciiTheme="minorHAnsi" w:eastAsia="Calibri" w:hAnsiTheme="minorHAnsi" w:cstheme="minorHAnsi"/>
                <w:b/>
              </w:rPr>
            </w:pPr>
            <w:r w:rsidRPr="00E05AC3">
              <w:rPr>
                <w:rFonts w:asciiTheme="minorHAnsi" w:eastAsia="Calibri" w:hAnsiTheme="minorHAnsi" w:cstheme="minorHAnsi"/>
                <w:b/>
              </w:rPr>
              <w:t>FY2022 Totals</w:t>
            </w:r>
          </w:p>
        </w:tc>
      </w:tr>
      <w:tr w:rsidR="00E677D5" w:rsidRPr="007B1161" w14:paraId="10452D0D" w14:textId="77777777" w:rsidTr="00F00FBF">
        <w:trPr>
          <w:cantSplit/>
          <w:trHeight w:val="144"/>
          <w:jc w:val="center"/>
        </w:trPr>
        <w:tc>
          <w:tcPr>
            <w:tcW w:w="5215" w:type="dxa"/>
            <w:tcBorders>
              <w:bottom w:val="single" w:sz="4" w:space="0" w:color="auto"/>
            </w:tcBorders>
          </w:tcPr>
          <w:p w14:paraId="0C4D1F70" w14:textId="77777777" w:rsidR="00E677D5" w:rsidRPr="00E05AC3" w:rsidRDefault="00E677D5" w:rsidP="00F00FBF">
            <w:pPr>
              <w:rPr>
                <w:rFonts w:asciiTheme="minorHAnsi" w:hAnsiTheme="minorHAnsi" w:cstheme="minorHAnsi"/>
              </w:rPr>
            </w:pPr>
            <w:r w:rsidRPr="00E05AC3">
              <w:rPr>
                <w:rFonts w:asciiTheme="minorHAnsi" w:eastAsia="Calibri" w:hAnsiTheme="minorHAnsi" w:cstheme="minorHAnsi"/>
                <w:b/>
              </w:rPr>
              <w:t>Total Unique Patients</w:t>
            </w:r>
          </w:p>
        </w:tc>
        <w:tc>
          <w:tcPr>
            <w:tcW w:w="1980" w:type="dxa"/>
            <w:tcBorders>
              <w:bottom w:val="single" w:sz="4" w:space="0" w:color="auto"/>
            </w:tcBorders>
          </w:tcPr>
          <w:p w14:paraId="05BBCA1B" w14:textId="77777777" w:rsidR="00E677D5" w:rsidRPr="00E05AC3" w:rsidRDefault="00E677D5" w:rsidP="00F00FBF">
            <w:pPr>
              <w:ind w:left="720" w:hanging="557"/>
              <w:contextualSpacing/>
              <w:jc w:val="right"/>
              <w:rPr>
                <w:rFonts w:asciiTheme="minorHAnsi" w:eastAsia="Calibri" w:hAnsiTheme="minorHAnsi" w:cstheme="minorHAnsi"/>
              </w:rPr>
            </w:pPr>
            <w:r w:rsidRPr="00E05AC3">
              <w:rPr>
                <w:rFonts w:asciiTheme="minorHAnsi" w:hAnsiTheme="minorHAnsi" w:cstheme="minorHAnsi"/>
                <w:color w:val="000000"/>
              </w:rPr>
              <w:t>436</w:t>
            </w:r>
          </w:p>
        </w:tc>
      </w:tr>
      <w:tr w:rsidR="00E677D5" w:rsidRPr="007B1161" w14:paraId="282B67DD" w14:textId="77777777" w:rsidTr="00F00FBF">
        <w:trPr>
          <w:cantSplit/>
          <w:trHeight w:val="144"/>
          <w:jc w:val="center"/>
        </w:trPr>
        <w:tc>
          <w:tcPr>
            <w:tcW w:w="5215" w:type="dxa"/>
            <w:tcBorders>
              <w:top w:val="single" w:sz="4" w:space="0" w:color="auto"/>
              <w:left w:val="single" w:sz="4" w:space="0" w:color="auto"/>
              <w:bottom w:val="nil"/>
              <w:right w:val="single" w:sz="4" w:space="0" w:color="auto"/>
            </w:tcBorders>
          </w:tcPr>
          <w:p w14:paraId="4604B889" w14:textId="77777777" w:rsidR="00E677D5" w:rsidRPr="002B5764" w:rsidRDefault="00E677D5" w:rsidP="00F00FBF">
            <w:pPr>
              <w:contextualSpacing/>
              <w:rPr>
                <w:rFonts w:asciiTheme="minorHAnsi" w:eastAsia="Calibri" w:hAnsiTheme="minorHAnsi" w:cstheme="minorHAnsi"/>
                <w:bCs/>
              </w:rPr>
            </w:pPr>
            <w:r w:rsidRPr="002B5764">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3E28394F" w14:textId="77777777" w:rsidR="00E677D5" w:rsidRPr="002B5764" w:rsidRDefault="00E677D5" w:rsidP="00F00FBF">
            <w:pPr>
              <w:contextualSpacing/>
              <w:rPr>
                <w:rFonts w:asciiTheme="minorHAnsi" w:eastAsia="Calibri" w:hAnsiTheme="minorHAnsi" w:cstheme="minorHAnsi"/>
                <w:bCs/>
              </w:rPr>
            </w:pPr>
          </w:p>
        </w:tc>
      </w:tr>
      <w:tr w:rsidR="00E677D5" w:rsidRPr="007B1161" w14:paraId="1555BD96" w14:textId="77777777" w:rsidTr="00F00FBF">
        <w:trPr>
          <w:cantSplit/>
          <w:trHeight w:val="144"/>
          <w:jc w:val="center"/>
        </w:trPr>
        <w:tc>
          <w:tcPr>
            <w:tcW w:w="5215" w:type="dxa"/>
            <w:tcBorders>
              <w:top w:val="nil"/>
              <w:left w:val="single" w:sz="4" w:space="0" w:color="auto"/>
              <w:bottom w:val="nil"/>
              <w:right w:val="single" w:sz="4" w:space="0" w:color="auto"/>
            </w:tcBorders>
          </w:tcPr>
          <w:p w14:paraId="243C4CCC" w14:textId="77777777" w:rsidR="00E677D5" w:rsidRPr="002B5764" w:rsidRDefault="00E677D5" w:rsidP="00F00FBF">
            <w:pPr>
              <w:ind w:left="720" w:hanging="557"/>
              <w:contextualSpacing/>
              <w:rPr>
                <w:rFonts w:asciiTheme="minorHAnsi" w:eastAsia="Calibri" w:hAnsiTheme="minorHAnsi" w:cstheme="minorHAnsi"/>
                <w:bCs/>
              </w:rPr>
            </w:pPr>
            <w:r w:rsidRPr="002B5764">
              <w:rPr>
                <w:rFonts w:asciiTheme="minorHAnsi" w:eastAsia="Calibri" w:hAnsiTheme="minorHAnsi" w:cstheme="minorHAnsi"/>
                <w:bCs/>
              </w:rPr>
              <w:t>Under 65</w:t>
            </w:r>
          </w:p>
        </w:tc>
        <w:tc>
          <w:tcPr>
            <w:tcW w:w="1980" w:type="dxa"/>
            <w:tcBorders>
              <w:top w:val="nil"/>
              <w:left w:val="single" w:sz="4" w:space="0" w:color="auto"/>
              <w:bottom w:val="nil"/>
              <w:right w:val="single" w:sz="4" w:space="0" w:color="auto"/>
            </w:tcBorders>
          </w:tcPr>
          <w:p w14:paraId="385AFAD6" w14:textId="77777777" w:rsidR="00E677D5" w:rsidRPr="002B5764" w:rsidRDefault="00E677D5" w:rsidP="00F00FBF">
            <w:pPr>
              <w:ind w:left="720" w:hanging="557"/>
              <w:contextualSpacing/>
              <w:jc w:val="right"/>
              <w:rPr>
                <w:rFonts w:asciiTheme="minorHAnsi" w:hAnsiTheme="minorHAnsi" w:cstheme="minorHAnsi"/>
              </w:rPr>
            </w:pPr>
            <w:r w:rsidRPr="002B5764">
              <w:rPr>
                <w:rFonts w:asciiTheme="minorHAnsi" w:hAnsiTheme="minorHAnsi" w:cstheme="minorHAnsi"/>
              </w:rPr>
              <w:t>25.92%</w:t>
            </w:r>
          </w:p>
        </w:tc>
      </w:tr>
      <w:tr w:rsidR="00E677D5" w:rsidRPr="007B1161" w14:paraId="7AC55782" w14:textId="77777777" w:rsidTr="00F00FBF">
        <w:trPr>
          <w:cantSplit/>
          <w:trHeight w:val="144"/>
          <w:jc w:val="center"/>
        </w:trPr>
        <w:tc>
          <w:tcPr>
            <w:tcW w:w="5215" w:type="dxa"/>
            <w:tcBorders>
              <w:top w:val="nil"/>
              <w:left w:val="single" w:sz="4" w:space="0" w:color="auto"/>
              <w:bottom w:val="nil"/>
              <w:right w:val="single" w:sz="4" w:space="0" w:color="auto"/>
            </w:tcBorders>
          </w:tcPr>
          <w:p w14:paraId="1556CECE" w14:textId="77777777" w:rsidR="00E677D5" w:rsidRPr="002B5764" w:rsidRDefault="00E677D5" w:rsidP="00F00FBF">
            <w:pPr>
              <w:ind w:left="720" w:hanging="557"/>
              <w:contextualSpacing/>
              <w:rPr>
                <w:rFonts w:asciiTheme="minorHAnsi" w:eastAsia="Calibri" w:hAnsiTheme="minorHAnsi" w:cstheme="minorHAnsi"/>
                <w:bCs/>
              </w:rPr>
            </w:pPr>
            <w:r w:rsidRPr="002B5764">
              <w:rPr>
                <w:rFonts w:asciiTheme="minorHAnsi" w:eastAsia="Calibri" w:hAnsiTheme="minorHAnsi" w:cstheme="minorHAnsi"/>
                <w:bCs/>
              </w:rPr>
              <w:t>Over 65</w:t>
            </w:r>
          </w:p>
        </w:tc>
        <w:tc>
          <w:tcPr>
            <w:tcW w:w="1980" w:type="dxa"/>
            <w:tcBorders>
              <w:top w:val="nil"/>
              <w:left w:val="single" w:sz="4" w:space="0" w:color="auto"/>
              <w:bottom w:val="nil"/>
              <w:right w:val="single" w:sz="4" w:space="0" w:color="auto"/>
            </w:tcBorders>
          </w:tcPr>
          <w:p w14:paraId="3E4867DD" w14:textId="77777777" w:rsidR="00E677D5" w:rsidRPr="002B5764" w:rsidRDefault="00E677D5" w:rsidP="00F00FBF">
            <w:pPr>
              <w:ind w:left="720" w:hanging="557"/>
              <w:contextualSpacing/>
              <w:jc w:val="right"/>
              <w:rPr>
                <w:rFonts w:asciiTheme="minorHAnsi" w:hAnsiTheme="minorHAnsi" w:cstheme="minorHAnsi"/>
              </w:rPr>
            </w:pPr>
            <w:r w:rsidRPr="002B5764">
              <w:rPr>
                <w:rFonts w:asciiTheme="minorHAnsi" w:hAnsiTheme="minorHAnsi" w:cstheme="minorHAnsi"/>
              </w:rPr>
              <w:t>74.08%</w:t>
            </w:r>
          </w:p>
        </w:tc>
      </w:tr>
      <w:tr w:rsidR="00E677D5" w:rsidRPr="007B1161" w14:paraId="25A77BBE" w14:textId="77777777" w:rsidTr="00F00FBF">
        <w:trPr>
          <w:cantSplit/>
          <w:trHeight w:val="63"/>
          <w:jc w:val="center"/>
        </w:trPr>
        <w:tc>
          <w:tcPr>
            <w:tcW w:w="5215" w:type="dxa"/>
            <w:tcBorders>
              <w:top w:val="nil"/>
              <w:left w:val="single" w:sz="4" w:space="0" w:color="auto"/>
              <w:bottom w:val="single" w:sz="4" w:space="0" w:color="auto"/>
              <w:right w:val="single" w:sz="4" w:space="0" w:color="auto"/>
            </w:tcBorders>
          </w:tcPr>
          <w:p w14:paraId="7FBB0857" w14:textId="77777777" w:rsidR="00E677D5" w:rsidRPr="002B5764" w:rsidRDefault="00E677D5" w:rsidP="00F00FBF">
            <w:pPr>
              <w:ind w:left="520" w:hanging="557"/>
              <w:contextualSpacing/>
              <w:rPr>
                <w:rFonts w:asciiTheme="minorHAnsi" w:eastAsia="Calibri" w:hAnsiTheme="minorHAnsi" w:cstheme="minorHAnsi"/>
                <w:b/>
              </w:rPr>
            </w:pPr>
            <w:r w:rsidRPr="002B5764">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453BE405" w14:textId="77777777" w:rsidR="00E677D5" w:rsidRPr="002B5764" w:rsidRDefault="00E677D5" w:rsidP="00F00FBF">
            <w:pPr>
              <w:ind w:left="720" w:hanging="557"/>
              <w:contextualSpacing/>
              <w:jc w:val="right"/>
              <w:rPr>
                <w:rFonts w:asciiTheme="minorHAnsi" w:eastAsia="Calibri" w:hAnsiTheme="minorHAnsi" w:cstheme="minorHAnsi"/>
                <w:b/>
              </w:rPr>
            </w:pPr>
            <w:r w:rsidRPr="002B5764">
              <w:rPr>
                <w:rFonts w:asciiTheme="minorHAnsi" w:eastAsia="Calibri" w:hAnsiTheme="minorHAnsi" w:cstheme="minorHAnsi"/>
                <w:b/>
              </w:rPr>
              <w:t>100.00%</w:t>
            </w:r>
          </w:p>
        </w:tc>
      </w:tr>
    </w:tbl>
    <w:p w14:paraId="2542FF64" w14:textId="77777777" w:rsidR="00E677D5" w:rsidRPr="007B1161" w:rsidRDefault="00E677D5" w:rsidP="00E677D5">
      <w:pPr>
        <w:contextualSpacing/>
        <w:rPr>
          <w:rFonts w:asciiTheme="minorHAnsi" w:eastAsia="Calibri" w:hAnsiTheme="minorHAnsi" w:cstheme="minorHAnsi"/>
          <w:sz w:val="28"/>
          <w:szCs w:val="28"/>
          <w:highlight w:val="yellow"/>
        </w:rPr>
      </w:pPr>
    </w:p>
    <w:p w14:paraId="164C713A" w14:textId="77777777" w:rsidR="00E677D5" w:rsidRPr="007B1161" w:rsidRDefault="00E677D5" w:rsidP="00E677D5">
      <w:pPr>
        <w:contextualSpacing/>
        <w:rPr>
          <w:rFonts w:asciiTheme="minorHAnsi" w:eastAsia="Calibri" w:hAnsiTheme="minorHAnsi" w:cstheme="minorHAnsi"/>
          <w:sz w:val="28"/>
          <w:szCs w:val="28"/>
          <w:highlight w:val="yellow"/>
        </w:rPr>
      </w:pPr>
    </w:p>
    <w:p w14:paraId="0DA08601" w14:textId="77777777" w:rsidR="00E677D5" w:rsidRPr="006406D5" w:rsidRDefault="00E677D5" w:rsidP="00E677D5">
      <w:pPr>
        <w:pStyle w:val="Heading1"/>
        <w:spacing w:before="0" w:line="240" w:lineRule="auto"/>
        <w:rPr>
          <w:rFonts w:asciiTheme="minorHAnsi" w:eastAsia="Calibri" w:hAnsiTheme="minorHAnsi" w:cstheme="minorHAnsi"/>
        </w:rPr>
      </w:pPr>
      <w:bookmarkStart w:id="17" w:name="_Toc17731309"/>
      <w:bookmarkStart w:id="18" w:name="_Toc18922398"/>
      <w:bookmarkStart w:id="19" w:name="_Toc125371240"/>
      <w:bookmarkStart w:id="20" w:name="_Toc155341742"/>
      <w:r w:rsidRPr="006406D5">
        <w:rPr>
          <w:rFonts w:asciiTheme="minorHAnsi" w:eastAsia="Calibri" w:hAnsiTheme="minorHAnsi" w:cstheme="minorHAnsi"/>
        </w:rPr>
        <w:t>Factor 1: a) Patient Panel Need</w:t>
      </w:r>
      <w:bookmarkEnd w:id="17"/>
      <w:bookmarkEnd w:id="18"/>
      <w:bookmarkEnd w:id="19"/>
      <w:bookmarkEnd w:id="20"/>
    </w:p>
    <w:p w14:paraId="62419639" w14:textId="77777777" w:rsidR="00E677D5" w:rsidRPr="000E647C" w:rsidRDefault="00E677D5" w:rsidP="00E677D5">
      <w:pPr>
        <w:contextualSpacing/>
        <w:rPr>
          <w:rFonts w:asciiTheme="minorHAnsi" w:eastAsia="Calibri" w:hAnsiTheme="minorHAnsi" w:cstheme="minorHAnsi"/>
        </w:rPr>
      </w:pPr>
      <w:r w:rsidRPr="006406D5">
        <w:rPr>
          <w:rFonts w:asciiTheme="minorHAnsi" w:eastAsia="Calibri" w:hAnsiTheme="minorHAnsi" w:cstheme="minorHAnsi"/>
        </w:rPr>
        <w:t>In this section, staff assesses if the Applicant has</w:t>
      </w:r>
      <w:r w:rsidRPr="000E647C">
        <w:rPr>
          <w:rFonts w:asciiTheme="minorHAnsi" w:eastAsia="Calibri" w:hAnsiTheme="minorHAnsi" w:cstheme="minorHAnsi"/>
        </w:rPr>
        <w:t xml:space="preserve"> sufficiently addressed Patient Panel need for the Proposed Project. </w:t>
      </w:r>
    </w:p>
    <w:p w14:paraId="092CFBF3" w14:textId="77777777" w:rsidR="00E677D5" w:rsidRPr="00432B30" w:rsidRDefault="00E677D5" w:rsidP="00E677D5">
      <w:pPr>
        <w:contextualSpacing/>
        <w:rPr>
          <w:rFonts w:asciiTheme="minorHAnsi" w:eastAsia="Calibri" w:hAnsiTheme="minorHAnsi" w:cstheme="minorHAnsi"/>
          <w:b/>
          <w:highlight w:val="yellow"/>
          <w:u w:val="single"/>
        </w:rPr>
      </w:pPr>
    </w:p>
    <w:p w14:paraId="1DCA5AB1" w14:textId="77777777" w:rsidR="00E677D5" w:rsidRPr="00267A5F" w:rsidRDefault="00E677D5" w:rsidP="00E677D5">
      <w:pPr>
        <w:contextualSpacing/>
        <w:rPr>
          <w:rFonts w:asciiTheme="minorHAnsi" w:hAnsiTheme="minorHAnsi" w:cstheme="minorHAnsi"/>
          <w:b/>
        </w:rPr>
      </w:pPr>
      <w:r w:rsidRPr="00267A5F">
        <w:rPr>
          <w:rFonts w:asciiTheme="minorHAnsi" w:hAnsiTheme="minorHAnsi" w:cstheme="minorHAnsi"/>
          <w:b/>
        </w:rPr>
        <w:t>Patient Panel Need</w:t>
      </w:r>
    </w:p>
    <w:p w14:paraId="770601BA" w14:textId="77777777" w:rsidR="00E677D5" w:rsidRPr="00DD4289" w:rsidRDefault="00E677D5" w:rsidP="00E677D5">
      <w:pPr>
        <w:autoSpaceDE w:val="0"/>
        <w:autoSpaceDN w:val="0"/>
        <w:adjustRightInd w:val="0"/>
        <w:rPr>
          <w:rFonts w:asciiTheme="minorHAnsi" w:eastAsiaTheme="minorHAnsi" w:hAnsiTheme="minorHAnsi" w:cstheme="minorHAnsi"/>
          <w:color w:val="000000"/>
        </w:rPr>
      </w:pPr>
      <w:r w:rsidRPr="00267A5F">
        <w:rPr>
          <w:rFonts w:asciiTheme="minorHAnsi" w:eastAsiaTheme="minorHAnsi" w:hAnsiTheme="minorHAnsi" w:cstheme="minorHAnsi"/>
          <w:color w:val="000000"/>
        </w:rPr>
        <w:t xml:space="preserve">The </w:t>
      </w:r>
      <w:r w:rsidRPr="00DD4289">
        <w:rPr>
          <w:rFonts w:asciiTheme="minorHAnsi" w:eastAsiaTheme="minorHAnsi" w:hAnsiTheme="minorHAnsi" w:cstheme="minorHAnsi"/>
          <w:color w:val="000000"/>
        </w:rPr>
        <w:t xml:space="preserve">Applicant attributes the need for reactivating its second LINAC unit to two factors: </w:t>
      </w:r>
    </w:p>
    <w:p w14:paraId="2D0B6E24" w14:textId="5DCD2CDE" w:rsidR="00B168B9" w:rsidRPr="00B168B9" w:rsidRDefault="00B168B9" w:rsidP="00B168B9">
      <w:pPr>
        <w:pStyle w:val="ListParagraph"/>
        <w:numPr>
          <w:ilvl w:val="0"/>
          <w:numId w:val="2"/>
        </w:numPr>
        <w:autoSpaceDE w:val="0"/>
        <w:autoSpaceDN w:val="0"/>
        <w:adjustRightInd w:val="0"/>
        <w:spacing w:after="22"/>
        <w:rPr>
          <w:rFonts w:cstheme="minorHAnsi"/>
          <w:color w:val="000000"/>
          <w:sz w:val="24"/>
          <w:szCs w:val="24"/>
        </w:rPr>
      </w:pPr>
      <w:r w:rsidRPr="00DD4289">
        <w:rPr>
          <w:rFonts w:cstheme="minorHAnsi"/>
          <w:color w:val="000000"/>
          <w:sz w:val="24"/>
          <w:szCs w:val="24"/>
        </w:rPr>
        <w:t xml:space="preserve">Historical </w:t>
      </w:r>
      <w:r>
        <w:rPr>
          <w:rFonts w:cstheme="minorHAnsi"/>
          <w:color w:val="000000"/>
          <w:sz w:val="24"/>
          <w:szCs w:val="24"/>
        </w:rPr>
        <w:t xml:space="preserve">Utilization </w:t>
      </w:r>
      <w:r w:rsidRPr="00DD4289">
        <w:rPr>
          <w:rFonts w:cstheme="minorHAnsi"/>
          <w:color w:val="000000"/>
          <w:sz w:val="24"/>
          <w:szCs w:val="24"/>
        </w:rPr>
        <w:t>and Projected Increase in Demand</w:t>
      </w:r>
    </w:p>
    <w:p w14:paraId="3C7D3D13" w14:textId="32C43AAB" w:rsidR="00E677D5" w:rsidRDefault="00E677D5" w:rsidP="00E677D5">
      <w:pPr>
        <w:pStyle w:val="ListParagraph"/>
        <w:numPr>
          <w:ilvl w:val="0"/>
          <w:numId w:val="2"/>
        </w:numPr>
        <w:autoSpaceDE w:val="0"/>
        <w:autoSpaceDN w:val="0"/>
        <w:adjustRightInd w:val="0"/>
        <w:spacing w:after="22"/>
        <w:rPr>
          <w:rFonts w:cstheme="minorHAnsi"/>
          <w:color w:val="000000"/>
          <w:sz w:val="24"/>
          <w:szCs w:val="24"/>
        </w:rPr>
      </w:pPr>
      <w:r>
        <w:rPr>
          <w:rFonts w:cstheme="minorHAnsi"/>
          <w:color w:val="000000"/>
          <w:sz w:val="24"/>
          <w:szCs w:val="24"/>
        </w:rPr>
        <w:t>Limitations of</w:t>
      </w:r>
      <w:r w:rsidRPr="00DD4289">
        <w:rPr>
          <w:rFonts w:cstheme="minorHAnsi"/>
          <w:color w:val="000000"/>
          <w:sz w:val="24"/>
          <w:szCs w:val="24"/>
        </w:rPr>
        <w:t xml:space="preserve"> One </w:t>
      </w:r>
      <w:r>
        <w:rPr>
          <w:rFonts w:cstheme="minorHAnsi"/>
          <w:color w:val="000000"/>
          <w:sz w:val="24"/>
          <w:szCs w:val="24"/>
        </w:rPr>
        <w:t xml:space="preserve">LINAC </w:t>
      </w:r>
      <w:r w:rsidRPr="00DD4289">
        <w:rPr>
          <w:rFonts w:cstheme="minorHAnsi"/>
          <w:color w:val="000000"/>
          <w:sz w:val="24"/>
          <w:szCs w:val="24"/>
        </w:rPr>
        <w:t>Unit</w:t>
      </w:r>
    </w:p>
    <w:p w14:paraId="2B9CC929" w14:textId="528A4B84" w:rsidR="00E677D5" w:rsidRDefault="00E677D5" w:rsidP="00E677D5">
      <w:pPr>
        <w:pStyle w:val="ListParagraph"/>
        <w:numPr>
          <w:ilvl w:val="1"/>
          <w:numId w:val="2"/>
        </w:numPr>
        <w:autoSpaceDE w:val="0"/>
        <w:autoSpaceDN w:val="0"/>
        <w:adjustRightInd w:val="0"/>
        <w:spacing w:after="22"/>
        <w:rPr>
          <w:rFonts w:cstheme="minorHAnsi"/>
          <w:color w:val="000000"/>
          <w:sz w:val="24"/>
          <w:szCs w:val="24"/>
        </w:rPr>
      </w:pPr>
      <w:r>
        <w:rPr>
          <w:rFonts w:cstheme="minorHAnsi"/>
          <w:color w:val="000000"/>
          <w:sz w:val="24"/>
          <w:szCs w:val="24"/>
        </w:rPr>
        <w:t xml:space="preserve">Longer wait to begin </w:t>
      </w:r>
      <w:r w:rsidR="00A146DF">
        <w:rPr>
          <w:rFonts w:cstheme="minorHAnsi"/>
          <w:color w:val="000000"/>
          <w:sz w:val="24"/>
          <w:szCs w:val="24"/>
        </w:rPr>
        <w:t>treatment</w:t>
      </w:r>
    </w:p>
    <w:p w14:paraId="38DDF9C5" w14:textId="1E7FD9AD" w:rsidR="00E677D5" w:rsidRPr="00CC4869" w:rsidRDefault="00E677D5" w:rsidP="00E677D5">
      <w:pPr>
        <w:pStyle w:val="ListParagraph"/>
        <w:numPr>
          <w:ilvl w:val="1"/>
          <w:numId w:val="2"/>
        </w:numPr>
        <w:autoSpaceDE w:val="0"/>
        <w:autoSpaceDN w:val="0"/>
        <w:adjustRightInd w:val="0"/>
        <w:spacing w:after="22"/>
        <w:rPr>
          <w:rFonts w:cstheme="minorHAnsi"/>
          <w:color w:val="000000"/>
          <w:sz w:val="24"/>
          <w:szCs w:val="24"/>
        </w:rPr>
      </w:pPr>
      <w:r w:rsidRPr="00CC4869">
        <w:rPr>
          <w:rFonts w:cstheme="minorHAnsi"/>
          <w:color w:val="000000"/>
          <w:sz w:val="24"/>
          <w:szCs w:val="24"/>
        </w:rPr>
        <w:t xml:space="preserve">No backup if downtime increases on overburdened </w:t>
      </w:r>
      <w:r w:rsidR="00A146DF" w:rsidRPr="00CC4869">
        <w:rPr>
          <w:rFonts w:cstheme="minorHAnsi"/>
          <w:color w:val="000000"/>
          <w:sz w:val="24"/>
          <w:szCs w:val="24"/>
        </w:rPr>
        <w:t>unit</w:t>
      </w:r>
    </w:p>
    <w:p w14:paraId="0F964407" w14:textId="135D4BD1" w:rsidR="00E677D5" w:rsidRPr="00432B30" w:rsidRDefault="00E677D5" w:rsidP="00E677D5">
      <w:pPr>
        <w:autoSpaceDE w:val="0"/>
        <w:autoSpaceDN w:val="0"/>
        <w:adjustRightInd w:val="0"/>
        <w:ind w:firstLine="360"/>
        <w:rPr>
          <w:rFonts w:asciiTheme="minorHAnsi" w:eastAsiaTheme="minorHAnsi" w:hAnsiTheme="minorHAnsi" w:cstheme="minorHAnsi"/>
          <w:highlight w:val="yellow"/>
        </w:rPr>
      </w:pPr>
    </w:p>
    <w:p w14:paraId="54D8F9E4" w14:textId="77777777" w:rsidR="009B7C11" w:rsidRPr="00EC421D" w:rsidRDefault="009B7C11" w:rsidP="009B7C11">
      <w:pPr>
        <w:pStyle w:val="ListParagraph"/>
        <w:numPr>
          <w:ilvl w:val="0"/>
          <w:numId w:val="13"/>
        </w:numPr>
        <w:autoSpaceDE w:val="0"/>
        <w:autoSpaceDN w:val="0"/>
        <w:adjustRightInd w:val="0"/>
        <w:spacing w:after="0"/>
        <w:ind w:left="720"/>
        <w:rPr>
          <w:rFonts w:cstheme="minorHAnsi"/>
          <w:b/>
          <w:bCs/>
          <w:color w:val="000000"/>
          <w:sz w:val="24"/>
          <w:szCs w:val="24"/>
        </w:rPr>
      </w:pPr>
      <w:r w:rsidRPr="00EC421D">
        <w:rPr>
          <w:rFonts w:cstheme="minorHAnsi"/>
          <w:b/>
          <w:bCs/>
          <w:color w:val="000000"/>
          <w:sz w:val="24"/>
          <w:szCs w:val="24"/>
        </w:rPr>
        <w:t xml:space="preserve">Historical </w:t>
      </w:r>
      <w:r>
        <w:rPr>
          <w:rFonts w:cstheme="minorHAnsi"/>
          <w:b/>
          <w:bCs/>
          <w:color w:val="000000"/>
          <w:sz w:val="24"/>
          <w:szCs w:val="24"/>
        </w:rPr>
        <w:t xml:space="preserve">Utilization </w:t>
      </w:r>
      <w:r w:rsidRPr="00EC421D">
        <w:rPr>
          <w:rFonts w:cstheme="minorHAnsi"/>
          <w:b/>
          <w:bCs/>
          <w:color w:val="000000"/>
          <w:sz w:val="24"/>
          <w:szCs w:val="24"/>
        </w:rPr>
        <w:t>and Projected Increase in Demand</w:t>
      </w:r>
    </w:p>
    <w:p w14:paraId="22F7874E" w14:textId="4488BB27" w:rsidR="009B7C11" w:rsidRDefault="009B7C11" w:rsidP="009B7C11">
      <w:pPr>
        <w:rPr>
          <w:rFonts w:asciiTheme="minorHAnsi" w:hAnsiTheme="minorHAnsi" w:cstheme="minorHAnsi"/>
        </w:rPr>
      </w:pPr>
      <w:r>
        <w:rPr>
          <w:rFonts w:asciiTheme="minorHAnsi" w:hAnsiTheme="minorHAnsi" w:cstheme="minorHAnsi"/>
        </w:rPr>
        <w:t>T</w:t>
      </w:r>
      <w:r w:rsidRPr="00EC421D">
        <w:rPr>
          <w:rFonts w:asciiTheme="minorHAnsi" w:hAnsiTheme="minorHAnsi" w:cstheme="minorHAnsi"/>
        </w:rPr>
        <w:t xml:space="preserve">he BID-P </w:t>
      </w:r>
      <w:r>
        <w:rPr>
          <w:rFonts w:asciiTheme="minorHAnsi" w:hAnsiTheme="minorHAnsi" w:cstheme="minorHAnsi"/>
        </w:rPr>
        <w:t>p</w:t>
      </w:r>
      <w:r w:rsidRPr="00EC421D">
        <w:rPr>
          <w:rFonts w:asciiTheme="minorHAnsi" w:hAnsiTheme="minorHAnsi" w:cstheme="minorHAnsi"/>
        </w:rPr>
        <w:t xml:space="preserve">atient </w:t>
      </w:r>
      <w:r>
        <w:rPr>
          <w:rFonts w:asciiTheme="minorHAnsi" w:hAnsiTheme="minorHAnsi" w:cstheme="minorHAnsi"/>
        </w:rPr>
        <w:t>population</w:t>
      </w:r>
      <w:r w:rsidRPr="00EC421D">
        <w:rPr>
          <w:rFonts w:asciiTheme="minorHAnsi" w:hAnsiTheme="minorHAnsi" w:cstheme="minorHAnsi"/>
        </w:rPr>
        <w:t xml:space="preserve"> increased by </w:t>
      </w:r>
      <w:r>
        <w:rPr>
          <w:rFonts w:asciiTheme="minorHAnsi" w:hAnsiTheme="minorHAnsi" w:cstheme="minorHAnsi"/>
        </w:rPr>
        <w:t>9.6</w:t>
      </w:r>
      <w:r w:rsidRPr="00EC421D">
        <w:rPr>
          <w:rFonts w:asciiTheme="minorHAnsi" w:hAnsiTheme="minorHAnsi" w:cstheme="minorHAnsi"/>
        </w:rPr>
        <w:t>% between FY20 and FY22. With respect to radiation therapy utilization, BID-P experienced an approximately 40% overall increase from FY20 to FY22 in the number new starts</w:t>
      </w:r>
      <w:r>
        <w:rPr>
          <w:rStyle w:val="FootnoteReference"/>
          <w:rFonts w:asciiTheme="minorHAnsi" w:hAnsiTheme="minorHAnsi" w:cstheme="minorHAnsi"/>
        </w:rPr>
        <w:footnoteReference w:id="9"/>
      </w:r>
      <w:r>
        <w:rPr>
          <w:rFonts w:asciiTheme="minorHAnsi" w:hAnsiTheme="minorHAnsi" w:cstheme="minorHAnsi"/>
        </w:rPr>
        <w:t xml:space="preserve"> for All Radiation Therapy, and the </w:t>
      </w:r>
      <w:r w:rsidR="00C913A2" w:rsidRPr="00EC421D">
        <w:rPr>
          <w:rFonts w:asciiTheme="minorHAnsi" w:hAnsiTheme="minorHAnsi" w:cstheme="minorHAnsi"/>
          <w:color w:val="000000"/>
        </w:rPr>
        <w:t>Stereotactic Body Radiation Therapy</w:t>
      </w:r>
      <w:r w:rsidR="00C913A2">
        <w:rPr>
          <w:rFonts w:asciiTheme="minorHAnsi" w:hAnsiTheme="minorHAnsi" w:cstheme="minorHAnsi"/>
        </w:rPr>
        <w:t xml:space="preserve"> </w:t>
      </w:r>
      <w:r w:rsidR="0065291A">
        <w:rPr>
          <w:rFonts w:asciiTheme="minorHAnsi" w:hAnsiTheme="minorHAnsi" w:cstheme="minorHAnsi"/>
        </w:rPr>
        <w:t>(“</w:t>
      </w:r>
      <w:r>
        <w:rPr>
          <w:rFonts w:asciiTheme="minorHAnsi" w:hAnsiTheme="minorHAnsi" w:cstheme="minorHAnsi"/>
        </w:rPr>
        <w:t>SBRT</w:t>
      </w:r>
      <w:r w:rsidR="0065291A">
        <w:rPr>
          <w:rFonts w:asciiTheme="minorHAnsi" w:hAnsiTheme="minorHAnsi" w:cstheme="minorHAnsi"/>
        </w:rPr>
        <w:t>”)</w:t>
      </w:r>
      <w:r>
        <w:rPr>
          <w:rFonts w:asciiTheme="minorHAnsi" w:hAnsiTheme="minorHAnsi" w:cstheme="minorHAnsi"/>
        </w:rPr>
        <w:t xml:space="preserve"> new starts more than doubled in recent years, as detailed in Table 4</w:t>
      </w:r>
      <w:r w:rsidRPr="00EC421D">
        <w:rPr>
          <w:rFonts w:asciiTheme="minorHAnsi" w:hAnsiTheme="minorHAnsi" w:cstheme="minorHAnsi"/>
        </w:rPr>
        <w:t xml:space="preserve">. </w:t>
      </w:r>
    </w:p>
    <w:p w14:paraId="0D0E8F42" w14:textId="77777777" w:rsidR="009B7C11" w:rsidRPr="00EC421D" w:rsidRDefault="009B7C11" w:rsidP="009B7C11">
      <w:pPr>
        <w:rPr>
          <w:rFonts w:asciiTheme="minorHAnsi" w:hAnsiTheme="minorHAnsi" w:cstheme="minorHAnsi"/>
        </w:rPr>
      </w:pPr>
    </w:p>
    <w:p w14:paraId="029A9B3E" w14:textId="77777777" w:rsidR="009B7C11" w:rsidRPr="00537FAD" w:rsidRDefault="009B7C11" w:rsidP="009B7C11">
      <w:pPr>
        <w:pStyle w:val="Caption"/>
        <w:spacing w:after="0"/>
        <w:contextualSpacing/>
        <w:jc w:val="center"/>
        <w:rPr>
          <w:rFonts w:cstheme="minorHAnsi"/>
          <w:color w:val="42558C" w:themeColor="accent1" w:themeShade="BF"/>
          <w:sz w:val="24"/>
          <w:szCs w:val="24"/>
        </w:rPr>
      </w:pPr>
      <w:r w:rsidRPr="00537FAD">
        <w:rPr>
          <w:rFonts w:cstheme="minorHAnsi"/>
          <w:color w:val="42558C" w:themeColor="accent1" w:themeShade="BF"/>
          <w:sz w:val="24"/>
          <w:szCs w:val="24"/>
          <w:u w:val="single"/>
        </w:rPr>
        <w:t xml:space="preserve">Table </w:t>
      </w:r>
      <w:r>
        <w:rPr>
          <w:rFonts w:cstheme="minorHAnsi"/>
          <w:color w:val="42558C" w:themeColor="accent1" w:themeShade="BF"/>
          <w:sz w:val="24"/>
          <w:szCs w:val="24"/>
          <w:u w:val="single"/>
        </w:rPr>
        <w:t>4</w:t>
      </w:r>
      <w:r w:rsidRPr="00537FAD">
        <w:rPr>
          <w:rFonts w:cstheme="minorHAnsi"/>
          <w:color w:val="42558C" w:themeColor="accent1" w:themeShade="BF"/>
          <w:sz w:val="24"/>
          <w:szCs w:val="24"/>
          <w:u w:val="single"/>
        </w:rPr>
        <w:t>:</w:t>
      </w:r>
      <w:r w:rsidRPr="00537FAD">
        <w:rPr>
          <w:rFonts w:cstheme="minorHAnsi"/>
          <w:color w:val="42558C" w:themeColor="accent1" w:themeShade="BF"/>
          <w:sz w:val="24"/>
          <w:szCs w:val="24"/>
        </w:rPr>
        <w:t xml:space="preserve"> BID-Plymouth Historical </w:t>
      </w:r>
      <w:r>
        <w:rPr>
          <w:rFonts w:cstheme="minorHAnsi"/>
          <w:color w:val="42558C" w:themeColor="accent1" w:themeShade="BF"/>
          <w:sz w:val="24"/>
          <w:szCs w:val="24"/>
        </w:rPr>
        <w:t xml:space="preserve">LINAC </w:t>
      </w:r>
      <w:r w:rsidRPr="00537FAD">
        <w:rPr>
          <w:rFonts w:cstheme="minorHAnsi"/>
          <w:color w:val="42558C" w:themeColor="accent1" w:themeShade="BF"/>
          <w:sz w:val="24"/>
          <w:szCs w:val="24"/>
        </w:rPr>
        <w:t>Utilization</w:t>
      </w:r>
    </w:p>
    <w:tbl>
      <w:tblPr>
        <w:tblStyle w:val="TableGrid"/>
        <w:tblW w:w="0" w:type="auto"/>
        <w:tblLook w:val="04A0" w:firstRow="1" w:lastRow="0" w:firstColumn="1" w:lastColumn="0" w:noHBand="0" w:noVBand="1"/>
      </w:tblPr>
      <w:tblGrid>
        <w:gridCol w:w="4855"/>
        <w:gridCol w:w="1440"/>
        <w:gridCol w:w="1530"/>
        <w:gridCol w:w="1525"/>
      </w:tblGrid>
      <w:tr w:rsidR="009B7C11" w:rsidRPr="00EC421D" w14:paraId="62AFB41F" w14:textId="77777777" w:rsidTr="00216723">
        <w:trPr>
          <w:cantSplit/>
          <w:tblHeader/>
        </w:trPr>
        <w:tc>
          <w:tcPr>
            <w:tcW w:w="4855" w:type="dxa"/>
            <w:shd w:val="clear" w:color="auto" w:fill="9FB9E1" w:themeFill="text2" w:themeFillTint="66"/>
          </w:tcPr>
          <w:p w14:paraId="004238D9" w14:textId="77777777" w:rsidR="009B7C11" w:rsidRPr="00631960" w:rsidRDefault="009B7C11" w:rsidP="002834AE">
            <w:pPr>
              <w:spacing w:before="120" w:after="120"/>
              <w:jc w:val="center"/>
              <w:rPr>
                <w:rFonts w:asciiTheme="minorHAnsi" w:hAnsiTheme="minorHAnsi" w:cstheme="minorHAnsi"/>
                <w:b/>
                <w:kern w:val="2"/>
              </w:rPr>
            </w:pPr>
            <w:r w:rsidRPr="00631960">
              <w:rPr>
                <w:rFonts w:asciiTheme="minorHAnsi" w:hAnsiTheme="minorHAnsi" w:cstheme="minorHAnsi"/>
                <w:b/>
                <w:kern w:val="2"/>
              </w:rPr>
              <w:t>Treatment type</w:t>
            </w:r>
          </w:p>
        </w:tc>
        <w:tc>
          <w:tcPr>
            <w:tcW w:w="1440" w:type="dxa"/>
            <w:shd w:val="clear" w:color="auto" w:fill="9FB9E1" w:themeFill="text2" w:themeFillTint="66"/>
          </w:tcPr>
          <w:p w14:paraId="078B8D77" w14:textId="77777777" w:rsidR="009B7C11" w:rsidRPr="00631960" w:rsidRDefault="009B7C11" w:rsidP="002834AE">
            <w:pPr>
              <w:spacing w:before="120" w:after="120"/>
              <w:jc w:val="center"/>
              <w:rPr>
                <w:rFonts w:asciiTheme="minorHAnsi" w:hAnsiTheme="minorHAnsi" w:cstheme="minorHAnsi"/>
                <w:b/>
                <w:kern w:val="2"/>
              </w:rPr>
            </w:pPr>
            <w:r w:rsidRPr="00631960">
              <w:rPr>
                <w:rFonts w:asciiTheme="minorHAnsi" w:hAnsiTheme="minorHAnsi" w:cstheme="minorHAnsi"/>
                <w:b/>
                <w:kern w:val="2"/>
              </w:rPr>
              <w:t>FY2020</w:t>
            </w:r>
          </w:p>
        </w:tc>
        <w:tc>
          <w:tcPr>
            <w:tcW w:w="1530" w:type="dxa"/>
            <w:shd w:val="clear" w:color="auto" w:fill="9FB9E1" w:themeFill="text2" w:themeFillTint="66"/>
          </w:tcPr>
          <w:p w14:paraId="0FBED449" w14:textId="77777777" w:rsidR="009B7C11" w:rsidRPr="00631960" w:rsidRDefault="009B7C11" w:rsidP="002834AE">
            <w:pPr>
              <w:spacing w:before="120" w:after="120"/>
              <w:jc w:val="center"/>
              <w:rPr>
                <w:rFonts w:asciiTheme="minorHAnsi" w:hAnsiTheme="minorHAnsi" w:cstheme="minorHAnsi"/>
                <w:b/>
                <w:kern w:val="2"/>
              </w:rPr>
            </w:pPr>
            <w:r w:rsidRPr="00631960">
              <w:rPr>
                <w:rFonts w:asciiTheme="minorHAnsi" w:hAnsiTheme="minorHAnsi" w:cstheme="minorHAnsi"/>
                <w:b/>
                <w:kern w:val="2"/>
              </w:rPr>
              <w:t>FY2021</w:t>
            </w:r>
          </w:p>
        </w:tc>
        <w:tc>
          <w:tcPr>
            <w:tcW w:w="1525" w:type="dxa"/>
            <w:shd w:val="clear" w:color="auto" w:fill="9FB9E1" w:themeFill="text2" w:themeFillTint="66"/>
          </w:tcPr>
          <w:p w14:paraId="26E2B7BE" w14:textId="77777777" w:rsidR="009B7C11" w:rsidRPr="00631960" w:rsidRDefault="009B7C11" w:rsidP="002834AE">
            <w:pPr>
              <w:spacing w:before="120" w:after="120"/>
              <w:jc w:val="center"/>
              <w:rPr>
                <w:rFonts w:asciiTheme="minorHAnsi" w:hAnsiTheme="minorHAnsi" w:cstheme="minorHAnsi"/>
                <w:b/>
                <w:kern w:val="2"/>
              </w:rPr>
            </w:pPr>
            <w:r>
              <w:rPr>
                <w:rFonts w:asciiTheme="minorHAnsi" w:hAnsiTheme="minorHAnsi" w:cstheme="minorHAnsi"/>
                <w:b/>
                <w:kern w:val="2"/>
              </w:rPr>
              <w:t>FY2022</w:t>
            </w:r>
          </w:p>
        </w:tc>
      </w:tr>
      <w:tr w:rsidR="009B7C11" w:rsidRPr="00EC421D" w14:paraId="7AF13857" w14:textId="77777777" w:rsidTr="00216723">
        <w:trPr>
          <w:cantSplit/>
        </w:trPr>
        <w:tc>
          <w:tcPr>
            <w:tcW w:w="4855" w:type="dxa"/>
            <w:vAlign w:val="center"/>
          </w:tcPr>
          <w:p w14:paraId="099E0562" w14:textId="77777777" w:rsidR="009B7C11" w:rsidRPr="00EC421D" w:rsidRDefault="009B7C11" w:rsidP="002834AE">
            <w:pPr>
              <w:spacing w:before="120" w:after="120"/>
              <w:rPr>
                <w:rFonts w:asciiTheme="minorHAnsi" w:hAnsiTheme="minorHAnsi" w:cstheme="minorHAnsi"/>
                <w:bCs/>
                <w:kern w:val="2"/>
              </w:rPr>
            </w:pPr>
            <w:r w:rsidRPr="00EC421D">
              <w:rPr>
                <w:rFonts w:asciiTheme="minorHAnsi" w:hAnsiTheme="minorHAnsi" w:cstheme="minorHAnsi"/>
                <w:color w:val="000000"/>
              </w:rPr>
              <w:t>New Starts: All Radiation Therapy</w:t>
            </w:r>
          </w:p>
        </w:tc>
        <w:tc>
          <w:tcPr>
            <w:tcW w:w="1440" w:type="dxa"/>
            <w:vAlign w:val="center"/>
          </w:tcPr>
          <w:p w14:paraId="0E4142FE" w14:textId="77777777" w:rsidR="009B7C11" w:rsidRPr="00EC421D" w:rsidRDefault="009B7C11" w:rsidP="002834AE">
            <w:pPr>
              <w:spacing w:before="120" w:after="120"/>
              <w:jc w:val="center"/>
              <w:rPr>
                <w:rFonts w:asciiTheme="minorHAnsi" w:hAnsiTheme="minorHAnsi" w:cstheme="minorHAnsi"/>
                <w:bCs/>
                <w:kern w:val="2"/>
              </w:rPr>
            </w:pPr>
            <w:r w:rsidRPr="00EC421D">
              <w:rPr>
                <w:rFonts w:asciiTheme="minorHAnsi" w:hAnsiTheme="minorHAnsi" w:cstheme="minorHAnsi"/>
                <w:color w:val="000000"/>
              </w:rPr>
              <w:t>311</w:t>
            </w:r>
          </w:p>
        </w:tc>
        <w:tc>
          <w:tcPr>
            <w:tcW w:w="1530" w:type="dxa"/>
            <w:vAlign w:val="center"/>
          </w:tcPr>
          <w:p w14:paraId="78B3BB33" w14:textId="77777777" w:rsidR="009B7C11" w:rsidRPr="00EC421D" w:rsidRDefault="009B7C11" w:rsidP="002834AE">
            <w:pPr>
              <w:spacing w:before="120" w:after="120"/>
              <w:jc w:val="center"/>
              <w:rPr>
                <w:rFonts w:asciiTheme="minorHAnsi" w:hAnsiTheme="minorHAnsi" w:cstheme="minorHAnsi"/>
                <w:bCs/>
                <w:kern w:val="2"/>
              </w:rPr>
            </w:pPr>
            <w:r w:rsidRPr="00EC421D">
              <w:rPr>
                <w:rFonts w:asciiTheme="minorHAnsi" w:hAnsiTheme="minorHAnsi" w:cstheme="minorHAnsi"/>
                <w:color w:val="000000"/>
              </w:rPr>
              <w:t>366</w:t>
            </w:r>
          </w:p>
        </w:tc>
        <w:tc>
          <w:tcPr>
            <w:tcW w:w="1525" w:type="dxa"/>
            <w:vAlign w:val="center"/>
          </w:tcPr>
          <w:p w14:paraId="222184D2" w14:textId="77777777" w:rsidR="009B7C11" w:rsidRPr="00EC421D" w:rsidRDefault="009B7C11" w:rsidP="002834AE">
            <w:pPr>
              <w:spacing w:before="120" w:after="120"/>
              <w:jc w:val="center"/>
              <w:rPr>
                <w:rFonts w:asciiTheme="minorHAnsi" w:hAnsiTheme="minorHAnsi" w:cstheme="minorHAnsi"/>
                <w:bCs/>
                <w:kern w:val="2"/>
              </w:rPr>
            </w:pPr>
            <w:r w:rsidRPr="00EC421D">
              <w:rPr>
                <w:rFonts w:asciiTheme="minorHAnsi" w:hAnsiTheme="minorHAnsi" w:cstheme="minorHAnsi"/>
                <w:color w:val="000000"/>
              </w:rPr>
              <w:t>436</w:t>
            </w:r>
          </w:p>
        </w:tc>
      </w:tr>
      <w:tr w:rsidR="009B7C11" w:rsidRPr="00EC421D" w14:paraId="66C0A72C" w14:textId="77777777" w:rsidTr="00216723">
        <w:trPr>
          <w:cantSplit/>
        </w:trPr>
        <w:tc>
          <w:tcPr>
            <w:tcW w:w="4855" w:type="dxa"/>
            <w:vAlign w:val="center"/>
          </w:tcPr>
          <w:p w14:paraId="130B4976" w14:textId="77777777" w:rsidR="009B7C11" w:rsidRPr="00EC421D" w:rsidRDefault="009B7C11" w:rsidP="002834AE">
            <w:pPr>
              <w:spacing w:before="120" w:after="120"/>
              <w:rPr>
                <w:rFonts w:asciiTheme="minorHAnsi" w:hAnsiTheme="minorHAnsi" w:cstheme="minorHAnsi"/>
                <w:bCs/>
                <w:kern w:val="2"/>
              </w:rPr>
            </w:pPr>
            <w:r w:rsidRPr="00EC421D">
              <w:rPr>
                <w:rFonts w:asciiTheme="minorHAnsi" w:hAnsiTheme="minorHAnsi" w:cstheme="minorHAnsi"/>
                <w:color w:val="000000"/>
              </w:rPr>
              <w:lastRenderedPageBreak/>
              <w:t>New Starts: Stereotactic Body Radiation Therapy</w:t>
            </w:r>
          </w:p>
        </w:tc>
        <w:tc>
          <w:tcPr>
            <w:tcW w:w="1440" w:type="dxa"/>
            <w:vAlign w:val="center"/>
          </w:tcPr>
          <w:p w14:paraId="330DDE0E" w14:textId="77777777" w:rsidR="009B7C11" w:rsidRPr="00EC421D" w:rsidRDefault="009B7C11" w:rsidP="002834AE">
            <w:pPr>
              <w:spacing w:before="120" w:after="120"/>
              <w:jc w:val="center"/>
              <w:rPr>
                <w:rFonts w:asciiTheme="minorHAnsi" w:hAnsiTheme="minorHAnsi" w:cstheme="minorHAnsi"/>
                <w:bCs/>
                <w:kern w:val="2"/>
              </w:rPr>
            </w:pPr>
            <w:r w:rsidRPr="00EC421D">
              <w:rPr>
                <w:rFonts w:asciiTheme="minorHAnsi" w:hAnsiTheme="minorHAnsi" w:cstheme="minorHAnsi"/>
                <w:color w:val="000000"/>
              </w:rPr>
              <w:t>15</w:t>
            </w:r>
          </w:p>
        </w:tc>
        <w:tc>
          <w:tcPr>
            <w:tcW w:w="1530" w:type="dxa"/>
            <w:vAlign w:val="center"/>
          </w:tcPr>
          <w:p w14:paraId="360C7CAE" w14:textId="77777777" w:rsidR="009B7C11" w:rsidRPr="00EC421D" w:rsidRDefault="009B7C11" w:rsidP="002834AE">
            <w:pPr>
              <w:spacing w:before="120" w:after="120"/>
              <w:jc w:val="center"/>
              <w:rPr>
                <w:rFonts w:asciiTheme="minorHAnsi" w:hAnsiTheme="minorHAnsi" w:cstheme="minorHAnsi"/>
                <w:bCs/>
                <w:kern w:val="2"/>
              </w:rPr>
            </w:pPr>
            <w:r w:rsidRPr="00EC421D">
              <w:rPr>
                <w:rFonts w:asciiTheme="minorHAnsi" w:hAnsiTheme="minorHAnsi" w:cstheme="minorHAnsi"/>
                <w:color w:val="000000"/>
              </w:rPr>
              <w:t>18</w:t>
            </w:r>
          </w:p>
        </w:tc>
        <w:tc>
          <w:tcPr>
            <w:tcW w:w="1525" w:type="dxa"/>
            <w:vAlign w:val="center"/>
          </w:tcPr>
          <w:p w14:paraId="1817DE87" w14:textId="77777777" w:rsidR="009B7C11" w:rsidRPr="00EC421D" w:rsidRDefault="009B7C11" w:rsidP="002834AE">
            <w:pPr>
              <w:spacing w:before="120" w:after="120"/>
              <w:jc w:val="center"/>
              <w:rPr>
                <w:rFonts w:asciiTheme="minorHAnsi" w:hAnsiTheme="minorHAnsi" w:cstheme="minorHAnsi"/>
                <w:bCs/>
                <w:kern w:val="2"/>
              </w:rPr>
            </w:pPr>
            <w:r w:rsidRPr="00EC421D">
              <w:rPr>
                <w:rFonts w:asciiTheme="minorHAnsi" w:hAnsiTheme="minorHAnsi" w:cstheme="minorHAnsi"/>
                <w:color w:val="000000"/>
              </w:rPr>
              <w:t>46</w:t>
            </w:r>
          </w:p>
        </w:tc>
      </w:tr>
      <w:tr w:rsidR="009B7C11" w:rsidRPr="00EC421D" w14:paraId="0D9433D7" w14:textId="77777777" w:rsidTr="00216723">
        <w:trPr>
          <w:cantSplit/>
        </w:trPr>
        <w:tc>
          <w:tcPr>
            <w:tcW w:w="4855" w:type="dxa"/>
            <w:shd w:val="clear" w:color="auto" w:fill="auto"/>
            <w:vAlign w:val="center"/>
          </w:tcPr>
          <w:p w14:paraId="07DA43CA" w14:textId="77777777" w:rsidR="009B7C11" w:rsidRPr="00E76B8D" w:rsidRDefault="009B7C11" w:rsidP="002834AE">
            <w:pPr>
              <w:spacing w:before="120" w:after="120"/>
              <w:rPr>
                <w:rFonts w:asciiTheme="minorHAnsi" w:hAnsiTheme="minorHAnsi" w:cstheme="minorHAnsi"/>
                <w:kern w:val="2"/>
              </w:rPr>
            </w:pPr>
            <w:r w:rsidRPr="00E76B8D">
              <w:rPr>
                <w:rFonts w:asciiTheme="minorHAnsi" w:hAnsiTheme="minorHAnsi" w:cstheme="minorHAnsi"/>
                <w:color w:val="000000"/>
              </w:rPr>
              <w:t>Total LINAC Treatments</w:t>
            </w:r>
            <w:r>
              <w:rPr>
                <w:rStyle w:val="FootnoteReference"/>
                <w:rFonts w:asciiTheme="minorHAnsi" w:hAnsiTheme="minorHAnsi" w:cstheme="minorHAnsi"/>
                <w:color w:val="000000"/>
              </w:rPr>
              <w:footnoteReference w:id="10"/>
            </w:r>
          </w:p>
        </w:tc>
        <w:tc>
          <w:tcPr>
            <w:tcW w:w="1440" w:type="dxa"/>
            <w:shd w:val="clear" w:color="auto" w:fill="auto"/>
            <w:vAlign w:val="center"/>
          </w:tcPr>
          <w:p w14:paraId="5B675913" w14:textId="77777777" w:rsidR="009B7C11" w:rsidRPr="00E76B8D" w:rsidRDefault="009B7C11" w:rsidP="002834AE">
            <w:pPr>
              <w:spacing w:before="120" w:after="120"/>
              <w:jc w:val="center"/>
              <w:rPr>
                <w:rFonts w:asciiTheme="minorHAnsi" w:hAnsiTheme="minorHAnsi" w:cstheme="minorHAnsi"/>
                <w:kern w:val="2"/>
              </w:rPr>
            </w:pPr>
            <w:r w:rsidRPr="00E76B8D">
              <w:rPr>
                <w:rFonts w:asciiTheme="minorHAnsi" w:hAnsiTheme="minorHAnsi" w:cstheme="minorHAnsi"/>
                <w:color w:val="000000"/>
              </w:rPr>
              <w:t>6,870</w:t>
            </w:r>
          </w:p>
        </w:tc>
        <w:tc>
          <w:tcPr>
            <w:tcW w:w="1530" w:type="dxa"/>
            <w:shd w:val="clear" w:color="auto" w:fill="auto"/>
            <w:vAlign w:val="center"/>
          </w:tcPr>
          <w:p w14:paraId="26D10CB0" w14:textId="77777777" w:rsidR="009B7C11" w:rsidRPr="00E76B8D" w:rsidRDefault="009B7C11" w:rsidP="002834AE">
            <w:pPr>
              <w:spacing w:before="120" w:after="120"/>
              <w:jc w:val="center"/>
              <w:rPr>
                <w:rFonts w:asciiTheme="minorHAnsi" w:hAnsiTheme="minorHAnsi" w:cstheme="minorHAnsi"/>
                <w:kern w:val="2"/>
              </w:rPr>
            </w:pPr>
            <w:r w:rsidRPr="00E76B8D">
              <w:rPr>
                <w:rFonts w:asciiTheme="minorHAnsi" w:hAnsiTheme="minorHAnsi" w:cstheme="minorHAnsi"/>
                <w:color w:val="000000"/>
              </w:rPr>
              <w:t>8,217</w:t>
            </w:r>
          </w:p>
        </w:tc>
        <w:tc>
          <w:tcPr>
            <w:tcW w:w="1525" w:type="dxa"/>
            <w:shd w:val="clear" w:color="auto" w:fill="auto"/>
            <w:vAlign w:val="center"/>
          </w:tcPr>
          <w:p w14:paraId="3CE08D29" w14:textId="77777777" w:rsidR="009B7C11" w:rsidRPr="00E76B8D" w:rsidRDefault="009B7C11" w:rsidP="002834AE">
            <w:pPr>
              <w:spacing w:before="120" w:after="120"/>
              <w:jc w:val="center"/>
              <w:rPr>
                <w:rFonts w:asciiTheme="minorHAnsi" w:hAnsiTheme="minorHAnsi" w:cstheme="minorHAnsi"/>
                <w:kern w:val="2"/>
              </w:rPr>
            </w:pPr>
            <w:r w:rsidRPr="00E76B8D">
              <w:rPr>
                <w:rFonts w:asciiTheme="minorHAnsi" w:hAnsiTheme="minorHAnsi" w:cstheme="minorHAnsi"/>
                <w:color w:val="000000"/>
              </w:rPr>
              <w:t>7,945</w:t>
            </w:r>
          </w:p>
        </w:tc>
      </w:tr>
    </w:tbl>
    <w:p w14:paraId="09957FB3" w14:textId="77777777" w:rsidR="009B7C11" w:rsidRPr="00EC421D" w:rsidRDefault="009B7C11" w:rsidP="009B7C11">
      <w:pPr>
        <w:jc w:val="both"/>
        <w:rPr>
          <w:rFonts w:asciiTheme="minorHAnsi" w:hAnsiTheme="minorHAnsi" w:cstheme="minorHAnsi"/>
        </w:rPr>
      </w:pPr>
    </w:p>
    <w:p w14:paraId="7A10E7BA" w14:textId="3E6228B0" w:rsidR="009B7C11" w:rsidRPr="00B168B9" w:rsidRDefault="009B7C11" w:rsidP="009B7C11">
      <w:pPr>
        <w:rPr>
          <w:rFonts w:asciiTheme="minorHAnsi" w:hAnsiTheme="minorHAnsi" w:cstheme="minorHAnsi"/>
          <w:color w:val="000000"/>
        </w:rPr>
      </w:pPr>
      <w:r w:rsidRPr="00EC421D">
        <w:rPr>
          <w:rFonts w:asciiTheme="minorHAnsi" w:hAnsiTheme="minorHAnsi" w:cstheme="minorHAnsi"/>
          <w:kern w:val="2"/>
        </w:rPr>
        <w:t xml:space="preserve">In addition to historical increases in radiation therapy volume, BID-P expects that new start volume will continue to grow as the Hospital’s </w:t>
      </w:r>
      <w:r>
        <w:rPr>
          <w:rFonts w:asciiTheme="minorHAnsi" w:hAnsiTheme="minorHAnsi" w:cstheme="minorHAnsi"/>
          <w:kern w:val="2"/>
        </w:rPr>
        <w:t>patients</w:t>
      </w:r>
      <w:r w:rsidRPr="00EC421D">
        <w:rPr>
          <w:rFonts w:asciiTheme="minorHAnsi" w:hAnsiTheme="minorHAnsi" w:cstheme="minorHAnsi"/>
          <w:kern w:val="2"/>
        </w:rPr>
        <w:t xml:space="preserve"> age. </w:t>
      </w:r>
      <w:r w:rsidRPr="000E6F0B">
        <w:rPr>
          <w:rFonts w:asciiTheme="minorHAnsi" w:hAnsiTheme="minorHAnsi" w:cstheme="minorHAnsi"/>
          <w:color w:val="000000"/>
        </w:rPr>
        <w:t>The likelihood of being diagnosed with cancer increases with age</w:t>
      </w:r>
      <w:r>
        <w:rPr>
          <w:rFonts w:asciiTheme="minorHAnsi" w:hAnsiTheme="minorHAnsi" w:cstheme="minorHAnsi"/>
          <w:color w:val="000000"/>
        </w:rPr>
        <w:t xml:space="preserve"> and t</w:t>
      </w:r>
      <w:r w:rsidRPr="000E6F0B">
        <w:rPr>
          <w:rFonts w:asciiTheme="minorHAnsi" w:hAnsiTheme="minorHAnsi" w:cstheme="minorHAnsi"/>
          <w:color w:val="000000"/>
        </w:rPr>
        <w:t>he CDC estimates that more than two-thirds of all new cancers are diagnosed</w:t>
      </w:r>
      <w:r w:rsidRPr="000E6F0B">
        <w:rPr>
          <w:rFonts w:asciiTheme="minorHAnsi" w:eastAsia="Arial" w:hAnsiTheme="minorHAnsi" w:cstheme="minorHAnsi"/>
        </w:rPr>
        <w:t xml:space="preserve"> in patients aged 60 years and</w:t>
      </w:r>
      <w:r w:rsidRPr="000E6F0B">
        <w:rPr>
          <w:rFonts w:asciiTheme="minorHAnsi" w:eastAsia="Arial" w:hAnsiTheme="minorHAnsi" w:cstheme="minorHAnsi"/>
          <w:spacing w:val="-8"/>
        </w:rPr>
        <w:t xml:space="preserve"> </w:t>
      </w:r>
      <w:r w:rsidRPr="000E6F0B">
        <w:rPr>
          <w:rFonts w:asciiTheme="minorHAnsi" w:eastAsia="Arial" w:hAnsiTheme="minorHAnsi" w:cstheme="minorHAnsi"/>
        </w:rPr>
        <w:t>older.</w:t>
      </w:r>
      <w:r w:rsidRPr="000E6F0B">
        <w:rPr>
          <w:rStyle w:val="EndnoteReference"/>
          <w:rFonts w:asciiTheme="minorHAnsi" w:eastAsia="Arial" w:hAnsiTheme="minorHAnsi" w:cstheme="minorHAnsi"/>
        </w:rPr>
        <w:endnoteReference w:id="5"/>
      </w:r>
      <w:r w:rsidRPr="000E6F0B">
        <w:rPr>
          <w:rFonts w:asciiTheme="minorHAnsi" w:eastAsia="Arial" w:hAnsiTheme="minorHAnsi" w:cstheme="minorHAnsi"/>
        </w:rPr>
        <w:t xml:space="preserve"> </w:t>
      </w:r>
      <w:r>
        <w:rPr>
          <w:rFonts w:asciiTheme="minorHAnsi" w:hAnsiTheme="minorHAnsi" w:cstheme="minorHAnsi"/>
          <w:kern w:val="2"/>
        </w:rPr>
        <w:t>As a result of aging and increased life expectancy,</w:t>
      </w:r>
      <w:r w:rsidRPr="00EC421D">
        <w:rPr>
          <w:rFonts w:asciiTheme="minorHAnsi" w:hAnsiTheme="minorHAnsi" w:cstheme="minorHAnsi"/>
          <w:kern w:val="2"/>
        </w:rPr>
        <w:t xml:space="preserve"> BID-P anticipates that patients will present with higher incidence of cancer and more frequently require radiation therapy.</w:t>
      </w:r>
      <w:r w:rsidRPr="00EC421D">
        <w:rPr>
          <w:rFonts w:asciiTheme="minorHAnsi" w:hAnsiTheme="minorHAnsi" w:cstheme="minorHAnsi"/>
        </w:rPr>
        <w:t xml:space="preserve"> These age-based demand considerations are especially important for future planning for BID-P’s radiation oncology department. In Plymouth County, where the majority of BID-P’s patients reside, the 65+ age cohort is projected to grow 17% between 2020 and 2025.</w:t>
      </w:r>
      <w:r w:rsidRPr="00EC421D">
        <w:rPr>
          <w:rStyle w:val="EndnoteReference"/>
          <w:rFonts w:asciiTheme="minorHAnsi" w:eastAsiaTheme="majorEastAsia" w:hAnsiTheme="minorHAnsi" w:cstheme="minorHAnsi"/>
        </w:rPr>
        <w:endnoteReference w:id="6"/>
      </w:r>
      <w:r w:rsidRPr="00EC421D">
        <w:rPr>
          <w:rFonts w:asciiTheme="minorHAnsi" w:hAnsiTheme="minorHAnsi" w:cstheme="minorHAnsi"/>
        </w:rPr>
        <w:t xml:space="preserve"> Given that ~74% of patients who received radiation treatment at BID-P were ages 65+, this anticipated growth in the Plymouth region will increase the number of older adults requiring radiation therapy.</w:t>
      </w:r>
      <w:r>
        <w:rPr>
          <w:rFonts w:asciiTheme="minorHAnsi" w:hAnsiTheme="minorHAnsi" w:cstheme="minorHAnsi"/>
        </w:rPr>
        <w:t xml:space="preserve"> Table 5 demonstrates a 23% projected increase in total new starts for all radiation therapy from FY2022-FY2028, with exponential growth expected in SBRT new starts.</w:t>
      </w:r>
    </w:p>
    <w:p w14:paraId="7596B3FE" w14:textId="77777777" w:rsidR="009B7C11" w:rsidRDefault="009B7C11" w:rsidP="009B7C11">
      <w:pPr>
        <w:rPr>
          <w:rFonts w:asciiTheme="minorHAnsi" w:hAnsiTheme="minorHAnsi" w:cstheme="minorHAnsi"/>
        </w:rPr>
      </w:pPr>
    </w:p>
    <w:p w14:paraId="318406FE" w14:textId="77777777" w:rsidR="009B7C11" w:rsidRPr="001C305D" w:rsidRDefault="009B7C11" w:rsidP="009B7C11">
      <w:pPr>
        <w:pStyle w:val="Caption"/>
        <w:spacing w:after="0"/>
        <w:contextualSpacing/>
        <w:jc w:val="center"/>
        <w:rPr>
          <w:rFonts w:cstheme="minorHAnsi"/>
          <w:color w:val="42558C" w:themeColor="accent1" w:themeShade="BF"/>
          <w:sz w:val="24"/>
          <w:szCs w:val="24"/>
        </w:rPr>
      </w:pPr>
      <w:r w:rsidRPr="001C305D">
        <w:rPr>
          <w:rFonts w:cstheme="minorHAnsi"/>
          <w:color w:val="42558C" w:themeColor="accent1" w:themeShade="BF"/>
          <w:sz w:val="24"/>
          <w:szCs w:val="24"/>
          <w:u w:val="single"/>
        </w:rPr>
        <w:t xml:space="preserve">Table </w:t>
      </w:r>
      <w:r>
        <w:rPr>
          <w:rFonts w:cstheme="minorHAnsi"/>
          <w:color w:val="42558C" w:themeColor="accent1" w:themeShade="BF"/>
          <w:sz w:val="24"/>
          <w:szCs w:val="24"/>
          <w:u w:val="single"/>
        </w:rPr>
        <w:t>5</w:t>
      </w:r>
      <w:r w:rsidRPr="001C305D">
        <w:rPr>
          <w:rFonts w:cstheme="minorHAnsi"/>
          <w:color w:val="42558C" w:themeColor="accent1" w:themeShade="BF"/>
          <w:sz w:val="24"/>
          <w:szCs w:val="24"/>
          <w:u w:val="single"/>
        </w:rPr>
        <w:t>:</w:t>
      </w:r>
      <w:r w:rsidRPr="001C305D">
        <w:rPr>
          <w:rFonts w:cstheme="minorHAnsi"/>
          <w:color w:val="42558C" w:themeColor="accent1" w:themeShade="BF"/>
          <w:sz w:val="24"/>
          <w:szCs w:val="24"/>
        </w:rPr>
        <w:t xml:space="preserve"> BID-Plymouth Projected Utilizatio</w:t>
      </w:r>
      <w:r>
        <w:rPr>
          <w:rFonts w:cstheme="minorHAnsi"/>
          <w:color w:val="42558C" w:themeColor="accent1" w:themeShade="BF"/>
          <w:sz w:val="24"/>
          <w:szCs w:val="24"/>
        </w:rPr>
        <w:t>n</w:t>
      </w:r>
      <w:r w:rsidRPr="001C305D">
        <w:rPr>
          <w:rFonts w:cstheme="minorHAnsi"/>
          <w:color w:val="42558C" w:themeColor="accent1" w:themeShade="BF"/>
          <w:sz w:val="24"/>
          <w:szCs w:val="24"/>
        </w:rPr>
        <w:t xml:space="preserve"> </w:t>
      </w:r>
    </w:p>
    <w:tbl>
      <w:tblPr>
        <w:tblStyle w:val="TableGrid"/>
        <w:tblW w:w="0" w:type="auto"/>
        <w:tblLook w:val="04A0" w:firstRow="1" w:lastRow="0" w:firstColumn="1" w:lastColumn="0" w:noHBand="0" w:noVBand="1"/>
      </w:tblPr>
      <w:tblGrid>
        <w:gridCol w:w="4405"/>
        <w:gridCol w:w="990"/>
        <w:gridCol w:w="1080"/>
        <w:gridCol w:w="938"/>
        <w:gridCol w:w="990"/>
        <w:gridCol w:w="985"/>
      </w:tblGrid>
      <w:tr w:rsidR="009B7C11" w:rsidRPr="00EC421D" w14:paraId="6DA0E5A2" w14:textId="77777777" w:rsidTr="008B6C5E">
        <w:trPr>
          <w:cantSplit/>
          <w:tblHeader/>
        </w:trPr>
        <w:tc>
          <w:tcPr>
            <w:tcW w:w="4405" w:type="dxa"/>
            <w:vAlign w:val="bottom"/>
          </w:tcPr>
          <w:p w14:paraId="310D1185" w14:textId="77777777" w:rsidR="009B7C11" w:rsidRPr="00EC421D" w:rsidRDefault="009B7C11" w:rsidP="002834AE">
            <w:pPr>
              <w:rPr>
                <w:rFonts w:asciiTheme="minorHAnsi" w:hAnsiTheme="minorHAnsi" w:cstheme="minorHAnsi"/>
                <w:bCs/>
                <w:kern w:val="2"/>
              </w:rPr>
            </w:pPr>
            <w:r w:rsidRPr="00EC421D">
              <w:rPr>
                <w:rFonts w:asciiTheme="minorHAnsi" w:hAnsiTheme="minorHAnsi" w:cstheme="minorHAnsi"/>
                <w:b/>
                <w:bCs/>
              </w:rPr>
              <w:t>Treatment Type</w:t>
            </w:r>
          </w:p>
        </w:tc>
        <w:tc>
          <w:tcPr>
            <w:tcW w:w="990" w:type="dxa"/>
            <w:shd w:val="clear" w:color="auto" w:fill="DFE3F0" w:themeFill="accent1" w:themeFillTint="33"/>
            <w:vAlign w:val="bottom"/>
          </w:tcPr>
          <w:p w14:paraId="5D65ED96"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
                <w:bCs/>
                <w:color w:val="000000"/>
              </w:rPr>
              <w:t>FY2024</w:t>
            </w:r>
          </w:p>
        </w:tc>
        <w:tc>
          <w:tcPr>
            <w:tcW w:w="1080" w:type="dxa"/>
            <w:shd w:val="clear" w:color="auto" w:fill="DFE3F0" w:themeFill="accent1" w:themeFillTint="33"/>
            <w:vAlign w:val="bottom"/>
          </w:tcPr>
          <w:p w14:paraId="2A587E44"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
                <w:bCs/>
                <w:color w:val="000000"/>
              </w:rPr>
              <w:t>FY2025</w:t>
            </w:r>
          </w:p>
        </w:tc>
        <w:tc>
          <w:tcPr>
            <w:tcW w:w="900" w:type="dxa"/>
            <w:shd w:val="clear" w:color="auto" w:fill="DFE3F0" w:themeFill="accent1" w:themeFillTint="33"/>
            <w:vAlign w:val="bottom"/>
          </w:tcPr>
          <w:p w14:paraId="1FF0CA53"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
                <w:bCs/>
                <w:color w:val="000000"/>
              </w:rPr>
              <w:t>FY2026</w:t>
            </w:r>
          </w:p>
        </w:tc>
        <w:tc>
          <w:tcPr>
            <w:tcW w:w="990" w:type="dxa"/>
            <w:shd w:val="clear" w:color="auto" w:fill="DFE3F0" w:themeFill="accent1" w:themeFillTint="33"/>
            <w:vAlign w:val="bottom"/>
          </w:tcPr>
          <w:p w14:paraId="738EA0E6"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
                <w:bCs/>
                <w:color w:val="000000"/>
              </w:rPr>
              <w:t>FY2027</w:t>
            </w:r>
          </w:p>
        </w:tc>
        <w:tc>
          <w:tcPr>
            <w:tcW w:w="985" w:type="dxa"/>
            <w:shd w:val="clear" w:color="auto" w:fill="DFE3F0" w:themeFill="accent1" w:themeFillTint="33"/>
            <w:vAlign w:val="bottom"/>
          </w:tcPr>
          <w:p w14:paraId="41BF9416"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
                <w:bCs/>
                <w:color w:val="000000"/>
              </w:rPr>
              <w:t>FY2028</w:t>
            </w:r>
          </w:p>
        </w:tc>
      </w:tr>
      <w:tr w:rsidR="009B7C11" w:rsidRPr="00EC421D" w14:paraId="2D2AC900" w14:textId="77777777" w:rsidTr="008B6C5E">
        <w:trPr>
          <w:cantSplit/>
        </w:trPr>
        <w:tc>
          <w:tcPr>
            <w:tcW w:w="4405" w:type="dxa"/>
            <w:vAlign w:val="center"/>
          </w:tcPr>
          <w:p w14:paraId="5096694B" w14:textId="77777777" w:rsidR="009B7C11" w:rsidRPr="00EC421D" w:rsidRDefault="009B7C11" w:rsidP="002834AE">
            <w:pPr>
              <w:rPr>
                <w:rFonts w:asciiTheme="minorHAnsi" w:hAnsiTheme="minorHAnsi" w:cstheme="minorHAnsi"/>
                <w:bCs/>
                <w:kern w:val="2"/>
              </w:rPr>
            </w:pPr>
            <w:r w:rsidRPr="00EC421D">
              <w:rPr>
                <w:rFonts w:asciiTheme="minorHAnsi" w:hAnsiTheme="minorHAnsi" w:cstheme="minorHAnsi"/>
                <w:color w:val="000000"/>
              </w:rPr>
              <w:t>New Starts: All Radiation Therapy</w:t>
            </w:r>
          </w:p>
        </w:tc>
        <w:tc>
          <w:tcPr>
            <w:tcW w:w="990" w:type="dxa"/>
            <w:vAlign w:val="center"/>
          </w:tcPr>
          <w:p w14:paraId="35523C63"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color w:val="000000"/>
              </w:rPr>
              <w:t>466</w:t>
            </w:r>
          </w:p>
        </w:tc>
        <w:tc>
          <w:tcPr>
            <w:tcW w:w="1080" w:type="dxa"/>
            <w:vAlign w:val="center"/>
          </w:tcPr>
          <w:p w14:paraId="2EE36926"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color w:val="000000"/>
              </w:rPr>
              <w:t>490</w:t>
            </w:r>
          </w:p>
        </w:tc>
        <w:tc>
          <w:tcPr>
            <w:tcW w:w="900" w:type="dxa"/>
            <w:vAlign w:val="center"/>
          </w:tcPr>
          <w:p w14:paraId="65459FB5"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color w:val="000000"/>
              </w:rPr>
              <w:t>509</w:t>
            </w:r>
          </w:p>
        </w:tc>
        <w:tc>
          <w:tcPr>
            <w:tcW w:w="990" w:type="dxa"/>
            <w:vAlign w:val="center"/>
          </w:tcPr>
          <w:p w14:paraId="3B0CD8D7"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color w:val="000000"/>
              </w:rPr>
              <w:t>523</w:t>
            </w:r>
          </w:p>
        </w:tc>
        <w:tc>
          <w:tcPr>
            <w:tcW w:w="985" w:type="dxa"/>
            <w:vAlign w:val="center"/>
          </w:tcPr>
          <w:p w14:paraId="76E79422"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color w:val="000000"/>
              </w:rPr>
              <w:t>536</w:t>
            </w:r>
          </w:p>
        </w:tc>
      </w:tr>
      <w:tr w:rsidR="009B7C11" w:rsidRPr="00EC421D" w14:paraId="3CB24A6F" w14:textId="77777777" w:rsidTr="008B6C5E">
        <w:trPr>
          <w:cantSplit/>
        </w:trPr>
        <w:tc>
          <w:tcPr>
            <w:tcW w:w="4405" w:type="dxa"/>
            <w:vAlign w:val="center"/>
          </w:tcPr>
          <w:p w14:paraId="5D6DC729" w14:textId="77777777" w:rsidR="009B7C11" w:rsidRPr="00EC421D" w:rsidRDefault="009B7C11" w:rsidP="002834AE">
            <w:pPr>
              <w:rPr>
                <w:rFonts w:asciiTheme="minorHAnsi" w:hAnsiTheme="minorHAnsi" w:cstheme="minorHAnsi"/>
                <w:bCs/>
                <w:kern w:val="2"/>
              </w:rPr>
            </w:pPr>
            <w:r w:rsidRPr="00EC421D">
              <w:rPr>
                <w:rFonts w:asciiTheme="minorHAnsi" w:hAnsiTheme="minorHAnsi" w:cstheme="minorHAnsi"/>
                <w:color w:val="000000"/>
              </w:rPr>
              <w:t>New Starts: Stereotactic Body Radiation Therapy</w:t>
            </w:r>
          </w:p>
        </w:tc>
        <w:tc>
          <w:tcPr>
            <w:tcW w:w="990" w:type="dxa"/>
            <w:vAlign w:val="center"/>
          </w:tcPr>
          <w:p w14:paraId="577E58A5"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color w:val="000000"/>
              </w:rPr>
              <w:t>66</w:t>
            </w:r>
          </w:p>
        </w:tc>
        <w:tc>
          <w:tcPr>
            <w:tcW w:w="1080" w:type="dxa"/>
            <w:vAlign w:val="center"/>
          </w:tcPr>
          <w:p w14:paraId="251B893C"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Cs/>
                <w:kern w:val="2"/>
              </w:rPr>
              <w:t>81</w:t>
            </w:r>
          </w:p>
        </w:tc>
        <w:tc>
          <w:tcPr>
            <w:tcW w:w="900" w:type="dxa"/>
            <w:vAlign w:val="center"/>
          </w:tcPr>
          <w:p w14:paraId="2C6C8DBA"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Cs/>
                <w:kern w:val="2"/>
              </w:rPr>
              <w:t>91</w:t>
            </w:r>
          </w:p>
        </w:tc>
        <w:tc>
          <w:tcPr>
            <w:tcW w:w="990" w:type="dxa"/>
            <w:vAlign w:val="center"/>
          </w:tcPr>
          <w:p w14:paraId="5B85E49F"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Cs/>
                <w:kern w:val="2"/>
              </w:rPr>
              <w:t>96</w:t>
            </w:r>
          </w:p>
        </w:tc>
        <w:tc>
          <w:tcPr>
            <w:tcW w:w="985" w:type="dxa"/>
            <w:vAlign w:val="center"/>
          </w:tcPr>
          <w:p w14:paraId="3AA08F9D" w14:textId="77777777" w:rsidR="009B7C11" w:rsidRPr="00EC421D" w:rsidRDefault="009B7C11" w:rsidP="002834AE">
            <w:pPr>
              <w:jc w:val="center"/>
              <w:rPr>
                <w:rFonts w:asciiTheme="minorHAnsi" w:hAnsiTheme="minorHAnsi" w:cstheme="minorHAnsi"/>
                <w:bCs/>
                <w:kern w:val="2"/>
              </w:rPr>
            </w:pPr>
            <w:r w:rsidRPr="00EC421D">
              <w:rPr>
                <w:rFonts w:asciiTheme="minorHAnsi" w:hAnsiTheme="minorHAnsi" w:cstheme="minorHAnsi"/>
                <w:bCs/>
                <w:kern w:val="2"/>
              </w:rPr>
              <w:t>101</w:t>
            </w:r>
          </w:p>
        </w:tc>
      </w:tr>
      <w:tr w:rsidR="009B7C11" w:rsidRPr="00EC421D" w14:paraId="3ABC1278" w14:textId="77777777" w:rsidTr="008B6C5E">
        <w:trPr>
          <w:cantSplit/>
        </w:trPr>
        <w:tc>
          <w:tcPr>
            <w:tcW w:w="4405" w:type="dxa"/>
            <w:shd w:val="clear" w:color="auto" w:fill="auto"/>
            <w:vAlign w:val="center"/>
          </w:tcPr>
          <w:p w14:paraId="1EDE5A58" w14:textId="77777777" w:rsidR="009B7C11" w:rsidRPr="00641EEE" w:rsidRDefault="009B7C11" w:rsidP="002834AE">
            <w:pPr>
              <w:rPr>
                <w:rFonts w:asciiTheme="minorHAnsi" w:hAnsiTheme="minorHAnsi" w:cstheme="minorHAnsi"/>
                <w:kern w:val="2"/>
              </w:rPr>
            </w:pPr>
            <w:r w:rsidRPr="00641EEE">
              <w:rPr>
                <w:rFonts w:asciiTheme="minorHAnsi" w:hAnsiTheme="minorHAnsi" w:cstheme="minorHAnsi"/>
                <w:color w:val="000000"/>
              </w:rPr>
              <w:t>Total LINAC Treatments</w:t>
            </w:r>
          </w:p>
        </w:tc>
        <w:tc>
          <w:tcPr>
            <w:tcW w:w="990" w:type="dxa"/>
            <w:shd w:val="clear" w:color="auto" w:fill="auto"/>
            <w:vAlign w:val="center"/>
          </w:tcPr>
          <w:p w14:paraId="533CA986" w14:textId="77777777" w:rsidR="009B7C11" w:rsidRPr="00641EEE" w:rsidRDefault="009B7C11" w:rsidP="002834AE">
            <w:pPr>
              <w:jc w:val="center"/>
              <w:rPr>
                <w:rFonts w:asciiTheme="minorHAnsi" w:hAnsiTheme="minorHAnsi" w:cstheme="minorHAnsi"/>
                <w:kern w:val="2"/>
              </w:rPr>
            </w:pPr>
            <w:r w:rsidRPr="00641EEE">
              <w:rPr>
                <w:rFonts w:asciiTheme="minorHAnsi" w:hAnsiTheme="minorHAnsi" w:cstheme="minorHAnsi"/>
                <w:kern w:val="2"/>
              </w:rPr>
              <w:t>8,222</w:t>
            </w:r>
          </w:p>
        </w:tc>
        <w:tc>
          <w:tcPr>
            <w:tcW w:w="1080" w:type="dxa"/>
            <w:shd w:val="clear" w:color="auto" w:fill="auto"/>
            <w:vAlign w:val="center"/>
          </w:tcPr>
          <w:p w14:paraId="5940656D" w14:textId="77777777" w:rsidR="009B7C11" w:rsidRPr="00641EEE" w:rsidRDefault="009B7C11" w:rsidP="002834AE">
            <w:pPr>
              <w:jc w:val="center"/>
              <w:rPr>
                <w:rFonts w:asciiTheme="minorHAnsi" w:hAnsiTheme="minorHAnsi" w:cstheme="minorHAnsi"/>
                <w:kern w:val="2"/>
              </w:rPr>
            </w:pPr>
            <w:r w:rsidRPr="00641EEE">
              <w:rPr>
                <w:rFonts w:asciiTheme="minorHAnsi" w:hAnsiTheme="minorHAnsi" w:cstheme="minorHAnsi"/>
                <w:kern w:val="2"/>
              </w:rPr>
              <w:t>8,452</w:t>
            </w:r>
          </w:p>
        </w:tc>
        <w:tc>
          <w:tcPr>
            <w:tcW w:w="900" w:type="dxa"/>
            <w:shd w:val="clear" w:color="auto" w:fill="auto"/>
            <w:vAlign w:val="center"/>
          </w:tcPr>
          <w:p w14:paraId="167FE815" w14:textId="77777777" w:rsidR="009B7C11" w:rsidRPr="00641EEE" w:rsidRDefault="009B7C11" w:rsidP="002834AE">
            <w:pPr>
              <w:jc w:val="center"/>
              <w:rPr>
                <w:rFonts w:asciiTheme="minorHAnsi" w:hAnsiTheme="minorHAnsi" w:cstheme="minorHAnsi"/>
                <w:kern w:val="2"/>
              </w:rPr>
            </w:pPr>
            <w:r w:rsidRPr="00641EEE">
              <w:rPr>
                <w:rFonts w:asciiTheme="minorHAnsi" w:hAnsiTheme="minorHAnsi" w:cstheme="minorHAnsi"/>
                <w:kern w:val="2"/>
              </w:rPr>
              <w:t>8,665</w:t>
            </w:r>
          </w:p>
        </w:tc>
        <w:tc>
          <w:tcPr>
            <w:tcW w:w="990" w:type="dxa"/>
            <w:shd w:val="clear" w:color="auto" w:fill="auto"/>
            <w:vAlign w:val="center"/>
          </w:tcPr>
          <w:p w14:paraId="43F72D2B" w14:textId="77777777" w:rsidR="009B7C11" w:rsidRPr="00641EEE" w:rsidRDefault="009B7C11" w:rsidP="002834AE">
            <w:pPr>
              <w:jc w:val="center"/>
              <w:rPr>
                <w:rFonts w:asciiTheme="minorHAnsi" w:hAnsiTheme="minorHAnsi" w:cstheme="minorHAnsi"/>
                <w:kern w:val="2"/>
              </w:rPr>
            </w:pPr>
            <w:r w:rsidRPr="00641EEE">
              <w:rPr>
                <w:rFonts w:asciiTheme="minorHAnsi" w:hAnsiTheme="minorHAnsi" w:cstheme="minorHAnsi"/>
                <w:kern w:val="2"/>
              </w:rPr>
              <w:t>8,860</w:t>
            </w:r>
          </w:p>
        </w:tc>
        <w:tc>
          <w:tcPr>
            <w:tcW w:w="985" w:type="dxa"/>
            <w:shd w:val="clear" w:color="auto" w:fill="auto"/>
            <w:vAlign w:val="center"/>
          </w:tcPr>
          <w:p w14:paraId="7C8CA5A8" w14:textId="77777777" w:rsidR="009B7C11" w:rsidRPr="00641EEE" w:rsidRDefault="009B7C11" w:rsidP="002834AE">
            <w:pPr>
              <w:jc w:val="center"/>
              <w:rPr>
                <w:rFonts w:asciiTheme="minorHAnsi" w:hAnsiTheme="minorHAnsi" w:cstheme="minorHAnsi"/>
                <w:kern w:val="2"/>
              </w:rPr>
            </w:pPr>
            <w:r w:rsidRPr="00641EEE">
              <w:rPr>
                <w:rFonts w:asciiTheme="minorHAnsi" w:hAnsiTheme="minorHAnsi" w:cstheme="minorHAnsi"/>
                <w:kern w:val="2"/>
              </w:rPr>
              <w:t>9,026</w:t>
            </w:r>
          </w:p>
        </w:tc>
      </w:tr>
    </w:tbl>
    <w:p w14:paraId="5C1D69EC" w14:textId="77777777" w:rsidR="009B7C11" w:rsidRPr="00EC421D" w:rsidRDefault="009B7C11" w:rsidP="009B7C11">
      <w:pPr>
        <w:rPr>
          <w:rFonts w:asciiTheme="minorHAnsi" w:hAnsiTheme="minorHAnsi" w:cstheme="minorHAnsi"/>
        </w:rPr>
      </w:pPr>
    </w:p>
    <w:p w14:paraId="6F7564E3" w14:textId="77777777" w:rsidR="009B7C11" w:rsidRDefault="009B7C11" w:rsidP="009B7C11">
      <w:pPr>
        <w:rPr>
          <w:rFonts w:asciiTheme="minorHAnsi" w:hAnsiTheme="minorHAnsi" w:cstheme="minorHAnsi"/>
          <w:kern w:val="2"/>
        </w:rPr>
      </w:pPr>
      <w:r w:rsidRPr="00EC421D">
        <w:rPr>
          <w:rFonts w:asciiTheme="minorHAnsi" w:hAnsiTheme="minorHAnsi" w:cstheme="minorHAnsi"/>
          <w:kern w:val="2"/>
        </w:rPr>
        <w:t>The Advisory Board Cancer Incidence Estimator expects that cancer incidence in BID-P’s service area and surrounding counties will increase by 9.6% between 2020 and 2025 and by nearly 17% between 2020 and 2030.</w:t>
      </w:r>
      <w:r w:rsidRPr="00EC421D">
        <w:rPr>
          <w:rStyle w:val="EndnoteReference"/>
          <w:rFonts w:asciiTheme="minorHAnsi" w:hAnsiTheme="minorHAnsi" w:cstheme="minorHAnsi"/>
          <w:kern w:val="2"/>
        </w:rPr>
        <w:endnoteReference w:id="7"/>
      </w:r>
      <w:r w:rsidRPr="00EC421D">
        <w:rPr>
          <w:rFonts w:asciiTheme="minorHAnsi" w:hAnsiTheme="minorHAnsi" w:cstheme="minorHAnsi"/>
          <w:kern w:val="2"/>
        </w:rPr>
        <w:t xml:space="preserve"> Additionally, the Hospital expects to see a sustained higher volume of SBRT treatments, which take longer per treatment than conventional radiation therapy, thereby decreasing the number of available appointments. The Advisory Board’s Oncology Outpatient Market Estimator anticipates that the number of patients requiring SBRT in BID-P’s service area and surrounding counties will increase by approximately 40% from 2020 to 2025.</w:t>
      </w:r>
      <w:r w:rsidRPr="00EC421D">
        <w:rPr>
          <w:rStyle w:val="EndnoteReference"/>
          <w:rFonts w:asciiTheme="minorHAnsi" w:hAnsiTheme="minorHAnsi" w:cstheme="minorHAnsi"/>
          <w:kern w:val="2"/>
        </w:rPr>
        <w:endnoteReference w:id="8"/>
      </w:r>
      <w:r w:rsidRPr="00EC421D">
        <w:rPr>
          <w:rFonts w:asciiTheme="minorHAnsi" w:hAnsiTheme="minorHAnsi" w:cstheme="minorHAnsi"/>
          <w:kern w:val="2"/>
        </w:rPr>
        <w:t xml:space="preserve"> </w:t>
      </w:r>
      <w:r w:rsidRPr="00BB7915">
        <w:rPr>
          <w:rFonts w:asciiTheme="minorHAnsi" w:hAnsiTheme="minorHAnsi" w:cstheme="minorHAnsi"/>
          <w:kern w:val="2"/>
        </w:rPr>
        <w:t>Due to the longer treatment times for SBRT and the performance of both SBRT and conventional radiation therapy on a single LINAC machine, the Hospital is currently limited in its ability to meet the demand for this form of treatment</w:t>
      </w:r>
      <w:r>
        <w:rPr>
          <w:rFonts w:asciiTheme="minorHAnsi" w:hAnsiTheme="minorHAnsi" w:cstheme="minorHAnsi"/>
          <w:kern w:val="2"/>
        </w:rPr>
        <w:t xml:space="preserve">. </w:t>
      </w:r>
    </w:p>
    <w:p w14:paraId="12BC834F" w14:textId="77777777" w:rsidR="00E677D5" w:rsidRPr="00DD4289" w:rsidRDefault="00E677D5" w:rsidP="00E677D5">
      <w:pPr>
        <w:autoSpaceDE w:val="0"/>
        <w:autoSpaceDN w:val="0"/>
        <w:adjustRightInd w:val="0"/>
        <w:ind w:firstLine="360"/>
        <w:rPr>
          <w:rFonts w:asciiTheme="minorHAnsi" w:eastAsiaTheme="minorHAnsi" w:hAnsiTheme="minorHAnsi" w:cstheme="minorHAnsi"/>
        </w:rPr>
      </w:pPr>
    </w:p>
    <w:p w14:paraId="65061B1B" w14:textId="77777777" w:rsidR="00E677D5" w:rsidRPr="00DD4289" w:rsidRDefault="00E677D5" w:rsidP="00E677D5">
      <w:pPr>
        <w:pStyle w:val="ListParagraph"/>
        <w:numPr>
          <w:ilvl w:val="0"/>
          <w:numId w:val="13"/>
        </w:numPr>
        <w:autoSpaceDE w:val="0"/>
        <w:autoSpaceDN w:val="0"/>
        <w:adjustRightInd w:val="0"/>
        <w:spacing w:after="0"/>
        <w:ind w:left="720"/>
        <w:rPr>
          <w:rFonts w:cstheme="minorHAnsi"/>
          <w:b/>
          <w:bCs/>
          <w:color w:val="000000"/>
          <w:sz w:val="24"/>
          <w:szCs w:val="24"/>
        </w:rPr>
      </w:pPr>
      <w:r>
        <w:rPr>
          <w:rFonts w:cstheme="minorHAnsi"/>
          <w:b/>
          <w:bCs/>
          <w:color w:val="000000"/>
          <w:sz w:val="24"/>
          <w:szCs w:val="24"/>
        </w:rPr>
        <w:t>Limitations of</w:t>
      </w:r>
      <w:r w:rsidRPr="00DD4289">
        <w:rPr>
          <w:rFonts w:cstheme="minorHAnsi"/>
          <w:b/>
          <w:bCs/>
          <w:color w:val="000000"/>
          <w:sz w:val="24"/>
          <w:szCs w:val="24"/>
        </w:rPr>
        <w:t xml:space="preserve"> One LINAC Unit</w:t>
      </w:r>
    </w:p>
    <w:p w14:paraId="06937B48" w14:textId="1F3B858A" w:rsidR="005B50FB" w:rsidRPr="00B168B9" w:rsidRDefault="00E677D5" w:rsidP="00B168B9">
      <w:pPr>
        <w:pStyle w:val="ListParagraph"/>
        <w:numPr>
          <w:ilvl w:val="1"/>
          <w:numId w:val="17"/>
        </w:numPr>
        <w:rPr>
          <w:rFonts w:cstheme="minorHAnsi"/>
          <w:sz w:val="24"/>
          <w:szCs w:val="24"/>
        </w:rPr>
      </w:pPr>
      <w:r w:rsidRPr="003A3029">
        <w:rPr>
          <w:rFonts w:cstheme="minorHAnsi"/>
          <w:b/>
          <w:bCs/>
          <w:i/>
          <w:iCs/>
          <w:sz w:val="24"/>
          <w:szCs w:val="24"/>
        </w:rPr>
        <w:t>Longer Wait to Begin Treatment:</w:t>
      </w:r>
      <w:r w:rsidRPr="003A3029">
        <w:rPr>
          <w:rFonts w:cstheme="minorHAnsi"/>
          <w:sz w:val="24"/>
          <w:szCs w:val="24"/>
        </w:rPr>
        <w:t xml:space="preserve"> BID-P has experienced a significant increase in new radiation therapy patients overall, with a particular increase in SBRT patients</w:t>
      </w:r>
      <w:r>
        <w:rPr>
          <w:rFonts w:cstheme="minorHAnsi"/>
          <w:sz w:val="24"/>
          <w:szCs w:val="24"/>
        </w:rPr>
        <w:t>. SBRT is</w:t>
      </w:r>
      <w:r w:rsidRPr="003A3029">
        <w:rPr>
          <w:rFonts w:cstheme="minorHAnsi"/>
          <w:sz w:val="24"/>
          <w:szCs w:val="24"/>
        </w:rPr>
        <w:t xml:space="preserve"> a newer form of radiation therapy that is especially promising for patients who previously </w:t>
      </w:r>
      <w:r w:rsidRPr="003A3029">
        <w:rPr>
          <w:rFonts w:cstheme="minorHAnsi"/>
          <w:sz w:val="24"/>
          <w:szCs w:val="24"/>
        </w:rPr>
        <w:lastRenderedPageBreak/>
        <w:t xml:space="preserve">had limited </w:t>
      </w:r>
      <w:r w:rsidRPr="009522EA">
        <w:rPr>
          <w:rFonts w:cstheme="minorHAnsi"/>
          <w:sz w:val="24"/>
          <w:szCs w:val="24"/>
        </w:rPr>
        <w:t>treatment options</w:t>
      </w:r>
      <w:r w:rsidR="0039217E">
        <w:rPr>
          <w:rFonts w:cstheme="minorHAnsi"/>
          <w:sz w:val="24"/>
          <w:szCs w:val="24"/>
        </w:rPr>
        <w:t xml:space="preserve">. However, </w:t>
      </w:r>
      <w:r w:rsidR="0020495A" w:rsidRPr="0020495A">
        <w:rPr>
          <w:rFonts w:cstheme="minorHAnsi"/>
          <w:sz w:val="24"/>
          <w:szCs w:val="24"/>
        </w:rPr>
        <w:t>the average SBRT treatment time is currently one hour, compared to 10 minutes for more conventional forms of radiation therapy</w:t>
      </w:r>
      <w:r>
        <w:rPr>
          <w:rFonts w:cstheme="minorHAnsi"/>
          <w:sz w:val="24"/>
          <w:szCs w:val="24"/>
        </w:rPr>
        <w:t xml:space="preserve">, </w:t>
      </w:r>
      <w:r w:rsidRPr="009522EA">
        <w:rPr>
          <w:rFonts w:cstheme="minorHAnsi"/>
          <w:sz w:val="24"/>
          <w:szCs w:val="24"/>
        </w:rPr>
        <w:t>which</w:t>
      </w:r>
      <w:r w:rsidR="00F47A4B">
        <w:rPr>
          <w:rFonts w:cstheme="minorHAnsi"/>
          <w:sz w:val="24"/>
          <w:szCs w:val="24"/>
        </w:rPr>
        <w:t xml:space="preserve"> results in less appointment availability on the single LINAC unit</w:t>
      </w:r>
      <w:r w:rsidRPr="00D64C32">
        <w:rPr>
          <w:rFonts w:cstheme="minorHAnsi"/>
          <w:sz w:val="24"/>
          <w:szCs w:val="24"/>
        </w:rPr>
        <w:t xml:space="preserve">. </w:t>
      </w:r>
      <w:r w:rsidR="001A4D05" w:rsidRPr="00D64C32">
        <w:rPr>
          <w:rFonts w:cstheme="minorHAnsi"/>
          <w:sz w:val="24"/>
          <w:szCs w:val="24"/>
        </w:rPr>
        <w:t xml:space="preserve">While </w:t>
      </w:r>
      <w:r w:rsidR="008B406A">
        <w:rPr>
          <w:rFonts w:cstheme="minorHAnsi"/>
          <w:sz w:val="24"/>
          <w:szCs w:val="24"/>
        </w:rPr>
        <w:t xml:space="preserve">radiation </w:t>
      </w:r>
      <w:r w:rsidR="001A4D05" w:rsidRPr="00D64C32">
        <w:rPr>
          <w:rFonts w:cstheme="minorHAnsi"/>
          <w:sz w:val="24"/>
          <w:szCs w:val="24"/>
        </w:rPr>
        <w:t>services are occasionally offered outside of regul</w:t>
      </w:r>
      <w:r w:rsidR="00D64C32" w:rsidRPr="00D64C32">
        <w:rPr>
          <w:rFonts w:cstheme="minorHAnsi"/>
          <w:sz w:val="24"/>
          <w:szCs w:val="24"/>
        </w:rPr>
        <w:t xml:space="preserve">ar </w:t>
      </w:r>
      <w:r w:rsidR="001A4D05" w:rsidRPr="00D64C32">
        <w:rPr>
          <w:rFonts w:cstheme="minorHAnsi"/>
          <w:sz w:val="24"/>
          <w:szCs w:val="24"/>
        </w:rPr>
        <w:t xml:space="preserve">hours, </w:t>
      </w:r>
      <w:r w:rsidR="006C2DFC" w:rsidRPr="00D64C32">
        <w:rPr>
          <w:rFonts w:cstheme="minorHAnsi"/>
          <w:sz w:val="24"/>
          <w:szCs w:val="24"/>
        </w:rPr>
        <w:t xml:space="preserve">the </w:t>
      </w:r>
      <w:r w:rsidR="00214444">
        <w:rPr>
          <w:rFonts w:cstheme="minorHAnsi"/>
          <w:sz w:val="24"/>
          <w:szCs w:val="24"/>
        </w:rPr>
        <w:t>H</w:t>
      </w:r>
      <w:r w:rsidR="006C2DFC" w:rsidRPr="00D64C32">
        <w:rPr>
          <w:rFonts w:cstheme="minorHAnsi"/>
          <w:sz w:val="24"/>
          <w:szCs w:val="24"/>
        </w:rPr>
        <w:t xml:space="preserve">ospital has been unable to </w:t>
      </w:r>
      <w:r w:rsidR="001A4D05" w:rsidRPr="00D64C32">
        <w:rPr>
          <w:rFonts w:cstheme="minorHAnsi"/>
          <w:sz w:val="24"/>
          <w:szCs w:val="24"/>
        </w:rPr>
        <w:t>permanently extend hours due to staff capacity</w:t>
      </w:r>
      <w:r w:rsidRPr="00D64C32">
        <w:rPr>
          <w:rFonts w:cstheme="minorHAnsi"/>
          <w:sz w:val="24"/>
          <w:szCs w:val="24"/>
        </w:rPr>
        <w:t>, which</w:t>
      </w:r>
      <w:r w:rsidRPr="003A3029">
        <w:rPr>
          <w:rFonts w:cstheme="minorHAnsi"/>
          <w:sz w:val="24"/>
          <w:szCs w:val="24"/>
        </w:rPr>
        <w:t xml:space="preserve"> leads to patients waiting longer to start radiation therapy so that they can schedule their treatments at a convenient time</w:t>
      </w:r>
      <w:r w:rsidR="00821A47">
        <w:rPr>
          <w:rFonts w:cstheme="minorHAnsi"/>
          <w:sz w:val="24"/>
          <w:szCs w:val="24"/>
        </w:rPr>
        <w:t xml:space="preserve">. This is </w:t>
      </w:r>
      <w:r w:rsidRPr="003A3029">
        <w:rPr>
          <w:rFonts w:cstheme="minorHAnsi"/>
          <w:sz w:val="24"/>
          <w:szCs w:val="24"/>
        </w:rPr>
        <w:t>particularly</w:t>
      </w:r>
      <w:r w:rsidR="00821A47">
        <w:rPr>
          <w:rFonts w:cstheme="minorHAnsi"/>
          <w:sz w:val="24"/>
          <w:szCs w:val="24"/>
        </w:rPr>
        <w:t xml:space="preserve"> true</w:t>
      </w:r>
      <w:r w:rsidRPr="003A3029">
        <w:rPr>
          <w:rFonts w:cstheme="minorHAnsi"/>
          <w:sz w:val="24"/>
          <w:szCs w:val="24"/>
        </w:rPr>
        <w:t xml:space="preserve"> </w:t>
      </w:r>
      <w:r w:rsidR="00214444">
        <w:rPr>
          <w:rFonts w:cstheme="minorHAnsi"/>
          <w:sz w:val="24"/>
          <w:szCs w:val="24"/>
        </w:rPr>
        <w:t xml:space="preserve">for </w:t>
      </w:r>
      <w:r w:rsidRPr="003A3029">
        <w:rPr>
          <w:rFonts w:cstheme="minorHAnsi"/>
          <w:sz w:val="24"/>
          <w:szCs w:val="24"/>
        </w:rPr>
        <w:t xml:space="preserve">patients who are working or providing childcare. </w:t>
      </w:r>
      <w:r w:rsidR="00674F76">
        <w:rPr>
          <w:rFonts w:cstheme="minorHAnsi"/>
          <w:sz w:val="24"/>
          <w:szCs w:val="24"/>
        </w:rPr>
        <w:t>A</w:t>
      </w:r>
      <w:r w:rsidRPr="003A3029">
        <w:rPr>
          <w:rFonts w:cstheme="minorHAnsi"/>
          <w:sz w:val="24"/>
          <w:szCs w:val="24"/>
        </w:rPr>
        <w:t xml:space="preserve"> snapshot study of wait times </w:t>
      </w:r>
      <w:r w:rsidR="00674F76">
        <w:rPr>
          <w:rFonts w:cstheme="minorHAnsi"/>
          <w:sz w:val="24"/>
          <w:szCs w:val="24"/>
        </w:rPr>
        <w:t xml:space="preserve">performed by the Hospital </w:t>
      </w:r>
      <w:r w:rsidR="00283DEB">
        <w:rPr>
          <w:rFonts w:cstheme="minorHAnsi"/>
          <w:sz w:val="24"/>
          <w:szCs w:val="24"/>
        </w:rPr>
        <w:t>in</w:t>
      </w:r>
      <w:r w:rsidR="00185FBF">
        <w:rPr>
          <w:rFonts w:cstheme="minorHAnsi"/>
          <w:sz w:val="24"/>
          <w:szCs w:val="24"/>
        </w:rPr>
        <w:t xml:space="preserve"> 2022 revealed that</w:t>
      </w:r>
      <w:r w:rsidRPr="003A3029">
        <w:rPr>
          <w:rFonts w:cstheme="minorHAnsi"/>
          <w:sz w:val="24"/>
          <w:szCs w:val="24"/>
        </w:rPr>
        <w:t xml:space="preserve"> the average wait time between simulation and the start of treatment </w:t>
      </w:r>
      <w:r w:rsidR="00B17BF7">
        <w:rPr>
          <w:rFonts w:cstheme="minorHAnsi"/>
          <w:sz w:val="24"/>
          <w:szCs w:val="24"/>
        </w:rPr>
        <w:t xml:space="preserve">rose from </w:t>
      </w:r>
      <w:r w:rsidR="00283DEB">
        <w:rPr>
          <w:rFonts w:cstheme="minorHAnsi"/>
          <w:sz w:val="24"/>
          <w:szCs w:val="24"/>
        </w:rPr>
        <w:t>approximately 9 working days</w:t>
      </w:r>
      <w:r w:rsidR="002301A0">
        <w:rPr>
          <w:rFonts w:cstheme="minorHAnsi"/>
          <w:sz w:val="24"/>
          <w:szCs w:val="24"/>
        </w:rPr>
        <w:t xml:space="preserve"> in 2021</w:t>
      </w:r>
      <w:r w:rsidR="00283DEB">
        <w:rPr>
          <w:rFonts w:cstheme="minorHAnsi"/>
          <w:sz w:val="24"/>
          <w:szCs w:val="24"/>
        </w:rPr>
        <w:t xml:space="preserve"> to 12 working days</w:t>
      </w:r>
      <w:r w:rsidRPr="003A3029">
        <w:rPr>
          <w:rFonts w:cstheme="minorHAnsi"/>
          <w:sz w:val="24"/>
          <w:szCs w:val="24"/>
        </w:rPr>
        <w:t xml:space="preserve"> </w:t>
      </w:r>
      <w:r w:rsidR="002301A0">
        <w:rPr>
          <w:rFonts w:cstheme="minorHAnsi"/>
          <w:sz w:val="24"/>
          <w:szCs w:val="24"/>
        </w:rPr>
        <w:t>in August 2022</w:t>
      </w:r>
      <w:r w:rsidRPr="003A3029">
        <w:rPr>
          <w:rFonts w:cstheme="minorHAnsi"/>
          <w:sz w:val="24"/>
          <w:szCs w:val="24"/>
        </w:rPr>
        <w:t>.</w:t>
      </w:r>
      <w:r w:rsidR="0074028D">
        <w:rPr>
          <w:rFonts w:cstheme="minorHAnsi"/>
          <w:sz w:val="24"/>
          <w:szCs w:val="24"/>
        </w:rPr>
        <w:t xml:space="preserve"> </w:t>
      </w:r>
      <w:r w:rsidR="00FB4A64">
        <w:rPr>
          <w:rFonts w:cstheme="minorHAnsi"/>
          <w:sz w:val="24"/>
          <w:szCs w:val="24"/>
        </w:rPr>
        <w:t xml:space="preserve">A difference of even a few </w:t>
      </w:r>
      <w:r w:rsidR="00505A2A">
        <w:rPr>
          <w:rFonts w:cstheme="minorHAnsi"/>
          <w:sz w:val="24"/>
          <w:szCs w:val="24"/>
        </w:rPr>
        <w:t xml:space="preserve">working days in </w:t>
      </w:r>
      <w:r w:rsidR="00141D5C" w:rsidRPr="00141D5C">
        <w:rPr>
          <w:rFonts w:cstheme="minorHAnsi"/>
          <w:sz w:val="24"/>
          <w:szCs w:val="24"/>
        </w:rPr>
        <w:t>the timeliness of radiation therapy affects the efficacy of treatment outcomes</w:t>
      </w:r>
      <w:r w:rsidR="00505A2A">
        <w:rPr>
          <w:rFonts w:cstheme="minorHAnsi"/>
          <w:sz w:val="24"/>
          <w:szCs w:val="24"/>
        </w:rPr>
        <w:t>, as explored in greater detail in Factor 1b</w:t>
      </w:r>
      <w:r w:rsidR="00A738D9">
        <w:rPr>
          <w:rFonts w:cstheme="minorHAnsi"/>
          <w:sz w:val="24"/>
          <w:szCs w:val="24"/>
        </w:rPr>
        <w:t>.</w:t>
      </w:r>
    </w:p>
    <w:p w14:paraId="642244E0" w14:textId="112ACCC0" w:rsidR="00B168B9" w:rsidRDefault="00E677D5" w:rsidP="00342D41">
      <w:pPr>
        <w:pStyle w:val="ListParagraph"/>
        <w:numPr>
          <w:ilvl w:val="1"/>
          <w:numId w:val="17"/>
        </w:numPr>
        <w:rPr>
          <w:rFonts w:cstheme="minorHAnsi"/>
          <w:sz w:val="24"/>
          <w:szCs w:val="24"/>
        </w:rPr>
      </w:pPr>
      <w:r w:rsidRPr="00CC4869">
        <w:rPr>
          <w:rFonts w:cstheme="minorHAnsi"/>
          <w:b/>
          <w:bCs/>
          <w:sz w:val="24"/>
          <w:szCs w:val="24"/>
        </w:rPr>
        <w:t xml:space="preserve">No Backup </w:t>
      </w:r>
      <w:r>
        <w:rPr>
          <w:rFonts w:cstheme="minorHAnsi"/>
          <w:b/>
          <w:bCs/>
          <w:sz w:val="24"/>
          <w:szCs w:val="24"/>
        </w:rPr>
        <w:t>if</w:t>
      </w:r>
      <w:r w:rsidRPr="00CC4869">
        <w:rPr>
          <w:rFonts w:cstheme="minorHAnsi"/>
          <w:b/>
          <w:bCs/>
          <w:sz w:val="24"/>
          <w:szCs w:val="24"/>
        </w:rPr>
        <w:t xml:space="preserve"> Downtime Increases on Overburdened Unit:</w:t>
      </w:r>
      <w:r w:rsidRPr="00A865C8">
        <w:rPr>
          <w:rFonts w:cstheme="minorHAnsi"/>
          <w:sz w:val="24"/>
          <w:szCs w:val="24"/>
        </w:rPr>
        <w:t xml:space="preserve"> In addition to providing schedule flexibility for patients, a second LINAC unit would provide timely access to radiation therapy if the existing LINAC experiences downtime. While the existing LINAC unit is not yet experiencing significant downtime, </w:t>
      </w:r>
      <w:r>
        <w:rPr>
          <w:rFonts w:cstheme="minorHAnsi"/>
          <w:sz w:val="24"/>
          <w:szCs w:val="24"/>
        </w:rPr>
        <w:t>the</w:t>
      </w:r>
      <w:r w:rsidRPr="00A865C8">
        <w:rPr>
          <w:rFonts w:cstheme="minorHAnsi"/>
          <w:sz w:val="24"/>
          <w:szCs w:val="24"/>
        </w:rPr>
        <w:t xml:space="preserve"> downtime will </w:t>
      </w:r>
      <w:r>
        <w:rPr>
          <w:rFonts w:cstheme="minorHAnsi"/>
          <w:sz w:val="24"/>
          <w:szCs w:val="24"/>
        </w:rPr>
        <w:t xml:space="preserve">inevitably </w:t>
      </w:r>
      <w:r w:rsidRPr="00A865C8">
        <w:rPr>
          <w:rFonts w:cstheme="minorHAnsi"/>
          <w:sz w:val="24"/>
          <w:szCs w:val="24"/>
        </w:rPr>
        <w:t xml:space="preserve">increase as the machine ages and there will be no back-up machine to ensure the reliability of services. </w:t>
      </w:r>
      <w:r>
        <w:rPr>
          <w:rFonts w:cstheme="minorHAnsi"/>
          <w:sz w:val="24"/>
          <w:szCs w:val="24"/>
        </w:rPr>
        <w:t>This concern is</w:t>
      </w:r>
      <w:r w:rsidRPr="00A865C8">
        <w:rPr>
          <w:rFonts w:cstheme="minorHAnsi"/>
          <w:sz w:val="24"/>
          <w:szCs w:val="24"/>
        </w:rPr>
        <w:t xml:space="preserve"> heightened </w:t>
      </w:r>
      <w:r>
        <w:rPr>
          <w:rFonts w:cstheme="minorHAnsi"/>
          <w:sz w:val="24"/>
          <w:szCs w:val="24"/>
        </w:rPr>
        <w:t>by the fact that</w:t>
      </w:r>
      <w:r w:rsidRPr="00A865C8">
        <w:rPr>
          <w:rFonts w:cstheme="minorHAnsi"/>
          <w:sz w:val="24"/>
          <w:szCs w:val="24"/>
        </w:rPr>
        <w:t xml:space="preserve"> the existing unit is currently operating </w:t>
      </w:r>
      <w:r>
        <w:rPr>
          <w:rFonts w:cstheme="minorHAnsi"/>
          <w:sz w:val="24"/>
          <w:szCs w:val="24"/>
        </w:rPr>
        <w:t xml:space="preserve">significantly </w:t>
      </w:r>
      <w:r w:rsidRPr="00A865C8">
        <w:rPr>
          <w:rFonts w:cstheme="minorHAnsi"/>
          <w:sz w:val="24"/>
          <w:szCs w:val="24"/>
        </w:rPr>
        <w:t>above capacity. There were 436 new treatment starts in FY22, which is well above the recommended average of 237 patients per machine.</w:t>
      </w:r>
      <w:r w:rsidR="007A455E">
        <w:rPr>
          <w:rStyle w:val="EndnoteReference"/>
          <w:rFonts w:cstheme="minorHAnsi"/>
          <w:sz w:val="24"/>
          <w:szCs w:val="24"/>
        </w:rPr>
        <w:endnoteReference w:id="9"/>
      </w:r>
      <w:r w:rsidRPr="00A865C8">
        <w:rPr>
          <w:rFonts w:cstheme="minorHAnsi"/>
          <w:sz w:val="24"/>
          <w:szCs w:val="24"/>
        </w:rPr>
        <w:t xml:space="preserve"> </w:t>
      </w:r>
      <w:r w:rsidR="00156AF2">
        <w:rPr>
          <w:rFonts w:cstheme="minorHAnsi"/>
          <w:sz w:val="24"/>
          <w:szCs w:val="24"/>
        </w:rPr>
        <w:t xml:space="preserve">This is an increase of approximately </w:t>
      </w:r>
      <w:r w:rsidR="00E61705">
        <w:rPr>
          <w:rFonts w:cstheme="minorHAnsi"/>
          <w:sz w:val="24"/>
          <w:szCs w:val="24"/>
        </w:rPr>
        <w:t xml:space="preserve">40% from the FY2020 volume of new </w:t>
      </w:r>
      <w:r w:rsidR="00B95604">
        <w:rPr>
          <w:rFonts w:cstheme="minorHAnsi"/>
          <w:sz w:val="24"/>
          <w:szCs w:val="24"/>
        </w:rPr>
        <w:t xml:space="preserve">treatment </w:t>
      </w:r>
      <w:r w:rsidR="00E61705">
        <w:rPr>
          <w:rFonts w:cstheme="minorHAnsi"/>
          <w:sz w:val="24"/>
          <w:szCs w:val="24"/>
        </w:rPr>
        <w:t>starts</w:t>
      </w:r>
      <w:r w:rsidR="00AA6EA0">
        <w:rPr>
          <w:rFonts w:cstheme="minorHAnsi"/>
          <w:sz w:val="24"/>
          <w:szCs w:val="24"/>
        </w:rPr>
        <w:t xml:space="preserve">. </w:t>
      </w:r>
      <w:r w:rsidRPr="00A865C8">
        <w:rPr>
          <w:rFonts w:cstheme="minorHAnsi"/>
          <w:sz w:val="24"/>
          <w:szCs w:val="24"/>
        </w:rPr>
        <w:t>Continuing to operate the machine above capacity will put strain on the unit and hasten the increase in downtime as the machine ages. A second LINAC unit is necessary to maintain the existing LINAC for as long as possible and reduce the potential for downtime</w:t>
      </w:r>
      <w:r w:rsidR="006230DC">
        <w:rPr>
          <w:rFonts w:cstheme="minorHAnsi"/>
          <w:sz w:val="24"/>
          <w:szCs w:val="24"/>
        </w:rPr>
        <w:t>, which ca</w:t>
      </w:r>
      <w:r w:rsidR="00064D70">
        <w:rPr>
          <w:rFonts w:cstheme="minorHAnsi"/>
          <w:sz w:val="24"/>
          <w:szCs w:val="24"/>
        </w:rPr>
        <w:t>n cause the treatment delays addressed in the previous section.</w:t>
      </w:r>
    </w:p>
    <w:p w14:paraId="6B3E021D" w14:textId="77777777" w:rsidR="00342D41" w:rsidRPr="00342D41" w:rsidRDefault="00342D41" w:rsidP="00342D41">
      <w:pPr>
        <w:ind w:left="1080"/>
        <w:rPr>
          <w:rFonts w:eastAsiaTheme="minorHAnsi" w:cstheme="minorHAnsi"/>
        </w:rPr>
      </w:pPr>
    </w:p>
    <w:p w14:paraId="71084AB5" w14:textId="77777777" w:rsidR="00E677D5" w:rsidRPr="001A19E9" w:rsidRDefault="00E677D5" w:rsidP="00E677D5">
      <w:pPr>
        <w:pStyle w:val="ListParagraph"/>
        <w:spacing w:after="0" w:line="240" w:lineRule="auto"/>
        <w:ind w:left="0"/>
        <w:rPr>
          <w:rFonts w:cstheme="minorHAnsi"/>
          <w:b/>
          <w:i/>
          <w:sz w:val="24"/>
          <w:szCs w:val="24"/>
        </w:rPr>
      </w:pPr>
      <w:r w:rsidRPr="001A19E9">
        <w:rPr>
          <w:rFonts w:cstheme="minorHAnsi"/>
          <w:b/>
          <w:i/>
          <w:sz w:val="24"/>
          <w:szCs w:val="24"/>
        </w:rPr>
        <w:t>Analysis</w:t>
      </w:r>
    </w:p>
    <w:p w14:paraId="1CFB8BED" w14:textId="289AB110" w:rsidR="00E677D5" w:rsidRDefault="00E677D5" w:rsidP="00E677D5">
      <w:pPr>
        <w:rPr>
          <w:rFonts w:asciiTheme="minorHAnsi" w:hAnsiTheme="minorHAnsi" w:cstheme="minorHAnsi"/>
        </w:rPr>
      </w:pPr>
      <w:r w:rsidRPr="001A19E9">
        <w:rPr>
          <w:rFonts w:asciiTheme="minorHAnsi" w:eastAsiaTheme="minorHAnsi" w:hAnsiTheme="minorHAnsi" w:cstheme="minorHAnsi"/>
        </w:rPr>
        <w:t xml:space="preserve">Staff finds that the historic and projected growth in treatments demonstrate sufficient need for a second LINAC unit at BID-P. </w:t>
      </w:r>
      <w:r>
        <w:rPr>
          <w:rFonts w:asciiTheme="minorHAnsi" w:hAnsiTheme="minorHAnsi" w:cstheme="minorHAnsi"/>
          <w:kern w:val="2"/>
        </w:rPr>
        <w:t>Staff finds that p</w:t>
      </w:r>
      <w:r w:rsidRPr="00EC421D">
        <w:rPr>
          <w:rFonts w:asciiTheme="minorHAnsi" w:hAnsiTheme="minorHAnsi" w:cstheme="minorHAnsi"/>
          <w:kern w:val="2"/>
        </w:rPr>
        <w:t>roviding radiation therapy across two units will decrease the strain on the current LIN</w:t>
      </w:r>
      <w:r w:rsidRPr="00CC4869">
        <w:rPr>
          <w:rFonts w:asciiTheme="minorHAnsi" w:hAnsiTheme="minorHAnsi" w:cstheme="minorHAnsi"/>
          <w:kern w:val="2"/>
        </w:rPr>
        <w:t>AC,</w:t>
      </w:r>
      <w:r w:rsidRPr="00EC421D">
        <w:rPr>
          <w:rFonts w:asciiTheme="minorHAnsi" w:hAnsiTheme="minorHAnsi" w:cstheme="minorHAnsi"/>
          <w:kern w:val="2"/>
        </w:rPr>
        <w:t xml:space="preserve"> in turn prolonging the useful life of both units. </w:t>
      </w:r>
      <w:r>
        <w:rPr>
          <w:rFonts w:asciiTheme="minorHAnsi" w:hAnsiTheme="minorHAnsi" w:cstheme="minorHAnsi"/>
          <w:kern w:val="2"/>
        </w:rPr>
        <w:t>A</w:t>
      </w:r>
      <w:r w:rsidRPr="00EC421D">
        <w:rPr>
          <w:rFonts w:asciiTheme="minorHAnsi" w:hAnsiTheme="minorHAnsi" w:cstheme="minorHAnsi"/>
          <w:kern w:val="2"/>
        </w:rPr>
        <w:t xml:space="preserve">dding a second machine will </w:t>
      </w:r>
      <w:r>
        <w:rPr>
          <w:rFonts w:asciiTheme="minorHAnsi" w:hAnsiTheme="minorHAnsi" w:cstheme="minorHAnsi"/>
          <w:kern w:val="2"/>
        </w:rPr>
        <w:t xml:space="preserve">also </w:t>
      </w:r>
      <w:r w:rsidRPr="00EC421D">
        <w:rPr>
          <w:rFonts w:asciiTheme="minorHAnsi" w:hAnsiTheme="minorHAnsi" w:cstheme="minorHAnsi"/>
          <w:kern w:val="2"/>
        </w:rPr>
        <w:t xml:space="preserve">provide </w:t>
      </w:r>
      <w:r w:rsidRPr="001A19E9">
        <w:rPr>
          <w:rFonts w:asciiTheme="minorHAnsi" w:hAnsiTheme="minorHAnsi" w:cstheme="minorHAnsi"/>
          <w:kern w:val="2"/>
        </w:rPr>
        <w:t>patients with greater flexibility in scheduling appointments</w:t>
      </w:r>
      <w:r>
        <w:rPr>
          <w:rFonts w:asciiTheme="minorHAnsi" w:hAnsiTheme="minorHAnsi" w:cstheme="minorHAnsi"/>
          <w:kern w:val="2"/>
        </w:rPr>
        <w:t xml:space="preserve">, which could </w:t>
      </w:r>
      <w:r w:rsidRPr="001A19E9">
        <w:rPr>
          <w:rFonts w:asciiTheme="minorHAnsi" w:hAnsiTheme="minorHAnsi" w:cstheme="minorHAnsi"/>
          <w:kern w:val="2"/>
        </w:rPr>
        <w:t xml:space="preserve">improve compliance with treatment. </w:t>
      </w:r>
      <w:r>
        <w:rPr>
          <w:rFonts w:asciiTheme="minorHAnsi" w:hAnsiTheme="minorHAnsi" w:cstheme="minorHAnsi"/>
          <w:kern w:val="2"/>
        </w:rPr>
        <w:t>T</w:t>
      </w:r>
      <w:r w:rsidRPr="001A19E9">
        <w:rPr>
          <w:rFonts w:asciiTheme="minorHAnsi" w:hAnsiTheme="minorHAnsi" w:cstheme="minorHAnsi"/>
          <w:kern w:val="2"/>
        </w:rPr>
        <w:t xml:space="preserve">he second unit will provide capacity to accommodate the increased number of radiation oncology patients predicted in the </w:t>
      </w:r>
      <w:r>
        <w:rPr>
          <w:rFonts w:asciiTheme="minorHAnsi" w:hAnsiTheme="minorHAnsi" w:cstheme="minorHAnsi"/>
          <w:kern w:val="2"/>
        </w:rPr>
        <w:t>P</w:t>
      </w:r>
      <w:r w:rsidRPr="001A19E9">
        <w:rPr>
          <w:rFonts w:asciiTheme="minorHAnsi" w:hAnsiTheme="minorHAnsi" w:cstheme="minorHAnsi"/>
          <w:kern w:val="2"/>
        </w:rPr>
        <w:t xml:space="preserve">rimary </w:t>
      </w:r>
      <w:r>
        <w:rPr>
          <w:rFonts w:asciiTheme="minorHAnsi" w:hAnsiTheme="minorHAnsi" w:cstheme="minorHAnsi"/>
          <w:kern w:val="2"/>
        </w:rPr>
        <w:t>S</w:t>
      </w:r>
      <w:r w:rsidRPr="001A19E9">
        <w:rPr>
          <w:rFonts w:asciiTheme="minorHAnsi" w:hAnsiTheme="minorHAnsi" w:cstheme="minorHAnsi"/>
          <w:kern w:val="2"/>
        </w:rPr>
        <w:t xml:space="preserve">ervice </w:t>
      </w:r>
      <w:r>
        <w:rPr>
          <w:rFonts w:asciiTheme="minorHAnsi" w:hAnsiTheme="minorHAnsi" w:cstheme="minorHAnsi"/>
          <w:kern w:val="2"/>
        </w:rPr>
        <w:t>A</w:t>
      </w:r>
      <w:r w:rsidRPr="001A19E9">
        <w:rPr>
          <w:rFonts w:asciiTheme="minorHAnsi" w:hAnsiTheme="minorHAnsi" w:cstheme="minorHAnsi"/>
          <w:kern w:val="2"/>
        </w:rPr>
        <w:t xml:space="preserve">rea. </w:t>
      </w:r>
      <w:r w:rsidRPr="001A19E9">
        <w:rPr>
          <w:rFonts w:asciiTheme="minorHAnsi" w:hAnsiTheme="minorHAnsi" w:cstheme="minorHAnsi"/>
        </w:rPr>
        <w:t>As a result, Staff finds that the Proposed Project meets the requirements of Factor 1a.</w:t>
      </w:r>
    </w:p>
    <w:p w14:paraId="447D7EEF" w14:textId="77777777" w:rsidR="00E677D5" w:rsidRPr="00E677D5" w:rsidRDefault="00E677D5" w:rsidP="00E677D5">
      <w:pPr>
        <w:rPr>
          <w:rFonts w:asciiTheme="minorHAnsi" w:hAnsiTheme="minorHAnsi" w:cstheme="minorHAnsi"/>
        </w:rPr>
      </w:pPr>
    </w:p>
    <w:p w14:paraId="12C958E8" w14:textId="77777777" w:rsidR="000D6ED1" w:rsidRPr="00FE1D55" w:rsidRDefault="000D6ED1" w:rsidP="000D6ED1">
      <w:pPr>
        <w:pStyle w:val="Heading1"/>
        <w:spacing w:before="0" w:line="240" w:lineRule="auto"/>
        <w:rPr>
          <w:rFonts w:asciiTheme="minorHAnsi" w:hAnsiTheme="minorHAnsi" w:cstheme="minorHAnsi"/>
        </w:rPr>
      </w:pPr>
      <w:bookmarkStart w:id="21" w:name="_Toc155341743"/>
      <w:r w:rsidRPr="00FE1D55">
        <w:rPr>
          <w:rFonts w:asciiTheme="minorHAnsi" w:hAnsiTheme="minorHAnsi" w:cstheme="minorHAnsi"/>
        </w:rPr>
        <w:lastRenderedPageBreak/>
        <w:t>Factor 1: b) Public Health Value, Improved Health Outcomes and Quality of Life; Assurances of Health Equity</w:t>
      </w:r>
      <w:bookmarkEnd w:id="14"/>
      <w:bookmarkEnd w:id="21"/>
    </w:p>
    <w:p w14:paraId="6ECE1505" w14:textId="77777777" w:rsidR="00AC59DE" w:rsidRPr="00CC73D5" w:rsidRDefault="00AC59DE" w:rsidP="00AC59DE">
      <w:pPr>
        <w:autoSpaceDE w:val="0"/>
        <w:autoSpaceDN w:val="0"/>
        <w:adjustRightInd w:val="0"/>
        <w:rPr>
          <w:rFonts w:asciiTheme="minorHAnsi" w:hAnsiTheme="minorHAnsi" w:cstheme="minorHAnsi"/>
          <w:color w:val="000000"/>
        </w:rPr>
      </w:pPr>
      <w:bookmarkStart w:id="22" w:name="_Toc17149377"/>
      <w:bookmarkStart w:id="23" w:name="_Toc17151181"/>
      <w:r w:rsidRPr="00CC73D5">
        <w:rPr>
          <w:rFonts w:asciiTheme="minorHAnsi" w:hAnsiTheme="minorHAnsi" w:cstheme="minorHAnsi"/>
          <w:color w:val="000000"/>
        </w:rPr>
        <w:t>In</w:t>
      </w:r>
      <w:r w:rsidRPr="00CC73D5">
        <w:rPr>
          <w:rFonts w:asciiTheme="minorHAnsi" w:hAnsiTheme="minorHAnsi" w:cstheme="minorHAnsi"/>
        </w:rPr>
        <w:t xml:space="preserve"> this section staff will assess if the Proposed Project </w:t>
      </w:r>
      <w:r w:rsidRPr="00CC73D5">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73095481" w14:textId="77777777" w:rsidR="00AC59DE" w:rsidRPr="00104460" w:rsidRDefault="00AC59DE" w:rsidP="00AC59DE">
      <w:pPr>
        <w:autoSpaceDE w:val="0"/>
        <w:autoSpaceDN w:val="0"/>
        <w:adjustRightInd w:val="0"/>
        <w:rPr>
          <w:rFonts w:asciiTheme="minorHAnsi" w:hAnsiTheme="minorHAnsi" w:cstheme="minorHAnsi"/>
          <w:highlight w:val="yellow"/>
        </w:rPr>
      </w:pPr>
    </w:p>
    <w:p w14:paraId="47FBC416" w14:textId="77777777" w:rsidR="00AC59DE" w:rsidRPr="00104460" w:rsidRDefault="00AC59DE" w:rsidP="00AC59DE">
      <w:pPr>
        <w:contextualSpacing/>
        <w:rPr>
          <w:rFonts w:asciiTheme="minorHAnsi" w:hAnsiTheme="minorHAnsi" w:cstheme="minorHAnsi"/>
          <w:b/>
          <w:bCs/>
          <w:highlight w:val="yellow"/>
        </w:rPr>
      </w:pPr>
      <w:r w:rsidRPr="00AD354A">
        <w:rPr>
          <w:rFonts w:asciiTheme="minorHAnsi" w:hAnsiTheme="minorHAnsi" w:cstheme="minorHAnsi"/>
          <w:b/>
          <w:bCs/>
        </w:rPr>
        <w:t>Public Health Value and Health Outcomes</w:t>
      </w:r>
    </w:p>
    <w:p w14:paraId="209E5723" w14:textId="60ED4403" w:rsidR="00AC59DE" w:rsidRDefault="00AC59DE" w:rsidP="00AC59DE">
      <w:pPr>
        <w:rPr>
          <w:rFonts w:ascii="Arial" w:hAnsi="Arial" w:cs="Arial"/>
          <w:sz w:val="20"/>
          <w:szCs w:val="20"/>
          <w:u w:val="single"/>
        </w:rPr>
      </w:pPr>
      <w:r w:rsidRPr="000E18EA">
        <w:rPr>
          <w:rFonts w:asciiTheme="minorHAnsi" w:hAnsiTheme="minorHAnsi" w:cstheme="minorHAnsi"/>
        </w:rPr>
        <w:t xml:space="preserve">The Applicant asserts that the Proposed Project aims to improve health outcomes and quality of life </w:t>
      </w:r>
      <w:r>
        <w:rPr>
          <w:rFonts w:asciiTheme="minorHAnsi" w:hAnsiTheme="minorHAnsi" w:cstheme="minorHAnsi"/>
        </w:rPr>
        <w:t>by ensuring uninterrupted access to radiation therapy for oncology patients</w:t>
      </w:r>
      <w:r w:rsidRPr="000E18EA">
        <w:rPr>
          <w:rFonts w:asciiTheme="minorHAnsi" w:hAnsiTheme="minorHAnsi" w:cstheme="minorHAnsi"/>
        </w:rPr>
        <w:t>, thereby improving quality of life</w:t>
      </w:r>
      <w:r>
        <w:rPr>
          <w:rFonts w:asciiTheme="minorHAnsi" w:hAnsiTheme="minorHAnsi" w:cstheme="minorHAnsi"/>
        </w:rPr>
        <w:t xml:space="preserve"> for the existing Patient Panel</w:t>
      </w:r>
      <w:r w:rsidRPr="000E18EA">
        <w:rPr>
          <w:rFonts w:asciiTheme="minorHAnsi" w:hAnsiTheme="minorHAnsi" w:cstheme="minorHAnsi"/>
        </w:rPr>
        <w:t>.</w:t>
      </w:r>
      <w:r>
        <w:rPr>
          <w:rFonts w:asciiTheme="minorHAnsi" w:hAnsiTheme="minorHAnsi" w:cstheme="minorHAnsi"/>
        </w:rPr>
        <w:t xml:space="preserve"> </w:t>
      </w:r>
      <w:r w:rsidRPr="002628AC">
        <w:rPr>
          <w:rFonts w:asciiTheme="minorHAnsi" w:hAnsiTheme="minorHAnsi" w:cstheme="minorHAnsi"/>
        </w:rPr>
        <w:t xml:space="preserve">To demonstrate improved public health value and quality of life, the Applicant provided </w:t>
      </w:r>
      <w:r>
        <w:rPr>
          <w:rFonts w:asciiTheme="minorHAnsi" w:hAnsiTheme="minorHAnsi" w:cstheme="minorHAnsi"/>
        </w:rPr>
        <w:t xml:space="preserve">a summary of literature supporting the benefits </w:t>
      </w:r>
      <w:r w:rsidRPr="002628AC">
        <w:rPr>
          <w:rFonts w:asciiTheme="minorHAnsi" w:hAnsiTheme="minorHAnsi" w:cstheme="minorHAnsi"/>
        </w:rPr>
        <w:t xml:space="preserve">of </w:t>
      </w:r>
      <w:r w:rsidR="009C5104">
        <w:rPr>
          <w:rFonts w:asciiTheme="minorHAnsi" w:hAnsiTheme="minorHAnsi" w:cstheme="minorHAnsi"/>
        </w:rPr>
        <w:t xml:space="preserve">1) </w:t>
      </w:r>
      <w:r>
        <w:rPr>
          <w:rFonts w:asciiTheme="minorHAnsi" w:hAnsiTheme="minorHAnsi" w:cstheme="minorHAnsi"/>
        </w:rPr>
        <w:t xml:space="preserve">access to </w:t>
      </w:r>
      <w:r w:rsidRPr="001C29B6">
        <w:rPr>
          <w:rFonts w:asciiTheme="minorHAnsi" w:hAnsiTheme="minorHAnsi" w:cstheme="minorHAnsi"/>
        </w:rPr>
        <w:t>LINAC</w:t>
      </w:r>
      <w:r>
        <w:rPr>
          <w:rFonts w:asciiTheme="minorHAnsi" w:hAnsiTheme="minorHAnsi" w:cstheme="minorHAnsi"/>
        </w:rPr>
        <w:t xml:space="preserve"> and 2) timely access to care close to home.</w:t>
      </w:r>
    </w:p>
    <w:p w14:paraId="758196B4" w14:textId="77777777" w:rsidR="00AC59DE" w:rsidRPr="003D6B12" w:rsidRDefault="00AC59DE" w:rsidP="00AC59DE">
      <w:pPr>
        <w:rPr>
          <w:rFonts w:asciiTheme="minorHAnsi" w:hAnsiTheme="minorHAnsi" w:cstheme="minorHAnsi"/>
        </w:rPr>
      </w:pPr>
    </w:p>
    <w:p w14:paraId="077F720D" w14:textId="601CADFF" w:rsidR="00AC59DE" w:rsidRPr="002B0919" w:rsidRDefault="003A35EE" w:rsidP="00AC59DE">
      <w:pPr>
        <w:pStyle w:val="ListParagraph"/>
        <w:numPr>
          <w:ilvl w:val="0"/>
          <w:numId w:val="9"/>
        </w:numPr>
        <w:spacing w:after="0"/>
        <w:rPr>
          <w:rFonts w:cstheme="minorHAnsi"/>
          <w:b/>
          <w:bCs/>
          <w:i/>
          <w:iCs/>
          <w:sz w:val="24"/>
          <w:szCs w:val="24"/>
        </w:rPr>
      </w:pPr>
      <w:r>
        <w:rPr>
          <w:rFonts w:cstheme="minorHAnsi"/>
          <w:b/>
          <w:bCs/>
          <w:i/>
          <w:iCs/>
          <w:sz w:val="24"/>
          <w:szCs w:val="24"/>
        </w:rPr>
        <w:t xml:space="preserve">Access to </w:t>
      </w:r>
      <w:r w:rsidR="00AC59DE" w:rsidRPr="002B0919">
        <w:rPr>
          <w:rFonts w:cstheme="minorHAnsi"/>
          <w:b/>
          <w:bCs/>
          <w:i/>
          <w:iCs/>
          <w:sz w:val="24"/>
          <w:szCs w:val="24"/>
        </w:rPr>
        <w:t>Linear Accelerator (LINAC)</w:t>
      </w:r>
    </w:p>
    <w:p w14:paraId="3F471D89" w14:textId="152C8E1B" w:rsidR="00AC59DE" w:rsidRPr="009853DB" w:rsidRDefault="00AC59DE" w:rsidP="00A515BE">
      <w:pPr>
        <w:shd w:val="clear" w:color="auto" w:fill="FFFFFF" w:themeFill="background1"/>
        <w:rPr>
          <w:rFonts w:ascii="Arial" w:hAnsi="Arial" w:cs="Arial"/>
          <w:i/>
          <w:iCs/>
          <w:color w:val="111111"/>
          <w:sz w:val="20"/>
          <w:szCs w:val="20"/>
        </w:rPr>
      </w:pPr>
      <w:r w:rsidRPr="003D6B12">
        <w:rPr>
          <w:rFonts w:asciiTheme="minorHAnsi" w:hAnsiTheme="minorHAnsi" w:cstheme="minorHAnsi"/>
          <w:color w:val="111111"/>
        </w:rPr>
        <w:t>LINAC is the device most commonly used for external beam radiation treatments for patients with cancer.</w:t>
      </w:r>
      <w:r w:rsidRPr="003D6B12">
        <w:rPr>
          <w:rFonts w:asciiTheme="minorHAnsi" w:hAnsiTheme="minorHAnsi" w:cstheme="minorHAnsi"/>
          <w:color w:val="4D5156"/>
          <w:shd w:val="clear" w:color="auto" w:fill="FFFFFF"/>
        </w:rPr>
        <w:t xml:space="preserve"> </w:t>
      </w:r>
      <w:r w:rsidRPr="003D6B12">
        <w:rPr>
          <w:rFonts w:asciiTheme="minorHAnsi" w:hAnsiTheme="minorHAnsi" w:cstheme="minorHAnsi"/>
          <w:color w:val="111111"/>
        </w:rPr>
        <w:t>The machine produces high energy x-rays or electrons that can precisely target the tumor while leaving the surrounding healthy tissue intact.</w:t>
      </w:r>
      <w:bookmarkStart w:id="24" w:name="_Ref132744723"/>
      <w:r w:rsidRPr="003D6B12">
        <w:rPr>
          <w:rStyle w:val="EndnoteReference"/>
          <w:rFonts w:asciiTheme="minorHAnsi" w:eastAsiaTheme="majorEastAsia" w:hAnsiTheme="minorHAnsi" w:cstheme="minorHAnsi"/>
          <w:color w:val="111111"/>
        </w:rPr>
        <w:endnoteReference w:id="10"/>
      </w:r>
      <w:bookmarkEnd w:id="24"/>
      <w:r>
        <w:rPr>
          <w:rFonts w:asciiTheme="minorHAnsi" w:hAnsiTheme="minorHAnsi" w:cstheme="minorHAnsi"/>
          <w:color w:val="111111"/>
        </w:rPr>
        <w:t xml:space="preserve"> </w:t>
      </w:r>
      <w:r w:rsidR="00CA5BC4">
        <w:rPr>
          <w:rFonts w:asciiTheme="minorHAnsi" w:hAnsiTheme="minorHAnsi" w:cstheme="minorHAnsi"/>
          <w:color w:val="111111"/>
        </w:rPr>
        <w:t xml:space="preserve">The Applicant </w:t>
      </w:r>
      <w:r w:rsidR="00860743">
        <w:rPr>
          <w:rFonts w:asciiTheme="minorHAnsi" w:hAnsiTheme="minorHAnsi" w:cstheme="minorHAnsi"/>
          <w:color w:val="111111"/>
        </w:rPr>
        <w:t xml:space="preserve">referenced </w:t>
      </w:r>
      <w:r w:rsidR="002C1D67">
        <w:rPr>
          <w:rFonts w:asciiTheme="minorHAnsi" w:hAnsiTheme="minorHAnsi" w:cstheme="minorHAnsi"/>
          <w:color w:val="111111"/>
        </w:rPr>
        <w:t>an array of literature (</w:t>
      </w:r>
      <w:r w:rsidR="00860743">
        <w:rPr>
          <w:rFonts w:asciiTheme="minorHAnsi" w:hAnsiTheme="minorHAnsi" w:cstheme="minorHAnsi"/>
          <w:color w:val="111111"/>
        </w:rPr>
        <w:t>listed</w:t>
      </w:r>
      <w:r w:rsidR="002C1D67">
        <w:rPr>
          <w:rFonts w:asciiTheme="minorHAnsi" w:hAnsiTheme="minorHAnsi" w:cstheme="minorHAnsi"/>
          <w:color w:val="111111"/>
        </w:rPr>
        <w:t xml:space="preserve"> in Appendix II</w:t>
      </w:r>
      <w:r w:rsidR="00970F87">
        <w:rPr>
          <w:rFonts w:asciiTheme="minorHAnsi" w:hAnsiTheme="minorHAnsi" w:cstheme="minorHAnsi"/>
          <w:color w:val="111111"/>
        </w:rPr>
        <w:t>I</w:t>
      </w:r>
      <w:r w:rsidR="002C1D67">
        <w:rPr>
          <w:rFonts w:asciiTheme="minorHAnsi" w:hAnsiTheme="minorHAnsi" w:cstheme="minorHAnsi"/>
          <w:color w:val="111111"/>
        </w:rPr>
        <w:t xml:space="preserve">) detailing the </w:t>
      </w:r>
      <w:r w:rsidR="00F64C41">
        <w:rPr>
          <w:rFonts w:asciiTheme="minorHAnsi" w:hAnsiTheme="minorHAnsi" w:cstheme="minorHAnsi"/>
          <w:color w:val="111111"/>
        </w:rPr>
        <w:t>utility and benefit</w:t>
      </w:r>
      <w:r w:rsidR="00860743">
        <w:rPr>
          <w:rFonts w:asciiTheme="minorHAnsi" w:hAnsiTheme="minorHAnsi" w:cstheme="minorHAnsi"/>
          <w:color w:val="111111"/>
        </w:rPr>
        <w:t>s</w:t>
      </w:r>
      <w:r w:rsidR="00F64C41">
        <w:rPr>
          <w:rFonts w:asciiTheme="minorHAnsi" w:hAnsiTheme="minorHAnsi" w:cstheme="minorHAnsi"/>
          <w:color w:val="111111"/>
        </w:rPr>
        <w:t xml:space="preserve"> of Eternal Beam Radiation Therapy, IMRT, and </w:t>
      </w:r>
      <w:r w:rsidR="00F444A2">
        <w:rPr>
          <w:rFonts w:asciiTheme="minorHAnsi" w:hAnsiTheme="minorHAnsi" w:cstheme="minorHAnsi"/>
          <w:color w:val="111111"/>
        </w:rPr>
        <w:t>SBRT</w:t>
      </w:r>
      <w:r w:rsidR="00F64C41">
        <w:rPr>
          <w:rFonts w:asciiTheme="minorHAnsi" w:hAnsiTheme="minorHAnsi" w:cstheme="minorHAnsi"/>
          <w:color w:val="111111"/>
        </w:rPr>
        <w:t>.</w:t>
      </w:r>
      <w:r w:rsidR="00F444A2">
        <w:rPr>
          <w:rFonts w:asciiTheme="minorHAnsi" w:hAnsiTheme="minorHAnsi" w:cstheme="minorHAnsi"/>
          <w:color w:val="111111"/>
        </w:rPr>
        <w:t xml:space="preserve"> </w:t>
      </w:r>
      <w:r w:rsidR="007054C6">
        <w:rPr>
          <w:rFonts w:asciiTheme="minorHAnsi" w:hAnsiTheme="minorHAnsi" w:cstheme="minorHAnsi"/>
          <w:color w:val="111111"/>
        </w:rPr>
        <w:t>Based on</w:t>
      </w:r>
      <w:r w:rsidR="00AB689A">
        <w:rPr>
          <w:rFonts w:asciiTheme="minorHAnsi" w:hAnsiTheme="minorHAnsi" w:cstheme="minorHAnsi"/>
          <w:color w:val="111111"/>
        </w:rPr>
        <w:t xml:space="preserve"> </w:t>
      </w:r>
      <w:r w:rsidR="007054C6">
        <w:rPr>
          <w:rFonts w:asciiTheme="minorHAnsi" w:hAnsiTheme="minorHAnsi" w:cstheme="minorHAnsi"/>
          <w:color w:val="111111"/>
        </w:rPr>
        <w:t xml:space="preserve">a review of the literature, </w:t>
      </w:r>
      <w:r w:rsidR="00AB689A">
        <w:rPr>
          <w:rFonts w:asciiTheme="minorHAnsi" w:hAnsiTheme="minorHAnsi" w:cstheme="minorHAnsi"/>
          <w:color w:val="111111"/>
        </w:rPr>
        <w:t xml:space="preserve">LINAC is </w:t>
      </w:r>
      <w:r w:rsidR="00615818">
        <w:rPr>
          <w:rFonts w:asciiTheme="minorHAnsi" w:hAnsiTheme="minorHAnsi" w:cstheme="minorHAnsi"/>
          <w:color w:val="111111"/>
        </w:rPr>
        <w:t xml:space="preserve">medical technology </w:t>
      </w:r>
      <w:r w:rsidR="00CC6C06">
        <w:rPr>
          <w:rFonts w:asciiTheme="minorHAnsi" w:hAnsiTheme="minorHAnsi" w:cstheme="minorHAnsi"/>
          <w:color w:val="111111"/>
        </w:rPr>
        <w:t>that is well-accepted as an effective</w:t>
      </w:r>
      <w:r w:rsidR="00AB689A">
        <w:rPr>
          <w:rFonts w:asciiTheme="minorHAnsi" w:hAnsiTheme="minorHAnsi" w:cstheme="minorHAnsi"/>
          <w:color w:val="111111"/>
        </w:rPr>
        <w:t xml:space="preserve"> cancer treatment</w:t>
      </w:r>
      <w:r w:rsidR="00CC6C06">
        <w:rPr>
          <w:rFonts w:asciiTheme="minorHAnsi" w:hAnsiTheme="minorHAnsi" w:cstheme="minorHAnsi"/>
          <w:color w:val="111111"/>
        </w:rPr>
        <w:t xml:space="preserve"> and has the potential to </w:t>
      </w:r>
      <w:r w:rsidR="009305BB">
        <w:rPr>
          <w:rFonts w:asciiTheme="minorHAnsi" w:hAnsiTheme="minorHAnsi" w:cstheme="minorHAnsi"/>
          <w:color w:val="111111"/>
        </w:rPr>
        <w:t xml:space="preserve">provide very precise doses of radiation while minimizing </w:t>
      </w:r>
      <w:r w:rsidR="00A515BE">
        <w:rPr>
          <w:rFonts w:asciiTheme="minorHAnsi" w:hAnsiTheme="minorHAnsi" w:cstheme="minorHAnsi"/>
          <w:color w:val="111111"/>
        </w:rPr>
        <w:t xml:space="preserve">side effects and damage to healthy tissue. </w:t>
      </w:r>
      <w:r w:rsidR="00EA0D38">
        <w:rPr>
          <w:rFonts w:asciiTheme="minorHAnsi" w:hAnsiTheme="minorHAnsi" w:cstheme="minorHAnsi"/>
          <w:color w:val="111111"/>
        </w:rPr>
        <w:t xml:space="preserve">Having uninterrupted access to this equipment </w:t>
      </w:r>
      <w:r w:rsidR="00C463EA">
        <w:rPr>
          <w:rFonts w:asciiTheme="minorHAnsi" w:hAnsiTheme="minorHAnsi" w:cstheme="minorHAnsi"/>
          <w:color w:val="111111"/>
        </w:rPr>
        <w:t>will likely</w:t>
      </w:r>
      <w:r w:rsidR="00E76C76">
        <w:rPr>
          <w:rFonts w:asciiTheme="minorHAnsi" w:hAnsiTheme="minorHAnsi" w:cstheme="minorHAnsi"/>
          <w:color w:val="111111"/>
        </w:rPr>
        <w:t xml:space="preserve"> </w:t>
      </w:r>
      <w:r w:rsidR="00AC7E78">
        <w:rPr>
          <w:rFonts w:asciiTheme="minorHAnsi" w:hAnsiTheme="minorHAnsi" w:cstheme="minorHAnsi"/>
          <w:color w:val="111111"/>
        </w:rPr>
        <w:t xml:space="preserve">improve </w:t>
      </w:r>
      <w:r w:rsidR="00E76C76">
        <w:rPr>
          <w:rFonts w:asciiTheme="minorHAnsi" w:hAnsiTheme="minorHAnsi" w:cstheme="minorHAnsi"/>
          <w:color w:val="111111"/>
        </w:rPr>
        <w:t>the quality of life for the Patient Panel</w:t>
      </w:r>
      <w:r w:rsidR="00C463EA">
        <w:rPr>
          <w:rFonts w:asciiTheme="minorHAnsi" w:hAnsiTheme="minorHAnsi" w:cstheme="minorHAnsi"/>
          <w:color w:val="111111"/>
        </w:rPr>
        <w:t xml:space="preserve"> by </w:t>
      </w:r>
      <w:r w:rsidR="009F7EB8">
        <w:rPr>
          <w:rFonts w:asciiTheme="minorHAnsi" w:hAnsiTheme="minorHAnsi" w:cstheme="minorHAnsi"/>
          <w:color w:val="111111"/>
        </w:rPr>
        <w:t xml:space="preserve">avoiding treatment delays caused by the limitations of scheduling on only one LINAC </w:t>
      </w:r>
      <w:r w:rsidR="00E53C32">
        <w:rPr>
          <w:rFonts w:asciiTheme="minorHAnsi" w:hAnsiTheme="minorHAnsi" w:cstheme="minorHAnsi"/>
          <w:color w:val="111111"/>
        </w:rPr>
        <w:t>unit.</w:t>
      </w:r>
    </w:p>
    <w:p w14:paraId="2644EF2E" w14:textId="77777777" w:rsidR="00AC59DE" w:rsidRDefault="00AC59DE" w:rsidP="00AC59DE">
      <w:pPr>
        <w:rPr>
          <w:rFonts w:ascii="Arial" w:hAnsi="Arial" w:cs="Arial"/>
          <w:color w:val="111111"/>
          <w:sz w:val="20"/>
          <w:szCs w:val="20"/>
        </w:rPr>
      </w:pPr>
    </w:p>
    <w:p w14:paraId="39D9A8B8" w14:textId="77777777" w:rsidR="00AC59DE" w:rsidRDefault="00AC59DE" w:rsidP="00AC59DE">
      <w:pPr>
        <w:autoSpaceDE w:val="0"/>
        <w:autoSpaceDN w:val="0"/>
        <w:adjustRightInd w:val="0"/>
        <w:rPr>
          <w:rFonts w:asciiTheme="minorHAnsi" w:hAnsiTheme="minorHAnsi" w:cstheme="minorHAnsi"/>
          <w:color w:val="000000"/>
          <w:highlight w:val="yellow"/>
        </w:rPr>
      </w:pPr>
    </w:p>
    <w:p w14:paraId="6E2A7AF9" w14:textId="77777777" w:rsidR="00AC59DE" w:rsidRDefault="00AC59DE" w:rsidP="00AC59DE">
      <w:pPr>
        <w:pStyle w:val="ListParagraph"/>
        <w:numPr>
          <w:ilvl w:val="0"/>
          <w:numId w:val="9"/>
        </w:numPr>
        <w:spacing w:after="0"/>
        <w:rPr>
          <w:rFonts w:cstheme="minorHAnsi"/>
          <w:b/>
          <w:bCs/>
          <w:i/>
          <w:iCs/>
          <w:sz w:val="24"/>
          <w:szCs w:val="24"/>
        </w:rPr>
      </w:pPr>
      <w:r w:rsidRPr="002F16D0">
        <w:rPr>
          <w:rFonts w:cstheme="minorHAnsi"/>
          <w:b/>
          <w:bCs/>
          <w:i/>
          <w:iCs/>
          <w:sz w:val="24"/>
          <w:szCs w:val="24"/>
        </w:rPr>
        <w:t>Timely Access to Care Close To Home</w:t>
      </w:r>
    </w:p>
    <w:p w14:paraId="6EBCA461" w14:textId="258D101C" w:rsidR="00AC59DE" w:rsidRDefault="00AC59DE" w:rsidP="00AC59DE">
      <w:pPr>
        <w:rPr>
          <w:rFonts w:asciiTheme="minorHAnsi" w:hAnsiTheme="minorHAnsi" w:cstheme="minorHAnsi"/>
          <w:color w:val="111111"/>
        </w:rPr>
      </w:pPr>
      <w:r w:rsidRPr="008104D2">
        <w:rPr>
          <w:rFonts w:asciiTheme="minorHAnsi" w:hAnsiTheme="minorHAnsi" w:cstheme="minorHAnsi"/>
          <w:color w:val="111111"/>
        </w:rPr>
        <w:t xml:space="preserve">Radiation therapies are often performed over a period of time and require the patient to return for treatment multiple times a week, month, or over longer periods of time. Therefore, unimpeded access </w:t>
      </w:r>
      <w:r w:rsidRPr="008A4D61">
        <w:rPr>
          <w:rFonts w:asciiTheme="minorHAnsi" w:hAnsiTheme="minorHAnsi" w:cstheme="minorHAnsi"/>
          <w:color w:val="111111"/>
        </w:rPr>
        <w:t xml:space="preserve">to care within the patient’s community is necessary for improving treatment completion rates and overall outcomes. </w:t>
      </w:r>
      <w:r>
        <w:rPr>
          <w:rFonts w:asciiTheme="minorHAnsi" w:hAnsiTheme="minorHAnsi" w:cstheme="minorHAnsi"/>
          <w:color w:val="111111"/>
        </w:rPr>
        <w:t>The Applicant presented a series of studies supporting the need for timely access to radiation. They noted that d</w:t>
      </w:r>
      <w:r w:rsidRPr="008A4D61">
        <w:rPr>
          <w:rFonts w:asciiTheme="minorHAnsi" w:hAnsiTheme="minorHAnsi" w:cstheme="minorHAnsi"/>
          <w:color w:val="111111"/>
        </w:rPr>
        <w:t>elays in the start time of radiation treatment over a certain number of days may be associated with worse overall survival.</w:t>
      </w:r>
      <w:r w:rsidRPr="008A4D61">
        <w:rPr>
          <w:rStyle w:val="EndnoteReference"/>
          <w:rFonts w:asciiTheme="minorHAnsi" w:eastAsiaTheme="majorEastAsia" w:hAnsiTheme="minorHAnsi" w:cstheme="minorHAnsi"/>
          <w:color w:val="111111"/>
        </w:rPr>
        <w:endnoteReference w:id="11"/>
      </w:r>
      <w:r w:rsidRPr="008A4D61">
        <w:rPr>
          <w:rFonts w:asciiTheme="minorHAnsi" w:hAnsiTheme="minorHAnsi" w:cstheme="minorHAnsi"/>
          <w:color w:val="111111"/>
        </w:rPr>
        <w:t xml:space="preserve"> Delayed treatment start times also negatively impact patient satisfaction and experience.</w:t>
      </w:r>
      <w:r w:rsidRPr="008A4D61">
        <w:rPr>
          <w:rStyle w:val="EndnoteReference"/>
          <w:rFonts w:asciiTheme="minorHAnsi" w:eastAsiaTheme="majorEastAsia" w:hAnsiTheme="minorHAnsi" w:cstheme="minorHAnsi"/>
          <w:color w:val="111111"/>
        </w:rPr>
        <w:endnoteReference w:id="12"/>
      </w:r>
      <w:r w:rsidRPr="008A4D61">
        <w:rPr>
          <w:rFonts w:asciiTheme="minorHAnsi" w:hAnsiTheme="minorHAnsi" w:cstheme="minorHAnsi"/>
          <w:color w:val="111111"/>
        </w:rPr>
        <w:t xml:space="preserve"> Proximity to care and</w:t>
      </w:r>
      <w:r w:rsidRPr="008104D2">
        <w:rPr>
          <w:rFonts w:asciiTheme="minorHAnsi" w:hAnsiTheme="minorHAnsi" w:cstheme="minorHAnsi"/>
          <w:color w:val="111111"/>
        </w:rPr>
        <w:t xml:space="preserve"> minimal travel time to health care facilities become increasingly important factors for access to care as adults age because of potential barriers to </w:t>
      </w:r>
      <w:r w:rsidRPr="00A4791F">
        <w:rPr>
          <w:rFonts w:asciiTheme="minorHAnsi" w:hAnsiTheme="minorHAnsi" w:cstheme="minorHAnsi"/>
          <w:color w:val="111111"/>
        </w:rPr>
        <w:t>transportation for those adults who no longer drive or do not have a support system for reliable transportation to appointments.</w:t>
      </w:r>
      <w:hyperlink w:anchor="_bookmark51" w:history="1">
        <w:bookmarkStart w:id="25" w:name="_Ref144357551"/>
        <w:r w:rsidRPr="00A4791F">
          <w:rPr>
            <w:rStyle w:val="EndnoteReference"/>
            <w:rFonts w:asciiTheme="minorHAnsi" w:eastAsiaTheme="majorEastAsia" w:hAnsiTheme="minorHAnsi" w:cstheme="minorHAnsi"/>
            <w:color w:val="111111"/>
          </w:rPr>
          <w:endnoteReference w:id="13"/>
        </w:r>
        <w:bookmarkEnd w:id="25"/>
        <w:r w:rsidRPr="00A4791F">
          <w:rPr>
            <w:rFonts w:asciiTheme="minorHAnsi" w:hAnsiTheme="minorHAnsi" w:cstheme="minorHAnsi"/>
            <w:color w:val="111111"/>
          </w:rPr>
          <w:t xml:space="preserve"> </w:t>
        </w:r>
      </w:hyperlink>
      <w:r w:rsidRPr="00A4791F">
        <w:rPr>
          <w:rFonts w:asciiTheme="minorHAnsi" w:hAnsiTheme="minorHAnsi" w:cstheme="minorHAnsi"/>
          <w:color w:val="111111"/>
        </w:rPr>
        <w:t>In addition to poorer health outcomes related to the patient’s specific diagnosis, there is evidence that the time spent traveling to receive health care services, as well as costs associated to traveling, physically impacts individuals and is a source of additional stress.</w:t>
      </w:r>
      <w:r w:rsidRPr="00A4791F">
        <w:rPr>
          <w:rStyle w:val="EndnoteReference"/>
          <w:rFonts w:asciiTheme="minorHAnsi" w:eastAsiaTheme="majorEastAsia" w:hAnsiTheme="minorHAnsi" w:cstheme="minorHAnsi"/>
          <w:color w:val="111111"/>
        </w:rPr>
        <w:endnoteReference w:id="14"/>
      </w:r>
      <w:r w:rsidR="000A5C9A">
        <w:rPr>
          <w:rFonts w:asciiTheme="minorHAnsi" w:hAnsiTheme="minorHAnsi" w:cstheme="minorHAnsi"/>
          <w:color w:val="111111"/>
        </w:rPr>
        <w:t xml:space="preserve"> </w:t>
      </w:r>
      <w:r>
        <w:rPr>
          <w:rFonts w:asciiTheme="minorHAnsi" w:hAnsiTheme="minorHAnsi" w:cstheme="minorHAnsi"/>
          <w:color w:val="111111"/>
        </w:rPr>
        <w:t>The cited literature suggests that h</w:t>
      </w:r>
      <w:r w:rsidRPr="00A4791F">
        <w:rPr>
          <w:rFonts w:asciiTheme="minorHAnsi" w:hAnsiTheme="minorHAnsi" w:cstheme="minorHAnsi"/>
          <w:color w:val="111111"/>
        </w:rPr>
        <w:t>ealth outcomes are better when individuals live close to the health care facilities that can address the full spectrum of health care needs.</w:t>
      </w:r>
    </w:p>
    <w:p w14:paraId="55FB1C3E" w14:textId="77777777" w:rsidR="00AC59DE" w:rsidRDefault="00AC59DE" w:rsidP="00AC59DE">
      <w:pPr>
        <w:rPr>
          <w:rFonts w:asciiTheme="minorHAnsi" w:hAnsiTheme="minorHAnsi" w:cstheme="minorHAnsi"/>
          <w:color w:val="111111"/>
        </w:rPr>
      </w:pPr>
    </w:p>
    <w:p w14:paraId="1D774BDF" w14:textId="77777777" w:rsidR="00AC59DE" w:rsidRPr="00344D7A" w:rsidRDefault="00AC59DE" w:rsidP="00AC59DE">
      <w:pPr>
        <w:rPr>
          <w:rFonts w:asciiTheme="minorHAnsi" w:hAnsiTheme="minorHAnsi" w:cstheme="minorHAnsi"/>
        </w:rPr>
      </w:pPr>
      <w:r w:rsidRPr="00344D7A">
        <w:rPr>
          <w:rFonts w:asciiTheme="minorHAnsi" w:hAnsiTheme="minorHAnsi" w:cstheme="minorHAnsi"/>
        </w:rPr>
        <w:t xml:space="preserve">To assess the impact of the Proposed Project, the Applicant developed quality metrics and a reporting schematic, as well as metric projections for quality indicators that will measure quality of care. The </w:t>
      </w:r>
      <w:r w:rsidRPr="00344D7A">
        <w:rPr>
          <w:rFonts w:asciiTheme="minorHAnsi" w:hAnsiTheme="minorHAnsi" w:cstheme="minorHAnsi"/>
        </w:rPr>
        <w:lastRenderedPageBreak/>
        <w:t>measures are presented in Appendix I and will be reported to DPH on an annual basis following implementation of the Proposed Project.</w:t>
      </w:r>
      <w:r>
        <w:rPr>
          <w:rFonts w:asciiTheme="minorHAnsi" w:hAnsiTheme="minorHAnsi" w:cstheme="minorHAnsi"/>
        </w:rPr>
        <w:t xml:space="preserve"> </w:t>
      </w:r>
    </w:p>
    <w:p w14:paraId="04A65938" w14:textId="77777777" w:rsidR="00AC59DE" w:rsidRPr="00104460" w:rsidRDefault="00AC59DE" w:rsidP="00AC59DE">
      <w:pPr>
        <w:autoSpaceDE w:val="0"/>
        <w:autoSpaceDN w:val="0"/>
        <w:adjustRightInd w:val="0"/>
        <w:rPr>
          <w:rFonts w:asciiTheme="minorHAnsi" w:hAnsiTheme="minorHAnsi" w:cstheme="minorHAnsi"/>
          <w:color w:val="000000"/>
          <w:highlight w:val="yellow"/>
        </w:rPr>
      </w:pPr>
    </w:p>
    <w:p w14:paraId="7CB97D73" w14:textId="77777777" w:rsidR="00AC59DE" w:rsidRPr="003B0973" w:rsidRDefault="00AC59DE" w:rsidP="00AC59DE">
      <w:pPr>
        <w:rPr>
          <w:rFonts w:asciiTheme="minorHAnsi" w:hAnsiTheme="minorHAnsi" w:cstheme="minorHAnsi"/>
          <w:b/>
          <w:i/>
        </w:rPr>
      </w:pPr>
      <w:r w:rsidRPr="003B0973">
        <w:rPr>
          <w:rFonts w:asciiTheme="minorHAnsi" w:hAnsiTheme="minorHAnsi" w:cstheme="minorHAnsi"/>
          <w:b/>
          <w:i/>
        </w:rPr>
        <w:t>Analysis: Public Health Value, Health Outcomes, and Quality of Life</w:t>
      </w:r>
    </w:p>
    <w:p w14:paraId="730EA93F" w14:textId="2FAFC8D5" w:rsidR="00AC59DE" w:rsidRPr="00E70046" w:rsidRDefault="00AC59DE" w:rsidP="00AC59DE">
      <w:pPr>
        <w:rPr>
          <w:rFonts w:asciiTheme="minorHAnsi" w:hAnsiTheme="minorHAnsi" w:cstheme="minorHAnsi"/>
          <w:bCs/>
        </w:rPr>
      </w:pPr>
      <w:r w:rsidRPr="003B0973">
        <w:rPr>
          <w:rFonts w:asciiTheme="minorHAnsi" w:hAnsiTheme="minorHAnsi" w:cstheme="minorHAnsi"/>
          <w:bCs/>
        </w:rPr>
        <w:t xml:space="preserve">Staff finds that </w:t>
      </w:r>
      <w:r>
        <w:rPr>
          <w:rFonts w:asciiTheme="minorHAnsi" w:hAnsiTheme="minorHAnsi" w:cstheme="minorHAnsi"/>
          <w:bCs/>
        </w:rPr>
        <w:t>providing unimpeded</w:t>
      </w:r>
      <w:r w:rsidRPr="003B0973">
        <w:rPr>
          <w:rFonts w:asciiTheme="minorHAnsi" w:hAnsiTheme="minorHAnsi" w:cstheme="minorHAnsi"/>
          <w:bCs/>
        </w:rPr>
        <w:t xml:space="preserve"> access to cancer services </w:t>
      </w:r>
      <w:r>
        <w:rPr>
          <w:rFonts w:asciiTheme="minorHAnsi" w:hAnsiTheme="minorHAnsi" w:cstheme="minorHAnsi"/>
          <w:bCs/>
        </w:rPr>
        <w:t xml:space="preserve">close to home </w:t>
      </w:r>
      <w:r w:rsidRPr="003B0973">
        <w:rPr>
          <w:rFonts w:asciiTheme="minorHAnsi" w:hAnsiTheme="minorHAnsi" w:cstheme="minorHAnsi"/>
          <w:bCs/>
        </w:rPr>
        <w:t>has the potential to improve health outcomes for the Patient Panel and the greater community.</w:t>
      </w:r>
      <w:r w:rsidRPr="003B0973">
        <w:rPr>
          <w:rFonts w:asciiTheme="minorHAnsi" w:hAnsiTheme="minorHAnsi" w:cstheme="minorHAnsi"/>
        </w:rPr>
        <w:t xml:space="preserve"> The literature suggests that </w:t>
      </w:r>
      <w:r w:rsidRPr="00587988">
        <w:rPr>
          <w:rFonts w:asciiTheme="minorHAnsi" w:hAnsiTheme="minorHAnsi" w:cstheme="minorHAnsi"/>
        </w:rPr>
        <w:t>these treatments stop tumor growth, minimize risk of damage to healthy tissue, and may result in a reduction of side effects for the patient.</w:t>
      </w:r>
      <w:r w:rsidRPr="003B0973">
        <w:rPr>
          <w:rFonts w:asciiTheme="minorHAnsi" w:hAnsiTheme="minorHAnsi" w:cstheme="minorHAnsi"/>
        </w:rPr>
        <w:t xml:space="preserve"> </w:t>
      </w:r>
      <w:r>
        <w:rPr>
          <w:rFonts w:asciiTheme="minorHAnsi" w:hAnsiTheme="minorHAnsi" w:cstheme="minorHAnsi"/>
        </w:rPr>
        <w:t xml:space="preserve">The need for treatments to be accomplished multiple times weekly for prolonged time periods makes proximity of services an important factor. Having the added capacity of a second LINAC unit helps promote treatment completion by providing the service within the local community. </w:t>
      </w:r>
      <w:r w:rsidRPr="003B0973">
        <w:rPr>
          <w:rFonts w:asciiTheme="minorHAnsi" w:hAnsiTheme="minorHAnsi" w:cstheme="minorHAnsi"/>
        </w:rPr>
        <w:t>As a result, Staff finds that the Applicant meets the requirements of the Public Health Value: Health Outcomes part of Factor 1b.</w:t>
      </w:r>
    </w:p>
    <w:p w14:paraId="147FDB7D" w14:textId="77777777" w:rsidR="00AC59DE" w:rsidRPr="00104460" w:rsidRDefault="00AC59DE" w:rsidP="00AC59DE">
      <w:pPr>
        <w:contextualSpacing/>
        <w:rPr>
          <w:rFonts w:asciiTheme="minorHAnsi" w:hAnsiTheme="minorHAnsi" w:cstheme="minorHAnsi"/>
          <w:b/>
          <w:bCs/>
          <w:highlight w:val="yellow"/>
        </w:rPr>
      </w:pPr>
    </w:p>
    <w:p w14:paraId="0813F8CB" w14:textId="77777777" w:rsidR="00AC59DE" w:rsidRPr="00433135" w:rsidRDefault="00AC59DE" w:rsidP="00AC59DE">
      <w:pPr>
        <w:contextualSpacing/>
        <w:rPr>
          <w:rFonts w:asciiTheme="minorHAnsi" w:hAnsiTheme="minorHAnsi" w:cstheme="minorHAnsi"/>
          <w:b/>
          <w:bCs/>
        </w:rPr>
      </w:pPr>
      <w:r w:rsidRPr="00433135">
        <w:rPr>
          <w:rFonts w:asciiTheme="minorHAnsi" w:hAnsiTheme="minorHAnsi" w:cstheme="minorHAnsi"/>
          <w:b/>
          <w:bCs/>
        </w:rPr>
        <w:t xml:space="preserve">Health Equity and Social Determinants of Health (SDoH) </w:t>
      </w:r>
    </w:p>
    <w:p w14:paraId="071889C2" w14:textId="6144FDB8" w:rsidR="00AC59DE" w:rsidRPr="008B2C53" w:rsidRDefault="00AC59DE" w:rsidP="008B2C53">
      <w:pPr>
        <w:pStyle w:val="BodyText"/>
        <w:spacing w:line="240" w:lineRule="auto"/>
        <w:rPr>
          <w:rFonts w:cstheme="minorHAnsi"/>
          <w:sz w:val="24"/>
          <w:szCs w:val="24"/>
          <w:highlight w:val="yellow"/>
        </w:rPr>
      </w:pPr>
      <w:r w:rsidRPr="00CC1B50">
        <w:rPr>
          <w:rFonts w:cstheme="minorHAnsi"/>
          <w:sz w:val="24"/>
          <w:szCs w:val="24"/>
        </w:rPr>
        <w:t xml:space="preserve">The Applicant states that the Proposed Project will work to reduce health inequity through increasing and improving access to radiation oncology therapies to all members of BID-P’s community, </w:t>
      </w:r>
      <w:r>
        <w:rPr>
          <w:rFonts w:cstheme="minorHAnsi"/>
          <w:sz w:val="24"/>
          <w:szCs w:val="24"/>
        </w:rPr>
        <w:t>particularly for</w:t>
      </w:r>
      <w:r w:rsidRPr="00CC1B50">
        <w:rPr>
          <w:rFonts w:cstheme="minorHAnsi"/>
          <w:sz w:val="24"/>
          <w:szCs w:val="24"/>
        </w:rPr>
        <w:t xml:space="preserve"> working patients with limited scheduling options. </w:t>
      </w:r>
      <w:r>
        <w:rPr>
          <w:rFonts w:cstheme="minorHAnsi"/>
          <w:sz w:val="24"/>
          <w:szCs w:val="24"/>
        </w:rPr>
        <w:t xml:space="preserve">The Hospital asserts that it </w:t>
      </w:r>
      <w:r w:rsidRPr="00A475A2">
        <w:rPr>
          <w:rFonts w:cstheme="minorHAnsi"/>
          <w:sz w:val="24"/>
          <w:szCs w:val="24"/>
        </w:rPr>
        <w:t xml:space="preserve">does not discriminate on the basis of age, race, ethnicity, gender/gender-identity, physical ability, sensory or speech limitations, or religious, </w:t>
      </w:r>
      <w:r w:rsidR="00640995" w:rsidRPr="00A475A2">
        <w:rPr>
          <w:rFonts w:cstheme="minorHAnsi"/>
          <w:sz w:val="24"/>
          <w:szCs w:val="24"/>
        </w:rPr>
        <w:t>spiritual,</w:t>
      </w:r>
      <w:r w:rsidRPr="00A475A2">
        <w:rPr>
          <w:rFonts w:cstheme="minorHAnsi"/>
          <w:sz w:val="24"/>
          <w:szCs w:val="24"/>
        </w:rPr>
        <w:t xml:space="preserve"> and cultural </w:t>
      </w:r>
      <w:r w:rsidRPr="001E1CCC">
        <w:rPr>
          <w:rFonts w:cstheme="minorHAnsi"/>
          <w:sz w:val="24"/>
          <w:szCs w:val="24"/>
        </w:rPr>
        <w:t>beliefs, nor a patient’s ability to pay or payer source. The</w:t>
      </w:r>
      <w:r w:rsidRPr="001E1CCC">
        <w:rPr>
          <w:rFonts w:cstheme="minorHAnsi"/>
          <w:spacing w:val="-2"/>
          <w:sz w:val="24"/>
          <w:szCs w:val="24"/>
        </w:rPr>
        <w:t xml:space="preserve"> </w:t>
      </w:r>
      <w:r w:rsidRPr="001E1CCC">
        <w:rPr>
          <w:rFonts w:cstheme="minorHAnsi"/>
          <w:sz w:val="24"/>
          <w:szCs w:val="24"/>
        </w:rPr>
        <w:t>Applicant</w:t>
      </w:r>
      <w:r w:rsidRPr="001E1CCC">
        <w:rPr>
          <w:rFonts w:cstheme="minorHAnsi"/>
          <w:spacing w:val="-4"/>
          <w:sz w:val="24"/>
          <w:szCs w:val="24"/>
        </w:rPr>
        <w:t xml:space="preserve"> </w:t>
      </w:r>
      <w:r w:rsidRPr="001E1CCC">
        <w:rPr>
          <w:rFonts w:cstheme="minorHAnsi"/>
          <w:sz w:val="24"/>
          <w:szCs w:val="24"/>
        </w:rPr>
        <w:t xml:space="preserve">states that </w:t>
      </w:r>
      <w:r>
        <w:rPr>
          <w:rFonts w:cstheme="minorHAnsi"/>
          <w:sz w:val="24"/>
          <w:szCs w:val="24"/>
        </w:rPr>
        <w:t>BID-P</w:t>
      </w:r>
      <w:r w:rsidRPr="001E1CCC">
        <w:rPr>
          <w:rFonts w:cstheme="minorHAnsi"/>
          <w:sz w:val="24"/>
          <w:szCs w:val="24"/>
        </w:rPr>
        <w:t xml:space="preserve"> has ongoing efforts in Language Accessibility, Admission Screenings, and Data Collection to facilitate equitable access to its services.</w:t>
      </w:r>
    </w:p>
    <w:p w14:paraId="5369900C" w14:textId="77777777" w:rsidR="00AC59DE" w:rsidRPr="00104460" w:rsidRDefault="00AC59DE" w:rsidP="00AC59DE">
      <w:pPr>
        <w:contextualSpacing/>
        <w:rPr>
          <w:rFonts w:asciiTheme="minorHAnsi" w:hAnsiTheme="minorHAnsi" w:cstheme="minorHAnsi"/>
          <w:b/>
          <w:i/>
          <w:highlight w:val="yellow"/>
        </w:rPr>
      </w:pPr>
    </w:p>
    <w:p w14:paraId="13C7FB85" w14:textId="77777777" w:rsidR="00AC59DE" w:rsidRPr="00ED327A" w:rsidRDefault="00AC59DE" w:rsidP="00AC59DE">
      <w:pPr>
        <w:contextualSpacing/>
        <w:rPr>
          <w:rFonts w:asciiTheme="minorHAnsi" w:hAnsiTheme="minorHAnsi" w:cstheme="minorHAnsi"/>
          <w:b/>
          <w:i/>
        </w:rPr>
      </w:pPr>
      <w:r w:rsidRPr="00ED327A">
        <w:rPr>
          <w:rFonts w:asciiTheme="minorHAnsi" w:hAnsiTheme="minorHAnsi" w:cstheme="minorHAnsi"/>
          <w:b/>
          <w:i/>
        </w:rPr>
        <w:t>Analysis: Health Equity and SDoH</w:t>
      </w:r>
    </w:p>
    <w:p w14:paraId="391E8E89" w14:textId="13AA5B75" w:rsidR="00AC59DE" w:rsidRPr="00AC59DE" w:rsidRDefault="00AC59DE" w:rsidP="00AC59DE">
      <w:pPr>
        <w:rPr>
          <w:rFonts w:asciiTheme="minorHAnsi" w:hAnsiTheme="minorHAnsi" w:cstheme="minorHAnsi"/>
        </w:rPr>
      </w:pPr>
      <w:r w:rsidRPr="00ED327A">
        <w:rPr>
          <w:rFonts w:asciiTheme="minorHAnsi" w:hAnsiTheme="minorHAnsi" w:cstheme="minorHAnsi"/>
        </w:rPr>
        <w:t>The Applicant demonstrates efforts to achieve health equity through language accessibility, and data collection that provides a more accurate understanding of the race, ethnicity, and language of their Patient Panel. Staff finds that the Applicant has sufficiently</w:t>
      </w:r>
      <w:r w:rsidR="00B67340">
        <w:rPr>
          <w:rFonts w:asciiTheme="minorHAnsi" w:hAnsiTheme="minorHAnsi" w:cstheme="minorHAnsi"/>
        </w:rPr>
        <w:t xml:space="preserve"> demonstrated</w:t>
      </w:r>
      <w:r w:rsidRPr="00ED327A">
        <w:rPr>
          <w:rFonts w:asciiTheme="minorHAnsi" w:hAnsiTheme="minorHAnsi" w:cstheme="minorHAnsi"/>
        </w:rPr>
        <w:t xml:space="preserve"> ongoing efforts to achieve health equity. As a result, Staff finds that the Applicant meets the requirements of the Public Health Value: Health Equity part of Factor 1b.</w:t>
      </w:r>
    </w:p>
    <w:p w14:paraId="12BBAFD7" w14:textId="77777777" w:rsidR="00187FC3" w:rsidRPr="0076797D" w:rsidRDefault="00187FC3" w:rsidP="00187FC3">
      <w:pPr>
        <w:contextualSpacing/>
        <w:rPr>
          <w:rFonts w:asciiTheme="minorHAnsi" w:hAnsiTheme="minorHAnsi" w:cstheme="minorHAnsi"/>
          <w:color w:val="000000"/>
          <w:highlight w:val="yellow"/>
        </w:rPr>
      </w:pPr>
    </w:p>
    <w:p w14:paraId="1369A844" w14:textId="77777777" w:rsidR="000D6ED1" w:rsidRPr="0076797D" w:rsidRDefault="000D6ED1" w:rsidP="000D6ED1">
      <w:pPr>
        <w:rPr>
          <w:rFonts w:asciiTheme="minorHAnsi" w:hAnsiTheme="minorHAnsi" w:cstheme="minorHAnsi"/>
          <w:highlight w:val="yellow"/>
        </w:rPr>
      </w:pPr>
    </w:p>
    <w:p w14:paraId="01CD7785" w14:textId="77777777" w:rsidR="0041647C" w:rsidRPr="00AC59DE" w:rsidRDefault="0041647C" w:rsidP="0041647C">
      <w:pPr>
        <w:pStyle w:val="Heading1"/>
        <w:spacing w:before="0"/>
        <w:rPr>
          <w:rFonts w:asciiTheme="minorHAnsi" w:hAnsiTheme="minorHAnsi" w:cstheme="minorHAnsi"/>
        </w:rPr>
      </w:pPr>
      <w:bookmarkStart w:id="26" w:name="_Toc99993054"/>
      <w:bookmarkStart w:id="27" w:name="_Toc155341744"/>
      <w:bookmarkEnd w:id="10"/>
      <w:bookmarkEnd w:id="11"/>
      <w:bookmarkEnd w:id="12"/>
      <w:bookmarkEnd w:id="22"/>
      <w:bookmarkEnd w:id="23"/>
      <w:r w:rsidRPr="00AC59DE">
        <w:rPr>
          <w:rFonts w:asciiTheme="minorHAnsi" w:hAnsiTheme="minorHAnsi" w:cstheme="minorHAnsi"/>
        </w:rPr>
        <w:t>Factor 1: c) Efficiency, Continuity of Care, Coordination of Care</w:t>
      </w:r>
      <w:bookmarkEnd w:id="26"/>
      <w:bookmarkEnd w:id="27"/>
    </w:p>
    <w:p w14:paraId="53C500F3" w14:textId="095D3B05" w:rsidR="00944036" w:rsidRDefault="00944036" w:rsidP="00944036">
      <w:pPr>
        <w:autoSpaceDE w:val="0"/>
        <w:autoSpaceDN w:val="0"/>
        <w:adjustRightInd w:val="0"/>
        <w:rPr>
          <w:rFonts w:asciiTheme="minorHAnsi" w:hAnsiTheme="minorHAnsi" w:cstheme="minorHAnsi"/>
        </w:rPr>
      </w:pPr>
      <w:r w:rsidRPr="00B40DE4">
        <w:rPr>
          <w:rFonts w:asciiTheme="minorHAnsi" w:hAnsiTheme="minorHAnsi" w:cstheme="minorHAnsi"/>
        </w:rPr>
        <w:t xml:space="preserve">The Applicant states that the Proposed Project will improve care continuity and coordination of care for radiation oncology patients </w:t>
      </w:r>
      <w:r w:rsidRPr="009F183F">
        <w:rPr>
          <w:rFonts w:asciiTheme="minorHAnsi" w:hAnsiTheme="minorHAnsi" w:cstheme="minorHAnsi"/>
        </w:rPr>
        <w:t xml:space="preserve">by </w:t>
      </w:r>
      <w:r w:rsidR="00B41502">
        <w:rPr>
          <w:rFonts w:asciiTheme="minorHAnsi" w:hAnsiTheme="minorHAnsi" w:cstheme="minorHAnsi"/>
        </w:rPr>
        <w:t>providing</w:t>
      </w:r>
      <w:r w:rsidRPr="009F183F">
        <w:rPr>
          <w:rFonts w:asciiTheme="minorHAnsi" w:hAnsiTheme="minorHAnsi" w:cstheme="minorHAnsi"/>
        </w:rPr>
        <w:t xml:space="preserve"> </w:t>
      </w:r>
      <w:r w:rsidR="00020F52">
        <w:rPr>
          <w:rFonts w:asciiTheme="minorHAnsi" w:hAnsiTheme="minorHAnsi" w:cstheme="minorHAnsi"/>
        </w:rPr>
        <w:t xml:space="preserve">uninterrupted </w:t>
      </w:r>
      <w:r w:rsidRPr="009F183F">
        <w:rPr>
          <w:rFonts w:asciiTheme="minorHAnsi" w:hAnsiTheme="minorHAnsi" w:cstheme="minorHAnsi"/>
        </w:rPr>
        <w:t xml:space="preserve">LINAC </w:t>
      </w:r>
      <w:r w:rsidR="00020F52">
        <w:rPr>
          <w:rFonts w:asciiTheme="minorHAnsi" w:hAnsiTheme="minorHAnsi" w:cstheme="minorHAnsi"/>
        </w:rPr>
        <w:t xml:space="preserve">services </w:t>
      </w:r>
      <w:r w:rsidRPr="009F183F">
        <w:rPr>
          <w:rFonts w:asciiTheme="minorHAnsi" w:hAnsiTheme="minorHAnsi" w:cstheme="minorHAnsi"/>
        </w:rPr>
        <w:t xml:space="preserve">for BID-P patients in their community. </w:t>
      </w:r>
      <w:r w:rsidR="007F7148">
        <w:rPr>
          <w:rFonts w:asciiTheme="minorHAnsi" w:hAnsiTheme="minorHAnsi" w:cstheme="minorHAnsi"/>
        </w:rPr>
        <w:t xml:space="preserve">The Applicant states that </w:t>
      </w:r>
      <w:r w:rsidR="00842A72">
        <w:rPr>
          <w:rFonts w:asciiTheme="minorHAnsi" w:hAnsiTheme="minorHAnsi" w:cstheme="minorHAnsi"/>
        </w:rPr>
        <w:t xml:space="preserve">these efforts are aided by technology infrastructure, multi-disciplinary care coordination, and </w:t>
      </w:r>
      <w:r w:rsidR="006A5C4F">
        <w:rPr>
          <w:rFonts w:asciiTheme="minorHAnsi" w:hAnsiTheme="minorHAnsi" w:cstheme="minorHAnsi"/>
        </w:rPr>
        <w:t>their ACO program.</w:t>
      </w:r>
    </w:p>
    <w:p w14:paraId="47C23C2C" w14:textId="77777777" w:rsidR="00944036" w:rsidRPr="00070301" w:rsidRDefault="00944036" w:rsidP="00944036">
      <w:pPr>
        <w:autoSpaceDE w:val="0"/>
        <w:autoSpaceDN w:val="0"/>
        <w:adjustRightInd w:val="0"/>
        <w:jc w:val="both"/>
        <w:rPr>
          <w:rFonts w:asciiTheme="minorHAnsi" w:hAnsiTheme="minorHAnsi" w:cstheme="minorHAnsi"/>
        </w:rPr>
      </w:pPr>
    </w:p>
    <w:p w14:paraId="018B5248" w14:textId="09409590" w:rsidR="00944036" w:rsidRDefault="00944036" w:rsidP="00944036">
      <w:pPr>
        <w:pStyle w:val="BodyText"/>
        <w:spacing w:after="0" w:line="240" w:lineRule="auto"/>
        <w:ind w:right="136"/>
        <w:rPr>
          <w:rFonts w:ascii="Arial" w:hAnsi="Arial" w:cs="Arial"/>
          <w:bCs/>
          <w:kern w:val="2"/>
          <w:sz w:val="20"/>
          <w:szCs w:val="20"/>
        </w:rPr>
      </w:pPr>
      <w:r w:rsidRPr="00C26924">
        <w:rPr>
          <w:rFonts w:cstheme="minorHAnsi"/>
          <w:b/>
          <w:bCs/>
          <w:sz w:val="24"/>
          <w:szCs w:val="24"/>
        </w:rPr>
        <w:t>Technology Infrastructure:</w:t>
      </w:r>
      <w:r w:rsidRPr="00C26924">
        <w:rPr>
          <w:rFonts w:cstheme="minorHAnsi"/>
          <w:color w:val="231F20"/>
          <w:spacing w:val="39"/>
          <w:sz w:val="24"/>
          <w:szCs w:val="24"/>
        </w:rPr>
        <w:t xml:space="preserve"> </w:t>
      </w:r>
      <w:r w:rsidR="009F70C6">
        <w:rPr>
          <w:rFonts w:eastAsia="Times New Roman" w:cstheme="minorHAnsi"/>
          <w:sz w:val="24"/>
          <w:szCs w:val="24"/>
        </w:rPr>
        <w:t>BID-P’s</w:t>
      </w:r>
      <w:r w:rsidRPr="00C26924">
        <w:rPr>
          <w:rFonts w:eastAsia="Times New Roman" w:cstheme="minorHAnsi"/>
          <w:sz w:val="24"/>
          <w:szCs w:val="24"/>
        </w:rPr>
        <w:t xml:space="preserve"> </w:t>
      </w:r>
      <w:r w:rsidR="003178D8">
        <w:rPr>
          <w:rFonts w:eastAsia="Times New Roman" w:cstheme="minorHAnsi"/>
          <w:sz w:val="24"/>
          <w:szCs w:val="24"/>
        </w:rPr>
        <w:t xml:space="preserve">existing </w:t>
      </w:r>
      <w:r w:rsidRPr="00C26924">
        <w:rPr>
          <w:rFonts w:eastAsia="Times New Roman" w:cstheme="minorHAnsi"/>
          <w:sz w:val="24"/>
          <w:szCs w:val="24"/>
        </w:rPr>
        <w:t xml:space="preserve">technology infrastructure streamlines access for patients and facilitates improved coordination of care among physicians and other professionals on a patient’s care team. </w:t>
      </w:r>
      <w:r w:rsidRPr="00C26924">
        <w:rPr>
          <w:rFonts w:cstheme="minorHAnsi"/>
          <w:bCs/>
          <w:kern w:val="2"/>
          <w:sz w:val="24"/>
          <w:szCs w:val="24"/>
        </w:rPr>
        <w:t>BID-P’s EMR serves as the primary link between Radiology, specialists, and community primary care providers.</w:t>
      </w:r>
      <w:r w:rsidRPr="00C26924">
        <w:rPr>
          <w:rFonts w:ascii="Arial" w:hAnsi="Arial" w:cs="Arial"/>
          <w:bCs/>
          <w:kern w:val="2"/>
          <w:sz w:val="20"/>
          <w:szCs w:val="20"/>
        </w:rPr>
        <w:t xml:space="preserve"> </w:t>
      </w:r>
      <w:r w:rsidRPr="0060564C">
        <w:rPr>
          <w:rFonts w:eastAsia="Times New Roman" w:cstheme="minorHAnsi"/>
          <w:sz w:val="24"/>
          <w:szCs w:val="24"/>
        </w:rPr>
        <w:t xml:space="preserve">The EMR provides BID-P radiologists real-time access to a patient’s comprehensive medical information, including medical history, lab results, and clinical notes </w:t>
      </w:r>
      <w:r w:rsidRPr="004F4395">
        <w:rPr>
          <w:rFonts w:eastAsia="Times New Roman" w:cstheme="minorHAnsi"/>
          <w:sz w:val="24"/>
          <w:szCs w:val="24"/>
        </w:rPr>
        <w:t xml:space="preserve">while they are protocoling or reading a study. Once the radiologist’s report is complete, the EMR enables results and information to be available to primary care and specialty physicians across the system and </w:t>
      </w:r>
      <w:r w:rsidRPr="004F4395">
        <w:rPr>
          <w:rFonts w:eastAsia="Times New Roman" w:cstheme="minorHAnsi"/>
          <w:sz w:val="24"/>
          <w:szCs w:val="24"/>
        </w:rPr>
        <w:lastRenderedPageBreak/>
        <w:t xml:space="preserve">integrated into the patient’s EMR. The EMR also allows authorized providers outside of </w:t>
      </w:r>
      <w:r>
        <w:rPr>
          <w:rFonts w:eastAsia="Times New Roman" w:cstheme="minorHAnsi"/>
          <w:sz w:val="24"/>
          <w:szCs w:val="24"/>
        </w:rPr>
        <w:t>BID-P</w:t>
      </w:r>
      <w:r w:rsidRPr="004F4395">
        <w:rPr>
          <w:rFonts w:eastAsia="Times New Roman" w:cstheme="minorHAnsi"/>
          <w:sz w:val="24"/>
          <w:szCs w:val="24"/>
        </w:rPr>
        <w:t xml:space="preserve"> to view patients’ records and send progress notes back for continuity of care.</w:t>
      </w:r>
      <w:r w:rsidRPr="004F4395">
        <w:rPr>
          <w:rFonts w:ascii="Arial" w:hAnsi="Arial" w:cs="Arial"/>
          <w:bCs/>
          <w:kern w:val="2"/>
          <w:sz w:val="20"/>
          <w:szCs w:val="20"/>
        </w:rPr>
        <w:t xml:space="preserve"> </w:t>
      </w:r>
    </w:p>
    <w:p w14:paraId="58E05604" w14:textId="77777777" w:rsidR="00944036" w:rsidRPr="00000EE1" w:rsidRDefault="00944036" w:rsidP="00944036">
      <w:pPr>
        <w:pStyle w:val="BodyText"/>
        <w:spacing w:line="240" w:lineRule="auto"/>
        <w:ind w:right="136"/>
        <w:rPr>
          <w:rFonts w:ascii="Arial" w:hAnsi="Arial" w:cs="Arial"/>
          <w:bCs/>
          <w:kern w:val="2"/>
          <w:sz w:val="20"/>
          <w:szCs w:val="20"/>
        </w:rPr>
      </w:pPr>
    </w:p>
    <w:p w14:paraId="3150CAB2" w14:textId="4EE7E43A" w:rsidR="00944036" w:rsidRPr="007D235A" w:rsidRDefault="00944036" w:rsidP="00944036">
      <w:pPr>
        <w:pStyle w:val="BodyText"/>
        <w:spacing w:after="0" w:line="240" w:lineRule="auto"/>
        <w:ind w:right="130"/>
        <w:rPr>
          <w:rFonts w:cstheme="minorHAnsi"/>
          <w:bCs/>
          <w:kern w:val="2"/>
          <w:sz w:val="24"/>
          <w:szCs w:val="24"/>
        </w:rPr>
      </w:pPr>
      <w:r w:rsidRPr="00000EE1">
        <w:rPr>
          <w:rFonts w:cstheme="minorHAnsi"/>
          <w:b/>
          <w:bCs/>
          <w:sz w:val="24"/>
          <w:szCs w:val="24"/>
        </w:rPr>
        <w:t xml:space="preserve">Multi-disciplinary </w:t>
      </w:r>
      <w:r>
        <w:rPr>
          <w:rFonts w:cstheme="minorHAnsi"/>
          <w:b/>
          <w:bCs/>
          <w:sz w:val="24"/>
          <w:szCs w:val="24"/>
        </w:rPr>
        <w:t>Care Coordination</w:t>
      </w:r>
      <w:r w:rsidRPr="00000EE1">
        <w:rPr>
          <w:rFonts w:cstheme="minorHAnsi"/>
          <w:b/>
          <w:bCs/>
          <w:sz w:val="24"/>
          <w:szCs w:val="24"/>
        </w:rPr>
        <w:t>:</w:t>
      </w:r>
      <w:r w:rsidRPr="00000EE1">
        <w:rPr>
          <w:rFonts w:cstheme="minorHAnsi"/>
          <w:sz w:val="24"/>
          <w:szCs w:val="24"/>
        </w:rPr>
        <w:t xml:space="preserve"> </w:t>
      </w:r>
      <w:r w:rsidRPr="00000EE1">
        <w:rPr>
          <w:rFonts w:cstheme="minorHAnsi"/>
          <w:bCs/>
          <w:kern w:val="2"/>
          <w:sz w:val="24"/>
          <w:szCs w:val="24"/>
        </w:rPr>
        <w:t xml:space="preserve">BID-P coordinates a variety of supportive care services to </w:t>
      </w:r>
      <w:r w:rsidRPr="007D235A">
        <w:rPr>
          <w:rFonts w:eastAsia="Times New Roman" w:cstheme="minorHAnsi"/>
          <w:sz w:val="24"/>
          <w:szCs w:val="24"/>
        </w:rPr>
        <w:t>complement active chemotherapy and radiation therapy treatment. Nutrition</w:t>
      </w:r>
      <w:r>
        <w:rPr>
          <w:rFonts w:eastAsia="Times New Roman" w:cstheme="minorHAnsi"/>
          <w:sz w:val="24"/>
          <w:szCs w:val="24"/>
        </w:rPr>
        <w:t>,</w:t>
      </w:r>
      <w:r w:rsidRPr="007D235A">
        <w:rPr>
          <w:rFonts w:eastAsia="Times New Roman" w:cstheme="minorHAnsi"/>
          <w:sz w:val="24"/>
          <w:szCs w:val="24"/>
        </w:rPr>
        <w:t xml:space="preserve"> speech</w:t>
      </w:r>
      <w:r>
        <w:rPr>
          <w:rFonts w:eastAsia="Times New Roman" w:cstheme="minorHAnsi"/>
          <w:sz w:val="24"/>
          <w:szCs w:val="24"/>
        </w:rPr>
        <w:t>,</w:t>
      </w:r>
      <w:r w:rsidRPr="007D235A">
        <w:rPr>
          <w:rFonts w:eastAsia="Times New Roman" w:cstheme="minorHAnsi"/>
          <w:sz w:val="24"/>
          <w:szCs w:val="24"/>
        </w:rPr>
        <w:t xml:space="preserve"> and swallowing evaluation</w:t>
      </w:r>
      <w:r>
        <w:rPr>
          <w:rFonts w:eastAsia="Times New Roman" w:cstheme="minorHAnsi"/>
          <w:sz w:val="24"/>
          <w:szCs w:val="24"/>
        </w:rPr>
        <w:t>/</w:t>
      </w:r>
      <w:r w:rsidRPr="007D235A">
        <w:rPr>
          <w:rFonts w:eastAsia="Times New Roman" w:cstheme="minorHAnsi"/>
          <w:sz w:val="24"/>
          <w:szCs w:val="24"/>
        </w:rPr>
        <w:t xml:space="preserve"> treatment is available to patients going through radiation therapy. The Hospital’s Social Work department provides access to financial, transportation, and psychiatric support services. Physical Therapy and Occupational Therapy is available as both an inpatient and outpatient service. </w:t>
      </w:r>
      <w:r>
        <w:rPr>
          <w:rFonts w:eastAsia="Times New Roman" w:cstheme="minorHAnsi"/>
          <w:sz w:val="24"/>
          <w:szCs w:val="24"/>
        </w:rPr>
        <w:t>A multidisciplinary team including</w:t>
      </w:r>
      <w:r w:rsidRPr="00000EE1">
        <w:rPr>
          <w:rFonts w:eastAsia="Times New Roman" w:cstheme="minorHAnsi"/>
          <w:sz w:val="24"/>
          <w:szCs w:val="24"/>
        </w:rPr>
        <w:t xml:space="preserve"> nurse practitioners, nurses, radiation therapists, dietary &amp; speech/swallow services, and social work</w:t>
      </w:r>
      <w:r>
        <w:rPr>
          <w:rFonts w:eastAsia="Times New Roman" w:cstheme="minorHAnsi"/>
          <w:sz w:val="24"/>
          <w:szCs w:val="24"/>
        </w:rPr>
        <w:t>ers meet regularly to review c</w:t>
      </w:r>
      <w:r w:rsidRPr="00000EE1">
        <w:rPr>
          <w:rFonts w:eastAsia="Times New Roman" w:cstheme="minorHAnsi"/>
          <w:sz w:val="24"/>
          <w:szCs w:val="24"/>
        </w:rPr>
        <w:t xml:space="preserve">omplex cases </w:t>
      </w:r>
      <w:r>
        <w:rPr>
          <w:rFonts w:eastAsia="Times New Roman" w:cstheme="minorHAnsi"/>
          <w:sz w:val="24"/>
          <w:szCs w:val="24"/>
        </w:rPr>
        <w:t>and coordinate efforts from</w:t>
      </w:r>
      <w:r w:rsidRPr="00000EE1">
        <w:rPr>
          <w:rFonts w:eastAsia="Times New Roman" w:cstheme="minorHAnsi"/>
          <w:sz w:val="24"/>
          <w:szCs w:val="24"/>
        </w:rPr>
        <w:t xml:space="preserve"> medical &amp; radiation oncology</w:t>
      </w:r>
      <w:r>
        <w:rPr>
          <w:rFonts w:eastAsia="Times New Roman" w:cstheme="minorHAnsi"/>
          <w:sz w:val="24"/>
          <w:szCs w:val="24"/>
        </w:rPr>
        <w:t>,</w:t>
      </w:r>
      <w:r w:rsidRPr="00000EE1">
        <w:rPr>
          <w:rFonts w:eastAsia="Times New Roman" w:cstheme="minorHAnsi"/>
          <w:sz w:val="24"/>
          <w:szCs w:val="24"/>
        </w:rPr>
        <w:t xml:space="preserve"> and supportive services.</w:t>
      </w:r>
    </w:p>
    <w:p w14:paraId="037CDB8B" w14:textId="77777777" w:rsidR="00944036" w:rsidRPr="00CD1A2D" w:rsidRDefault="00944036" w:rsidP="00944036">
      <w:pPr>
        <w:pStyle w:val="BodyText"/>
        <w:spacing w:after="0" w:line="240" w:lineRule="auto"/>
        <w:ind w:right="136"/>
        <w:rPr>
          <w:rFonts w:ascii="Arial" w:hAnsi="Arial" w:cs="Arial"/>
          <w:bCs/>
          <w:kern w:val="2"/>
          <w:sz w:val="20"/>
          <w:szCs w:val="20"/>
          <w:highlight w:val="yellow"/>
        </w:rPr>
      </w:pPr>
    </w:p>
    <w:p w14:paraId="67FF24E8" w14:textId="5B7C65F3" w:rsidR="00944036" w:rsidRPr="000463E8" w:rsidRDefault="00944036" w:rsidP="00944036">
      <w:pPr>
        <w:pStyle w:val="BodyText"/>
        <w:spacing w:after="0" w:line="240" w:lineRule="auto"/>
        <w:ind w:right="130"/>
        <w:rPr>
          <w:rFonts w:eastAsia="Times New Roman" w:cstheme="minorHAnsi"/>
          <w:sz w:val="24"/>
          <w:szCs w:val="24"/>
        </w:rPr>
      </w:pPr>
      <w:r w:rsidRPr="000463E8">
        <w:rPr>
          <w:rFonts w:eastAsia="Times New Roman" w:cstheme="minorHAnsi"/>
          <w:b/>
          <w:bCs/>
          <w:sz w:val="24"/>
          <w:szCs w:val="24"/>
        </w:rPr>
        <w:t>MassHealth ACO Program:</w:t>
      </w:r>
      <w:r w:rsidRPr="000463E8">
        <w:rPr>
          <w:rFonts w:eastAsia="Times New Roman" w:cstheme="minorHAnsi"/>
          <w:sz w:val="24"/>
          <w:szCs w:val="24"/>
        </w:rPr>
        <w:t xml:space="preserve"> BID-P participates in the MassHealth ACO Program through Beth Israel Deaconess Care Organization (BIDCO), part of </w:t>
      </w:r>
      <w:r w:rsidRPr="000463E8">
        <w:rPr>
          <w:rFonts w:cstheme="minorHAnsi"/>
          <w:sz w:val="24"/>
          <w:szCs w:val="24"/>
        </w:rPr>
        <w:t>Beth Israel Lahey Health Performance Network (</w:t>
      </w:r>
      <w:r w:rsidRPr="000463E8">
        <w:rPr>
          <w:rFonts w:eastAsia="Times New Roman" w:cstheme="minorHAnsi"/>
          <w:sz w:val="24"/>
          <w:szCs w:val="24"/>
        </w:rPr>
        <w:t>BILHPN) and its clinically integrated network. BIDCO strives to increase access to high quality care for members who are more likely to have unmet SDoH needs than the commercially insured population.</w:t>
      </w:r>
      <w:r w:rsidR="00037223">
        <w:rPr>
          <w:rFonts w:eastAsia="Times New Roman" w:cstheme="minorHAnsi"/>
          <w:sz w:val="24"/>
          <w:szCs w:val="24"/>
        </w:rPr>
        <w:t xml:space="preserve"> </w:t>
      </w:r>
      <w:r w:rsidRPr="000463E8">
        <w:rPr>
          <w:rFonts w:eastAsia="Times New Roman" w:cstheme="minorHAnsi"/>
          <w:sz w:val="24"/>
          <w:szCs w:val="24"/>
        </w:rPr>
        <w:t>The Applicant notes that a significant portion of BIDCO’s efforts to improve health care are accomplished through care coordination. Specifically, BIDCO’s data analysis and risk management tools are provided to BID-P providers, including a Population Health Management Tool that helps primary care physicians monitor patients’ health and manage chronic conditions. These primary care linkages will continue to enhance care for BID-P’s patients, including timely access to radiology services that will be achieved through the Proposed Project</w:t>
      </w:r>
      <w:r w:rsidR="000A5C9A">
        <w:rPr>
          <w:rFonts w:eastAsia="Times New Roman" w:cstheme="minorHAnsi"/>
          <w:sz w:val="24"/>
          <w:szCs w:val="24"/>
        </w:rPr>
        <w:t>.</w:t>
      </w:r>
      <w:r w:rsidRPr="000463E8">
        <w:rPr>
          <w:rFonts w:eastAsia="Times New Roman" w:cstheme="minorHAnsi"/>
          <w:sz w:val="24"/>
          <w:szCs w:val="24"/>
        </w:rPr>
        <w:t xml:space="preserve">  </w:t>
      </w:r>
    </w:p>
    <w:p w14:paraId="4237C813" w14:textId="77777777" w:rsidR="00944036" w:rsidRPr="00CD1A2D" w:rsidRDefault="00944036" w:rsidP="00944036">
      <w:pPr>
        <w:contextualSpacing/>
        <w:rPr>
          <w:rFonts w:asciiTheme="minorHAnsi" w:hAnsiTheme="minorHAnsi" w:cstheme="minorHAnsi"/>
          <w:highlight w:val="yellow"/>
        </w:rPr>
      </w:pPr>
    </w:p>
    <w:p w14:paraId="71035B0A" w14:textId="77777777" w:rsidR="00944036" w:rsidRPr="000463E8" w:rsidRDefault="00944036" w:rsidP="00944036">
      <w:pPr>
        <w:ind w:right="540"/>
        <w:contextualSpacing/>
        <w:rPr>
          <w:rFonts w:asciiTheme="minorHAnsi" w:eastAsia="Calibri" w:hAnsiTheme="minorHAnsi" w:cstheme="minorHAnsi"/>
          <w:b/>
          <w:i/>
        </w:rPr>
      </w:pPr>
      <w:r w:rsidRPr="000463E8">
        <w:rPr>
          <w:rFonts w:asciiTheme="minorHAnsi" w:eastAsia="Calibri" w:hAnsiTheme="minorHAnsi" w:cstheme="minorHAnsi"/>
          <w:b/>
          <w:i/>
        </w:rPr>
        <w:t>Analysis</w:t>
      </w:r>
    </w:p>
    <w:p w14:paraId="28C87C2E" w14:textId="14C693A1" w:rsidR="00944036" w:rsidRPr="00933E16" w:rsidRDefault="00944036" w:rsidP="00944036">
      <w:pPr>
        <w:autoSpaceDE w:val="0"/>
        <w:autoSpaceDN w:val="0"/>
        <w:adjustRightInd w:val="0"/>
        <w:rPr>
          <w:rFonts w:ascii="Calibri" w:hAnsi="Calibri" w:cs="Calibri"/>
          <w:color w:val="FF0000"/>
        </w:rPr>
      </w:pPr>
      <w:r w:rsidRPr="00055060">
        <w:rPr>
          <w:rFonts w:ascii="Calibri" w:hAnsi="Calibri" w:cs="Calibri"/>
          <w:color w:val="000000"/>
        </w:rPr>
        <w:t xml:space="preserve">Staff finds that the Applicant’s care coordination will contribute positively to efficiency, continuity, and coordination of care. The </w:t>
      </w:r>
      <w:r>
        <w:rPr>
          <w:rFonts w:ascii="Calibri" w:hAnsi="Calibri" w:cs="Calibri"/>
          <w:color w:val="000000"/>
        </w:rPr>
        <w:t>integration of</w:t>
      </w:r>
      <w:r w:rsidRPr="00055060">
        <w:rPr>
          <w:rFonts w:ascii="Calibri" w:hAnsi="Calibri" w:cs="Calibri"/>
          <w:color w:val="000000"/>
        </w:rPr>
        <w:t xml:space="preserve"> cancer services</w:t>
      </w:r>
      <w:r>
        <w:rPr>
          <w:rFonts w:ascii="Calibri" w:hAnsi="Calibri" w:cs="Calibri"/>
          <w:color w:val="000000"/>
        </w:rPr>
        <w:t xml:space="preserve"> with supportive services</w:t>
      </w:r>
      <w:r w:rsidRPr="00055060">
        <w:rPr>
          <w:rFonts w:ascii="Calibri" w:hAnsi="Calibri" w:cs="Calibri"/>
          <w:color w:val="000000"/>
        </w:rPr>
        <w:t xml:space="preserve"> will </w:t>
      </w:r>
      <w:r>
        <w:rPr>
          <w:rFonts w:ascii="Calibri" w:hAnsi="Calibri" w:cs="Calibri"/>
          <w:color w:val="000000"/>
        </w:rPr>
        <w:t xml:space="preserve">likely </w:t>
      </w:r>
      <w:r w:rsidRPr="00055060">
        <w:rPr>
          <w:rFonts w:ascii="Calibri" w:hAnsi="Calibri" w:cs="Calibri"/>
          <w:color w:val="000000"/>
        </w:rPr>
        <w:t xml:space="preserve">contribute to increased patient satisfaction and support continuity and coordination of care. </w:t>
      </w:r>
      <w:r>
        <w:rPr>
          <w:rFonts w:ascii="Calibri" w:hAnsi="Calibri" w:cs="Calibri"/>
          <w:color w:val="000000"/>
        </w:rPr>
        <w:t xml:space="preserve">The Hospital’s multi-disciplinary review and involvement in treatment planning create an efficient, real-time coordination of care that has the potential to improve patient outcomes. </w:t>
      </w:r>
      <w:r>
        <w:rPr>
          <w:rFonts w:asciiTheme="minorHAnsi" w:hAnsiTheme="minorHAnsi" w:cstheme="minorHAnsi"/>
        </w:rPr>
        <w:t>BID-P</w:t>
      </w:r>
      <w:r w:rsidRPr="00055060">
        <w:rPr>
          <w:rFonts w:asciiTheme="minorHAnsi" w:hAnsiTheme="minorHAnsi" w:cstheme="minorHAnsi"/>
        </w:rPr>
        <w:t xml:space="preserve">’s EMR supports communication between the patient, physician, and all care team members that can foster better collaboration. Review of literature points to evidence which suggests access to integrated health information technology systems directly impacts health outcomes through reducing fragmentation and improving coordination among care </w:t>
      </w:r>
      <w:r w:rsidRPr="00285B0A">
        <w:rPr>
          <w:rFonts w:asciiTheme="minorHAnsi" w:hAnsiTheme="minorHAnsi" w:cstheme="minorHAnsi"/>
        </w:rPr>
        <w:t>providers.</w:t>
      </w:r>
      <w:r w:rsidRPr="00285B0A">
        <w:rPr>
          <w:rStyle w:val="FootnoteReference"/>
          <w:rFonts w:asciiTheme="minorHAnsi" w:hAnsiTheme="minorHAnsi" w:cstheme="minorHAnsi"/>
        </w:rPr>
        <w:endnoteReference w:id="15"/>
      </w:r>
      <w:r w:rsidRPr="00285B0A">
        <w:rPr>
          <w:rFonts w:asciiTheme="minorHAnsi" w:hAnsiTheme="minorHAnsi" w:cstheme="minorHAnsi"/>
        </w:rPr>
        <w:t xml:space="preserve"> Similarly other studies show that integrated health information technology systems directly affect health outcomes, as access to a single, integrated health record, can reduce errors, improve patient safety, and support better patient outcomes.</w:t>
      </w:r>
      <w:r w:rsidRPr="00285B0A">
        <w:rPr>
          <w:rStyle w:val="FootnoteReference"/>
          <w:rFonts w:asciiTheme="minorHAnsi" w:hAnsiTheme="minorHAnsi" w:cstheme="minorHAnsi"/>
        </w:rPr>
        <w:endnoteReference w:id="16"/>
      </w:r>
      <w:r w:rsidRPr="00055060">
        <w:rPr>
          <w:rFonts w:asciiTheme="minorHAnsi" w:hAnsiTheme="minorHAnsi" w:cstheme="minorHAnsi"/>
        </w:rPr>
        <w:t xml:space="preserve"> As a result, Staff finds that the Proposed Project meets the requirements of Factor 1c.</w:t>
      </w:r>
    </w:p>
    <w:p w14:paraId="2E8340E8" w14:textId="77777777" w:rsidR="00351E84" w:rsidRPr="0076797D" w:rsidRDefault="00351E84" w:rsidP="007A57C4">
      <w:pPr>
        <w:autoSpaceDE w:val="0"/>
        <w:autoSpaceDN w:val="0"/>
        <w:adjustRightInd w:val="0"/>
        <w:contextualSpacing/>
        <w:rPr>
          <w:rFonts w:asciiTheme="minorHAnsi" w:hAnsiTheme="minorHAnsi" w:cstheme="minorHAnsi"/>
          <w:bCs/>
          <w:highlight w:val="yellow"/>
        </w:rPr>
      </w:pPr>
    </w:p>
    <w:p w14:paraId="5612975D" w14:textId="77777777" w:rsidR="00A47D0D" w:rsidRPr="00351E84" w:rsidRDefault="00A47D0D" w:rsidP="00A47D0D">
      <w:pPr>
        <w:pStyle w:val="Heading1"/>
        <w:spacing w:before="0" w:line="240" w:lineRule="auto"/>
        <w:rPr>
          <w:rFonts w:asciiTheme="minorHAnsi" w:hAnsiTheme="minorHAnsi" w:cstheme="minorHAnsi"/>
        </w:rPr>
      </w:pPr>
      <w:bookmarkStart w:id="28" w:name="_Toc18922415"/>
      <w:bookmarkStart w:id="29" w:name="_Toc99993055"/>
      <w:bookmarkStart w:id="30" w:name="_Toc155341745"/>
      <w:bookmarkStart w:id="31" w:name="_Toc18922416"/>
      <w:r w:rsidRPr="00351E84">
        <w:rPr>
          <w:rFonts w:asciiTheme="minorHAnsi" w:hAnsiTheme="minorHAnsi" w:cstheme="minorHAnsi"/>
        </w:rPr>
        <w:t>Factor 1: d) Consultatio</w:t>
      </w:r>
      <w:bookmarkEnd w:id="28"/>
      <w:r w:rsidRPr="00351E84">
        <w:rPr>
          <w:rFonts w:asciiTheme="minorHAnsi" w:hAnsiTheme="minorHAnsi" w:cstheme="minorHAnsi"/>
        </w:rPr>
        <w:t>n</w:t>
      </w:r>
      <w:bookmarkEnd w:id="29"/>
      <w:bookmarkEnd w:id="30"/>
    </w:p>
    <w:p w14:paraId="3D1902BC" w14:textId="77777777" w:rsidR="001B2628" w:rsidRPr="006B0B53" w:rsidRDefault="001B2628" w:rsidP="001B2628">
      <w:pPr>
        <w:rPr>
          <w:rFonts w:asciiTheme="minorHAnsi" w:hAnsiTheme="minorHAnsi" w:cstheme="minorHAnsi"/>
          <w:color w:val="000000"/>
        </w:rPr>
      </w:pPr>
      <w:r w:rsidRPr="006B0B53">
        <w:rPr>
          <w:rFonts w:asciiTheme="minorHAnsi" w:hAnsiTheme="minorHAnsi" w:cstheme="minorHAnsi"/>
          <w:color w:val="000000"/>
        </w:rPr>
        <w:t xml:space="preserve">The Applicant has provided evidence of consultation, both prior to and after the Filing Date, with all government agencies that have licensure, certification, or other regulatory oversight, which has been done and will not be addressed further in this report. </w:t>
      </w:r>
      <w:r w:rsidRPr="00E62328">
        <w:rPr>
          <w:rFonts w:asciiTheme="minorHAnsi" w:hAnsiTheme="minorHAnsi" w:cstheme="minorHAnsi"/>
          <w:color w:val="000000"/>
        </w:rPr>
        <w:t>As a result, Staff finds that the Proposed Project meets the requirements of Factor 1d.</w:t>
      </w:r>
    </w:p>
    <w:p w14:paraId="59CB87EC" w14:textId="77777777" w:rsidR="009F6F3E" w:rsidRPr="0076797D" w:rsidRDefault="009F6F3E" w:rsidP="009F6F3E">
      <w:pPr>
        <w:rPr>
          <w:rFonts w:eastAsiaTheme="majorEastAsia"/>
          <w:highlight w:val="yellow"/>
        </w:rPr>
      </w:pPr>
    </w:p>
    <w:p w14:paraId="2540E20E" w14:textId="77777777" w:rsidR="0080330F" w:rsidRPr="001B2628" w:rsidRDefault="0080330F" w:rsidP="0080330F">
      <w:pPr>
        <w:pStyle w:val="Heading1"/>
        <w:spacing w:before="0" w:line="240" w:lineRule="auto"/>
        <w:rPr>
          <w:rFonts w:asciiTheme="minorHAnsi" w:hAnsiTheme="minorHAnsi" w:cstheme="minorHAnsi"/>
        </w:rPr>
      </w:pPr>
      <w:bookmarkStart w:id="32" w:name="_Toc99993056"/>
      <w:bookmarkStart w:id="33" w:name="_Toc155341746"/>
      <w:bookmarkStart w:id="34" w:name="_Toc18922417"/>
      <w:bookmarkStart w:id="35" w:name="_Toc17322399"/>
      <w:bookmarkEnd w:id="31"/>
      <w:r w:rsidRPr="001B2628">
        <w:rPr>
          <w:rStyle w:val="Heading1Char"/>
          <w:rFonts w:asciiTheme="minorHAnsi" w:hAnsiTheme="minorHAnsi" w:cstheme="minorHAnsi"/>
          <w:b/>
          <w:bCs/>
        </w:rPr>
        <w:lastRenderedPageBreak/>
        <w:t>Factor 1: e) Evidence of Sound Community Engagement through the Patient Panel</w:t>
      </w:r>
      <w:bookmarkEnd w:id="32"/>
      <w:bookmarkEnd w:id="33"/>
      <w:r w:rsidRPr="001B2628">
        <w:rPr>
          <w:rFonts w:asciiTheme="minorHAnsi" w:hAnsiTheme="minorHAnsi" w:cstheme="minorHAnsi"/>
        </w:rPr>
        <w:t xml:space="preserve"> </w:t>
      </w:r>
    </w:p>
    <w:p w14:paraId="6B694709" w14:textId="73C28FFD" w:rsidR="009E6EB1" w:rsidRPr="001607EB" w:rsidRDefault="009E6EB1" w:rsidP="009E6EB1">
      <w:pPr>
        <w:contextualSpacing/>
        <w:rPr>
          <w:rFonts w:asciiTheme="minorHAnsi" w:hAnsiTheme="minorHAnsi" w:cstheme="minorHAnsi"/>
        </w:rPr>
      </w:pPr>
      <w:r w:rsidRPr="001607EB">
        <w:rPr>
          <w:rFonts w:asciiTheme="minorHAnsi" w:eastAsia="Calibri" w:hAnsiTheme="minorHAnsi" w:cstheme="minorHAnsi"/>
        </w:rPr>
        <w:t>The Department’s Guideline</w:t>
      </w:r>
      <w:r w:rsidRPr="001607EB">
        <w:rPr>
          <w:rFonts w:asciiTheme="minorHAnsi" w:eastAsia="Calibri" w:hAnsiTheme="minorHAnsi" w:cstheme="minorHAnsi"/>
          <w:vertAlign w:val="superscript"/>
        </w:rPr>
        <w:footnoteReference w:id="11"/>
      </w:r>
      <w:r w:rsidRPr="001607EB">
        <w:rPr>
          <w:rFonts w:asciiTheme="minorHAnsi" w:eastAsia="Calibri" w:hAnsiTheme="minorHAnsi" w:cstheme="minorHAns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1607EB">
        <w:rPr>
          <w:rFonts w:asciiTheme="minorHAnsi" w:hAnsiTheme="minorHAnsi" w:cstheme="minorHAnsi"/>
        </w:rPr>
        <w:t>“community coalitions statistically representative of the Patient Panel.”</w:t>
      </w:r>
      <w:r w:rsidRPr="001607EB">
        <w:rPr>
          <w:rFonts w:asciiTheme="minorHAnsi" w:hAnsiTheme="minorHAnsi" w:cstheme="minorHAnsi"/>
          <w:vertAlign w:val="superscript"/>
        </w:rPr>
        <w:footnoteReference w:id="12"/>
      </w:r>
      <w:r w:rsidRPr="001607EB">
        <w:rPr>
          <w:rFonts w:asciiTheme="minorHAnsi" w:hAnsiTheme="minorHAnsi" w:cstheme="minorHAnsi"/>
        </w:rPr>
        <w:t xml:space="preserve"> </w:t>
      </w:r>
    </w:p>
    <w:p w14:paraId="40D72299" w14:textId="77777777" w:rsidR="009E6EB1" w:rsidRPr="001607EB" w:rsidRDefault="009E6EB1" w:rsidP="009E6EB1">
      <w:pPr>
        <w:contextualSpacing/>
        <w:rPr>
          <w:rFonts w:asciiTheme="minorHAnsi" w:hAnsiTheme="minorHAnsi" w:cstheme="minorHAnsi"/>
        </w:rPr>
      </w:pPr>
    </w:p>
    <w:p w14:paraId="4E7E3E30" w14:textId="4D107D80" w:rsidR="007673FD" w:rsidRPr="007673FD" w:rsidRDefault="009E6EB1" w:rsidP="007673FD">
      <w:pPr>
        <w:spacing w:before="120"/>
        <w:rPr>
          <w:rFonts w:asciiTheme="minorHAnsi" w:eastAsia="Arial" w:hAnsiTheme="minorHAnsi" w:cstheme="minorHAnsi"/>
          <w:kern w:val="2"/>
        </w:rPr>
      </w:pPr>
      <w:r w:rsidRPr="001607EB">
        <w:rPr>
          <w:rFonts w:asciiTheme="minorHAnsi" w:eastAsia="Arial" w:hAnsiTheme="minorHAnsi" w:cstheme="minorHAnsi"/>
          <w:kern w:val="2"/>
        </w:rPr>
        <w:t>The Applicant presented the Proposed Project</w:t>
      </w:r>
      <w:r w:rsidRPr="001607EB">
        <w:rPr>
          <w:rFonts w:asciiTheme="minorHAnsi" w:eastAsia="Arial" w:hAnsiTheme="minorHAnsi" w:cstheme="minorHAnsi"/>
        </w:rPr>
        <w:t xml:space="preserve"> </w:t>
      </w:r>
      <w:r w:rsidRPr="007673FD">
        <w:rPr>
          <w:rFonts w:asciiTheme="minorHAnsi" w:eastAsia="Arial" w:hAnsiTheme="minorHAnsi" w:cstheme="minorHAnsi"/>
        </w:rPr>
        <w:t xml:space="preserve">presented </w:t>
      </w:r>
      <w:r w:rsidRPr="007673FD">
        <w:rPr>
          <w:rFonts w:asciiTheme="minorHAnsi" w:eastAsia="Arial" w:hAnsiTheme="minorHAnsi" w:cstheme="minorHAnsi"/>
          <w:kern w:val="2"/>
        </w:rPr>
        <w:t xml:space="preserve">to </w:t>
      </w:r>
      <w:r w:rsidR="007673FD" w:rsidRPr="007673FD">
        <w:rPr>
          <w:rFonts w:asciiTheme="minorHAnsi" w:eastAsia="Arial" w:hAnsiTheme="minorHAnsi" w:cstheme="minorHAnsi"/>
        </w:rPr>
        <w:t xml:space="preserve">The Hospital’s Patient Family Advisory Council (PFAC) and </w:t>
      </w:r>
      <w:r w:rsidR="007673FD" w:rsidRPr="007673FD">
        <w:rPr>
          <w:rFonts w:asciiTheme="minorHAnsi" w:eastAsia="Arial" w:hAnsiTheme="minorHAnsi" w:cstheme="minorHAnsi"/>
          <w:kern w:val="2"/>
        </w:rPr>
        <w:t>Hospital’s Community Benefits Advisory Council (CBAC) in March 2023. The</w:t>
      </w:r>
      <w:r w:rsidR="007673FD" w:rsidRPr="00DE595A">
        <w:rPr>
          <w:rFonts w:asciiTheme="minorHAnsi" w:eastAsia="Arial" w:hAnsiTheme="minorHAnsi" w:cstheme="minorHAnsi"/>
          <w:kern w:val="2"/>
        </w:rPr>
        <w:t xml:space="preserve"> presentations covered the Applicant’s proposed plans, and how the Proposed Project will benefit the Hospital’s Patient Panel. Following the presentation, attendees were able to share feedback and ask the presenters questions. </w:t>
      </w:r>
      <w:r w:rsidR="007673FD" w:rsidRPr="00DE595A">
        <w:rPr>
          <w:rFonts w:asciiTheme="minorHAnsi" w:hAnsiTheme="minorHAnsi" w:cstheme="minorHAnsi"/>
        </w:rPr>
        <w:t>Discussions centered aroun</w:t>
      </w:r>
      <w:r w:rsidR="007673FD">
        <w:rPr>
          <w:rFonts w:asciiTheme="minorHAnsi" w:hAnsiTheme="minorHAnsi" w:cstheme="minorHAnsi"/>
        </w:rPr>
        <w:t>d</w:t>
      </w:r>
      <w:r w:rsidR="007673FD" w:rsidRPr="00DE595A">
        <w:rPr>
          <w:rFonts w:asciiTheme="minorHAnsi" w:hAnsiTheme="minorHAnsi" w:cstheme="minorHAnsi"/>
        </w:rPr>
        <w:t xml:space="preserve"> understanding the current volume of treatment, projected increases in volume following the project, the timeline for the project, and the </w:t>
      </w:r>
      <w:r w:rsidR="007673FD">
        <w:rPr>
          <w:rFonts w:asciiTheme="minorHAnsi" w:hAnsiTheme="minorHAnsi" w:cstheme="minorHAnsi"/>
        </w:rPr>
        <w:t xml:space="preserve">current </w:t>
      </w:r>
      <w:r w:rsidR="007673FD" w:rsidRPr="00DE595A">
        <w:rPr>
          <w:rFonts w:asciiTheme="minorHAnsi" w:hAnsiTheme="minorHAnsi" w:cstheme="minorHAnsi"/>
        </w:rPr>
        <w:t xml:space="preserve">hours available for treatment. </w:t>
      </w:r>
    </w:p>
    <w:p w14:paraId="32E604EC" w14:textId="77777777" w:rsidR="009E6EB1" w:rsidRPr="00DE595A" w:rsidRDefault="009E6EB1" w:rsidP="009E6EB1">
      <w:pPr>
        <w:pStyle w:val="Default"/>
        <w:rPr>
          <w:rFonts w:asciiTheme="minorHAnsi" w:hAnsiTheme="minorHAnsi" w:cstheme="minorHAnsi"/>
          <w:highlight w:val="yellow"/>
        </w:rPr>
      </w:pPr>
    </w:p>
    <w:p w14:paraId="3D579492" w14:textId="77777777" w:rsidR="009E6EB1" w:rsidRPr="00EE42F6" w:rsidRDefault="009E6EB1" w:rsidP="009E6EB1">
      <w:pPr>
        <w:contextualSpacing/>
        <w:rPr>
          <w:rFonts w:asciiTheme="minorHAnsi" w:hAnsiTheme="minorHAnsi" w:cstheme="minorHAnsi"/>
          <w:b/>
          <w:i/>
        </w:rPr>
      </w:pPr>
      <w:r w:rsidRPr="00EE42F6">
        <w:rPr>
          <w:rFonts w:asciiTheme="minorHAnsi" w:hAnsiTheme="minorHAnsi" w:cstheme="minorHAnsi"/>
          <w:b/>
          <w:i/>
        </w:rPr>
        <w:t>Analysis</w:t>
      </w:r>
    </w:p>
    <w:p w14:paraId="63EB7FC6" w14:textId="77777777" w:rsidR="009E6EB1" w:rsidRPr="00820F51" w:rsidRDefault="009E6EB1" w:rsidP="009E6EB1">
      <w:pPr>
        <w:rPr>
          <w:rFonts w:asciiTheme="minorHAnsi" w:hAnsiTheme="minorHAnsi" w:cstheme="minorHAnsi"/>
        </w:rPr>
      </w:pPr>
      <w:r w:rsidRPr="00EE42F6">
        <w:rPr>
          <w:rFonts w:asciiTheme="minorHAnsi" w:hAnsiTheme="minorHAnsi" w:cstheme="minorHAnsi"/>
          <w:color w:val="000000"/>
        </w:rPr>
        <w:t xml:space="preserve">Staff reviewed the information on the Applicant’s community engagement and finds that the Applicant has met the required community engagement standard of Consult in the planning phase of the Proposed Project. </w:t>
      </w:r>
      <w:r w:rsidRPr="00EE42F6">
        <w:rPr>
          <w:rFonts w:asciiTheme="minorHAnsi" w:hAnsiTheme="minorHAnsi" w:cstheme="minorHAnsi"/>
        </w:rPr>
        <w:t>As a result, Staff finds that the Proposed Project meets the requirements of Factor 1e.</w:t>
      </w:r>
    </w:p>
    <w:p w14:paraId="320CD6C4" w14:textId="77777777" w:rsidR="00C57660" w:rsidRPr="009E6EB1" w:rsidRDefault="00C57660" w:rsidP="009F6F3E">
      <w:pPr>
        <w:rPr>
          <w:rFonts w:asciiTheme="minorHAnsi" w:hAnsiTheme="minorHAnsi" w:cstheme="minorHAnsi"/>
        </w:rPr>
      </w:pPr>
    </w:p>
    <w:p w14:paraId="145E2119" w14:textId="77777777" w:rsidR="0024620F" w:rsidRPr="009E6EB1" w:rsidRDefault="0024620F" w:rsidP="0024620F">
      <w:pPr>
        <w:pStyle w:val="Heading1"/>
        <w:spacing w:before="0" w:line="240" w:lineRule="auto"/>
        <w:rPr>
          <w:rFonts w:asciiTheme="minorHAnsi" w:hAnsiTheme="minorHAnsi" w:cstheme="minorHAnsi"/>
        </w:rPr>
      </w:pPr>
      <w:bookmarkStart w:id="36" w:name="_Toc99993057"/>
      <w:bookmarkStart w:id="37" w:name="_Toc155341747"/>
      <w:bookmarkStart w:id="38" w:name="_Hlk17663634"/>
      <w:bookmarkEnd w:id="34"/>
      <w:bookmarkEnd w:id="35"/>
      <w:r w:rsidRPr="009E6EB1">
        <w:rPr>
          <w:rFonts w:asciiTheme="minorHAnsi" w:hAnsiTheme="minorHAnsi" w:cstheme="minorHAnsi"/>
        </w:rPr>
        <w:t>Factor 1: f) Competition on price, total medical expenses (TME), costs and other measures of health care spending</w:t>
      </w:r>
      <w:bookmarkEnd w:id="36"/>
      <w:bookmarkEnd w:id="37"/>
    </w:p>
    <w:p w14:paraId="7EF28330" w14:textId="77777777" w:rsidR="00FA085D" w:rsidRPr="00BE087A" w:rsidRDefault="00FA085D" w:rsidP="00FA085D">
      <w:pPr>
        <w:pStyle w:val="Default"/>
        <w:rPr>
          <w:sz w:val="20"/>
          <w:szCs w:val="20"/>
        </w:rPr>
      </w:pPr>
      <w:bookmarkStart w:id="39" w:name="_Hlk90565809"/>
      <w:bookmarkEnd w:id="38"/>
      <w:r w:rsidRPr="00E345AE">
        <w:rPr>
          <w:rFonts w:asciiTheme="minorHAnsi" w:hAnsiTheme="minorHAnsi" w:cstheme="minorHAnsi"/>
          <w:kern w:val="2"/>
        </w:rPr>
        <w:t xml:space="preserve">The Applicant states that the Proposed Project will compete on the basis of price, total medical expenses (TME), provider costs, and other recognized measures of health care spending by </w:t>
      </w:r>
      <w:r>
        <w:rPr>
          <w:rFonts w:asciiTheme="minorHAnsi" w:hAnsiTheme="minorHAnsi" w:cstheme="minorHAnsi"/>
        </w:rPr>
        <w:t xml:space="preserve">ensuring reliable </w:t>
      </w:r>
      <w:r w:rsidRPr="00E345AE">
        <w:rPr>
          <w:rFonts w:asciiTheme="minorHAnsi" w:hAnsiTheme="minorHAnsi" w:cstheme="minorHAnsi"/>
        </w:rPr>
        <w:t>access to timely outpatient cancer services in the community</w:t>
      </w:r>
      <w:bookmarkEnd w:id="39"/>
      <w:r w:rsidRPr="00E345AE">
        <w:rPr>
          <w:rFonts w:asciiTheme="minorHAnsi" w:hAnsiTheme="minorHAnsi" w:cstheme="minorHAnsi"/>
          <w:kern w:val="2"/>
        </w:rPr>
        <w:t xml:space="preserve">. </w:t>
      </w:r>
      <w:r>
        <w:rPr>
          <w:rFonts w:asciiTheme="minorHAnsi" w:hAnsiTheme="minorHAnsi" w:cstheme="minorHAnsi"/>
        </w:rPr>
        <w:t>T</w:t>
      </w:r>
      <w:r w:rsidRPr="00E345AE">
        <w:rPr>
          <w:rFonts w:asciiTheme="minorHAnsi" w:hAnsiTheme="minorHAnsi" w:cstheme="minorHAnsi"/>
        </w:rPr>
        <w:t xml:space="preserve">he Applicant </w:t>
      </w:r>
      <w:r>
        <w:rPr>
          <w:rFonts w:asciiTheme="minorHAnsi" w:hAnsiTheme="minorHAnsi" w:cstheme="minorHAnsi"/>
        </w:rPr>
        <w:t xml:space="preserve">notes that the </w:t>
      </w:r>
      <w:r w:rsidRPr="00BE087A">
        <w:rPr>
          <w:rFonts w:asciiTheme="minorHAnsi" w:hAnsiTheme="minorHAnsi" w:cstheme="minorHAnsi"/>
        </w:rPr>
        <w:t>Proposed Project is an existing resource without the need for a significant capital expenditure to recommission the unit. Ensuring that access to cancer services remain available to BID-P’s patients close to home and on a timely basis contributes to reducing the cost of care by preventing cost-increasing delays in treatment.</w:t>
      </w:r>
      <w:r w:rsidRPr="00BE087A">
        <w:rPr>
          <w:rFonts w:asciiTheme="minorHAnsi" w:hAnsiTheme="minorHAnsi" w:cstheme="minorHAnsi"/>
          <w:kern w:val="2"/>
        </w:rPr>
        <w:t xml:space="preserve"> </w:t>
      </w:r>
      <w:r w:rsidRPr="00BE087A">
        <w:rPr>
          <w:rFonts w:asciiTheme="minorHAnsi" w:hAnsiTheme="minorHAnsi" w:cstheme="minorHAnsi"/>
        </w:rPr>
        <w:t xml:space="preserve">Preventing long wait times, increasing </w:t>
      </w:r>
      <w:r>
        <w:rPr>
          <w:rFonts w:asciiTheme="minorHAnsi" w:hAnsiTheme="minorHAnsi" w:cstheme="minorHAnsi"/>
        </w:rPr>
        <w:t xml:space="preserve">scheduling </w:t>
      </w:r>
      <w:r w:rsidRPr="00BE087A">
        <w:rPr>
          <w:rFonts w:asciiTheme="minorHAnsi" w:hAnsiTheme="minorHAnsi" w:cstheme="minorHAnsi"/>
        </w:rPr>
        <w:t xml:space="preserve">flexibility, and ensuring the reliability of BID-P’s radiation therapy will also guarantee that patients can receive care in the community where they </w:t>
      </w:r>
      <w:r w:rsidRPr="00FC3F28">
        <w:rPr>
          <w:rFonts w:asciiTheme="minorHAnsi" w:hAnsiTheme="minorHAnsi" w:cstheme="minorHAnsi"/>
        </w:rPr>
        <w:t>live. Without the addition of a LINAC, BID-P may not be able to provide reliable and convenient radiation therapy treatments if their existing LINAC unit goes offline, resulting in the possibility that both current and future patients would need to seek services further from home and potentially outside of the BILH network.</w:t>
      </w:r>
      <w:r w:rsidRPr="00BE087A">
        <w:rPr>
          <w:rFonts w:asciiTheme="minorHAnsi" w:hAnsiTheme="minorHAnsi" w:cstheme="minorHAnsi"/>
        </w:rPr>
        <w:t xml:space="preserve"> </w:t>
      </w:r>
    </w:p>
    <w:p w14:paraId="389FCFE9" w14:textId="77777777" w:rsidR="00FA085D" w:rsidRPr="00266910" w:rsidRDefault="00FA085D" w:rsidP="00FA085D">
      <w:pPr>
        <w:pStyle w:val="BodyText"/>
        <w:spacing w:after="0"/>
        <w:rPr>
          <w:kern w:val="2"/>
          <w:sz w:val="24"/>
          <w:szCs w:val="24"/>
          <w:highlight w:val="yellow"/>
        </w:rPr>
      </w:pPr>
    </w:p>
    <w:p w14:paraId="65F7E0B4" w14:textId="77777777" w:rsidR="00FA085D" w:rsidRPr="00176E29" w:rsidRDefault="00FA085D" w:rsidP="00FA085D">
      <w:pPr>
        <w:contextualSpacing/>
        <w:rPr>
          <w:rFonts w:asciiTheme="minorHAnsi" w:hAnsiTheme="minorHAnsi" w:cstheme="minorHAnsi"/>
          <w:b/>
          <w:i/>
        </w:rPr>
      </w:pPr>
      <w:r w:rsidRPr="00176E29">
        <w:rPr>
          <w:rFonts w:asciiTheme="minorHAnsi" w:hAnsiTheme="minorHAnsi" w:cstheme="minorHAnsi"/>
          <w:b/>
          <w:i/>
        </w:rPr>
        <w:t>Analysis</w:t>
      </w:r>
    </w:p>
    <w:p w14:paraId="71744908" w14:textId="211A3C2A" w:rsidR="00FA085D" w:rsidRPr="00A84B2F" w:rsidRDefault="00FA085D" w:rsidP="00FA085D">
      <w:pPr>
        <w:spacing w:line="259" w:lineRule="auto"/>
        <w:ind w:right="114"/>
        <w:rPr>
          <w:rFonts w:asciiTheme="minorHAnsi" w:hAnsiTheme="minorHAnsi" w:cstheme="minorHAnsi"/>
        </w:rPr>
      </w:pPr>
      <w:r w:rsidRPr="00A84B2F">
        <w:rPr>
          <w:rFonts w:asciiTheme="minorHAnsi" w:hAnsiTheme="minorHAnsi" w:cstheme="minorHAnsi"/>
        </w:rPr>
        <w:t xml:space="preserve">The Proposed Project has the potential to reduce costs by providing LINAC services on site at BID-P, saving the cost of delayed treatments. The Proposed Project also ensures access to LINAC in the </w:t>
      </w:r>
      <w:r>
        <w:rPr>
          <w:rFonts w:asciiTheme="minorHAnsi" w:hAnsiTheme="minorHAnsi" w:cstheme="minorHAnsi"/>
        </w:rPr>
        <w:t>P</w:t>
      </w:r>
      <w:r w:rsidRPr="00A84B2F">
        <w:rPr>
          <w:rFonts w:asciiTheme="minorHAnsi" w:hAnsiTheme="minorHAnsi" w:cstheme="minorHAnsi"/>
        </w:rPr>
        <w:t xml:space="preserve">rimary </w:t>
      </w:r>
      <w:r>
        <w:rPr>
          <w:rFonts w:asciiTheme="minorHAnsi" w:hAnsiTheme="minorHAnsi" w:cstheme="minorHAnsi"/>
        </w:rPr>
        <w:t>S</w:t>
      </w:r>
      <w:r w:rsidRPr="00A84B2F">
        <w:rPr>
          <w:rFonts w:asciiTheme="minorHAnsi" w:hAnsiTheme="minorHAnsi" w:cstheme="minorHAnsi"/>
        </w:rPr>
        <w:t xml:space="preserve">ervice </w:t>
      </w:r>
      <w:r>
        <w:rPr>
          <w:rFonts w:asciiTheme="minorHAnsi" w:hAnsiTheme="minorHAnsi" w:cstheme="minorHAnsi"/>
        </w:rPr>
        <w:t>A</w:t>
      </w:r>
      <w:r w:rsidRPr="00A84B2F">
        <w:rPr>
          <w:rFonts w:asciiTheme="minorHAnsi" w:hAnsiTheme="minorHAnsi" w:cstheme="minorHAnsi"/>
        </w:rPr>
        <w:t xml:space="preserve">rea, ensuring access to radiation treatments close to home. Staff finds that, on </w:t>
      </w:r>
      <w:r w:rsidRPr="00A84B2F">
        <w:rPr>
          <w:rFonts w:asciiTheme="minorHAnsi" w:hAnsiTheme="minorHAnsi" w:cstheme="minorHAnsi"/>
        </w:rPr>
        <w:lastRenderedPageBreak/>
        <w:t>balance, the requirement that the Proposed Project will likely compete on the basis of price, TME provider costs, and other measures of health care spending have been met.</w:t>
      </w:r>
    </w:p>
    <w:p w14:paraId="1522AA79" w14:textId="77777777" w:rsidR="00FA085D" w:rsidRPr="00A84B2F" w:rsidRDefault="00FA085D" w:rsidP="00FA085D"/>
    <w:p w14:paraId="6DF2B374" w14:textId="77777777" w:rsidR="00FA085D" w:rsidRPr="00A84B2F" w:rsidRDefault="00FA085D" w:rsidP="00FA085D">
      <w:pPr>
        <w:pStyle w:val="Heading2"/>
        <w:spacing w:before="0" w:line="240" w:lineRule="auto"/>
        <w:contextualSpacing/>
        <w:rPr>
          <w:rFonts w:asciiTheme="minorHAnsi" w:hAnsiTheme="minorHAnsi" w:cstheme="minorHAnsi"/>
          <w:color w:val="42558C" w:themeColor="accent1" w:themeShade="BF"/>
          <w:sz w:val="24"/>
          <w:szCs w:val="24"/>
        </w:rPr>
      </w:pPr>
      <w:bookmarkStart w:id="40" w:name="_Toc125371246"/>
      <w:bookmarkStart w:id="41" w:name="_Toc155341748"/>
      <w:r w:rsidRPr="00A84B2F">
        <w:rPr>
          <w:rFonts w:asciiTheme="minorHAnsi" w:hAnsiTheme="minorHAnsi" w:cstheme="minorHAnsi"/>
          <w:color w:val="42558C" w:themeColor="accent1" w:themeShade="BF"/>
          <w:sz w:val="24"/>
          <w:szCs w:val="24"/>
        </w:rPr>
        <w:t>Summary, FACTOR 1</w:t>
      </w:r>
      <w:bookmarkEnd w:id="40"/>
      <w:bookmarkEnd w:id="41"/>
      <w:r w:rsidRPr="00A84B2F">
        <w:rPr>
          <w:rFonts w:asciiTheme="minorHAnsi" w:hAnsiTheme="minorHAnsi" w:cstheme="minorHAnsi"/>
          <w:color w:val="42558C" w:themeColor="accent1" w:themeShade="BF"/>
          <w:sz w:val="24"/>
          <w:szCs w:val="24"/>
        </w:rPr>
        <w:t xml:space="preserve"> </w:t>
      </w:r>
    </w:p>
    <w:p w14:paraId="12DB5EA2" w14:textId="77777777" w:rsidR="00FA085D" w:rsidRPr="00A84B2F" w:rsidRDefault="00FA085D" w:rsidP="00FA085D">
      <w:pPr>
        <w:rPr>
          <w:rFonts w:asciiTheme="minorHAnsi" w:hAnsiTheme="minorHAnsi" w:cstheme="minorBidi"/>
        </w:rPr>
      </w:pPr>
      <w:r w:rsidRPr="00A84B2F">
        <w:rPr>
          <w:rFonts w:asciiTheme="minorHAnsi" w:hAnsiTheme="minorHAnsi" w:cstheme="minorBidi"/>
        </w:rPr>
        <w:t xml:space="preserve">As a result of the information provided by the Applicant and additional analysis, staff finds that the Applicant has demonstrated that the Proposed Project meets Factor 1. </w:t>
      </w:r>
    </w:p>
    <w:p w14:paraId="04CA1923" w14:textId="77777777" w:rsidR="00FA085D" w:rsidRPr="00266910" w:rsidRDefault="00FA085D" w:rsidP="00FA085D">
      <w:pPr>
        <w:rPr>
          <w:highlight w:val="yellow"/>
        </w:rPr>
      </w:pPr>
    </w:p>
    <w:p w14:paraId="7829E354" w14:textId="77777777" w:rsidR="009F6F3E" w:rsidRPr="0076797D" w:rsidRDefault="009F6F3E" w:rsidP="00503E04">
      <w:pPr>
        <w:rPr>
          <w:highlight w:val="yellow"/>
        </w:rPr>
      </w:pPr>
    </w:p>
    <w:p w14:paraId="45BBC394" w14:textId="77777777" w:rsidR="00D90513" w:rsidRPr="00FA085D" w:rsidRDefault="00D90513" w:rsidP="00D90513">
      <w:pPr>
        <w:pStyle w:val="Heading1"/>
        <w:spacing w:before="0" w:line="240" w:lineRule="auto"/>
        <w:rPr>
          <w:rFonts w:asciiTheme="minorHAnsi" w:hAnsiTheme="minorHAnsi" w:cstheme="minorHAnsi"/>
        </w:rPr>
      </w:pPr>
      <w:bookmarkStart w:id="42" w:name="_Toc99993059"/>
      <w:bookmarkStart w:id="43" w:name="_Toc155341749"/>
      <w:bookmarkStart w:id="44" w:name="_Toc17748725"/>
      <w:bookmarkStart w:id="45" w:name="_Toc17748726"/>
      <w:r w:rsidRPr="00FA085D">
        <w:rPr>
          <w:rFonts w:asciiTheme="minorHAnsi" w:hAnsiTheme="minorHAnsi" w:cstheme="minorHAnsi"/>
        </w:rPr>
        <w:t>Factor 2: Cost containment, Improved Public Health Outcomes and Delivery System Transformation</w:t>
      </w:r>
      <w:bookmarkEnd w:id="42"/>
      <w:bookmarkEnd w:id="43"/>
      <w:r w:rsidRPr="00FA085D">
        <w:rPr>
          <w:rFonts w:asciiTheme="minorHAnsi" w:hAnsiTheme="minorHAnsi" w:cstheme="minorHAnsi"/>
        </w:rPr>
        <w:t xml:space="preserve"> </w:t>
      </w:r>
      <w:bookmarkStart w:id="46" w:name="_Toc17731329"/>
      <w:bookmarkStart w:id="47" w:name="_Toc17748249"/>
      <w:bookmarkStart w:id="48" w:name="_Toc17748476"/>
      <w:bookmarkStart w:id="49" w:name="_Toc17748720"/>
      <w:bookmarkStart w:id="50" w:name="_Toc18420199"/>
      <w:bookmarkStart w:id="51" w:name="_Toc18922420"/>
    </w:p>
    <w:bookmarkEnd w:id="46"/>
    <w:bookmarkEnd w:id="47"/>
    <w:bookmarkEnd w:id="48"/>
    <w:bookmarkEnd w:id="49"/>
    <w:bookmarkEnd w:id="50"/>
    <w:bookmarkEnd w:id="51"/>
    <w:p w14:paraId="6BA5AB64" w14:textId="77777777" w:rsidR="000931A6" w:rsidRPr="00A51776" w:rsidRDefault="000931A6" w:rsidP="000931A6">
      <w:pPr>
        <w:spacing w:before="240"/>
        <w:rPr>
          <w:rFonts w:asciiTheme="minorHAnsi" w:hAnsiTheme="minorHAnsi" w:cstheme="minorHAnsi"/>
        </w:rPr>
      </w:pPr>
      <w:r w:rsidRPr="00A51776">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4DAD0487" w14:textId="77777777" w:rsidR="000931A6" w:rsidRPr="00013A00" w:rsidRDefault="000931A6" w:rsidP="000931A6">
      <w:pPr>
        <w:rPr>
          <w:highlight w:val="yellow"/>
        </w:rPr>
      </w:pPr>
    </w:p>
    <w:p w14:paraId="019389C9" w14:textId="77777777" w:rsidR="000931A6" w:rsidRPr="00A51776" w:rsidRDefault="000931A6" w:rsidP="000931A6">
      <w:pPr>
        <w:contextualSpacing/>
        <w:rPr>
          <w:rFonts w:asciiTheme="minorHAnsi" w:hAnsiTheme="minorHAnsi" w:cstheme="minorHAnsi"/>
          <w:b/>
          <w:bCs/>
        </w:rPr>
      </w:pPr>
      <w:r w:rsidRPr="00A51776">
        <w:rPr>
          <w:rFonts w:asciiTheme="minorHAnsi" w:hAnsiTheme="minorHAnsi" w:cstheme="minorHAnsi"/>
          <w:b/>
          <w:bCs/>
        </w:rPr>
        <w:t xml:space="preserve">Cost Containment </w:t>
      </w:r>
    </w:p>
    <w:p w14:paraId="14199639" w14:textId="620EB7D4" w:rsidR="000931A6" w:rsidRPr="00013A00" w:rsidRDefault="00071141" w:rsidP="000931A6">
      <w:pPr>
        <w:contextualSpacing/>
        <w:rPr>
          <w:rFonts w:asciiTheme="minorHAnsi" w:hAnsiTheme="minorHAnsi" w:cstheme="minorHAnsi"/>
          <w:b/>
          <w:bCs/>
          <w:highlight w:val="yellow"/>
        </w:rPr>
      </w:pPr>
      <w:r>
        <w:rPr>
          <w:rFonts w:asciiTheme="minorHAnsi" w:hAnsiTheme="minorHAnsi" w:cstheme="minorHAnsi"/>
        </w:rPr>
        <w:t xml:space="preserve">As detailed in Factor 1f, </w:t>
      </w:r>
      <w:r w:rsidR="000931A6" w:rsidRPr="00254B65">
        <w:rPr>
          <w:rFonts w:asciiTheme="minorHAnsi" w:hAnsiTheme="minorHAnsi" w:cstheme="minorHAnsi"/>
        </w:rPr>
        <w:t xml:space="preserve">the Proposed Project </w:t>
      </w:r>
      <w:r>
        <w:rPr>
          <w:rFonts w:asciiTheme="minorHAnsi" w:hAnsiTheme="minorHAnsi" w:cstheme="minorHAnsi"/>
        </w:rPr>
        <w:t>reduces capital expenses of the project by using existing equipment</w:t>
      </w:r>
      <w:r w:rsidR="008562F1">
        <w:rPr>
          <w:rFonts w:asciiTheme="minorHAnsi" w:hAnsiTheme="minorHAnsi" w:cstheme="minorHAnsi"/>
        </w:rPr>
        <w:t xml:space="preserve"> and ensures </w:t>
      </w:r>
      <w:r w:rsidR="00BE5F1E">
        <w:rPr>
          <w:rFonts w:asciiTheme="minorHAnsi" w:hAnsiTheme="minorHAnsi" w:cstheme="minorHAnsi"/>
        </w:rPr>
        <w:t>local</w:t>
      </w:r>
      <w:r w:rsidR="003B0454">
        <w:rPr>
          <w:rFonts w:asciiTheme="minorHAnsi" w:hAnsiTheme="minorHAnsi" w:cstheme="minorHAnsi"/>
        </w:rPr>
        <w:t>, uninterrupted</w:t>
      </w:r>
      <w:r w:rsidR="00BE5F1E">
        <w:rPr>
          <w:rFonts w:asciiTheme="minorHAnsi" w:hAnsiTheme="minorHAnsi" w:cstheme="minorHAnsi"/>
        </w:rPr>
        <w:t xml:space="preserve"> </w:t>
      </w:r>
      <w:r w:rsidR="008562F1">
        <w:rPr>
          <w:rFonts w:asciiTheme="minorHAnsi" w:hAnsiTheme="minorHAnsi" w:cstheme="minorHAnsi"/>
        </w:rPr>
        <w:t>rad</w:t>
      </w:r>
      <w:r w:rsidR="000931A6" w:rsidRPr="00254B65">
        <w:rPr>
          <w:rFonts w:asciiTheme="minorHAnsi" w:hAnsiTheme="minorHAnsi" w:cstheme="minorHAnsi"/>
        </w:rPr>
        <w:t>iation therapy service</w:t>
      </w:r>
      <w:r w:rsidR="003B0454">
        <w:rPr>
          <w:rFonts w:asciiTheme="minorHAnsi" w:hAnsiTheme="minorHAnsi" w:cstheme="minorHAnsi"/>
        </w:rPr>
        <w:t>s</w:t>
      </w:r>
      <w:r w:rsidR="000931A6" w:rsidRPr="00254B65">
        <w:rPr>
          <w:rFonts w:asciiTheme="minorHAnsi" w:hAnsiTheme="minorHAnsi" w:cstheme="minorHAnsi"/>
        </w:rPr>
        <w:t xml:space="preserve"> to </w:t>
      </w:r>
      <w:r w:rsidR="00DA50B5">
        <w:rPr>
          <w:rFonts w:asciiTheme="minorHAnsi" w:hAnsiTheme="minorHAnsi" w:cstheme="minorHAnsi"/>
        </w:rPr>
        <w:t>the Patient Panel</w:t>
      </w:r>
      <w:r w:rsidR="00BE5F1E">
        <w:rPr>
          <w:rFonts w:asciiTheme="minorHAnsi" w:hAnsiTheme="minorHAnsi" w:cstheme="minorHAnsi"/>
        </w:rPr>
        <w:t>, which</w:t>
      </w:r>
      <w:r w:rsidR="000931A6" w:rsidRPr="00DB7A2E">
        <w:rPr>
          <w:rFonts w:asciiTheme="minorHAnsi" w:hAnsiTheme="minorHAnsi" w:cstheme="minorHAnsi"/>
        </w:rPr>
        <w:t xml:space="preserve"> can reduce overall health care costs</w:t>
      </w:r>
      <w:r w:rsidR="000931A6">
        <w:rPr>
          <w:rFonts w:asciiTheme="minorHAnsi" w:hAnsiTheme="minorHAnsi" w:cstheme="minorHAnsi"/>
        </w:rPr>
        <w:t xml:space="preserve">. </w:t>
      </w:r>
      <w:r w:rsidR="000931A6" w:rsidRPr="00DC25E8">
        <w:rPr>
          <w:rFonts w:asciiTheme="minorHAnsi" w:hAnsiTheme="minorHAnsi" w:cstheme="minorHAnsi"/>
        </w:rPr>
        <w:t>The Applicant asserts that there will be no change in BID-P’s contracted rates for LINAC services, and no impact on costs</w:t>
      </w:r>
      <w:r w:rsidR="004C7F00">
        <w:rPr>
          <w:rFonts w:asciiTheme="minorHAnsi" w:hAnsiTheme="minorHAnsi" w:cstheme="minorHAnsi"/>
        </w:rPr>
        <w:t>.</w:t>
      </w:r>
      <w:r w:rsidR="000931A6" w:rsidRPr="00DC25E8">
        <w:rPr>
          <w:rFonts w:asciiTheme="minorHAnsi" w:hAnsiTheme="minorHAnsi" w:cstheme="minorHAnsi"/>
        </w:rPr>
        <w:t xml:space="preserve"> </w:t>
      </w:r>
    </w:p>
    <w:p w14:paraId="34A4D702" w14:textId="77777777" w:rsidR="000931A6" w:rsidRPr="00013A00" w:rsidRDefault="000931A6" w:rsidP="000931A6">
      <w:pPr>
        <w:contextualSpacing/>
        <w:rPr>
          <w:rFonts w:asciiTheme="minorHAnsi" w:hAnsiTheme="minorHAnsi" w:cstheme="minorHAnsi"/>
          <w:highlight w:val="yellow"/>
        </w:rPr>
      </w:pPr>
    </w:p>
    <w:p w14:paraId="32D945F3" w14:textId="77777777" w:rsidR="000931A6" w:rsidRPr="00DE0C39" w:rsidRDefault="000931A6" w:rsidP="000931A6">
      <w:pPr>
        <w:contextualSpacing/>
        <w:rPr>
          <w:rFonts w:asciiTheme="minorHAnsi" w:hAnsiTheme="minorHAnsi" w:cstheme="minorHAnsi"/>
          <w:b/>
          <w:i/>
          <w:iCs/>
        </w:rPr>
      </w:pPr>
      <w:r w:rsidRPr="00DE0C39">
        <w:rPr>
          <w:rFonts w:asciiTheme="minorHAnsi" w:hAnsiTheme="minorHAnsi" w:cstheme="minorHAnsi"/>
          <w:b/>
          <w:i/>
          <w:iCs/>
        </w:rPr>
        <w:t>Analysis: Cost Containment</w:t>
      </w:r>
    </w:p>
    <w:p w14:paraId="545D51C8" w14:textId="77777777" w:rsidR="000931A6" w:rsidRPr="00013A00" w:rsidRDefault="000931A6" w:rsidP="000931A6">
      <w:pPr>
        <w:spacing w:line="259" w:lineRule="auto"/>
        <w:ind w:right="114"/>
        <w:rPr>
          <w:rFonts w:asciiTheme="minorHAnsi" w:hAnsiTheme="minorHAnsi" w:cstheme="minorHAnsi"/>
          <w:highlight w:val="yellow"/>
        </w:rPr>
      </w:pPr>
      <w:r w:rsidRPr="00DE0C39">
        <w:rPr>
          <w:rFonts w:asciiTheme="minorHAnsi" w:hAnsiTheme="minorHAnsi" w:cstheme="minorHAnsi"/>
        </w:rPr>
        <w:t>Staff finds that the Applicant has adequately explained how it aligns with cost containment goals thro</w:t>
      </w:r>
      <w:r w:rsidRPr="00DC25E8">
        <w:rPr>
          <w:rFonts w:asciiTheme="minorHAnsi" w:hAnsiTheme="minorHAnsi" w:cstheme="minorHAnsi"/>
        </w:rPr>
        <w:t>ugh the expansion of radiation services provided on site at BID-P with no change in contracted rates.</w:t>
      </w:r>
      <w:r w:rsidRPr="00DE0C39">
        <w:rPr>
          <w:rFonts w:asciiTheme="minorHAnsi" w:hAnsiTheme="minorHAnsi" w:cstheme="minorHAnsi"/>
        </w:rPr>
        <w:t xml:space="preserve"> Therefore, DoN Staff can conclude that the Proposed Project will likely meet the cost containment component of Factor 2.</w:t>
      </w:r>
    </w:p>
    <w:p w14:paraId="1B174754" w14:textId="77777777" w:rsidR="000931A6" w:rsidRPr="00013A00" w:rsidRDefault="000931A6" w:rsidP="000931A6">
      <w:pPr>
        <w:rPr>
          <w:rFonts w:asciiTheme="minorHAnsi" w:hAnsiTheme="minorHAnsi" w:cstheme="minorHAnsi"/>
          <w:b/>
          <w:bCs/>
          <w:highlight w:val="yellow"/>
        </w:rPr>
      </w:pPr>
    </w:p>
    <w:p w14:paraId="67181F41" w14:textId="77777777" w:rsidR="000931A6" w:rsidRPr="00790E10" w:rsidRDefault="000931A6" w:rsidP="000931A6">
      <w:pPr>
        <w:rPr>
          <w:rFonts w:asciiTheme="minorHAnsi" w:hAnsiTheme="minorHAnsi" w:cstheme="minorHAnsi"/>
          <w:b/>
          <w:bCs/>
        </w:rPr>
      </w:pPr>
      <w:r w:rsidRPr="00790E10">
        <w:rPr>
          <w:rFonts w:asciiTheme="minorHAnsi" w:hAnsiTheme="minorHAnsi" w:cstheme="minorHAnsi"/>
          <w:b/>
          <w:bCs/>
        </w:rPr>
        <w:t xml:space="preserve">Improved Public Health Outcomes </w:t>
      </w:r>
    </w:p>
    <w:p w14:paraId="2373F43B" w14:textId="7C22567C" w:rsidR="000931A6" w:rsidRPr="00790E10" w:rsidRDefault="000931A6" w:rsidP="000931A6">
      <w:pPr>
        <w:rPr>
          <w:rFonts w:asciiTheme="minorHAnsi" w:hAnsiTheme="minorHAnsi" w:cstheme="minorHAnsi"/>
        </w:rPr>
      </w:pPr>
      <w:r w:rsidRPr="00790E10">
        <w:rPr>
          <w:rFonts w:asciiTheme="minorHAnsi" w:hAnsiTheme="minorHAnsi" w:cstheme="minorHAnsi"/>
        </w:rPr>
        <w:t xml:space="preserve">The Proposed Project will improve public health outcomes by providing </w:t>
      </w:r>
      <w:r w:rsidR="0052724E" w:rsidRPr="00790E10">
        <w:rPr>
          <w:rFonts w:asciiTheme="minorHAnsi" w:hAnsiTheme="minorHAnsi" w:cstheme="minorHAnsi"/>
        </w:rPr>
        <w:t>patients with</w:t>
      </w:r>
      <w:r w:rsidRPr="00790E10">
        <w:rPr>
          <w:rFonts w:asciiTheme="minorHAnsi" w:hAnsiTheme="minorHAnsi" w:cstheme="minorHAnsi"/>
        </w:rPr>
        <w:t xml:space="preserve"> timely, reliable, and convenient access to radiation oncology services in the community, </w:t>
      </w:r>
      <w:r w:rsidR="001800C0">
        <w:rPr>
          <w:rFonts w:asciiTheme="minorHAnsi" w:hAnsiTheme="minorHAnsi" w:cstheme="minorHAnsi"/>
        </w:rPr>
        <w:t>potentially</w:t>
      </w:r>
      <w:r w:rsidRPr="00790E10">
        <w:rPr>
          <w:rFonts w:asciiTheme="minorHAnsi" w:hAnsiTheme="minorHAnsi" w:cstheme="minorHAnsi"/>
        </w:rPr>
        <w:t xml:space="preserve"> reducing travel time as well as delays in diagnosis and treatment. </w:t>
      </w:r>
      <w:r w:rsidR="00C325FE">
        <w:rPr>
          <w:rFonts w:asciiTheme="minorHAnsi" w:hAnsiTheme="minorHAnsi" w:cstheme="minorHAnsi"/>
        </w:rPr>
        <w:t xml:space="preserve">Factor 1a </w:t>
      </w:r>
      <w:r w:rsidR="00B41666">
        <w:rPr>
          <w:rFonts w:asciiTheme="minorHAnsi" w:hAnsiTheme="minorHAnsi" w:cstheme="minorHAnsi"/>
        </w:rPr>
        <w:t xml:space="preserve">detailed </w:t>
      </w:r>
      <w:r w:rsidR="007864C1">
        <w:rPr>
          <w:rFonts w:asciiTheme="minorHAnsi" w:hAnsiTheme="minorHAnsi" w:cstheme="minorHAnsi"/>
        </w:rPr>
        <w:t>the Patient Panel need for the Proposed Project.</w:t>
      </w:r>
      <w:r w:rsidRPr="000C284F">
        <w:rPr>
          <w:rFonts w:asciiTheme="minorHAnsi" w:hAnsiTheme="minorHAnsi" w:cstheme="minorHAnsi"/>
        </w:rPr>
        <w:t xml:space="preserve"> Increased capacity and access to LINAC services </w:t>
      </w:r>
      <w:r w:rsidR="00F21714">
        <w:rPr>
          <w:rFonts w:asciiTheme="minorHAnsi" w:hAnsiTheme="minorHAnsi" w:cstheme="minorHAnsi"/>
        </w:rPr>
        <w:t xml:space="preserve">answer that need by </w:t>
      </w:r>
      <w:r w:rsidRPr="000C284F">
        <w:rPr>
          <w:rFonts w:asciiTheme="minorHAnsi" w:hAnsiTheme="minorHAnsi" w:cstheme="minorHAnsi"/>
        </w:rPr>
        <w:t>meet</w:t>
      </w:r>
      <w:r w:rsidR="00F21714">
        <w:rPr>
          <w:rFonts w:asciiTheme="minorHAnsi" w:hAnsiTheme="minorHAnsi" w:cstheme="minorHAnsi"/>
        </w:rPr>
        <w:t>ing</w:t>
      </w:r>
      <w:r w:rsidRPr="000C284F">
        <w:rPr>
          <w:rFonts w:asciiTheme="minorHAnsi" w:hAnsiTheme="minorHAnsi" w:cstheme="minorHAnsi"/>
        </w:rPr>
        <w:t xml:space="preserve"> current and future demands</w:t>
      </w:r>
      <w:r w:rsidR="00F21714">
        <w:rPr>
          <w:rFonts w:asciiTheme="minorHAnsi" w:hAnsiTheme="minorHAnsi" w:cstheme="minorHAnsi"/>
        </w:rPr>
        <w:t xml:space="preserve"> for radiation services</w:t>
      </w:r>
      <w:r w:rsidRPr="000C284F">
        <w:rPr>
          <w:rFonts w:asciiTheme="minorHAnsi" w:hAnsiTheme="minorHAnsi" w:cstheme="minorHAnsi"/>
        </w:rPr>
        <w:t xml:space="preserve">, </w:t>
      </w:r>
      <w:r>
        <w:rPr>
          <w:rFonts w:asciiTheme="minorHAnsi" w:hAnsiTheme="minorHAnsi" w:cstheme="minorHAnsi"/>
        </w:rPr>
        <w:t>as well as</w:t>
      </w:r>
      <w:r w:rsidRPr="000C284F">
        <w:rPr>
          <w:rFonts w:asciiTheme="minorHAnsi" w:hAnsiTheme="minorHAnsi" w:cstheme="minorHAnsi"/>
        </w:rPr>
        <w:t xml:space="preserve"> provid</w:t>
      </w:r>
      <w:r w:rsidR="00F21714">
        <w:rPr>
          <w:rFonts w:asciiTheme="minorHAnsi" w:hAnsiTheme="minorHAnsi" w:cstheme="minorHAnsi"/>
        </w:rPr>
        <w:t>ing</w:t>
      </w:r>
      <w:r w:rsidRPr="000C284F">
        <w:rPr>
          <w:rFonts w:asciiTheme="minorHAnsi" w:hAnsiTheme="minorHAnsi" w:cstheme="minorHAnsi"/>
        </w:rPr>
        <w:t xml:space="preserve"> timely access within the community. Improved access to these services will also further the patient care experience and patient satisfaction.</w:t>
      </w:r>
      <w:r w:rsidRPr="00DF5842">
        <w:rPr>
          <w:rFonts w:ascii="Arial" w:hAnsi="Arial" w:cs="Arial"/>
          <w:sz w:val="20"/>
          <w:szCs w:val="20"/>
        </w:rPr>
        <w:t xml:space="preserve"> </w:t>
      </w:r>
    </w:p>
    <w:p w14:paraId="326D3953" w14:textId="77777777" w:rsidR="000931A6" w:rsidRPr="00013A00" w:rsidRDefault="000931A6" w:rsidP="000931A6">
      <w:pPr>
        <w:rPr>
          <w:rFonts w:asciiTheme="minorHAnsi" w:hAnsiTheme="minorHAnsi" w:cstheme="minorHAnsi"/>
          <w:bCs/>
          <w:highlight w:val="yellow"/>
        </w:rPr>
      </w:pPr>
    </w:p>
    <w:p w14:paraId="233D0058" w14:textId="77777777" w:rsidR="000931A6" w:rsidRPr="00AB28A4" w:rsidRDefault="000931A6" w:rsidP="000931A6">
      <w:pPr>
        <w:contextualSpacing/>
        <w:rPr>
          <w:rFonts w:asciiTheme="minorHAnsi" w:hAnsiTheme="minorHAnsi" w:cstheme="minorHAnsi"/>
          <w:b/>
          <w:i/>
          <w:iCs/>
        </w:rPr>
      </w:pPr>
      <w:bookmarkStart w:id="52" w:name="_Toc17731331"/>
      <w:bookmarkStart w:id="53" w:name="_Toc17748251"/>
      <w:bookmarkStart w:id="54" w:name="_Toc17748479"/>
      <w:bookmarkStart w:id="55" w:name="_Toc17748723"/>
      <w:bookmarkStart w:id="56" w:name="_Toc18420202"/>
      <w:bookmarkStart w:id="57" w:name="_Toc18922423"/>
      <w:r w:rsidRPr="00AB28A4">
        <w:rPr>
          <w:rFonts w:asciiTheme="minorHAnsi" w:hAnsiTheme="minorHAnsi" w:cstheme="minorHAnsi"/>
          <w:b/>
          <w:i/>
          <w:iCs/>
        </w:rPr>
        <w:t>Analysis: Public Health Outcomes</w:t>
      </w:r>
    </w:p>
    <w:p w14:paraId="7642E59D" w14:textId="3CFCEFD5" w:rsidR="000931A6" w:rsidRPr="00013A00" w:rsidRDefault="000931A6" w:rsidP="000931A6">
      <w:pPr>
        <w:spacing w:line="259" w:lineRule="auto"/>
        <w:ind w:right="114"/>
        <w:rPr>
          <w:rFonts w:asciiTheme="minorHAnsi" w:hAnsiTheme="minorHAnsi" w:cstheme="minorHAnsi"/>
          <w:highlight w:val="yellow"/>
        </w:rPr>
      </w:pPr>
      <w:r w:rsidRPr="00AB28A4">
        <w:rPr>
          <w:rFonts w:asciiTheme="minorHAnsi" w:hAnsiTheme="minorHAnsi" w:cstheme="minorHAnsi"/>
        </w:rPr>
        <w:t>Staff finds that the Proposed Project will provide the Patient P</w:t>
      </w:r>
      <w:r>
        <w:rPr>
          <w:rFonts w:asciiTheme="minorHAnsi" w:hAnsiTheme="minorHAnsi" w:cstheme="minorHAnsi"/>
        </w:rPr>
        <w:t>anel</w:t>
      </w:r>
      <w:r w:rsidRPr="00AB28A4">
        <w:rPr>
          <w:rFonts w:asciiTheme="minorHAnsi" w:hAnsiTheme="minorHAnsi" w:cstheme="minorHAnsi"/>
        </w:rPr>
        <w:t xml:space="preserve"> </w:t>
      </w:r>
      <w:r>
        <w:rPr>
          <w:rFonts w:asciiTheme="minorHAnsi" w:hAnsiTheme="minorHAnsi" w:cstheme="minorHAnsi"/>
        </w:rPr>
        <w:t xml:space="preserve">with </w:t>
      </w:r>
      <w:r w:rsidRPr="00AB28A4">
        <w:rPr>
          <w:rFonts w:asciiTheme="minorHAnsi" w:hAnsiTheme="minorHAnsi" w:cstheme="minorHAnsi"/>
        </w:rPr>
        <w:t xml:space="preserve">timely access to </w:t>
      </w:r>
      <w:r>
        <w:rPr>
          <w:rFonts w:asciiTheme="minorHAnsi" w:hAnsiTheme="minorHAnsi" w:cstheme="minorHAnsi"/>
        </w:rPr>
        <w:t xml:space="preserve">radiation </w:t>
      </w:r>
      <w:r w:rsidRPr="00AB28A4">
        <w:rPr>
          <w:rFonts w:asciiTheme="minorHAnsi" w:hAnsiTheme="minorHAnsi" w:cstheme="minorHAnsi"/>
        </w:rPr>
        <w:t>services</w:t>
      </w:r>
      <w:r>
        <w:rPr>
          <w:rFonts w:asciiTheme="minorHAnsi" w:hAnsiTheme="minorHAnsi" w:cstheme="minorHAnsi"/>
        </w:rPr>
        <w:t>, which</w:t>
      </w:r>
      <w:r w:rsidRPr="00AB28A4">
        <w:rPr>
          <w:rFonts w:asciiTheme="minorHAnsi" w:hAnsiTheme="minorHAnsi" w:cstheme="minorHAnsi"/>
        </w:rPr>
        <w:t xml:space="preserve"> has the potential to improve health outcomes. Timely access can reduce delays in diagnosis and treatment that can adversely impact health outcomes</w:t>
      </w:r>
      <w:r w:rsidRPr="00AB28A4">
        <w:rPr>
          <w:rFonts w:asciiTheme="minorHAnsi" w:hAnsiTheme="minorHAnsi" w:cstheme="minorHAnsi"/>
          <w:color w:val="000000"/>
        </w:rPr>
        <w:t>. A second LINAC unit ensures that radiation services will remain available to the community if one machine experiences down time</w:t>
      </w:r>
      <w:r w:rsidR="00E93E7D">
        <w:rPr>
          <w:rFonts w:asciiTheme="minorHAnsi" w:hAnsiTheme="minorHAnsi" w:cstheme="minorHAnsi"/>
          <w:color w:val="000000"/>
        </w:rPr>
        <w:t xml:space="preserve">, which </w:t>
      </w:r>
      <w:r w:rsidR="00486219">
        <w:rPr>
          <w:rFonts w:asciiTheme="minorHAnsi" w:hAnsiTheme="minorHAnsi" w:cstheme="minorHAnsi"/>
          <w:color w:val="000000"/>
        </w:rPr>
        <w:t>has historically resulted treatment delays due to rescheduling</w:t>
      </w:r>
      <w:r w:rsidRPr="00AB28A4">
        <w:rPr>
          <w:rFonts w:asciiTheme="minorHAnsi" w:hAnsiTheme="minorHAnsi" w:cstheme="minorHAnsi"/>
          <w:color w:val="000000"/>
        </w:rPr>
        <w:t xml:space="preserve">. </w:t>
      </w:r>
      <w:r>
        <w:rPr>
          <w:rFonts w:asciiTheme="minorHAnsi" w:hAnsiTheme="minorHAnsi" w:cstheme="minorHAnsi"/>
          <w:color w:val="000000"/>
        </w:rPr>
        <w:t xml:space="preserve">As the LINAC patient volume continues to increase, having unimpeded access to radiation treatment will be important in meeting </w:t>
      </w:r>
      <w:r>
        <w:rPr>
          <w:rFonts w:asciiTheme="minorHAnsi" w:hAnsiTheme="minorHAnsi" w:cstheme="minorHAnsi"/>
          <w:color w:val="000000"/>
        </w:rPr>
        <w:lastRenderedPageBreak/>
        <w:t xml:space="preserve">the needs of the community. </w:t>
      </w:r>
      <w:r w:rsidRPr="00AB28A4">
        <w:rPr>
          <w:rFonts w:asciiTheme="minorHAnsi" w:hAnsiTheme="minorHAnsi" w:cstheme="minorHAnsi"/>
        </w:rPr>
        <w:t>Therefore, DoN Staff can conclude that the Proposed Project will likely meet the Public Health Outcomes component of Factor 2.</w:t>
      </w:r>
    </w:p>
    <w:p w14:paraId="7F6FBA55" w14:textId="77777777" w:rsidR="000931A6" w:rsidRPr="00013A00" w:rsidRDefault="000931A6" w:rsidP="000931A6">
      <w:pPr>
        <w:autoSpaceDE w:val="0"/>
        <w:autoSpaceDN w:val="0"/>
        <w:adjustRightInd w:val="0"/>
        <w:rPr>
          <w:rFonts w:asciiTheme="minorHAnsi" w:hAnsiTheme="minorHAnsi" w:cstheme="minorHAnsi"/>
          <w:color w:val="000000"/>
          <w:highlight w:val="yellow"/>
        </w:rPr>
      </w:pPr>
    </w:p>
    <w:p w14:paraId="7C4C4A48" w14:textId="77777777" w:rsidR="000931A6" w:rsidRPr="003F121A" w:rsidRDefault="000931A6" w:rsidP="000931A6">
      <w:pPr>
        <w:contextualSpacing/>
        <w:rPr>
          <w:rFonts w:asciiTheme="minorHAnsi" w:hAnsiTheme="minorHAnsi" w:cstheme="minorHAnsi"/>
          <w:b/>
          <w:bCs/>
        </w:rPr>
      </w:pPr>
      <w:r w:rsidRPr="003F121A">
        <w:rPr>
          <w:rFonts w:asciiTheme="minorHAnsi" w:hAnsiTheme="minorHAnsi" w:cstheme="minorHAnsi"/>
          <w:b/>
          <w:bCs/>
        </w:rPr>
        <w:t>Delivery System Transformation</w:t>
      </w:r>
      <w:bookmarkEnd w:id="52"/>
      <w:bookmarkEnd w:id="53"/>
      <w:bookmarkEnd w:id="54"/>
      <w:bookmarkEnd w:id="55"/>
      <w:bookmarkEnd w:id="56"/>
      <w:bookmarkEnd w:id="57"/>
      <w:r w:rsidRPr="003F121A">
        <w:rPr>
          <w:rFonts w:asciiTheme="minorHAnsi" w:hAnsiTheme="minorHAnsi" w:cstheme="minorHAnsi"/>
          <w:b/>
          <w:bCs/>
        </w:rPr>
        <w:t xml:space="preserve"> </w:t>
      </w:r>
    </w:p>
    <w:p w14:paraId="15CAB2A8" w14:textId="2EC655FC" w:rsidR="000931A6" w:rsidRPr="00F93ADB" w:rsidRDefault="000931A6" w:rsidP="000931A6">
      <w:pPr>
        <w:pStyle w:val="NormalWeb"/>
        <w:shd w:val="clear" w:color="auto" w:fill="FFFFFF"/>
        <w:jc w:val="both"/>
        <w:rPr>
          <w:rFonts w:ascii="Arial" w:hAnsi="Arial" w:cs="Arial"/>
          <w:sz w:val="20"/>
          <w:szCs w:val="20"/>
        </w:rPr>
      </w:pPr>
      <w:r w:rsidRPr="003F121A">
        <w:rPr>
          <w:rFonts w:asciiTheme="minorHAnsi" w:eastAsia="Times New Roman" w:hAnsiTheme="minorHAnsi" w:cstheme="minorHAnsi"/>
        </w:rPr>
        <w:t xml:space="preserve">BID-P conducts comprehensive admission screenings that address social determinants of health, including </w:t>
      </w:r>
      <w:r w:rsidRPr="00013243">
        <w:rPr>
          <w:rFonts w:asciiTheme="minorHAnsi" w:hAnsiTheme="minorHAnsi" w:cstheme="minorHAnsi"/>
        </w:rPr>
        <w:t xml:space="preserve">financial barriers to care, social support, housing and transportation issues, mental health problems, and other barriers to access. </w:t>
      </w:r>
      <w:r>
        <w:rPr>
          <w:rFonts w:asciiTheme="minorHAnsi" w:hAnsiTheme="minorHAnsi" w:cstheme="minorHAnsi"/>
        </w:rPr>
        <w:t xml:space="preserve">BID-P has ongoing screenings at the time of initial consultation, and again during the second week of treatment. </w:t>
      </w:r>
      <w:r w:rsidRPr="00013243">
        <w:rPr>
          <w:rFonts w:asciiTheme="minorHAnsi" w:hAnsiTheme="minorHAnsi" w:cstheme="minorHAnsi"/>
        </w:rPr>
        <w:t>Based on these assessments, appropriate interventions are arranged as needed. Social Work referrals may be made to connect patients with services, including financial counseling, mental health services in the community, ride assistance programs, wig share programs, and physical therapy programs for patients who qualify.</w:t>
      </w:r>
      <w:r w:rsidRPr="00411DB8">
        <w:rPr>
          <w:rFonts w:ascii="Arial" w:hAnsi="Arial" w:cs="Arial"/>
          <w:sz w:val="20"/>
          <w:szCs w:val="20"/>
        </w:rPr>
        <w:t xml:space="preserve"> </w:t>
      </w:r>
    </w:p>
    <w:p w14:paraId="1C348C4F" w14:textId="77777777" w:rsidR="000931A6" w:rsidRPr="00013A00" w:rsidRDefault="000931A6" w:rsidP="000931A6">
      <w:pPr>
        <w:rPr>
          <w:rFonts w:cstheme="minorHAnsi"/>
          <w:b/>
          <w:bCs/>
          <w:highlight w:val="yellow"/>
        </w:rPr>
      </w:pPr>
    </w:p>
    <w:p w14:paraId="26F76BCC" w14:textId="77777777" w:rsidR="000931A6" w:rsidRPr="00013243" w:rsidRDefault="000931A6" w:rsidP="000931A6">
      <w:pPr>
        <w:rPr>
          <w:rFonts w:asciiTheme="minorHAnsi" w:hAnsiTheme="minorHAnsi" w:cstheme="minorHAnsi"/>
          <w:b/>
          <w:bCs/>
        </w:rPr>
      </w:pPr>
      <w:r w:rsidRPr="00013243">
        <w:rPr>
          <w:rFonts w:asciiTheme="minorHAnsi" w:hAnsiTheme="minorHAnsi" w:cstheme="minorHAnsi"/>
          <w:b/>
          <w:i/>
          <w:iCs/>
        </w:rPr>
        <w:t xml:space="preserve">Analysis: </w:t>
      </w:r>
      <w:r w:rsidRPr="00013243">
        <w:rPr>
          <w:rFonts w:asciiTheme="minorHAnsi" w:hAnsiTheme="minorHAnsi" w:cstheme="minorHAnsi"/>
          <w:b/>
          <w:bCs/>
          <w:i/>
          <w:iCs/>
        </w:rPr>
        <w:t>Delivery System Transformation</w:t>
      </w:r>
    </w:p>
    <w:p w14:paraId="7CEF3451" w14:textId="77777777" w:rsidR="000931A6" w:rsidRPr="00013A00" w:rsidRDefault="000931A6" w:rsidP="000931A6">
      <w:pPr>
        <w:spacing w:line="259" w:lineRule="auto"/>
        <w:ind w:right="114"/>
        <w:rPr>
          <w:rFonts w:asciiTheme="minorHAnsi" w:hAnsiTheme="minorHAnsi" w:cstheme="minorHAnsi"/>
          <w:highlight w:val="yellow"/>
        </w:rPr>
      </w:pPr>
      <w:r w:rsidRPr="00013243">
        <w:rPr>
          <w:rFonts w:asciiTheme="minorHAnsi" w:hAnsiTheme="minorHAnsi" w:cstheme="minorHAnsi"/>
          <w:bCs/>
        </w:rPr>
        <w:t xml:space="preserve">Central to the goal of Delivery System Transformation is the integration of social services and community-based expertise. The Applicant screens patients on relevant SDoH factors and demonstrates a variety of methods for linking patients to needed community resources. </w:t>
      </w:r>
      <w:r w:rsidRPr="00013243">
        <w:rPr>
          <w:rFonts w:asciiTheme="minorHAnsi" w:hAnsiTheme="minorHAnsi" w:cstheme="minorHAnsi"/>
        </w:rPr>
        <w:t>Therefore, DoN Staff can conclude that the Proposed Project will likely meet the Delivery System Transformation component of Factor 2.</w:t>
      </w:r>
    </w:p>
    <w:p w14:paraId="7FB70501" w14:textId="77777777" w:rsidR="000931A6" w:rsidRPr="00013A00" w:rsidRDefault="000931A6" w:rsidP="000931A6">
      <w:pPr>
        <w:rPr>
          <w:rFonts w:asciiTheme="minorHAnsi" w:hAnsiTheme="minorHAnsi" w:cstheme="minorHAnsi"/>
          <w:highlight w:val="yellow"/>
        </w:rPr>
      </w:pPr>
    </w:p>
    <w:p w14:paraId="2B47E1B0" w14:textId="77777777" w:rsidR="000931A6" w:rsidRPr="00785AC1" w:rsidRDefault="000931A6" w:rsidP="000931A6">
      <w:pPr>
        <w:pStyle w:val="Heading1"/>
        <w:spacing w:before="0" w:line="240" w:lineRule="auto"/>
        <w:rPr>
          <w:rFonts w:asciiTheme="minorHAnsi" w:hAnsiTheme="minorHAnsi" w:cstheme="minorHAnsi"/>
          <w:i/>
          <w:iCs/>
          <w:sz w:val="24"/>
          <w:szCs w:val="24"/>
        </w:rPr>
      </w:pPr>
      <w:bookmarkStart w:id="58" w:name="_Toc125371248"/>
      <w:bookmarkStart w:id="59" w:name="_Toc155341750"/>
      <w:r w:rsidRPr="00785AC1">
        <w:rPr>
          <w:rFonts w:asciiTheme="minorHAnsi" w:hAnsiTheme="minorHAnsi" w:cstheme="minorHAnsi"/>
          <w:i/>
          <w:iCs/>
          <w:sz w:val="24"/>
          <w:szCs w:val="24"/>
        </w:rPr>
        <w:t>Summary, FACTOR 2</w:t>
      </w:r>
      <w:bookmarkEnd w:id="58"/>
      <w:bookmarkEnd w:id="59"/>
      <w:r w:rsidRPr="00785AC1">
        <w:rPr>
          <w:rFonts w:asciiTheme="minorHAnsi" w:hAnsiTheme="minorHAnsi" w:cstheme="minorHAnsi"/>
          <w:i/>
          <w:iCs/>
          <w:sz w:val="24"/>
          <w:szCs w:val="24"/>
        </w:rPr>
        <w:t xml:space="preserve"> </w:t>
      </w:r>
    </w:p>
    <w:p w14:paraId="7FA9ED2F" w14:textId="0EF08ECF" w:rsidR="000931A6" w:rsidRPr="00013243" w:rsidRDefault="000931A6" w:rsidP="000931A6">
      <w:pPr>
        <w:tabs>
          <w:tab w:val="left" w:pos="3240"/>
        </w:tabs>
        <w:rPr>
          <w:rFonts w:asciiTheme="minorHAnsi" w:hAnsiTheme="minorHAnsi" w:cstheme="minorHAnsi"/>
        </w:rPr>
      </w:pPr>
      <w:r w:rsidRPr="00013243">
        <w:rPr>
          <w:rFonts w:asciiTheme="minorHAnsi" w:hAnsiTheme="minorHAnsi" w:cstheme="minorHAnsi"/>
        </w:rPr>
        <w:t xml:space="preserve">As a result of </w:t>
      </w:r>
      <w:r w:rsidR="0052724E" w:rsidRPr="00013243">
        <w:rPr>
          <w:rFonts w:asciiTheme="minorHAnsi" w:hAnsiTheme="minorHAnsi" w:cstheme="minorHAnsi"/>
        </w:rPr>
        <w:t>the information</w:t>
      </w:r>
      <w:r w:rsidRPr="00013243">
        <w:rPr>
          <w:rFonts w:asciiTheme="minorHAnsi" w:hAnsiTheme="minorHAnsi" w:cstheme="minorHAnsi"/>
        </w:rPr>
        <w:t xml:space="preserve"> provided, staff finds that the Proposed Project has sufficiently met the requirements of Factor 2.</w:t>
      </w:r>
    </w:p>
    <w:p w14:paraId="31A3DB3E" w14:textId="77777777" w:rsidR="00D90513" w:rsidRPr="0076797D" w:rsidRDefault="00D90513" w:rsidP="00D90513">
      <w:pPr>
        <w:tabs>
          <w:tab w:val="left" w:pos="3240"/>
        </w:tabs>
        <w:ind w:left="232"/>
        <w:rPr>
          <w:rFonts w:asciiTheme="minorHAnsi" w:hAnsiTheme="minorHAnsi" w:cstheme="minorHAnsi"/>
          <w:highlight w:val="yellow"/>
        </w:rPr>
      </w:pPr>
    </w:p>
    <w:p w14:paraId="24122D67" w14:textId="77777777" w:rsidR="001C7134" w:rsidRPr="00913FAF" w:rsidRDefault="001C7134" w:rsidP="001C7134">
      <w:pPr>
        <w:pStyle w:val="Heading1"/>
        <w:spacing w:before="0" w:line="240" w:lineRule="auto"/>
        <w:contextualSpacing/>
        <w:rPr>
          <w:rFonts w:asciiTheme="minorHAnsi" w:hAnsiTheme="minorHAnsi" w:cstheme="minorHAnsi"/>
        </w:rPr>
      </w:pPr>
      <w:bookmarkStart w:id="60" w:name="_Toc99993061"/>
      <w:bookmarkStart w:id="61" w:name="_Toc155341751"/>
      <w:bookmarkEnd w:id="44"/>
      <w:r w:rsidRPr="00913FAF">
        <w:rPr>
          <w:rFonts w:asciiTheme="minorHAnsi" w:hAnsiTheme="minorHAnsi" w:cstheme="minorHAnsi"/>
        </w:rPr>
        <w:t>Factor 3: Relevant Licensure/Oversight Compliance</w:t>
      </w:r>
      <w:bookmarkEnd w:id="60"/>
      <w:bookmarkEnd w:id="61"/>
    </w:p>
    <w:p w14:paraId="08DC2602" w14:textId="77777777" w:rsidR="00D34B2C" w:rsidRPr="00913FAF" w:rsidRDefault="00D34B2C" w:rsidP="00D34B2C">
      <w:pPr>
        <w:contextualSpacing/>
        <w:rPr>
          <w:rFonts w:asciiTheme="minorHAnsi" w:hAnsiTheme="minorHAnsi" w:cstheme="minorHAnsi"/>
        </w:rPr>
      </w:pPr>
      <w:r w:rsidRPr="00913FAF">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380D0009" w14:textId="77777777" w:rsidR="009F6F3E" w:rsidRPr="0076797D" w:rsidRDefault="009F6F3E" w:rsidP="009F6F3E">
      <w:pPr>
        <w:rPr>
          <w:highlight w:val="yellow"/>
        </w:rPr>
      </w:pPr>
    </w:p>
    <w:p w14:paraId="129814CE" w14:textId="77777777" w:rsidR="00C07C5E" w:rsidRPr="00913FAF" w:rsidRDefault="00C07C5E" w:rsidP="00C07C5E">
      <w:pPr>
        <w:pStyle w:val="Heading1"/>
        <w:spacing w:before="0" w:line="240" w:lineRule="auto"/>
        <w:contextualSpacing/>
        <w:rPr>
          <w:rFonts w:asciiTheme="minorHAnsi" w:hAnsiTheme="minorHAnsi" w:cstheme="minorHAnsi"/>
        </w:rPr>
      </w:pPr>
      <w:bookmarkStart w:id="62" w:name="_Toc99993062"/>
      <w:bookmarkStart w:id="63" w:name="_Toc155341752"/>
      <w:bookmarkEnd w:id="45"/>
      <w:r w:rsidRPr="00913FAF">
        <w:rPr>
          <w:rFonts w:asciiTheme="minorHAnsi" w:hAnsiTheme="minorHAnsi" w:cstheme="minorHAnsi"/>
        </w:rPr>
        <w:t>Factor 4: Demonstration of Sufficient Funds as Supported by an Independent CPA Analysis</w:t>
      </w:r>
      <w:bookmarkEnd w:id="62"/>
      <w:bookmarkEnd w:id="63"/>
    </w:p>
    <w:p w14:paraId="52697A19" w14:textId="5F116080" w:rsidR="00472A9D" w:rsidRPr="0027543F" w:rsidRDefault="00472A9D" w:rsidP="00472A9D">
      <w:pPr>
        <w:rPr>
          <w:rFonts w:asciiTheme="minorHAnsi" w:hAnsiTheme="minorHAnsi" w:cstheme="minorHAnsi"/>
        </w:rPr>
      </w:pPr>
      <w:r w:rsidRPr="0027543F">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8B2018" w:rsidRPr="0027543F">
        <w:rPr>
          <w:rFonts w:asciiTheme="minorHAnsi" w:hAnsiTheme="minorHAnsi" w:cstheme="minorHAnsi"/>
        </w:rPr>
        <w:t>a finding</w:t>
      </w:r>
      <w:r w:rsidRPr="0027543F">
        <w:rPr>
          <w:rFonts w:asciiTheme="minorHAnsi" w:hAnsiTheme="minorHAnsi" w:cstheme="minorHAnsi"/>
        </w:rPr>
        <w:t xml:space="preserve"> must be supported by an analysis by an independent CPA.</w:t>
      </w:r>
    </w:p>
    <w:p w14:paraId="337DF39D" w14:textId="77777777" w:rsidR="00472A9D" w:rsidRPr="00432F96" w:rsidRDefault="00472A9D" w:rsidP="00472A9D">
      <w:pPr>
        <w:rPr>
          <w:rFonts w:asciiTheme="minorHAnsi" w:hAnsiTheme="minorHAnsi" w:cstheme="minorHAnsi"/>
          <w:highlight w:val="yellow"/>
        </w:rPr>
      </w:pPr>
    </w:p>
    <w:p w14:paraId="141E377E" w14:textId="669E514C" w:rsidR="00472A9D" w:rsidRPr="000F10D7" w:rsidRDefault="00472A9D" w:rsidP="00870D64">
      <w:pPr>
        <w:widowControl w:val="0"/>
        <w:rPr>
          <w:rFonts w:asciiTheme="minorHAnsi" w:hAnsiTheme="minorHAnsi" w:cstheme="minorHAnsi"/>
        </w:rPr>
      </w:pPr>
      <w:r w:rsidRPr="00C52D0F">
        <w:rPr>
          <w:rFonts w:asciiTheme="minorHAnsi" w:hAnsiTheme="minorHAnsi" w:cstheme="minorHAnsi"/>
        </w:rPr>
        <w:t xml:space="preserve">The Applicant submitted a CPA report compiled by Meyers Brother Kalicka. </w:t>
      </w:r>
      <w:r w:rsidRPr="000F10D7">
        <w:rPr>
          <w:rFonts w:asciiTheme="minorHAnsi" w:hAnsiTheme="minorHAnsi" w:cstheme="minorHAnsi"/>
        </w:rPr>
        <w:t>The CPA assessed the reasonableness</w:t>
      </w:r>
      <w:r w:rsidRPr="000F10D7">
        <w:rPr>
          <w:rStyle w:val="FootnoteReference"/>
          <w:rFonts w:asciiTheme="minorHAnsi" w:hAnsiTheme="minorHAnsi" w:cstheme="minorHAnsi"/>
        </w:rPr>
        <w:footnoteReference w:id="13"/>
      </w:r>
      <w:r w:rsidRPr="000F10D7">
        <w:rPr>
          <w:rFonts w:asciiTheme="minorHAnsi" w:hAnsiTheme="minorHAnsi" w:cstheme="minorHAnsi"/>
        </w:rPr>
        <w:t xml:space="preserve"> of assumptions used in the preparation and feasibility</w:t>
      </w:r>
      <w:r w:rsidRPr="000F10D7">
        <w:rPr>
          <w:rStyle w:val="FootnoteReference"/>
          <w:rFonts w:asciiTheme="minorHAnsi" w:hAnsiTheme="minorHAnsi" w:cstheme="minorHAnsi"/>
        </w:rPr>
        <w:footnoteReference w:id="14"/>
      </w:r>
      <w:r w:rsidRPr="000F10D7">
        <w:rPr>
          <w:rFonts w:asciiTheme="minorHAnsi" w:hAnsiTheme="minorHAnsi" w:cstheme="minorHAnsi"/>
        </w:rPr>
        <w:t xml:space="preserve"> of the projections with regards to the Proposed Project.</w:t>
      </w:r>
      <w:r w:rsidR="00E3071D">
        <w:rPr>
          <w:rFonts w:asciiTheme="minorHAnsi" w:hAnsiTheme="minorHAnsi" w:cstheme="minorHAnsi"/>
        </w:rPr>
        <w:t xml:space="preserve"> </w:t>
      </w:r>
      <w:r w:rsidR="00E3071D" w:rsidRPr="00A0730C">
        <w:rPr>
          <w:rFonts w:asciiTheme="minorHAnsi" w:hAnsiTheme="minorHAnsi" w:cstheme="minorHAnsi"/>
        </w:rPr>
        <w:t xml:space="preserve">The CPA concluded that </w:t>
      </w:r>
      <w:r w:rsidR="00A0730C">
        <w:rPr>
          <w:rFonts w:asciiTheme="minorHAnsi" w:hAnsiTheme="minorHAnsi" w:cstheme="minorHAnsi"/>
        </w:rPr>
        <w:t xml:space="preserve">projections were reasonable, and that </w:t>
      </w:r>
      <w:r w:rsidR="00A0730C" w:rsidRPr="00A0730C">
        <w:rPr>
          <w:rFonts w:asciiTheme="minorHAnsi" w:hAnsiTheme="minorHAnsi" w:cstheme="minorHAnsi"/>
        </w:rPr>
        <w:t xml:space="preserve">the Applicant has sufficient funds available for capital and operating costs necessary to support the </w:t>
      </w:r>
      <w:r w:rsidR="00A0730C" w:rsidRPr="00A0730C">
        <w:rPr>
          <w:rFonts w:asciiTheme="minorHAnsi" w:hAnsiTheme="minorHAnsi" w:cstheme="minorHAnsi"/>
        </w:rPr>
        <w:lastRenderedPageBreak/>
        <w:t>Proposed Project without negative effects or consequences to the existing patient panel.</w:t>
      </w:r>
    </w:p>
    <w:p w14:paraId="0EAF5DD1" w14:textId="77777777" w:rsidR="00472A9D" w:rsidRPr="00ED2DF9" w:rsidRDefault="00472A9D" w:rsidP="00472A9D">
      <w:pPr>
        <w:pStyle w:val="NormalWeb"/>
        <w:rPr>
          <w:rFonts w:asciiTheme="minorHAnsi" w:hAnsiTheme="minorHAnsi" w:cstheme="minorHAnsi"/>
          <w:b/>
          <w:bCs/>
        </w:rPr>
      </w:pPr>
    </w:p>
    <w:p w14:paraId="78AEDBD0" w14:textId="77777777" w:rsidR="00472A9D" w:rsidRPr="00ED2DF9" w:rsidRDefault="00472A9D" w:rsidP="00472A9D">
      <w:pPr>
        <w:pStyle w:val="NormalWeb"/>
        <w:rPr>
          <w:rFonts w:asciiTheme="minorHAnsi" w:hAnsiTheme="minorHAnsi" w:cstheme="minorHAnsi"/>
          <w:b/>
          <w:bCs/>
          <w:i/>
          <w:iCs/>
        </w:rPr>
      </w:pPr>
      <w:r w:rsidRPr="00ED2DF9">
        <w:rPr>
          <w:rFonts w:asciiTheme="minorHAnsi" w:hAnsiTheme="minorHAnsi" w:cstheme="minorHAnsi"/>
          <w:b/>
          <w:bCs/>
          <w:i/>
          <w:iCs/>
        </w:rPr>
        <w:t xml:space="preserve">Factor 4 Analysis </w:t>
      </w:r>
    </w:p>
    <w:p w14:paraId="67339FF0" w14:textId="77777777" w:rsidR="00472A9D" w:rsidRPr="00FC5C4A" w:rsidRDefault="00472A9D" w:rsidP="00472A9D">
      <w:pPr>
        <w:rPr>
          <w:rFonts w:asciiTheme="minorHAnsi" w:hAnsiTheme="minorHAnsi" w:cstheme="minorHAnsi"/>
        </w:rPr>
      </w:pPr>
      <w:r w:rsidRPr="00ED2DF9">
        <w:rPr>
          <w:rFonts w:asciiTheme="minorHAnsi" w:hAnsiTheme="minorHAnsi" w:cstheme="minorBidi"/>
        </w:rPr>
        <w:t xml:space="preserve">Staff is satisfied with the CPA’s analysis of the Proposed Project’s projections. </w:t>
      </w:r>
      <w:r w:rsidRPr="00ED2DF9">
        <w:rPr>
          <w:rFonts w:asciiTheme="minorHAnsi" w:hAnsiTheme="minorHAnsi" w:cstheme="minorHAnsi"/>
        </w:rPr>
        <w:t>As a result of information provided by the Applicant and additional analysis, staff finds that the Applicant has demonstrated that the Proposed Project has met Factor 4.</w:t>
      </w:r>
    </w:p>
    <w:p w14:paraId="19A9E522" w14:textId="77777777" w:rsidR="00203911" w:rsidRPr="0076797D" w:rsidRDefault="00203911" w:rsidP="007B50D6">
      <w:pPr>
        <w:rPr>
          <w:rFonts w:asciiTheme="minorHAnsi" w:hAnsiTheme="minorHAnsi" w:cstheme="minorHAnsi"/>
          <w:highlight w:val="yellow"/>
        </w:rPr>
      </w:pPr>
    </w:p>
    <w:p w14:paraId="0DFF44A4" w14:textId="77777777" w:rsidR="00C0720C" w:rsidRPr="00472A9D" w:rsidRDefault="00C0720C" w:rsidP="00C0720C">
      <w:pPr>
        <w:pStyle w:val="Heading1"/>
        <w:spacing w:before="0" w:line="240" w:lineRule="auto"/>
        <w:contextualSpacing/>
        <w:rPr>
          <w:rFonts w:asciiTheme="minorHAnsi" w:hAnsiTheme="minorHAnsi" w:cstheme="minorHAnsi"/>
        </w:rPr>
      </w:pPr>
      <w:bookmarkStart w:id="64" w:name="_Toc99993063"/>
      <w:bookmarkStart w:id="65" w:name="_Toc155341753"/>
      <w:bookmarkStart w:id="66" w:name="_Toc17151192"/>
      <w:bookmarkStart w:id="67" w:name="_Toc17322410"/>
      <w:r w:rsidRPr="00472A9D">
        <w:rPr>
          <w:rFonts w:asciiTheme="minorHAnsi" w:hAnsiTheme="minorHAnsi" w:cstheme="minorHAnsi"/>
        </w:rPr>
        <w:t>Factor 5: Assessment of the Proposed Project’s Relative Merit</w:t>
      </w:r>
      <w:bookmarkEnd w:id="64"/>
      <w:bookmarkEnd w:id="65"/>
    </w:p>
    <w:p w14:paraId="322E1375" w14:textId="77777777" w:rsidR="00DE332F" w:rsidRPr="003040FB" w:rsidRDefault="00DE332F" w:rsidP="00DE332F">
      <w:pPr>
        <w:rPr>
          <w:rFonts w:asciiTheme="minorHAnsi" w:hAnsiTheme="minorHAnsi" w:cstheme="minorHAnsi"/>
        </w:rPr>
      </w:pPr>
      <w:r w:rsidRPr="003040FB">
        <w:rPr>
          <w:rFonts w:asciiTheme="minorHAnsi" w:hAnsiTheme="minorHAnsi" w:cstheme="minorHAnsi"/>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2CAD4992" w14:textId="77777777" w:rsidR="00DE332F" w:rsidRPr="003040FB" w:rsidRDefault="00DE332F" w:rsidP="00DE332F">
      <w:pPr>
        <w:rPr>
          <w:rFonts w:asciiTheme="minorHAnsi" w:hAnsiTheme="minorHAnsi" w:cstheme="minorHAnsi"/>
        </w:rPr>
      </w:pPr>
    </w:p>
    <w:p w14:paraId="0EEC2642" w14:textId="77777777" w:rsidR="00DE332F" w:rsidRPr="003040FB" w:rsidRDefault="00DE332F" w:rsidP="00DE332F">
      <w:pPr>
        <w:rPr>
          <w:rFonts w:asciiTheme="minorHAnsi" w:hAnsiTheme="minorHAnsi" w:cstheme="minorHAnsi"/>
        </w:rPr>
      </w:pPr>
      <w:r w:rsidRPr="003040FB">
        <w:rPr>
          <w:rFonts w:asciiTheme="minorHAnsi" w:hAnsiTheme="minorHAnsi" w:cstheme="minorHAnsi"/>
        </w:rPr>
        <w:t xml:space="preserve">The Applicant considered and rejected </w:t>
      </w:r>
      <w:r>
        <w:rPr>
          <w:rFonts w:asciiTheme="minorHAnsi" w:hAnsiTheme="minorHAnsi" w:cstheme="minorHAnsi"/>
        </w:rPr>
        <w:t xml:space="preserve">two </w:t>
      </w:r>
      <w:r w:rsidRPr="003040FB">
        <w:rPr>
          <w:rFonts w:asciiTheme="minorHAnsi" w:hAnsiTheme="minorHAnsi" w:cstheme="minorHAnsi"/>
        </w:rPr>
        <w:t>alternative</w:t>
      </w:r>
      <w:r>
        <w:rPr>
          <w:rFonts w:asciiTheme="minorHAnsi" w:hAnsiTheme="minorHAnsi" w:cstheme="minorHAnsi"/>
        </w:rPr>
        <w:t>s</w:t>
      </w:r>
      <w:r w:rsidRPr="003040FB">
        <w:rPr>
          <w:rFonts w:asciiTheme="minorHAnsi" w:hAnsiTheme="minorHAnsi" w:cstheme="minorHAnsi"/>
        </w:rPr>
        <w:t xml:space="preserve"> to the Proposed Project.</w:t>
      </w:r>
    </w:p>
    <w:p w14:paraId="148458A4" w14:textId="77777777" w:rsidR="00DE332F" w:rsidRPr="00AB09C3" w:rsidRDefault="00DE332F" w:rsidP="00DE332F">
      <w:pPr>
        <w:autoSpaceDE w:val="0"/>
        <w:autoSpaceDN w:val="0"/>
        <w:adjustRightInd w:val="0"/>
        <w:rPr>
          <w:rFonts w:asciiTheme="minorHAnsi" w:hAnsiTheme="minorHAnsi" w:cstheme="minorHAnsi"/>
          <w:b/>
          <w:bCs/>
          <w:color w:val="000000"/>
        </w:rPr>
      </w:pPr>
    </w:p>
    <w:p w14:paraId="34495AEE" w14:textId="1116DD94" w:rsidR="00DE332F" w:rsidRDefault="00DE332F" w:rsidP="00DE332F">
      <w:pPr>
        <w:autoSpaceDE w:val="0"/>
        <w:autoSpaceDN w:val="0"/>
        <w:adjustRightInd w:val="0"/>
        <w:jc w:val="both"/>
        <w:rPr>
          <w:rFonts w:asciiTheme="minorHAnsi" w:hAnsiTheme="minorHAnsi" w:cstheme="minorBidi"/>
          <w:b/>
          <w:bCs/>
          <w:color w:val="000000"/>
        </w:rPr>
      </w:pPr>
      <w:r w:rsidRPr="00AB09C3">
        <w:rPr>
          <w:rFonts w:asciiTheme="minorHAnsi" w:hAnsiTheme="minorHAnsi" w:cstheme="minorBidi"/>
          <w:b/>
          <w:bCs/>
          <w:color w:val="000000"/>
        </w:rPr>
        <w:t>Alternative Option</w:t>
      </w:r>
      <w:r>
        <w:rPr>
          <w:rFonts w:asciiTheme="minorHAnsi" w:hAnsiTheme="minorHAnsi" w:cstheme="minorBidi"/>
          <w:b/>
          <w:bCs/>
          <w:color w:val="000000"/>
        </w:rPr>
        <w:t xml:space="preserve"> 1: </w:t>
      </w:r>
      <w:r w:rsidRPr="00620A19">
        <w:rPr>
          <w:rFonts w:asciiTheme="minorHAnsi" w:hAnsiTheme="minorHAnsi" w:cstheme="minorBidi"/>
          <w:b/>
          <w:bCs/>
          <w:color w:val="000000"/>
        </w:rPr>
        <w:t>Do not reactivate the second LINAC and continue to serve patients through the use of a single LINAC</w:t>
      </w:r>
      <w:r w:rsidR="0094359A">
        <w:rPr>
          <w:rFonts w:asciiTheme="minorHAnsi" w:hAnsiTheme="minorHAnsi" w:cstheme="minorBidi"/>
          <w:b/>
          <w:bCs/>
          <w:color w:val="000000"/>
        </w:rPr>
        <w:t>.</w:t>
      </w:r>
    </w:p>
    <w:p w14:paraId="7D321DA5" w14:textId="3C966BE5" w:rsidR="00DE332F" w:rsidRPr="000E2C04" w:rsidRDefault="00DE332F" w:rsidP="00DE332F">
      <w:pPr>
        <w:autoSpaceDE w:val="0"/>
        <w:autoSpaceDN w:val="0"/>
        <w:adjustRightInd w:val="0"/>
        <w:rPr>
          <w:rFonts w:asciiTheme="minorHAnsi" w:hAnsiTheme="minorHAnsi" w:cstheme="minorHAnsi"/>
          <w:kern w:val="2"/>
        </w:rPr>
      </w:pPr>
      <w:r w:rsidRPr="000E2C04">
        <w:rPr>
          <w:rFonts w:asciiTheme="minorHAnsi" w:hAnsiTheme="minorHAnsi" w:cstheme="minorHAnsi"/>
          <w:color w:val="000000"/>
        </w:rPr>
        <w:t xml:space="preserve">This option carries no capital expenses or additional operating costs. However, </w:t>
      </w:r>
      <w:r>
        <w:rPr>
          <w:rFonts w:asciiTheme="minorHAnsi" w:hAnsiTheme="minorHAnsi" w:cstheme="minorHAnsi"/>
          <w:kern w:val="2"/>
        </w:rPr>
        <w:t>this option</w:t>
      </w:r>
      <w:r w:rsidRPr="000E2C04">
        <w:rPr>
          <w:rFonts w:asciiTheme="minorHAnsi" w:hAnsiTheme="minorHAnsi" w:cstheme="minorHAnsi"/>
          <w:kern w:val="2"/>
        </w:rPr>
        <w:t xml:space="preserve"> does not address the need of BID-P’s patient</w:t>
      </w:r>
      <w:r>
        <w:rPr>
          <w:rFonts w:asciiTheme="minorHAnsi" w:hAnsiTheme="minorHAnsi" w:cstheme="minorHAnsi"/>
          <w:kern w:val="2"/>
        </w:rPr>
        <w:t xml:space="preserve">s </w:t>
      </w:r>
      <w:r w:rsidRPr="000E2C04">
        <w:rPr>
          <w:rFonts w:asciiTheme="minorHAnsi" w:hAnsiTheme="minorHAnsi" w:cstheme="minorHAnsi"/>
          <w:kern w:val="2"/>
        </w:rPr>
        <w:t xml:space="preserve">to have </w:t>
      </w:r>
      <w:r w:rsidR="0094359A">
        <w:rPr>
          <w:rFonts w:asciiTheme="minorHAnsi" w:hAnsiTheme="minorHAnsi" w:cstheme="minorHAnsi"/>
          <w:kern w:val="2"/>
        </w:rPr>
        <w:t xml:space="preserve">unimpeded </w:t>
      </w:r>
      <w:r w:rsidRPr="000E2C04">
        <w:rPr>
          <w:rFonts w:asciiTheme="minorHAnsi" w:hAnsiTheme="minorHAnsi" w:cstheme="minorHAnsi"/>
          <w:kern w:val="2"/>
        </w:rPr>
        <w:t xml:space="preserve">access to radiation therapy. This option would further limit scheduling options for patients, would limit the availability of machines for new SBRT </w:t>
      </w:r>
      <w:r w:rsidRPr="00493C9F">
        <w:rPr>
          <w:rFonts w:asciiTheme="minorHAnsi" w:hAnsiTheme="minorHAnsi" w:cstheme="minorHAnsi"/>
          <w:kern w:val="2"/>
        </w:rPr>
        <w:t xml:space="preserve">treatment, and would place strain on the already over-capacity LINAC that the Hospital is currently using. </w:t>
      </w:r>
      <w:r w:rsidR="00493C9F" w:rsidRPr="00493C9F">
        <w:rPr>
          <w:rFonts w:asciiTheme="minorHAnsi" w:hAnsiTheme="minorHAnsi" w:cstheme="minorHAnsi"/>
          <w:kern w:val="2"/>
        </w:rPr>
        <w:t>If the LINAC was down for an extended period of time (more than a week), the patient's care could be transferred to South Shore Hospital Radiation Oncology, Good Samaritan Medical Center in Brockton, Brockton Hospital, Cape Cod Hospital, or Beth Israel Deaconess Medical Center in Boston if the patient needed to stay within the BILH system. If this were to happen, patients would likely be triaged to determine who needed to resume treatment most urgently, as the complexity and time involved with in transferring care in the middle of a treatment course is prohibitive.</w:t>
      </w:r>
      <w:r w:rsidR="00493C9F" w:rsidRPr="00493C9F">
        <w:rPr>
          <w:rStyle w:val="cf01"/>
          <w:rFonts w:asciiTheme="minorHAnsi" w:hAnsiTheme="minorHAnsi" w:cstheme="minorHAnsi"/>
        </w:rPr>
        <w:t xml:space="preserve"> </w:t>
      </w:r>
      <w:r w:rsidRPr="00493C9F">
        <w:rPr>
          <w:rFonts w:asciiTheme="minorHAnsi" w:hAnsiTheme="minorHAnsi" w:cstheme="minorHAnsi"/>
          <w:kern w:val="2"/>
        </w:rPr>
        <w:t>The</w:t>
      </w:r>
      <w:r>
        <w:rPr>
          <w:rFonts w:asciiTheme="minorHAnsi" w:hAnsiTheme="minorHAnsi" w:cstheme="minorHAnsi"/>
          <w:kern w:val="2"/>
        </w:rPr>
        <w:t xml:space="preserve"> Applicant notes that d</w:t>
      </w:r>
      <w:r w:rsidRPr="000E2C04">
        <w:rPr>
          <w:rFonts w:asciiTheme="minorHAnsi" w:hAnsiTheme="minorHAnsi" w:cstheme="minorHAnsi"/>
          <w:kern w:val="2"/>
        </w:rPr>
        <w:t>elays in treatment can adversely impact patient outcomes, quality of life, and patient satisfaction.</w:t>
      </w:r>
    </w:p>
    <w:p w14:paraId="06A84432" w14:textId="77777777" w:rsidR="00DE332F" w:rsidRDefault="00DE332F" w:rsidP="00DE332F">
      <w:pPr>
        <w:autoSpaceDE w:val="0"/>
        <w:autoSpaceDN w:val="0"/>
        <w:adjustRightInd w:val="0"/>
        <w:jc w:val="both"/>
        <w:rPr>
          <w:rFonts w:asciiTheme="minorHAnsi" w:hAnsiTheme="minorHAnsi" w:cstheme="minorBidi"/>
          <w:kern w:val="2"/>
        </w:rPr>
      </w:pPr>
    </w:p>
    <w:p w14:paraId="004CF262" w14:textId="039E03B9" w:rsidR="00DE332F" w:rsidRDefault="00DE332F" w:rsidP="00DE332F">
      <w:pPr>
        <w:autoSpaceDE w:val="0"/>
        <w:autoSpaceDN w:val="0"/>
        <w:adjustRightInd w:val="0"/>
        <w:jc w:val="both"/>
        <w:rPr>
          <w:rFonts w:asciiTheme="minorHAnsi" w:hAnsiTheme="minorHAnsi" w:cstheme="minorBidi"/>
          <w:b/>
          <w:bCs/>
          <w:color w:val="000000"/>
        </w:rPr>
      </w:pPr>
      <w:r w:rsidRPr="00AB09C3">
        <w:rPr>
          <w:rFonts w:asciiTheme="minorHAnsi" w:hAnsiTheme="minorHAnsi" w:cstheme="minorBidi"/>
          <w:b/>
          <w:bCs/>
          <w:color w:val="000000"/>
        </w:rPr>
        <w:t>Alternative Option</w:t>
      </w:r>
      <w:r>
        <w:rPr>
          <w:rFonts w:asciiTheme="minorHAnsi" w:hAnsiTheme="minorHAnsi" w:cstheme="minorBidi"/>
          <w:b/>
          <w:bCs/>
          <w:color w:val="000000"/>
        </w:rPr>
        <w:t xml:space="preserve"> 2: </w:t>
      </w:r>
      <w:r w:rsidRPr="005B2C62">
        <w:rPr>
          <w:rFonts w:asciiTheme="minorHAnsi" w:hAnsiTheme="minorHAnsi" w:cstheme="minorBidi"/>
          <w:b/>
          <w:bCs/>
          <w:color w:val="000000"/>
        </w:rPr>
        <w:t xml:space="preserve">Purchase an entirely new LINAC, rather than re-activating the existing </w:t>
      </w:r>
      <w:r w:rsidR="00B6304C" w:rsidRPr="005B2C62">
        <w:rPr>
          <w:rFonts w:asciiTheme="minorHAnsi" w:hAnsiTheme="minorHAnsi" w:cstheme="minorBidi"/>
          <w:b/>
          <w:bCs/>
          <w:color w:val="000000"/>
        </w:rPr>
        <w:t>LINAC.</w:t>
      </w:r>
    </w:p>
    <w:p w14:paraId="22FB4044" w14:textId="77777777" w:rsidR="00DE332F" w:rsidRPr="006819BD" w:rsidRDefault="00DE332F" w:rsidP="00DE332F">
      <w:pPr>
        <w:autoSpaceDE w:val="0"/>
        <w:autoSpaceDN w:val="0"/>
        <w:adjustRightInd w:val="0"/>
        <w:rPr>
          <w:rFonts w:asciiTheme="minorHAnsi" w:hAnsiTheme="minorHAnsi" w:cstheme="minorHAnsi"/>
          <w:kern w:val="2"/>
        </w:rPr>
      </w:pPr>
      <w:r w:rsidRPr="006819BD">
        <w:rPr>
          <w:rFonts w:asciiTheme="minorHAnsi" w:hAnsiTheme="minorHAnsi" w:cstheme="minorHAnsi"/>
          <w:color w:val="000000"/>
        </w:rPr>
        <w:t>This option has a capital expense of</w:t>
      </w:r>
      <w:r w:rsidRPr="006819BD">
        <w:rPr>
          <w:rFonts w:asciiTheme="minorHAnsi" w:hAnsiTheme="minorHAnsi" w:cstheme="minorHAnsi"/>
          <w:bCs/>
          <w:kern w:val="2"/>
        </w:rPr>
        <w:t>$2,839,397</w:t>
      </w:r>
      <w:r w:rsidRPr="006819BD">
        <w:rPr>
          <w:rFonts w:asciiTheme="minorHAnsi" w:hAnsiTheme="minorHAnsi" w:cstheme="minorHAnsi"/>
          <w:color w:val="000000"/>
        </w:rPr>
        <w:t xml:space="preserve"> </w:t>
      </w:r>
      <w:r>
        <w:rPr>
          <w:rFonts w:asciiTheme="minorHAnsi" w:hAnsiTheme="minorHAnsi" w:cstheme="minorHAnsi"/>
          <w:color w:val="000000"/>
        </w:rPr>
        <w:t xml:space="preserve">and </w:t>
      </w:r>
      <w:r w:rsidRPr="006819BD">
        <w:rPr>
          <w:rFonts w:asciiTheme="minorHAnsi" w:hAnsiTheme="minorHAnsi" w:cstheme="minorHAnsi"/>
          <w:color w:val="000000"/>
        </w:rPr>
        <w:t xml:space="preserve">an operating cost that would equal the Proposed Project. </w:t>
      </w:r>
      <w:r w:rsidRPr="006819BD">
        <w:rPr>
          <w:rFonts w:asciiTheme="minorHAnsi" w:hAnsiTheme="minorHAnsi" w:cstheme="minorHAnsi"/>
          <w:kern w:val="2"/>
        </w:rPr>
        <w:t xml:space="preserve">This alternative would achieve the same overall quality outcomes as re-activating the existing LINAC. However, </w:t>
      </w:r>
      <w:r>
        <w:rPr>
          <w:rFonts w:asciiTheme="minorHAnsi" w:hAnsiTheme="minorHAnsi" w:cstheme="minorHAnsi"/>
          <w:kern w:val="2"/>
        </w:rPr>
        <w:t>p</w:t>
      </w:r>
      <w:r w:rsidRPr="006819BD">
        <w:rPr>
          <w:rFonts w:asciiTheme="minorHAnsi" w:hAnsiTheme="minorHAnsi" w:cstheme="minorHAnsi"/>
          <w:kern w:val="2"/>
        </w:rPr>
        <w:t>urchasing a new LINAC is a costly alternative to using the existing machine</w:t>
      </w:r>
      <w:r>
        <w:rPr>
          <w:rFonts w:asciiTheme="minorHAnsi" w:hAnsiTheme="minorHAnsi" w:cstheme="minorHAnsi"/>
          <w:kern w:val="2"/>
        </w:rPr>
        <w:t xml:space="preserve"> and </w:t>
      </w:r>
      <w:r w:rsidRPr="006819BD">
        <w:rPr>
          <w:rFonts w:asciiTheme="minorHAnsi" w:hAnsiTheme="minorHAnsi" w:cstheme="minorHAnsi"/>
          <w:kern w:val="2"/>
        </w:rPr>
        <w:t>there w</w:t>
      </w:r>
      <w:r>
        <w:rPr>
          <w:rFonts w:asciiTheme="minorHAnsi" w:hAnsiTheme="minorHAnsi" w:cstheme="minorHAnsi"/>
          <w:kern w:val="2"/>
        </w:rPr>
        <w:t>ould</w:t>
      </w:r>
      <w:r w:rsidRPr="006819BD">
        <w:rPr>
          <w:rFonts w:asciiTheme="minorHAnsi" w:hAnsiTheme="minorHAnsi" w:cstheme="minorHAnsi"/>
          <w:kern w:val="2"/>
        </w:rPr>
        <w:t xml:space="preserve"> be delays in implementing the proposal, as the old machine would need to be removed and the new machine would need to be purchased and installed.</w:t>
      </w:r>
    </w:p>
    <w:p w14:paraId="1BDD400E" w14:textId="77777777" w:rsidR="00DE332F" w:rsidRPr="00AB09C3" w:rsidRDefault="00DE332F" w:rsidP="00DE332F">
      <w:pPr>
        <w:rPr>
          <w:rFonts w:asciiTheme="minorHAnsi" w:hAnsiTheme="minorHAnsi" w:cstheme="minorHAnsi"/>
          <w:b/>
          <w:bCs/>
          <w:i/>
          <w:iCs/>
        </w:rPr>
      </w:pPr>
    </w:p>
    <w:p w14:paraId="11EF28AA" w14:textId="77777777" w:rsidR="00DE332F" w:rsidRPr="00AB09C3" w:rsidRDefault="00DE332F" w:rsidP="00DE332F">
      <w:pPr>
        <w:rPr>
          <w:rFonts w:asciiTheme="minorHAnsi" w:hAnsiTheme="minorHAnsi" w:cstheme="minorHAnsi"/>
          <w:b/>
          <w:bCs/>
          <w:i/>
          <w:iCs/>
        </w:rPr>
      </w:pPr>
      <w:r w:rsidRPr="00AB09C3">
        <w:rPr>
          <w:rFonts w:asciiTheme="minorHAnsi" w:hAnsiTheme="minorHAnsi" w:cstheme="minorHAnsi"/>
          <w:b/>
          <w:bCs/>
          <w:i/>
          <w:iCs/>
        </w:rPr>
        <w:t>Analysis</w:t>
      </w:r>
    </w:p>
    <w:p w14:paraId="1EF7B17D" w14:textId="77777777" w:rsidR="00DE332F" w:rsidRPr="00AB09C3" w:rsidRDefault="00DE332F" w:rsidP="00DE332F">
      <w:pPr>
        <w:rPr>
          <w:rFonts w:asciiTheme="minorHAnsi" w:hAnsiTheme="minorHAnsi" w:cstheme="minorHAnsi"/>
        </w:rPr>
      </w:pPr>
      <w:r w:rsidRPr="00AB09C3">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1F60D6F0" w14:textId="77777777" w:rsidR="00DE332F" w:rsidRPr="000179BE" w:rsidRDefault="00DE332F" w:rsidP="00DE332F">
      <w:pPr>
        <w:rPr>
          <w:highlight w:val="yellow"/>
        </w:rPr>
      </w:pPr>
    </w:p>
    <w:p w14:paraId="4F6BF068" w14:textId="77777777" w:rsidR="00D931A6" w:rsidRPr="0076797D" w:rsidRDefault="00D931A6" w:rsidP="00EC5D62">
      <w:pPr>
        <w:rPr>
          <w:highlight w:val="yellow"/>
        </w:rPr>
      </w:pPr>
    </w:p>
    <w:p w14:paraId="4880F0EE" w14:textId="5C5133A2" w:rsidR="000C03E8" w:rsidRPr="00DE332F" w:rsidRDefault="002D535F" w:rsidP="009F6F3E">
      <w:pPr>
        <w:pStyle w:val="Heading1"/>
        <w:spacing w:before="0" w:line="240" w:lineRule="auto"/>
        <w:rPr>
          <w:rFonts w:asciiTheme="minorHAnsi" w:eastAsia="Times New Roman" w:hAnsiTheme="minorHAnsi" w:cstheme="minorHAnsi"/>
        </w:rPr>
      </w:pPr>
      <w:bookmarkStart w:id="68" w:name="_Toc155341754"/>
      <w:r w:rsidRPr="00DE332F">
        <w:rPr>
          <w:rFonts w:asciiTheme="minorHAnsi" w:eastAsia="Times New Roman" w:hAnsiTheme="minorHAnsi" w:cstheme="minorHAnsi"/>
        </w:rPr>
        <w:t>Factor 6: Fulfillment of DPH Community-based Health Initiatives Guideline</w:t>
      </w:r>
      <w:bookmarkEnd w:id="68"/>
    </w:p>
    <w:p w14:paraId="0E701020" w14:textId="38452E54" w:rsidR="001811C7" w:rsidRDefault="001811C7" w:rsidP="001811C7">
      <w:pPr>
        <w:ind w:right="540"/>
        <w:rPr>
          <w:rStyle w:val="normaltextrun"/>
          <w:rFonts w:ascii="Calibri" w:eastAsia="Calibri" w:hAnsi="Calibri" w:cs="Calibri"/>
          <w:color w:val="000000" w:themeColor="text1"/>
        </w:rPr>
      </w:pPr>
      <w:bookmarkStart w:id="69" w:name="_Toc117581170"/>
      <w:bookmarkEnd w:id="66"/>
      <w:bookmarkEnd w:id="67"/>
      <w:r w:rsidRPr="003CA39B">
        <w:rPr>
          <w:rStyle w:val="normaltextrun"/>
          <w:rFonts w:ascii="Calibri" w:eastAsia="Calibri" w:hAnsi="Calibri" w:cs="Calibri"/>
          <w:b/>
          <w:bCs/>
          <w:i/>
          <w:iCs/>
          <w:color w:val="000000" w:themeColor="text1"/>
        </w:rPr>
        <w:t>Summary and relevant background and context for this application:</w:t>
      </w:r>
      <w:r w:rsidRPr="003CA39B">
        <w:rPr>
          <w:rStyle w:val="normaltextrun"/>
          <w:rFonts w:ascii="Calibri" w:eastAsia="Calibri" w:hAnsi="Calibri" w:cs="Calibri"/>
          <w:color w:val="000000" w:themeColor="text1"/>
        </w:rPr>
        <w:t xml:space="preserve"> This project </w:t>
      </w:r>
      <w:r w:rsidR="00B6304C" w:rsidRPr="003CA39B">
        <w:rPr>
          <w:rStyle w:val="normaltextrun"/>
          <w:rFonts w:ascii="Calibri" w:eastAsia="Calibri" w:hAnsi="Calibri" w:cs="Calibri"/>
          <w:color w:val="000000" w:themeColor="text1"/>
        </w:rPr>
        <w:t>constitutes</w:t>
      </w:r>
      <w:r w:rsidRPr="003CA39B">
        <w:rPr>
          <w:rStyle w:val="normaltextrun"/>
          <w:rFonts w:ascii="Calibri" w:eastAsia="Calibri" w:hAnsi="Calibri" w:cs="Calibri"/>
          <w:color w:val="000000" w:themeColor="text1"/>
        </w:rPr>
        <w:t xml:space="preserve"> DoN-Required Equipment obtained by a hospital. Standard practice is to contribute the CHI </w:t>
      </w:r>
      <w:r w:rsidRPr="003CA39B">
        <w:rPr>
          <w:rStyle w:val="normaltextrun"/>
          <w:rFonts w:ascii="Calibri" w:eastAsia="Calibri" w:hAnsi="Calibri" w:cs="Calibri"/>
          <w:color w:val="000000" w:themeColor="text1"/>
        </w:rPr>
        <w:lastRenderedPageBreak/>
        <w:t xml:space="preserve">dollars to a local CHI project and the Statewide Community Health and Healthy Aging Funds (CHHAF). Given the size of the CHI contribution ($1,725), DPH and the Applicant have agreed that the BID-Plymouth will contribute CHI dollars solely </w:t>
      </w:r>
      <w:r w:rsidR="008B2018">
        <w:rPr>
          <w:rStyle w:val="normaltextrun"/>
          <w:rFonts w:ascii="Calibri" w:eastAsia="Calibri" w:hAnsi="Calibri" w:cs="Calibri"/>
          <w:color w:val="000000" w:themeColor="text1"/>
        </w:rPr>
        <w:t xml:space="preserve">to </w:t>
      </w:r>
      <w:r w:rsidRPr="003CA39B">
        <w:rPr>
          <w:rStyle w:val="normaltextrun"/>
          <w:rFonts w:ascii="Calibri" w:eastAsia="Calibri" w:hAnsi="Calibri" w:cs="Calibri"/>
          <w:color w:val="000000" w:themeColor="text1"/>
        </w:rPr>
        <w:t xml:space="preserve">the Statewide CHHAF. </w:t>
      </w:r>
    </w:p>
    <w:p w14:paraId="3DD879C2" w14:textId="6AA58F89" w:rsidR="00FB441B" w:rsidRPr="001811C7" w:rsidRDefault="001C14F7" w:rsidP="00772FB1">
      <w:pPr>
        <w:pStyle w:val="Heading1"/>
        <w:rPr>
          <w:rFonts w:asciiTheme="minorHAnsi" w:hAnsiTheme="minorHAnsi" w:cstheme="minorHAnsi"/>
        </w:rPr>
      </w:pPr>
      <w:bookmarkStart w:id="70" w:name="_Toc155341755"/>
      <w:r w:rsidRPr="001811C7">
        <w:rPr>
          <w:rFonts w:asciiTheme="minorHAnsi" w:hAnsiTheme="minorHAnsi" w:cstheme="minorHAnsi"/>
        </w:rPr>
        <w:t>Findings and Recommendations</w:t>
      </w:r>
      <w:bookmarkEnd w:id="69"/>
      <w:bookmarkEnd w:id="70"/>
    </w:p>
    <w:p w14:paraId="3C5C17A4" w14:textId="77777777" w:rsidR="00FB441B" w:rsidRPr="001811C7" w:rsidRDefault="00FB441B" w:rsidP="00FB441B">
      <w:pPr>
        <w:rPr>
          <w:rFonts w:asciiTheme="minorHAnsi" w:hAnsiTheme="minorHAnsi" w:cstheme="minorBidi"/>
        </w:rPr>
      </w:pPr>
      <w:bookmarkStart w:id="71" w:name="_Toc116651394"/>
      <w:r w:rsidRPr="001811C7">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71"/>
    </w:p>
    <w:p w14:paraId="101D25A1" w14:textId="4939438A" w:rsidR="00A80056" w:rsidRPr="0076797D" w:rsidRDefault="00A80056" w:rsidP="00A80056">
      <w:pPr>
        <w:rPr>
          <w:highlight w:val="yellow"/>
        </w:rPr>
      </w:pPr>
    </w:p>
    <w:p w14:paraId="1EFDB79C" w14:textId="77777777" w:rsidR="008F2C3A" w:rsidRPr="0076797D" w:rsidRDefault="008F2C3A" w:rsidP="00AD2668">
      <w:pPr>
        <w:spacing w:line="257" w:lineRule="auto"/>
        <w:rPr>
          <w:rFonts w:asciiTheme="minorHAnsi" w:eastAsia="Calibri" w:hAnsiTheme="minorHAnsi" w:cstheme="minorHAnsi"/>
          <w:color w:val="44546A"/>
          <w:highlight w:val="yellow"/>
        </w:rPr>
      </w:pPr>
    </w:p>
    <w:p w14:paraId="4C50F786" w14:textId="18188073" w:rsidR="004751DD" w:rsidRPr="00BF35DC" w:rsidRDefault="00D461F9" w:rsidP="00BF35DC">
      <w:pPr>
        <w:pStyle w:val="Heading1"/>
        <w:spacing w:before="0" w:line="240" w:lineRule="auto"/>
        <w:rPr>
          <w:rFonts w:asciiTheme="minorHAnsi" w:eastAsia="Times New Roman" w:hAnsiTheme="minorHAnsi" w:cstheme="minorHAnsi"/>
        </w:rPr>
      </w:pPr>
      <w:bookmarkStart w:id="72" w:name="_Toc155341756"/>
      <w:r w:rsidRPr="001811C7">
        <w:rPr>
          <w:rFonts w:asciiTheme="minorHAnsi" w:eastAsia="Times New Roman" w:hAnsiTheme="minorHAnsi" w:cstheme="minorHAnsi"/>
        </w:rPr>
        <w:t xml:space="preserve">Other </w:t>
      </w:r>
      <w:r w:rsidR="00A7428F" w:rsidRPr="001811C7">
        <w:rPr>
          <w:rFonts w:asciiTheme="minorHAnsi" w:eastAsia="Times New Roman" w:hAnsiTheme="minorHAnsi" w:cstheme="minorHAnsi"/>
        </w:rPr>
        <w:t>Conditions</w:t>
      </w:r>
      <w:bookmarkEnd w:id="72"/>
    </w:p>
    <w:p w14:paraId="306D6B4A" w14:textId="7F33A12B" w:rsidR="00654AA8" w:rsidRPr="00FC1894" w:rsidRDefault="00335C3A" w:rsidP="00654FE0">
      <w:pPr>
        <w:ind w:left="270"/>
        <w:rPr>
          <w:rStyle w:val="eop"/>
          <w:rFonts w:ascii="Calibri" w:hAnsi="Calibri" w:cs="Calibri"/>
          <w:color w:val="000000"/>
          <w:shd w:val="clear" w:color="auto" w:fill="FFFFFF"/>
        </w:rPr>
      </w:pPr>
      <w:bookmarkStart w:id="73" w:name="_Toc118903980"/>
      <w:r w:rsidRPr="00FC1894">
        <w:rPr>
          <w:rStyle w:val="normaltextrun"/>
          <w:rFonts w:ascii="Calibri" w:hAnsi="Calibri" w:cs="Calibri"/>
          <w:color w:val="000000"/>
          <w:shd w:val="clear" w:color="auto" w:fill="FFFFFF"/>
        </w:rPr>
        <w:t xml:space="preserve">1. </w:t>
      </w:r>
      <w:r w:rsidR="007B7EEC" w:rsidRPr="00FC1894">
        <w:rPr>
          <w:rStyle w:val="normaltextrun"/>
          <w:rFonts w:ascii="Calibri" w:hAnsi="Calibri" w:cs="Calibri"/>
          <w:color w:val="000000"/>
          <w:shd w:val="clear" w:color="auto" w:fill="FFFFFF"/>
        </w:rPr>
        <w:t xml:space="preserve"> </w:t>
      </w:r>
      <w:r w:rsidR="00893646" w:rsidRPr="00FC1894">
        <w:rPr>
          <w:rStyle w:val="normaltextrun"/>
          <w:rFonts w:ascii="Calibri" w:hAnsi="Calibri" w:cs="Calibri"/>
          <w:color w:val="000000"/>
          <w:shd w:val="clear" w:color="auto" w:fill="FFFFFF"/>
        </w:rPr>
        <w:t>Payment should be made out to the Massachusetts Community Health and Healthy Aging Funds in the full amount of $1,725, and should be submitted within 30 days from the date of Notice of Approval to: </w:t>
      </w:r>
      <w:r w:rsidR="00893646" w:rsidRPr="00FC1894">
        <w:rPr>
          <w:rStyle w:val="eop"/>
          <w:rFonts w:ascii="Calibri" w:hAnsi="Calibri" w:cs="Calibri"/>
          <w:color w:val="000000"/>
          <w:shd w:val="clear" w:color="auto" w:fill="FFFFFF"/>
        </w:rPr>
        <w:t> </w:t>
      </w:r>
    </w:p>
    <w:p w14:paraId="5922A5F3" w14:textId="77777777" w:rsidR="00335C3A" w:rsidRPr="00BF35DC" w:rsidRDefault="00335C3A" w:rsidP="00654AA8">
      <w:pPr>
        <w:rPr>
          <w:rFonts w:ascii="Calibri" w:eastAsia="Calibri" w:hAnsi="Calibri" w:cs="Calibri"/>
          <w:color w:val="000000" w:themeColor="text1"/>
        </w:rPr>
      </w:pPr>
    </w:p>
    <w:p w14:paraId="1FBC87E9" w14:textId="77777777" w:rsidR="00654AA8" w:rsidRPr="00BF35DC" w:rsidRDefault="00654AA8" w:rsidP="00654AA8">
      <w:pPr>
        <w:ind w:left="1440" w:right="540"/>
        <w:rPr>
          <w:rFonts w:ascii="Calibri" w:eastAsia="Calibri" w:hAnsi="Calibri" w:cs="Calibri"/>
          <w:color w:val="000000" w:themeColor="text1"/>
        </w:rPr>
      </w:pPr>
      <w:r w:rsidRPr="00BF35DC">
        <w:rPr>
          <w:rStyle w:val="normaltextrun"/>
          <w:rFonts w:ascii="Calibri" w:eastAsia="Calibri" w:hAnsi="Calibri" w:cs="Calibri"/>
          <w:color w:val="000000" w:themeColor="text1"/>
        </w:rPr>
        <w:t>Health Resources in Action, Inc., (HRiA)   </w:t>
      </w:r>
    </w:p>
    <w:p w14:paraId="1EB6CBBD" w14:textId="77777777" w:rsidR="00654AA8" w:rsidRPr="00BF35DC" w:rsidRDefault="00654AA8" w:rsidP="00654AA8">
      <w:pPr>
        <w:ind w:left="1440" w:right="540"/>
        <w:rPr>
          <w:rFonts w:ascii="Calibri" w:eastAsia="Calibri" w:hAnsi="Calibri" w:cs="Calibri"/>
          <w:color w:val="000000" w:themeColor="text1"/>
        </w:rPr>
      </w:pPr>
      <w:r w:rsidRPr="00BF35DC">
        <w:rPr>
          <w:rStyle w:val="normaltextrun"/>
          <w:rFonts w:ascii="Calibri" w:eastAsia="Calibri" w:hAnsi="Calibri" w:cs="Calibri"/>
          <w:color w:val="000000" w:themeColor="text1"/>
        </w:rPr>
        <w:t>2 Boylston Street, 4th Floor   </w:t>
      </w:r>
    </w:p>
    <w:p w14:paraId="65B2E02F" w14:textId="77777777" w:rsidR="00654AA8" w:rsidRPr="00BF35DC" w:rsidRDefault="00654AA8" w:rsidP="00654AA8">
      <w:pPr>
        <w:ind w:left="1440" w:right="540"/>
        <w:rPr>
          <w:rFonts w:ascii="Calibri" w:eastAsia="Calibri" w:hAnsi="Calibri" w:cs="Calibri"/>
          <w:color w:val="000000" w:themeColor="text1"/>
        </w:rPr>
      </w:pPr>
      <w:r w:rsidRPr="00BF35DC">
        <w:rPr>
          <w:rStyle w:val="normaltextrun"/>
          <w:rFonts w:ascii="Calibri" w:eastAsia="Calibri" w:hAnsi="Calibri" w:cs="Calibri"/>
          <w:color w:val="000000" w:themeColor="text1"/>
        </w:rPr>
        <w:t>Boston, MA 02116   </w:t>
      </w:r>
    </w:p>
    <w:p w14:paraId="1A4F52B4" w14:textId="6721524A" w:rsidR="00654AA8" w:rsidRDefault="00654AA8" w:rsidP="00654AA8">
      <w:pPr>
        <w:ind w:left="1440" w:right="540"/>
        <w:rPr>
          <w:rStyle w:val="normaltextrun"/>
          <w:rFonts w:ascii="Calibri" w:hAnsi="Calibri" w:cs="Calibri"/>
          <w:color w:val="000000"/>
          <w:sz w:val="22"/>
          <w:szCs w:val="22"/>
          <w:shd w:val="clear" w:color="auto" w:fill="FFFFFF"/>
        </w:rPr>
      </w:pPr>
      <w:r w:rsidRPr="00BF35DC">
        <w:rPr>
          <w:rStyle w:val="normaltextrun"/>
          <w:rFonts w:ascii="Calibri" w:eastAsia="Calibri" w:hAnsi="Calibri" w:cs="Calibri"/>
          <w:color w:val="000000" w:themeColor="text1"/>
        </w:rPr>
        <w:t xml:space="preserve">Attn: </w:t>
      </w:r>
      <w:r w:rsidR="007B7EEC">
        <w:rPr>
          <w:rStyle w:val="normaltextrun"/>
          <w:rFonts w:ascii="Calibri" w:hAnsi="Calibri" w:cs="Calibri"/>
          <w:color w:val="000000"/>
          <w:sz w:val="22"/>
          <w:szCs w:val="22"/>
          <w:shd w:val="clear" w:color="auto" w:fill="FFFFFF"/>
        </w:rPr>
        <w:t>MACHHAF c/o Ms. Bora Toro </w:t>
      </w:r>
    </w:p>
    <w:p w14:paraId="06C1B6DD" w14:textId="5E60CD54" w:rsidR="007B7EEC" w:rsidRDefault="007B7EEC" w:rsidP="00654AA8">
      <w:pPr>
        <w:ind w:left="1440" w:right="540"/>
        <w:rPr>
          <w:rFonts w:asciiTheme="minorHAnsi" w:hAnsiTheme="minorHAnsi" w:cstheme="minorHAnsi"/>
          <w:bCs/>
          <w:spacing w:val="-2"/>
        </w:rPr>
      </w:pPr>
      <w:r>
        <w:rPr>
          <w:rStyle w:val="normaltextrun"/>
          <w:rFonts w:ascii="Calibri" w:hAnsi="Calibri" w:cs="Calibri"/>
          <w:color w:val="000000"/>
          <w:sz w:val="22"/>
          <w:szCs w:val="22"/>
          <w:shd w:val="clear" w:color="auto" w:fill="FFFFFF"/>
        </w:rPr>
        <w:t xml:space="preserve">DoN project #: </w:t>
      </w:r>
      <w:r w:rsidRPr="00415044">
        <w:rPr>
          <w:rFonts w:asciiTheme="minorHAnsi" w:hAnsiTheme="minorHAnsi" w:cstheme="minorHAnsi"/>
          <w:bCs/>
          <w:spacing w:val="-2"/>
        </w:rPr>
        <w:t>#</w:t>
      </w:r>
      <w:r w:rsidRPr="005C4E0E">
        <w:rPr>
          <w:rFonts w:asciiTheme="minorHAnsi" w:hAnsiTheme="minorHAnsi" w:cstheme="minorHAnsi"/>
          <w:bCs/>
          <w:spacing w:val="-2"/>
        </w:rPr>
        <w:t>BILH-23082513-RE</w:t>
      </w:r>
    </w:p>
    <w:p w14:paraId="241DC348" w14:textId="77777777" w:rsidR="00654FE0" w:rsidRDefault="00654FE0" w:rsidP="00654AA8">
      <w:pPr>
        <w:ind w:left="1440" w:right="540"/>
        <w:rPr>
          <w:rFonts w:asciiTheme="minorHAnsi" w:hAnsiTheme="minorHAnsi" w:cstheme="minorHAnsi"/>
          <w:bCs/>
          <w:spacing w:val="-2"/>
        </w:rPr>
      </w:pPr>
    </w:p>
    <w:p w14:paraId="6316FF62" w14:textId="264BD3D5" w:rsidR="00654FE0" w:rsidRPr="00654FE0" w:rsidRDefault="00654FE0" w:rsidP="00654FE0">
      <w:pPr>
        <w:ind w:left="270" w:right="540"/>
        <w:rPr>
          <w:rFonts w:asciiTheme="minorHAnsi" w:eastAsia="Calibri" w:hAnsiTheme="minorHAnsi" w:cstheme="minorHAnsi"/>
          <w:color w:val="000000" w:themeColor="text1"/>
        </w:rPr>
      </w:pPr>
      <w:r w:rsidRPr="00654FE0">
        <w:rPr>
          <w:rStyle w:val="normaltextrun"/>
          <w:rFonts w:asciiTheme="minorHAnsi" w:hAnsiTheme="minorHAnsi" w:cstheme="minorHAnsi"/>
          <w:color w:val="000000"/>
          <w:shd w:val="clear" w:color="auto" w:fill="FFFFFF"/>
        </w:rPr>
        <w:t xml:space="preserve">2. Please also </w:t>
      </w:r>
      <w:r w:rsidRPr="00654FE0">
        <w:rPr>
          <w:rStyle w:val="normaltextrun"/>
          <w:rFonts w:asciiTheme="minorHAnsi" w:hAnsiTheme="minorHAnsi" w:cstheme="minorHAnsi"/>
          <w:b/>
          <w:bCs/>
          <w:color w:val="000000"/>
          <w:shd w:val="clear" w:color="auto" w:fill="FFFFFF"/>
        </w:rPr>
        <w:t>send a PDF image of the check</w:t>
      </w:r>
      <w:r w:rsidRPr="00654FE0">
        <w:rPr>
          <w:rStyle w:val="normaltextrun"/>
          <w:rFonts w:asciiTheme="minorHAnsi" w:hAnsiTheme="minorHAnsi" w:cstheme="minorHAnsi"/>
          <w:color w:val="000000"/>
          <w:shd w:val="clear" w:color="auto" w:fill="FFFFFF"/>
        </w:rPr>
        <w:t xml:space="preserve"> (or confirmation of payment) to </w:t>
      </w:r>
      <w:hyperlink r:id="rId11" w:tgtFrame="_blank" w:history="1">
        <w:r w:rsidRPr="00654FE0">
          <w:rPr>
            <w:rStyle w:val="normaltextrun"/>
            <w:rFonts w:asciiTheme="minorHAnsi" w:hAnsiTheme="minorHAnsi" w:cstheme="minorHAnsi"/>
            <w:color w:val="234170" w:themeColor="text2" w:themeShade="BF"/>
            <w:u w:val="single"/>
            <w:shd w:val="clear" w:color="auto" w:fill="FFFFFF"/>
          </w:rPr>
          <w:t>DONCHI@mass.gov</w:t>
        </w:r>
      </w:hyperlink>
      <w:r w:rsidRPr="00654FE0">
        <w:rPr>
          <w:rStyle w:val="normaltextrun"/>
          <w:rFonts w:asciiTheme="minorHAnsi" w:hAnsiTheme="minorHAnsi" w:cstheme="minorHAnsi"/>
          <w:color w:val="000000"/>
          <w:shd w:val="clear" w:color="auto" w:fill="FFFFFF"/>
        </w:rPr>
        <w:t xml:space="preserve"> and </w:t>
      </w:r>
      <w:hyperlink r:id="rId12" w:tgtFrame="_blank" w:history="1">
        <w:r w:rsidRPr="00654FE0">
          <w:rPr>
            <w:rStyle w:val="normaltextrun"/>
            <w:rFonts w:asciiTheme="minorHAnsi" w:hAnsiTheme="minorHAnsi" w:cstheme="minorHAnsi"/>
            <w:color w:val="234170" w:themeColor="text2" w:themeShade="BF"/>
            <w:u w:val="single"/>
            <w:shd w:val="clear" w:color="auto" w:fill="FFFFFF"/>
          </w:rPr>
          <w:t>dongrants@hria.org</w:t>
        </w:r>
        <w:r w:rsidRPr="00654FE0">
          <w:rPr>
            <w:rStyle w:val="normaltextrun"/>
            <w:rFonts w:asciiTheme="minorHAnsi" w:hAnsiTheme="minorHAnsi" w:cstheme="minorHAnsi"/>
            <w:shd w:val="clear" w:color="auto" w:fill="FFFFFF"/>
          </w:rPr>
          <w:t>.</w:t>
        </w:r>
      </w:hyperlink>
      <w:r w:rsidRPr="00654FE0">
        <w:rPr>
          <w:rStyle w:val="normaltextrun"/>
          <w:rFonts w:asciiTheme="minorHAnsi" w:hAnsiTheme="minorHAnsi" w:cstheme="minorHAnsi"/>
          <w:color w:val="000000"/>
          <w:shd w:val="clear" w:color="auto" w:fill="FFFFFF"/>
        </w:rPr>
        <w:t xml:space="preserve"> If you should have any questions or concerns regarding payment, please contact the CHI team at </w:t>
      </w:r>
      <w:hyperlink r:id="rId13" w:tgtFrame="_blank" w:history="1">
        <w:r w:rsidRPr="00654FE0">
          <w:rPr>
            <w:rStyle w:val="normaltextrun"/>
            <w:rFonts w:asciiTheme="minorHAnsi" w:hAnsiTheme="minorHAnsi" w:cstheme="minorHAnsi"/>
            <w:color w:val="234170" w:themeColor="text2" w:themeShade="BF"/>
            <w:u w:val="single"/>
            <w:shd w:val="clear" w:color="auto" w:fill="FFFFFF"/>
          </w:rPr>
          <w:t>DONCHI@mass.gov</w:t>
        </w:r>
        <w:r w:rsidRPr="00654FE0">
          <w:rPr>
            <w:rStyle w:val="normaltextrun"/>
            <w:rFonts w:asciiTheme="minorHAnsi" w:hAnsiTheme="minorHAnsi" w:cstheme="minorHAnsi"/>
            <w:shd w:val="clear" w:color="auto" w:fill="FFFFFF"/>
          </w:rPr>
          <w:t>.</w:t>
        </w:r>
      </w:hyperlink>
      <w:r w:rsidRPr="00654FE0">
        <w:rPr>
          <w:rStyle w:val="normaltextrun"/>
          <w:rFonts w:asciiTheme="minorHAnsi" w:hAnsiTheme="minorHAnsi" w:cstheme="minorHAnsi"/>
          <w:color w:val="000000"/>
          <w:shd w:val="clear" w:color="auto" w:fill="FFFFFF"/>
        </w:rPr>
        <w:t> </w:t>
      </w:r>
      <w:r w:rsidRPr="00654FE0">
        <w:rPr>
          <w:rStyle w:val="eop"/>
          <w:rFonts w:asciiTheme="minorHAnsi" w:hAnsiTheme="minorHAnsi" w:cstheme="minorHAnsi"/>
          <w:color w:val="000000"/>
          <w:shd w:val="clear" w:color="auto" w:fill="FFFFFF"/>
        </w:rPr>
        <w:t> </w:t>
      </w:r>
    </w:p>
    <w:p w14:paraId="59ADB328" w14:textId="77777777" w:rsidR="00AC0161" w:rsidRPr="00654AA8" w:rsidRDefault="00AC0161" w:rsidP="00AC0161">
      <w:pPr>
        <w:pStyle w:val="Heading1"/>
        <w:rPr>
          <w:rFonts w:asciiTheme="minorHAnsi" w:hAnsiTheme="minorHAnsi" w:cstheme="minorHAnsi"/>
        </w:rPr>
      </w:pPr>
      <w:bookmarkStart w:id="74" w:name="_Toc155341757"/>
      <w:r w:rsidRPr="00654AA8">
        <w:rPr>
          <w:rFonts w:asciiTheme="minorHAnsi" w:hAnsiTheme="minorHAnsi" w:cstheme="minorHAnsi"/>
        </w:rPr>
        <w:t>Appendix I: Measures for Annual Reporting</w:t>
      </w:r>
      <w:bookmarkEnd w:id="73"/>
      <w:bookmarkEnd w:id="74"/>
    </w:p>
    <w:p w14:paraId="4D6F0686" w14:textId="77777777" w:rsidR="005A6438" w:rsidRPr="0076797D" w:rsidRDefault="005A6438" w:rsidP="003D3F28">
      <w:pPr>
        <w:contextualSpacing/>
        <w:rPr>
          <w:rFonts w:asciiTheme="minorHAnsi" w:hAnsiTheme="minorHAnsi" w:cstheme="minorHAnsi"/>
          <w:b/>
          <w:bCs/>
          <w:iCs/>
          <w:highlight w:val="yellow"/>
        </w:rPr>
      </w:pPr>
    </w:p>
    <w:p w14:paraId="5AD7583C" w14:textId="6719AFE3" w:rsidR="00866685" w:rsidRPr="005667BA" w:rsidRDefault="00866685" w:rsidP="00AC0161">
      <w:pPr>
        <w:rPr>
          <w:rFonts w:asciiTheme="minorHAnsi" w:hAnsiTheme="minorHAnsi" w:cstheme="minorHAnsi"/>
          <w:b/>
          <w:bCs/>
          <w:iCs/>
        </w:rPr>
      </w:pPr>
      <w:r w:rsidRPr="005667BA">
        <w:rPr>
          <w:rFonts w:asciiTheme="minorHAnsi" w:hAnsiTheme="minorHAnsi" w:cstheme="minorHAnsi"/>
          <w:b/>
          <w:bCs/>
          <w:iCs/>
        </w:rPr>
        <w:t>Outcome Measures</w:t>
      </w:r>
    </w:p>
    <w:p w14:paraId="13EA3BFD" w14:textId="4DD96128" w:rsidR="00465793" w:rsidRPr="005667BA" w:rsidRDefault="0031402C" w:rsidP="005D48DC">
      <w:pPr>
        <w:rPr>
          <w:rFonts w:asciiTheme="minorHAnsi" w:hAnsiTheme="minorHAnsi" w:cstheme="minorHAnsi"/>
        </w:rPr>
      </w:pPr>
      <w:r w:rsidRPr="005667BA">
        <w:rPr>
          <w:rStyle w:val="normaltextrun"/>
          <w:rFonts w:asciiTheme="minorHAnsi" w:hAnsiTheme="minorHAnsi" w:cstheme="minorHAnsi"/>
        </w:rPr>
        <w:t xml:space="preserve">To assess the impact of the Proposed Project, the Applicant </w:t>
      </w:r>
      <w:r w:rsidR="008B2644">
        <w:rPr>
          <w:rStyle w:val="normaltextrun"/>
          <w:rFonts w:asciiTheme="minorHAnsi" w:hAnsiTheme="minorHAnsi" w:cstheme="minorHAnsi"/>
        </w:rPr>
        <w:t xml:space="preserve">will report on </w:t>
      </w:r>
      <w:r w:rsidRPr="005667BA">
        <w:rPr>
          <w:rStyle w:val="normaltextrun"/>
          <w:rFonts w:asciiTheme="minorHAnsi" w:hAnsiTheme="minorHAnsi" w:cstheme="minorHAnsi"/>
        </w:rPr>
        <w:t xml:space="preserve">the following outcome measures. </w:t>
      </w:r>
      <w:r w:rsidR="007E7E3B" w:rsidRPr="005667BA">
        <w:rPr>
          <w:rStyle w:val="normaltextrun"/>
          <w:rFonts w:asciiTheme="minorHAnsi" w:hAnsiTheme="minorHAnsi" w:cstheme="minorHAnsi"/>
        </w:rPr>
        <w:t xml:space="preserve">The Applicant will report this information to the Department’s DoN Program staff as part of its annual report required by 105 CMR 100.310(A)(12) following implementation of the Proposed Project. </w:t>
      </w:r>
      <w:r w:rsidR="007E7E3B" w:rsidRPr="005667BA">
        <w:rPr>
          <w:rFonts w:asciiTheme="minorHAnsi" w:hAnsiTheme="minorHAnsi" w:cstheme="minorHAnsi"/>
        </w:rPr>
        <w:t xml:space="preserve">For all measures, the Applicant will provide to the program a baseline upon implementation of each project component, along with updated projections, which the program will use for comparison with the annual data submitted. </w:t>
      </w:r>
      <w:r w:rsidR="001C189F" w:rsidRPr="005667BA">
        <w:rPr>
          <w:rFonts w:asciiTheme="minorHAnsi" w:hAnsiTheme="minorHAnsi" w:cstheme="minorHAnsi"/>
        </w:rPr>
        <w:t xml:space="preserve">Reporting will include a description of numerators and denominators. </w:t>
      </w:r>
    </w:p>
    <w:p w14:paraId="018C497D" w14:textId="77777777" w:rsidR="00726BF3" w:rsidRPr="0076797D" w:rsidRDefault="00726BF3" w:rsidP="003F7ADD">
      <w:pPr>
        <w:rPr>
          <w:rFonts w:asciiTheme="minorHAnsi" w:hAnsiTheme="minorHAnsi" w:cstheme="minorHAnsi"/>
          <w:highlight w:val="yellow"/>
        </w:rPr>
      </w:pPr>
    </w:p>
    <w:p w14:paraId="2630C219" w14:textId="77777777" w:rsidR="00D042C0" w:rsidRDefault="002C5533" w:rsidP="00D042C0">
      <w:pPr>
        <w:pStyle w:val="ListParagraph"/>
        <w:numPr>
          <w:ilvl w:val="0"/>
          <w:numId w:val="20"/>
        </w:numPr>
        <w:spacing w:before="120" w:after="120" w:line="240" w:lineRule="auto"/>
        <w:rPr>
          <w:rFonts w:cstheme="minorHAnsi"/>
          <w:sz w:val="24"/>
          <w:szCs w:val="24"/>
        </w:rPr>
      </w:pPr>
      <w:r w:rsidRPr="00E30935">
        <w:rPr>
          <w:rFonts w:cstheme="minorHAnsi"/>
          <w:b/>
          <w:bCs/>
          <w:sz w:val="24"/>
          <w:szCs w:val="24"/>
        </w:rPr>
        <w:t>Wait Times:</w:t>
      </w:r>
      <w:r>
        <w:rPr>
          <w:rFonts w:cstheme="minorHAnsi"/>
          <w:sz w:val="24"/>
          <w:szCs w:val="24"/>
        </w:rPr>
        <w:t xml:space="preserve"> </w:t>
      </w:r>
      <w:r w:rsidR="00E30935">
        <w:rPr>
          <w:rFonts w:cstheme="minorHAnsi"/>
          <w:sz w:val="24"/>
          <w:szCs w:val="24"/>
        </w:rPr>
        <w:t xml:space="preserve">The Proposed Project seeks to address the need for timely </w:t>
      </w:r>
      <w:r w:rsidR="00EB6DA1">
        <w:rPr>
          <w:rFonts w:cstheme="minorHAnsi"/>
          <w:sz w:val="24"/>
          <w:szCs w:val="24"/>
        </w:rPr>
        <w:t>access to radiation services.</w:t>
      </w:r>
      <w:r w:rsidR="00336548">
        <w:rPr>
          <w:rFonts w:cstheme="minorHAnsi"/>
          <w:sz w:val="24"/>
          <w:szCs w:val="24"/>
        </w:rPr>
        <w:t xml:space="preserve"> </w:t>
      </w:r>
    </w:p>
    <w:p w14:paraId="458855D4" w14:textId="577E8860" w:rsidR="00D042C0" w:rsidRPr="00190F55" w:rsidRDefault="00D042C0" w:rsidP="00190F55">
      <w:pPr>
        <w:spacing w:before="120" w:after="120"/>
        <w:ind w:left="1440"/>
        <w:rPr>
          <w:rFonts w:asciiTheme="minorHAnsi" w:hAnsiTheme="minorHAnsi" w:cstheme="minorHAnsi"/>
        </w:rPr>
      </w:pPr>
      <w:r w:rsidRPr="00190F55">
        <w:rPr>
          <w:rFonts w:asciiTheme="minorHAnsi" w:hAnsiTheme="minorHAnsi" w:cstheme="minorHAnsi"/>
          <w:b/>
          <w:bCs/>
        </w:rPr>
        <w:t>Measure:</w:t>
      </w:r>
      <w:r w:rsidRPr="00190F55">
        <w:rPr>
          <w:rFonts w:asciiTheme="minorHAnsi" w:hAnsiTheme="minorHAnsi" w:cstheme="minorHAnsi"/>
        </w:rPr>
        <w:t xml:space="preserve"> </w:t>
      </w:r>
      <w:r w:rsidR="00336548" w:rsidRPr="00190F55">
        <w:rPr>
          <w:rFonts w:asciiTheme="minorHAnsi" w:hAnsiTheme="minorHAnsi" w:cstheme="minorHAnsi"/>
        </w:rPr>
        <w:t>T</w:t>
      </w:r>
      <w:r w:rsidR="00346AF5" w:rsidRPr="00190F55">
        <w:rPr>
          <w:rFonts w:asciiTheme="minorHAnsi" w:hAnsiTheme="minorHAnsi" w:cstheme="minorHAnsi"/>
        </w:rPr>
        <w:t xml:space="preserve">he </w:t>
      </w:r>
      <w:r w:rsidR="00E30935" w:rsidRPr="00190F55">
        <w:rPr>
          <w:rFonts w:asciiTheme="minorHAnsi" w:hAnsiTheme="minorHAnsi" w:cstheme="minorHAnsi"/>
        </w:rPr>
        <w:t xml:space="preserve">average wait time </w:t>
      </w:r>
      <w:r w:rsidRPr="00190F55">
        <w:rPr>
          <w:rFonts w:asciiTheme="minorHAnsi" w:hAnsiTheme="minorHAnsi" w:cstheme="minorHAnsi"/>
        </w:rPr>
        <w:t xml:space="preserve">in working days </w:t>
      </w:r>
      <w:r w:rsidR="00E30935" w:rsidRPr="00190F55">
        <w:rPr>
          <w:rFonts w:asciiTheme="minorHAnsi" w:hAnsiTheme="minorHAnsi" w:cstheme="minorHAnsi"/>
        </w:rPr>
        <w:t>between simulation and the start of treatment</w:t>
      </w:r>
      <w:r w:rsidR="00B52BA4">
        <w:rPr>
          <w:rFonts w:asciiTheme="minorHAnsi" w:hAnsiTheme="minorHAnsi" w:cstheme="minorHAnsi"/>
        </w:rPr>
        <w:t xml:space="preserve"> for SBRT, IMRT, 3D, and Urgent</w:t>
      </w:r>
      <w:r w:rsidR="00AC1CCC">
        <w:rPr>
          <w:rFonts w:asciiTheme="minorHAnsi" w:hAnsiTheme="minorHAnsi" w:cstheme="minorHAnsi"/>
        </w:rPr>
        <w:t xml:space="preserve"> </w:t>
      </w:r>
      <w:r w:rsidR="005029AA">
        <w:rPr>
          <w:rFonts w:asciiTheme="minorHAnsi" w:hAnsiTheme="minorHAnsi" w:cstheme="minorHAnsi"/>
        </w:rPr>
        <w:t>radiation services.</w:t>
      </w:r>
      <w:r w:rsidRPr="00190F55">
        <w:rPr>
          <w:rFonts w:asciiTheme="minorHAnsi" w:hAnsiTheme="minorHAnsi" w:cstheme="minorHAnsi"/>
        </w:rPr>
        <w:t xml:space="preserve"> </w:t>
      </w:r>
    </w:p>
    <w:p w14:paraId="6C52507F" w14:textId="56824F76" w:rsidR="005F56D0" w:rsidRDefault="00D042C0" w:rsidP="00D042C0">
      <w:pPr>
        <w:spacing w:before="120" w:after="120"/>
        <w:ind w:left="720" w:firstLine="720"/>
        <w:jc w:val="both"/>
        <w:rPr>
          <w:rFonts w:asciiTheme="minorHAnsi" w:hAnsiTheme="minorHAnsi" w:cstheme="minorHAnsi"/>
        </w:rPr>
      </w:pPr>
      <w:r w:rsidRPr="0074639E">
        <w:rPr>
          <w:rFonts w:asciiTheme="minorHAnsi" w:hAnsiTheme="minorHAnsi" w:cstheme="minorHAnsi"/>
          <w:b/>
          <w:bCs/>
        </w:rPr>
        <w:t>Baseline:</w:t>
      </w:r>
      <w:r w:rsidRPr="00190F55">
        <w:rPr>
          <w:rFonts w:asciiTheme="minorHAnsi" w:hAnsiTheme="minorHAnsi" w:cstheme="minorHAnsi"/>
        </w:rPr>
        <w:t xml:space="preserve"> </w:t>
      </w:r>
      <w:r w:rsidR="005029AA">
        <w:rPr>
          <w:rFonts w:asciiTheme="minorHAnsi" w:hAnsiTheme="minorHAnsi" w:cstheme="minorHAnsi"/>
        </w:rPr>
        <w:t xml:space="preserve">August 2022 </w:t>
      </w:r>
      <w:r w:rsidR="0074639E">
        <w:rPr>
          <w:rFonts w:asciiTheme="minorHAnsi" w:hAnsiTheme="minorHAnsi" w:cstheme="minorHAnsi"/>
        </w:rPr>
        <w:t>wait times as listed below.</w:t>
      </w:r>
    </w:p>
    <w:p w14:paraId="55AAB888" w14:textId="11760B4E" w:rsidR="004C1BA1" w:rsidRPr="00190F55" w:rsidRDefault="004C1BA1" w:rsidP="004C1BA1">
      <w:pPr>
        <w:shd w:val="clear" w:color="auto" w:fill="00B0F0"/>
        <w:spacing w:before="120" w:after="120"/>
        <w:ind w:left="720" w:firstLine="720"/>
        <w:jc w:val="both"/>
        <w:rPr>
          <w:rFonts w:asciiTheme="minorHAnsi" w:hAnsiTheme="minorHAnsi" w:cstheme="minorHAnsi"/>
        </w:rPr>
      </w:pPr>
      <w:r w:rsidRPr="00DB23DC">
        <w:rPr>
          <w:rFonts w:asciiTheme="minorHAnsi" w:eastAsia="Calibri" w:hAnsiTheme="minorHAnsi" w:cstheme="minorHAnsi"/>
          <w:color w:val="000000" w:themeColor="text1"/>
        </w:rPr>
        <w:lastRenderedPageBreak/>
        <w:t>Average number of working days between Simulation and Start</w:t>
      </w:r>
    </w:p>
    <w:tbl>
      <w:tblPr>
        <w:tblStyle w:val="TableGrid"/>
        <w:tblW w:w="7670" w:type="dxa"/>
        <w:jc w:val="center"/>
        <w:tblLayout w:type="fixed"/>
        <w:tblLook w:val="06A0" w:firstRow="1" w:lastRow="0" w:firstColumn="1" w:lastColumn="0" w:noHBand="1" w:noVBand="1"/>
      </w:tblPr>
      <w:tblGrid>
        <w:gridCol w:w="1882"/>
        <w:gridCol w:w="1380"/>
        <w:gridCol w:w="1483"/>
        <w:gridCol w:w="1448"/>
        <w:gridCol w:w="1477"/>
      </w:tblGrid>
      <w:tr w:rsidR="005F56D0" w:rsidRPr="0050471A" w14:paraId="01296B98" w14:textId="77777777" w:rsidTr="004C1BA1">
        <w:trPr>
          <w:trHeight w:val="338"/>
          <w:jc w:val="center"/>
        </w:trPr>
        <w:tc>
          <w:tcPr>
            <w:tcW w:w="1882" w:type="dxa"/>
          </w:tcPr>
          <w:p w14:paraId="72CC7B37" w14:textId="77777777" w:rsidR="005F56D0" w:rsidRPr="00DB23DC" w:rsidRDefault="005F56D0" w:rsidP="005E5659">
            <w:pPr>
              <w:rPr>
                <w:rFonts w:asciiTheme="minorHAnsi" w:hAnsiTheme="minorHAnsi" w:cstheme="minorHAnsi"/>
              </w:rPr>
            </w:pPr>
          </w:p>
        </w:tc>
        <w:tc>
          <w:tcPr>
            <w:tcW w:w="1380" w:type="dxa"/>
          </w:tcPr>
          <w:p w14:paraId="299FDFD9" w14:textId="77777777" w:rsidR="005F56D0" w:rsidRPr="00DB23DC" w:rsidRDefault="005F56D0" w:rsidP="005E5659">
            <w:pPr>
              <w:jc w:val="center"/>
              <w:rPr>
                <w:rFonts w:asciiTheme="minorHAnsi" w:hAnsiTheme="minorHAnsi" w:cstheme="minorHAnsi"/>
              </w:rPr>
            </w:pPr>
            <w:r w:rsidRPr="00DB23DC">
              <w:rPr>
                <w:rFonts w:asciiTheme="minorHAnsi" w:eastAsia="Calibri" w:hAnsiTheme="minorHAnsi" w:cstheme="minorHAnsi"/>
                <w:color w:val="000000" w:themeColor="text1"/>
              </w:rPr>
              <w:t>SBRT</w:t>
            </w:r>
          </w:p>
        </w:tc>
        <w:tc>
          <w:tcPr>
            <w:tcW w:w="1483" w:type="dxa"/>
          </w:tcPr>
          <w:p w14:paraId="755B4CD7" w14:textId="77777777" w:rsidR="005F56D0" w:rsidRPr="00DB23DC" w:rsidRDefault="005F56D0" w:rsidP="005E5659">
            <w:pPr>
              <w:jc w:val="center"/>
              <w:rPr>
                <w:rFonts w:asciiTheme="minorHAnsi" w:hAnsiTheme="minorHAnsi" w:cstheme="minorHAnsi"/>
              </w:rPr>
            </w:pPr>
            <w:r w:rsidRPr="00DB23DC">
              <w:rPr>
                <w:rFonts w:asciiTheme="minorHAnsi" w:eastAsia="Calibri" w:hAnsiTheme="minorHAnsi" w:cstheme="minorHAnsi"/>
                <w:color w:val="000000" w:themeColor="text1"/>
              </w:rPr>
              <w:t>IMRT</w:t>
            </w:r>
          </w:p>
        </w:tc>
        <w:tc>
          <w:tcPr>
            <w:tcW w:w="1448" w:type="dxa"/>
          </w:tcPr>
          <w:p w14:paraId="4A9FB91C" w14:textId="77777777" w:rsidR="005F56D0" w:rsidRPr="00DB23DC" w:rsidRDefault="005F56D0" w:rsidP="005E5659">
            <w:pPr>
              <w:jc w:val="center"/>
              <w:rPr>
                <w:rFonts w:asciiTheme="minorHAnsi" w:hAnsiTheme="minorHAnsi" w:cstheme="minorHAnsi"/>
              </w:rPr>
            </w:pPr>
            <w:r w:rsidRPr="00DB23DC">
              <w:rPr>
                <w:rFonts w:asciiTheme="minorHAnsi" w:eastAsia="Calibri" w:hAnsiTheme="minorHAnsi" w:cstheme="minorHAnsi"/>
                <w:color w:val="000000" w:themeColor="text1"/>
              </w:rPr>
              <w:t>3D</w:t>
            </w:r>
          </w:p>
        </w:tc>
        <w:tc>
          <w:tcPr>
            <w:tcW w:w="1477" w:type="dxa"/>
          </w:tcPr>
          <w:p w14:paraId="6C8D3B50" w14:textId="77777777" w:rsidR="005F56D0" w:rsidRPr="00DB23DC" w:rsidRDefault="005F56D0" w:rsidP="005E5659">
            <w:pPr>
              <w:jc w:val="center"/>
              <w:rPr>
                <w:rFonts w:asciiTheme="minorHAnsi" w:hAnsiTheme="minorHAnsi" w:cstheme="minorHAnsi"/>
              </w:rPr>
            </w:pPr>
            <w:r w:rsidRPr="00DB23DC">
              <w:rPr>
                <w:rFonts w:asciiTheme="minorHAnsi" w:eastAsia="Calibri" w:hAnsiTheme="minorHAnsi" w:cstheme="minorHAnsi"/>
                <w:color w:val="000000" w:themeColor="text1"/>
              </w:rPr>
              <w:t>Urgent</w:t>
            </w:r>
          </w:p>
        </w:tc>
      </w:tr>
      <w:tr w:rsidR="00190F55" w:rsidRPr="0050471A" w14:paraId="577C467F" w14:textId="77777777" w:rsidTr="004C1BA1">
        <w:trPr>
          <w:trHeight w:val="338"/>
          <w:jc w:val="center"/>
        </w:trPr>
        <w:tc>
          <w:tcPr>
            <w:tcW w:w="1882" w:type="dxa"/>
          </w:tcPr>
          <w:p w14:paraId="2D115FB1" w14:textId="4A18DC39" w:rsidR="00190F55" w:rsidRPr="00DB23DC" w:rsidRDefault="00190F55" w:rsidP="00190F55">
            <w:pPr>
              <w:rPr>
                <w:rFonts w:asciiTheme="minorHAnsi" w:hAnsiTheme="minorHAnsi" w:cstheme="minorHAnsi"/>
              </w:rPr>
            </w:pPr>
            <w:r w:rsidRPr="00DB23DC">
              <w:rPr>
                <w:rFonts w:asciiTheme="minorHAnsi" w:eastAsia="Calibri" w:hAnsiTheme="minorHAnsi" w:cstheme="minorHAnsi"/>
                <w:color w:val="000000" w:themeColor="text1"/>
              </w:rPr>
              <w:t>August 2022</w:t>
            </w:r>
          </w:p>
        </w:tc>
        <w:tc>
          <w:tcPr>
            <w:tcW w:w="1380" w:type="dxa"/>
          </w:tcPr>
          <w:p w14:paraId="0E90C8FF" w14:textId="4D2DFFD2" w:rsidR="00190F55" w:rsidRPr="00DB23DC" w:rsidRDefault="00190F55" w:rsidP="00190F55">
            <w:pPr>
              <w:jc w:val="center"/>
              <w:rPr>
                <w:rFonts w:asciiTheme="minorHAnsi" w:hAnsiTheme="minorHAnsi" w:cstheme="minorHAnsi"/>
              </w:rPr>
            </w:pPr>
            <w:r w:rsidRPr="00DB23DC">
              <w:rPr>
                <w:rFonts w:asciiTheme="minorHAnsi" w:eastAsia="Calibri" w:hAnsiTheme="minorHAnsi" w:cstheme="minorHAnsi"/>
                <w:color w:val="000000" w:themeColor="text1"/>
              </w:rPr>
              <w:t>11</w:t>
            </w:r>
          </w:p>
        </w:tc>
        <w:tc>
          <w:tcPr>
            <w:tcW w:w="1483" w:type="dxa"/>
          </w:tcPr>
          <w:p w14:paraId="637B8662" w14:textId="5E86BB59" w:rsidR="00190F55" w:rsidRPr="00DB23DC" w:rsidRDefault="00190F55" w:rsidP="00190F55">
            <w:pPr>
              <w:jc w:val="center"/>
              <w:rPr>
                <w:rFonts w:asciiTheme="minorHAnsi" w:hAnsiTheme="minorHAnsi" w:cstheme="minorHAnsi"/>
              </w:rPr>
            </w:pPr>
            <w:r w:rsidRPr="00DB23DC">
              <w:rPr>
                <w:rFonts w:asciiTheme="minorHAnsi" w:eastAsia="Calibri" w:hAnsiTheme="minorHAnsi" w:cstheme="minorHAnsi"/>
                <w:color w:val="000000" w:themeColor="text1"/>
              </w:rPr>
              <w:t>12</w:t>
            </w:r>
          </w:p>
        </w:tc>
        <w:tc>
          <w:tcPr>
            <w:tcW w:w="1448" w:type="dxa"/>
          </w:tcPr>
          <w:p w14:paraId="14DF5873" w14:textId="0D0A1B97" w:rsidR="00190F55" w:rsidRPr="00DB23DC" w:rsidRDefault="00190F55" w:rsidP="00190F55">
            <w:pPr>
              <w:jc w:val="center"/>
              <w:rPr>
                <w:rFonts w:asciiTheme="minorHAnsi" w:hAnsiTheme="minorHAnsi" w:cstheme="minorHAnsi"/>
              </w:rPr>
            </w:pPr>
            <w:r w:rsidRPr="00DB23DC">
              <w:rPr>
                <w:rFonts w:asciiTheme="minorHAnsi" w:eastAsia="Calibri" w:hAnsiTheme="minorHAnsi" w:cstheme="minorHAnsi"/>
                <w:color w:val="000000" w:themeColor="text1"/>
              </w:rPr>
              <w:t>13</w:t>
            </w:r>
          </w:p>
        </w:tc>
        <w:tc>
          <w:tcPr>
            <w:tcW w:w="1477" w:type="dxa"/>
          </w:tcPr>
          <w:p w14:paraId="5750F2B7" w14:textId="0C3151F8" w:rsidR="00190F55" w:rsidRPr="00DB23DC" w:rsidRDefault="00190F55" w:rsidP="00190F55">
            <w:pPr>
              <w:jc w:val="center"/>
              <w:rPr>
                <w:rFonts w:asciiTheme="minorHAnsi" w:hAnsiTheme="minorHAnsi" w:cstheme="minorHAnsi"/>
              </w:rPr>
            </w:pPr>
            <w:r w:rsidRPr="00DB23DC">
              <w:rPr>
                <w:rFonts w:asciiTheme="minorHAnsi" w:eastAsia="Calibri" w:hAnsiTheme="minorHAnsi" w:cstheme="minorHAnsi"/>
                <w:color w:val="000000" w:themeColor="text1"/>
              </w:rPr>
              <w:t>4</w:t>
            </w:r>
          </w:p>
        </w:tc>
      </w:tr>
    </w:tbl>
    <w:p w14:paraId="28CD63B3" w14:textId="20620B25" w:rsidR="006D0341" w:rsidRPr="00D042C0" w:rsidRDefault="006D0341" w:rsidP="00D042C0">
      <w:pPr>
        <w:spacing w:before="120" w:after="120"/>
        <w:ind w:left="720" w:firstLine="720"/>
        <w:jc w:val="both"/>
        <w:rPr>
          <w:rFonts w:cstheme="minorHAnsi"/>
        </w:rPr>
      </w:pPr>
    </w:p>
    <w:p w14:paraId="4BA91980" w14:textId="11B6B1BD" w:rsidR="005667BA" w:rsidRPr="005667BA" w:rsidRDefault="005667BA" w:rsidP="00D042C0">
      <w:pPr>
        <w:pStyle w:val="ListParagraph"/>
        <w:numPr>
          <w:ilvl w:val="0"/>
          <w:numId w:val="20"/>
        </w:numPr>
        <w:spacing w:before="120" w:after="120" w:line="240" w:lineRule="auto"/>
        <w:rPr>
          <w:rFonts w:cstheme="minorHAnsi"/>
          <w:sz w:val="24"/>
          <w:szCs w:val="24"/>
        </w:rPr>
      </w:pPr>
      <w:r w:rsidRPr="005667BA">
        <w:rPr>
          <w:rFonts w:cstheme="minorHAnsi"/>
          <w:b/>
          <w:bCs/>
          <w:sz w:val="24"/>
          <w:szCs w:val="24"/>
        </w:rPr>
        <w:t>Patient Satisfaction</w:t>
      </w:r>
      <w:r w:rsidRPr="005667BA">
        <w:rPr>
          <w:rFonts w:cstheme="minorHAnsi"/>
          <w:sz w:val="24"/>
          <w:szCs w:val="24"/>
        </w:rPr>
        <w:t xml:space="preserve">: Patients that are satisfied with their care are more likely to seek additional treatment when necessary. </w:t>
      </w:r>
    </w:p>
    <w:p w14:paraId="31441386" w14:textId="77777777" w:rsidR="005667BA" w:rsidRPr="005667BA" w:rsidRDefault="005667BA" w:rsidP="005667BA">
      <w:pPr>
        <w:pStyle w:val="Default"/>
        <w:spacing w:after="120"/>
        <w:ind w:left="1440"/>
        <w:rPr>
          <w:rFonts w:asciiTheme="minorHAnsi" w:hAnsiTheme="minorHAnsi" w:cstheme="minorHAnsi"/>
        </w:rPr>
      </w:pPr>
      <w:r w:rsidRPr="005667BA">
        <w:rPr>
          <w:rFonts w:asciiTheme="minorHAnsi" w:hAnsiTheme="minorHAnsi" w:cstheme="minorHAnsi"/>
          <w:b/>
          <w:bCs/>
        </w:rPr>
        <w:t xml:space="preserve">Measure: </w:t>
      </w:r>
      <w:r w:rsidRPr="005667BA">
        <w:rPr>
          <w:rFonts w:asciiTheme="minorHAnsi" w:hAnsiTheme="minorHAnsi" w:cstheme="minorHAnsi"/>
        </w:rPr>
        <w:t>Patient satisfaction scores will be used to determine the impact of the Proposed Project on quality of life.</w:t>
      </w:r>
    </w:p>
    <w:p w14:paraId="1BADD539" w14:textId="77777777" w:rsidR="005667BA" w:rsidRPr="005667BA" w:rsidRDefault="005667BA" w:rsidP="005667BA">
      <w:pPr>
        <w:pStyle w:val="ListParagraph"/>
        <w:spacing w:after="120" w:line="240" w:lineRule="auto"/>
        <w:ind w:left="2160"/>
        <w:contextualSpacing w:val="0"/>
        <w:rPr>
          <w:rFonts w:cstheme="minorHAnsi"/>
          <w:sz w:val="24"/>
          <w:szCs w:val="24"/>
        </w:rPr>
      </w:pPr>
      <w:r w:rsidRPr="005667BA">
        <w:rPr>
          <w:rFonts w:cstheme="minorHAnsi"/>
          <w:sz w:val="24"/>
          <w:szCs w:val="24"/>
        </w:rPr>
        <w:t xml:space="preserve">Numerator = Number of top scores, such as “likely to recommend” or “highly satisfied”. </w:t>
      </w:r>
    </w:p>
    <w:p w14:paraId="76D9A181" w14:textId="77777777" w:rsidR="005667BA" w:rsidRPr="005667BA" w:rsidRDefault="005667BA" w:rsidP="005667BA">
      <w:pPr>
        <w:pStyle w:val="ListParagraph"/>
        <w:spacing w:after="120" w:line="240" w:lineRule="auto"/>
        <w:ind w:left="1440" w:firstLine="720"/>
        <w:contextualSpacing w:val="0"/>
        <w:rPr>
          <w:rFonts w:cstheme="minorHAnsi"/>
          <w:sz w:val="24"/>
          <w:szCs w:val="24"/>
        </w:rPr>
      </w:pPr>
      <w:r w:rsidRPr="005667BA">
        <w:rPr>
          <w:rFonts w:cstheme="minorHAnsi"/>
          <w:sz w:val="24"/>
          <w:szCs w:val="24"/>
        </w:rPr>
        <w:t xml:space="preserve">Denominator = Total number of survey respondents  </w:t>
      </w:r>
    </w:p>
    <w:p w14:paraId="1615BBBD" w14:textId="77777777" w:rsidR="005667BA" w:rsidRPr="005667BA" w:rsidRDefault="005667BA" w:rsidP="005667BA">
      <w:pPr>
        <w:pStyle w:val="Default"/>
        <w:spacing w:after="120"/>
        <w:ind w:left="1440"/>
        <w:rPr>
          <w:rFonts w:asciiTheme="minorHAnsi" w:hAnsiTheme="minorHAnsi" w:cstheme="minorHAnsi"/>
        </w:rPr>
      </w:pPr>
      <w:r w:rsidRPr="005667BA">
        <w:rPr>
          <w:rFonts w:asciiTheme="minorHAnsi" w:hAnsiTheme="minorHAnsi" w:cstheme="minorHAnsi"/>
          <w:b/>
          <w:bCs/>
        </w:rPr>
        <w:t xml:space="preserve">Baseline: </w:t>
      </w:r>
      <w:r w:rsidRPr="005667BA">
        <w:rPr>
          <w:rFonts w:asciiTheme="minorHAnsi" w:hAnsiTheme="minorHAnsi" w:cstheme="minorHAnsi"/>
        </w:rPr>
        <w:t xml:space="preserve">98.2% based on 204 surveys completed by patients </w:t>
      </w:r>
    </w:p>
    <w:p w14:paraId="5AD00E76" w14:textId="77777777" w:rsidR="005667BA" w:rsidRPr="005667BA" w:rsidRDefault="005667BA" w:rsidP="005667BA">
      <w:pPr>
        <w:pStyle w:val="Default"/>
        <w:spacing w:after="120"/>
        <w:ind w:left="1440"/>
        <w:rPr>
          <w:rFonts w:asciiTheme="minorHAnsi" w:hAnsiTheme="minorHAnsi" w:cstheme="minorHAnsi"/>
        </w:rPr>
      </w:pPr>
      <w:r w:rsidRPr="005667BA">
        <w:rPr>
          <w:rFonts w:asciiTheme="minorHAnsi" w:hAnsiTheme="minorHAnsi" w:cstheme="minorHAnsi"/>
          <w:b/>
          <w:bCs/>
        </w:rPr>
        <w:t xml:space="preserve">Projections: </w:t>
      </w:r>
      <w:r w:rsidRPr="005667BA">
        <w:rPr>
          <w:rFonts w:asciiTheme="minorHAnsi" w:hAnsiTheme="minorHAnsi" w:cstheme="minorHAnsi"/>
        </w:rPr>
        <w:t>98.5-100% based on completion of 250 surveys</w:t>
      </w:r>
    </w:p>
    <w:p w14:paraId="7AC7A5AC" w14:textId="1B64AF3B" w:rsidR="005667BA" w:rsidRDefault="005667BA" w:rsidP="005667BA">
      <w:pPr>
        <w:pStyle w:val="Default"/>
        <w:spacing w:after="120"/>
        <w:ind w:left="1440"/>
        <w:rPr>
          <w:rFonts w:asciiTheme="minorHAnsi" w:hAnsiTheme="minorHAnsi" w:cstheme="minorHAnsi"/>
        </w:rPr>
      </w:pPr>
      <w:r w:rsidRPr="005667BA">
        <w:rPr>
          <w:rFonts w:asciiTheme="minorHAnsi" w:hAnsiTheme="minorHAnsi" w:cstheme="minorHAnsi"/>
          <w:b/>
          <w:bCs/>
        </w:rPr>
        <w:t xml:space="preserve">Monitoring: </w:t>
      </w:r>
      <w:r w:rsidRPr="005667BA">
        <w:rPr>
          <w:rFonts w:asciiTheme="minorHAnsi" w:hAnsiTheme="minorHAnsi" w:cstheme="minorHAnsi"/>
        </w:rPr>
        <w:t xml:space="preserve">Results will be reviewed monthly by </w:t>
      </w:r>
      <w:r w:rsidR="00B6304C" w:rsidRPr="005667BA">
        <w:rPr>
          <w:rFonts w:asciiTheme="minorHAnsi" w:hAnsiTheme="minorHAnsi" w:cstheme="minorHAnsi"/>
        </w:rPr>
        <w:t>the Manager</w:t>
      </w:r>
      <w:r w:rsidRPr="005667BA">
        <w:rPr>
          <w:rFonts w:asciiTheme="minorHAnsi" w:hAnsiTheme="minorHAnsi" w:cstheme="minorHAnsi"/>
        </w:rPr>
        <w:t xml:space="preserve">. </w:t>
      </w:r>
    </w:p>
    <w:p w14:paraId="4D2CA14D" w14:textId="77777777" w:rsidR="005667BA" w:rsidRPr="005667BA" w:rsidRDefault="005667BA" w:rsidP="005667BA">
      <w:pPr>
        <w:pStyle w:val="Default"/>
        <w:spacing w:after="120"/>
        <w:ind w:left="1440"/>
        <w:rPr>
          <w:rFonts w:asciiTheme="minorHAnsi" w:hAnsiTheme="minorHAnsi" w:cstheme="minorHAnsi"/>
        </w:rPr>
      </w:pPr>
    </w:p>
    <w:p w14:paraId="582BAB66" w14:textId="77777777" w:rsidR="005667BA" w:rsidRPr="005667BA" w:rsidRDefault="005667BA" w:rsidP="005667BA">
      <w:pPr>
        <w:pStyle w:val="Default"/>
        <w:numPr>
          <w:ilvl w:val="0"/>
          <w:numId w:val="20"/>
        </w:numPr>
        <w:spacing w:after="120"/>
        <w:rPr>
          <w:rFonts w:asciiTheme="minorHAnsi" w:hAnsiTheme="minorHAnsi" w:cstheme="minorHAnsi"/>
          <w:b/>
          <w:bCs/>
        </w:rPr>
      </w:pPr>
      <w:r w:rsidRPr="005667BA">
        <w:rPr>
          <w:rFonts w:asciiTheme="minorHAnsi" w:hAnsiTheme="minorHAnsi" w:cstheme="minorHAnsi"/>
          <w:b/>
          <w:bCs/>
        </w:rPr>
        <w:t xml:space="preserve">Treatment Access: </w:t>
      </w:r>
      <w:r w:rsidRPr="005667BA">
        <w:rPr>
          <w:rFonts w:asciiTheme="minorHAnsi" w:hAnsiTheme="minorHAnsi" w:cstheme="minorHAnsi"/>
        </w:rPr>
        <w:t xml:space="preserve">This measure will monitor the total number of patients who receive radiation therapy via LINAC at BID-P following implementation of the Proposed Project. </w:t>
      </w:r>
    </w:p>
    <w:p w14:paraId="1E5B41E5" w14:textId="6739E337" w:rsidR="005667BA" w:rsidRPr="005667BA" w:rsidRDefault="005667BA" w:rsidP="005667BA">
      <w:pPr>
        <w:pStyle w:val="Default"/>
        <w:spacing w:after="120"/>
        <w:ind w:left="1440"/>
        <w:rPr>
          <w:rFonts w:asciiTheme="minorHAnsi" w:hAnsiTheme="minorHAnsi" w:cstheme="minorHAnsi"/>
        </w:rPr>
      </w:pPr>
      <w:r w:rsidRPr="005667BA">
        <w:rPr>
          <w:rFonts w:asciiTheme="minorHAnsi" w:hAnsiTheme="minorHAnsi" w:cstheme="minorHAnsi"/>
          <w:b/>
          <w:bCs/>
        </w:rPr>
        <w:t>Measure:</w:t>
      </w:r>
      <w:r w:rsidRPr="005667BA">
        <w:rPr>
          <w:rFonts w:asciiTheme="minorHAnsi" w:hAnsiTheme="minorHAnsi" w:cstheme="minorHAnsi"/>
        </w:rPr>
        <w:t xml:space="preserve"> By tracking the number of patients treated using the LINAC, </w:t>
      </w:r>
      <w:r w:rsidR="00390DAC">
        <w:rPr>
          <w:rFonts w:asciiTheme="minorHAnsi" w:hAnsiTheme="minorHAnsi" w:cstheme="minorHAnsi"/>
        </w:rPr>
        <w:t>BID-P</w:t>
      </w:r>
      <w:r w:rsidRPr="005667BA">
        <w:rPr>
          <w:rFonts w:asciiTheme="minorHAnsi" w:hAnsiTheme="minorHAnsi" w:cstheme="minorHAnsi"/>
        </w:rPr>
        <w:t xml:space="preserve"> will be able to assess how the Proposed Project has improved access.  </w:t>
      </w:r>
    </w:p>
    <w:p w14:paraId="2DFBBFDD" w14:textId="77777777" w:rsidR="005667BA" w:rsidRPr="005667BA" w:rsidRDefault="005667BA" w:rsidP="005667BA">
      <w:pPr>
        <w:pStyle w:val="Default"/>
        <w:spacing w:after="120"/>
        <w:ind w:left="1080" w:firstLine="360"/>
        <w:rPr>
          <w:rFonts w:asciiTheme="minorHAnsi" w:hAnsiTheme="minorHAnsi" w:cstheme="minorHAnsi"/>
        </w:rPr>
      </w:pPr>
      <w:r w:rsidRPr="005667BA">
        <w:rPr>
          <w:rFonts w:asciiTheme="minorHAnsi" w:hAnsiTheme="minorHAnsi" w:cstheme="minorHAnsi"/>
          <w:b/>
          <w:bCs/>
        </w:rPr>
        <w:t xml:space="preserve">Baseline: </w:t>
      </w:r>
      <w:r w:rsidRPr="005667BA">
        <w:rPr>
          <w:rFonts w:asciiTheme="minorHAnsi" w:hAnsiTheme="minorHAnsi" w:cstheme="minorHAnsi"/>
        </w:rPr>
        <w:t>436 New Start Patients in 2022</w:t>
      </w:r>
    </w:p>
    <w:p w14:paraId="2DFC5AAD" w14:textId="77777777" w:rsidR="005667BA" w:rsidRPr="005667BA" w:rsidRDefault="005667BA" w:rsidP="005667BA">
      <w:pPr>
        <w:pStyle w:val="Default"/>
        <w:spacing w:after="120"/>
        <w:ind w:left="1080" w:firstLine="360"/>
        <w:rPr>
          <w:rFonts w:asciiTheme="minorHAnsi" w:hAnsiTheme="minorHAnsi" w:cstheme="minorHAnsi"/>
        </w:rPr>
      </w:pPr>
      <w:r w:rsidRPr="005667BA">
        <w:rPr>
          <w:rFonts w:asciiTheme="minorHAnsi" w:hAnsiTheme="minorHAnsi" w:cstheme="minorHAnsi"/>
          <w:b/>
          <w:bCs/>
        </w:rPr>
        <w:t xml:space="preserve">Projections: </w:t>
      </w:r>
      <w:r w:rsidRPr="005667BA">
        <w:rPr>
          <w:rFonts w:asciiTheme="minorHAnsi" w:hAnsiTheme="minorHAnsi" w:cstheme="minorHAnsi"/>
        </w:rPr>
        <w:t>466 New Start Patients in 2024</w:t>
      </w:r>
    </w:p>
    <w:p w14:paraId="452F6D13" w14:textId="0AE3D6FC" w:rsidR="005667BA" w:rsidRDefault="005667BA" w:rsidP="005667BA">
      <w:pPr>
        <w:pStyle w:val="Default"/>
        <w:spacing w:after="120"/>
        <w:ind w:left="1080" w:firstLine="360"/>
        <w:rPr>
          <w:rFonts w:asciiTheme="minorHAnsi" w:hAnsiTheme="minorHAnsi" w:cstheme="minorHAnsi"/>
        </w:rPr>
      </w:pPr>
      <w:r w:rsidRPr="005667BA">
        <w:rPr>
          <w:rFonts w:asciiTheme="minorHAnsi" w:hAnsiTheme="minorHAnsi" w:cstheme="minorHAnsi"/>
          <w:b/>
          <w:bCs/>
        </w:rPr>
        <w:t xml:space="preserve">Monitoring: </w:t>
      </w:r>
      <w:r w:rsidRPr="005667BA">
        <w:rPr>
          <w:rFonts w:asciiTheme="minorHAnsi" w:hAnsiTheme="minorHAnsi" w:cstheme="minorHAnsi"/>
        </w:rPr>
        <w:t xml:space="preserve">Results will be reviewed monthly by </w:t>
      </w:r>
      <w:r w:rsidR="008B2018" w:rsidRPr="005667BA">
        <w:rPr>
          <w:rFonts w:asciiTheme="minorHAnsi" w:hAnsiTheme="minorHAnsi" w:cstheme="minorHAnsi"/>
        </w:rPr>
        <w:t>the Manager</w:t>
      </w:r>
      <w:r w:rsidRPr="005667BA">
        <w:rPr>
          <w:rFonts w:asciiTheme="minorHAnsi" w:hAnsiTheme="minorHAnsi" w:cstheme="minorHAnsi"/>
        </w:rPr>
        <w:t>.</w:t>
      </w:r>
    </w:p>
    <w:p w14:paraId="09917E56" w14:textId="34CE43CB" w:rsidR="007C089F" w:rsidRDefault="007C089F" w:rsidP="00C1132B">
      <w:pPr>
        <w:pStyle w:val="Heading1"/>
        <w:rPr>
          <w:rFonts w:asciiTheme="minorHAnsi" w:hAnsiTheme="minorHAnsi" w:cstheme="minorHAnsi"/>
        </w:rPr>
      </w:pPr>
      <w:bookmarkStart w:id="75" w:name="_Toc155341758"/>
      <w:r w:rsidRPr="00654AA8">
        <w:rPr>
          <w:rFonts w:asciiTheme="minorHAnsi" w:hAnsiTheme="minorHAnsi" w:cstheme="minorHAnsi"/>
        </w:rPr>
        <w:t>Appendix I</w:t>
      </w:r>
      <w:r>
        <w:rPr>
          <w:rFonts w:asciiTheme="minorHAnsi" w:hAnsiTheme="minorHAnsi" w:cstheme="minorHAnsi"/>
        </w:rPr>
        <w:t>I</w:t>
      </w:r>
      <w:r w:rsidRPr="00654AA8">
        <w:rPr>
          <w:rFonts w:asciiTheme="minorHAnsi" w:hAnsiTheme="minorHAnsi" w:cstheme="minorHAnsi"/>
        </w:rPr>
        <w:t xml:space="preserve">: </w:t>
      </w:r>
      <w:r>
        <w:rPr>
          <w:rFonts w:asciiTheme="minorHAnsi" w:hAnsiTheme="minorHAnsi" w:cstheme="minorHAnsi"/>
        </w:rPr>
        <w:t>BILH Patient Panel</w:t>
      </w:r>
      <w:r w:rsidR="002536D4">
        <w:rPr>
          <w:rFonts w:asciiTheme="minorHAnsi" w:hAnsiTheme="minorHAnsi" w:cstheme="minorHAnsi"/>
        </w:rPr>
        <w:t xml:space="preserve"> Demographic Profile</w:t>
      </w:r>
      <w:bookmarkEnd w:id="75"/>
    </w:p>
    <w:p w14:paraId="1F766AD5" w14:textId="77777777" w:rsidR="007C089F" w:rsidRPr="007C089F" w:rsidRDefault="007C089F" w:rsidP="007C089F"/>
    <w:p w14:paraId="69AACF89" w14:textId="77777777" w:rsidR="007C089F" w:rsidRPr="007C017D" w:rsidRDefault="007C089F" w:rsidP="007C089F">
      <w:pPr>
        <w:pStyle w:val="Caption"/>
        <w:spacing w:after="0"/>
        <w:contextualSpacing/>
        <w:jc w:val="center"/>
        <w:rPr>
          <w:rFonts w:cstheme="minorHAnsi"/>
          <w:color w:val="42558C" w:themeColor="accent1" w:themeShade="BF"/>
          <w:sz w:val="24"/>
          <w:szCs w:val="24"/>
        </w:rPr>
      </w:pPr>
      <w:r w:rsidRPr="007C017D">
        <w:rPr>
          <w:rFonts w:cstheme="minorHAnsi"/>
          <w:color w:val="42558C" w:themeColor="accent1" w:themeShade="BF"/>
          <w:sz w:val="24"/>
          <w:szCs w:val="24"/>
        </w:rPr>
        <w:t xml:space="preserve">BILH Patient </w:t>
      </w:r>
      <w:r>
        <w:rPr>
          <w:rFonts w:cstheme="minorHAnsi"/>
          <w:color w:val="42558C" w:themeColor="accent1" w:themeShade="BF"/>
          <w:sz w:val="24"/>
          <w:szCs w:val="24"/>
        </w:rPr>
        <w:t xml:space="preserve">Panel </w:t>
      </w:r>
      <w:r w:rsidRPr="007C017D">
        <w:rPr>
          <w:rFonts w:cstheme="minorHAnsi"/>
          <w:color w:val="42558C" w:themeColor="accent1" w:themeShade="BF"/>
          <w:sz w:val="24"/>
          <w:szCs w:val="24"/>
        </w:rPr>
        <w:t>Demographic Profil</w:t>
      </w:r>
      <w:r>
        <w:rPr>
          <w:rFonts w:cstheme="minorHAnsi"/>
          <w:color w:val="42558C" w:themeColor="accent1" w:themeShade="BF"/>
          <w:sz w:val="24"/>
          <w:szCs w:val="24"/>
        </w:rPr>
        <w:t>e</w:t>
      </w:r>
    </w:p>
    <w:tbl>
      <w:tblPr>
        <w:tblStyle w:val="TableGrid"/>
        <w:tblW w:w="0" w:type="auto"/>
        <w:jc w:val="center"/>
        <w:tblLook w:val="04A0" w:firstRow="1" w:lastRow="0" w:firstColumn="1" w:lastColumn="0" w:noHBand="0" w:noVBand="1"/>
      </w:tblPr>
      <w:tblGrid>
        <w:gridCol w:w="5215"/>
        <w:gridCol w:w="1980"/>
      </w:tblGrid>
      <w:tr w:rsidR="007C089F" w:rsidRPr="00FA4ED8" w14:paraId="41A69945" w14:textId="77777777" w:rsidTr="005E5659">
        <w:trPr>
          <w:cantSplit/>
          <w:trHeight w:val="144"/>
          <w:tblHeader/>
          <w:jc w:val="center"/>
        </w:trPr>
        <w:tc>
          <w:tcPr>
            <w:tcW w:w="5215" w:type="dxa"/>
            <w:tcBorders>
              <w:bottom w:val="single" w:sz="4" w:space="0" w:color="auto"/>
            </w:tcBorders>
            <w:shd w:val="clear" w:color="auto" w:fill="BFC8E1" w:themeFill="accent1" w:themeFillTint="66"/>
          </w:tcPr>
          <w:p w14:paraId="58E8BB0C" w14:textId="77777777" w:rsidR="007C089F" w:rsidRPr="00FA4ED8" w:rsidRDefault="007C089F" w:rsidP="005E5659">
            <w:pPr>
              <w:rPr>
                <w:rFonts w:asciiTheme="minorHAnsi" w:hAnsiTheme="minorHAnsi" w:cstheme="minorHAnsi"/>
                <w:highlight w:val="yellow"/>
              </w:rPr>
            </w:pPr>
          </w:p>
        </w:tc>
        <w:tc>
          <w:tcPr>
            <w:tcW w:w="1980" w:type="dxa"/>
            <w:tcBorders>
              <w:bottom w:val="single" w:sz="4" w:space="0" w:color="auto"/>
            </w:tcBorders>
            <w:shd w:val="clear" w:color="auto" w:fill="BFC8E1" w:themeFill="accent1" w:themeFillTint="66"/>
          </w:tcPr>
          <w:p w14:paraId="735C93FF" w14:textId="77777777" w:rsidR="007C089F" w:rsidRPr="00EA3646" w:rsidRDefault="007C089F" w:rsidP="005E5659">
            <w:pPr>
              <w:jc w:val="center"/>
              <w:rPr>
                <w:rFonts w:asciiTheme="minorHAnsi" w:eastAsia="Calibri" w:hAnsiTheme="minorHAnsi" w:cstheme="minorHAnsi"/>
                <w:b/>
              </w:rPr>
            </w:pPr>
            <w:r w:rsidRPr="00EA3646">
              <w:rPr>
                <w:rFonts w:asciiTheme="minorHAnsi" w:eastAsia="Calibri" w:hAnsiTheme="minorHAnsi" w:cstheme="minorHAnsi"/>
                <w:b/>
              </w:rPr>
              <w:t>FY2022 Totals</w:t>
            </w:r>
          </w:p>
        </w:tc>
      </w:tr>
      <w:tr w:rsidR="007C089F" w:rsidRPr="00FA4ED8" w14:paraId="09510037" w14:textId="77777777" w:rsidTr="005E5659">
        <w:trPr>
          <w:cantSplit/>
          <w:trHeight w:val="144"/>
          <w:jc w:val="center"/>
        </w:trPr>
        <w:tc>
          <w:tcPr>
            <w:tcW w:w="5215" w:type="dxa"/>
            <w:tcBorders>
              <w:bottom w:val="single" w:sz="4" w:space="0" w:color="auto"/>
            </w:tcBorders>
          </w:tcPr>
          <w:p w14:paraId="2F52BAD1" w14:textId="77777777" w:rsidR="007C089F" w:rsidRPr="00FA4ED8" w:rsidRDefault="007C089F" w:rsidP="005E5659">
            <w:pPr>
              <w:rPr>
                <w:rFonts w:asciiTheme="minorHAnsi" w:hAnsiTheme="minorHAnsi" w:cstheme="minorHAnsi"/>
                <w:highlight w:val="yellow"/>
              </w:rPr>
            </w:pPr>
            <w:r w:rsidRPr="008F539D">
              <w:rPr>
                <w:rFonts w:asciiTheme="minorHAnsi" w:eastAsia="Calibri" w:hAnsiTheme="minorHAnsi" w:cstheme="minorHAnsi"/>
                <w:b/>
              </w:rPr>
              <w:t>Total Unique Patients</w:t>
            </w:r>
          </w:p>
        </w:tc>
        <w:tc>
          <w:tcPr>
            <w:tcW w:w="1980" w:type="dxa"/>
            <w:tcBorders>
              <w:bottom w:val="single" w:sz="4" w:space="0" w:color="auto"/>
            </w:tcBorders>
          </w:tcPr>
          <w:p w14:paraId="13D5BA19" w14:textId="77777777" w:rsidR="007C089F" w:rsidRPr="00FA4ED8" w:rsidRDefault="007C089F" w:rsidP="005E5659">
            <w:pPr>
              <w:ind w:left="720" w:hanging="557"/>
              <w:contextualSpacing/>
              <w:jc w:val="right"/>
              <w:rPr>
                <w:rFonts w:asciiTheme="minorHAnsi" w:eastAsia="Calibri" w:hAnsiTheme="minorHAnsi" w:cstheme="minorHAnsi"/>
                <w:bCs/>
                <w:highlight w:val="yellow"/>
              </w:rPr>
            </w:pPr>
            <w:r w:rsidRPr="009D39A8">
              <w:rPr>
                <w:rFonts w:asciiTheme="minorHAnsi" w:hAnsiTheme="minorHAnsi" w:cstheme="minorHAnsi"/>
                <w:b/>
                <w:bCs/>
                <w:color w:val="000000"/>
              </w:rPr>
              <w:t>1,633,109</w:t>
            </w:r>
          </w:p>
        </w:tc>
      </w:tr>
      <w:tr w:rsidR="007C089F" w:rsidRPr="00FA4ED8" w14:paraId="06E4DEA3" w14:textId="77777777" w:rsidTr="005E5659">
        <w:trPr>
          <w:cantSplit/>
          <w:trHeight w:val="144"/>
          <w:jc w:val="center"/>
        </w:trPr>
        <w:tc>
          <w:tcPr>
            <w:tcW w:w="5215" w:type="dxa"/>
            <w:tcBorders>
              <w:top w:val="single" w:sz="4" w:space="0" w:color="auto"/>
              <w:left w:val="single" w:sz="4" w:space="0" w:color="auto"/>
              <w:bottom w:val="nil"/>
              <w:right w:val="single" w:sz="4" w:space="0" w:color="auto"/>
            </w:tcBorders>
          </w:tcPr>
          <w:p w14:paraId="0381FB20" w14:textId="77777777" w:rsidR="007C089F" w:rsidRPr="00553838" w:rsidRDefault="007C089F" w:rsidP="005E5659">
            <w:pPr>
              <w:contextualSpacing/>
              <w:rPr>
                <w:rFonts w:asciiTheme="minorHAnsi" w:eastAsia="Calibri" w:hAnsiTheme="minorHAnsi" w:cstheme="minorHAnsi"/>
                <w:bCs/>
              </w:rPr>
            </w:pPr>
            <w:r w:rsidRPr="00553838">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2C8BB67F" w14:textId="77777777" w:rsidR="007C089F" w:rsidRPr="00553838" w:rsidRDefault="007C089F" w:rsidP="005E5659">
            <w:pPr>
              <w:contextualSpacing/>
              <w:rPr>
                <w:rFonts w:asciiTheme="minorHAnsi" w:eastAsia="Calibri" w:hAnsiTheme="minorHAnsi" w:cstheme="minorHAnsi"/>
                <w:bCs/>
              </w:rPr>
            </w:pPr>
          </w:p>
        </w:tc>
      </w:tr>
      <w:tr w:rsidR="007C089F" w:rsidRPr="00FA4ED8" w14:paraId="58082140" w14:textId="77777777" w:rsidTr="005E5659">
        <w:trPr>
          <w:cantSplit/>
          <w:trHeight w:val="144"/>
          <w:jc w:val="center"/>
        </w:trPr>
        <w:tc>
          <w:tcPr>
            <w:tcW w:w="5215" w:type="dxa"/>
            <w:tcBorders>
              <w:top w:val="nil"/>
              <w:left w:val="single" w:sz="4" w:space="0" w:color="auto"/>
              <w:bottom w:val="nil"/>
              <w:right w:val="single" w:sz="4" w:space="0" w:color="auto"/>
            </w:tcBorders>
          </w:tcPr>
          <w:p w14:paraId="153DC50C" w14:textId="77777777" w:rsidR="007C089F" w:rsidRPr="00553838" w:rsidRDefault="007C089F" w:rsidP="005E5659">
            <w:pPr>
              <w:contextualSpacing/>
              <w:rPr>
                <w:rFonts w:asciiTheme="minorHAnsi" w:eastAsia="Calibri" w:hAnsiTheme="minorHAnsi" w:cstheme="minorHAnsi"/>
                <w:b/>
              </w:rPr>
            </w:pPr>
            <w:r w:rsidRPr="00553838">
              <w:rPr>
                <w:rFonts w:asciiTheme="minorHAnsi" w:eastAsia="Calibri" w:hAnsiTheme="minorHAnsi" w:cstheme="minorHAnsi"/>
                <w:bCs/>
              </w:rPr>
              <w:t xml:space="preserve">   Female</w:t>
            </w:r>
          </w:p>
        </w:tc>
        <w:tc>
          <w:tcPr>
            <w:tcW w:w="1980" w:type="dxa"/>
            <w:tcBorders>
              <w:top w:val="nil"/>
              <w:left w:val="single" w:sz="4" w:space="0" w:color="auto"/>
              <w:bottom w:val="nil"/>
              <w:right w:val="single" w:sz="4" w:space="0" w:color="auto"/>
            </w:tcBorders>
          </w:tcPr>
          <w:p w14:paraId="7DBD08D0" w14:textId="77777777" w:rsidR="007C089F" w:rsidRPr="00553838" w:rsidRDefault="007C089F" w:rsidP="005E5659">
            <w:pPr>
              <w:ind w:left="720" w:hanging="557"/>
              <w:contextualSpacing/>
              <w:jc w:val="right"/>
              <w:rPr>
                <w:rFonts w:asciiTheme="minorHAnsi" w:eastAsia="Calibri" w:hAnsiTheme="minorHAnsi" w:cstheme="minorHAnsi"/>
                <w:bCs/>
              </w:rPr>
            </w:pPr>
            <w:r w:rsidRPr="00553838">
              <w:rPr>
                <w:rFonts w:asciiTheme="minorHAnsi" w:hAnsiTheme="minorHAnsi" w:cstheme="minorHAnsi"/>
              </w:rPr>
              <w:t>60.23%</w:t>
            </w:r>
          </w:p>
        </w:tc>
      </w:tr>
      <w:tr w:rsidR="007C089F" w:rsidRPr="00FA4ED8" w14:paraId="18418CD2" w14:textId="77777777" w:rsidTr="005E5659">
        <w:trPr>
          <w:cantSplit/>
          <w:trHeight w:val="144"/>
          <w:jc w:val="center"/>
        </w:trPr>
        <w:tc>
          <w:tcPr>
            <w:tcW w:w="5215" w:type="dxa"/>
            <w:tcBorders>
              <w:top w:val="nil"/>
              <w:left w:val="single" w:sz="4" w:space="0" w:color="auto"/>
              <w:bottom w:val="nil"/>
              <w:right w:val="single" w:sz="4" w:space="0" w:color="auto"/>
            </w:tcBorders>
          </w:tcPr>
          <w:p w14:paraId="4AF080AC" w14:textId="77777777" w:rsidR="007C089F" w:rsidRPr="00553838" w:rsidRDefault="007C089F" w:rsidP="005E5659">
            <w:pPr>
              <w:ind w:left="720" w:hanging="557"/>
              <w:contextualSpacing/>
              <w:rPr>
                <w:rFonts w:asciiTheme="minorHAnsi" w:eastAsia="Calibri" w:hAnsiTheme="minorHAnsi" w:cstheme="minorHAnsi"/>
                <w:bCs/>
              </w:rPr>
            </w:pPr>
            <w:r w:rsidRPr="00553838">
              <w:rPr>
                <w:rFonts w:asciiTheme="minorHAnsi" w:eastAsia="Calibri" w:hAnsiTheme="minorHAnsi" w:cstheme="minorHAnsi"/>
                <w:bCs/>
              </w:rPr>
              <w:t>Male</w:t>
            </w:r>
          </w:p>
        </w:tc>
        <w:tc>
          <w:tcPr>
            <w:tcW w:w="1980" w:type="dxa"/>
            <w:tcBorders>
              <w:top w:val="nil"/>
              <w:left w:val="single" w:sz="4" w:space="0" w:color="auto"/>
              <w:bottom w:val="nil"/>
              <w:right w:val="single" w:sz="4" w:space="0" w:color="auto"/>
            </w:tcBorders>
          </w:tcPr>
          <w:p w14:paraId="078519F5" w14:textId="77777777" w:rsidR="007C089F" w:rsidRPr="00553838" w:rsidRDefault="007C089F" w:rsidP="005E5659">
            <w:pPr>
              <w:ind w:left="720" w:hanging="557"/>
              <w:contextualSpacing/>
              <w:jc w:val="right"/>
              <w:rPr>
                <w:rFonts w:asciiTheme="minorHAnsi" w:eastAsia="Calibri" w:hAnsiTheme="minorHAnsi" w:cstheme="minorHAnsi"/>
                <w:bCs/>
              </w:rPr>
            </w:pPr>
            <w:r w:rsidRPr="00553838">
              <w:rPr>
                <w:rFonts w:asciiTheme="minorHAnsi" w:hAnsiTheme="minorHAnsi" w:cstheme="minorHAnsi"/>
              </w:rPr>
              <w:t>39.63%</w:t>
            </w:r>
          </w:p>
        </w:tc>
      </w:tr>
      <w:tr w:rsidR="007C089F" w:rsidRPr="00FA4ED8" w14:paraId="1C7D9519" w14:textId="77777777" w:rsidTr="005E5659">
        <w:trPr>
          <w:cantSplit/>
          <w:trHeight w:val="144"/>
          <w:jc w:val="center"/>
        </w:trPr>
        <w:tc>
          <w:tcPr>
            <w:tcW w:w="5215" w:type="dxa"/>
            <w:tcBorders>
              <w:top w:val="nil"/>
              <w:left w:val="single" w:sz="4" w:space="0" w:color="auto"/>
              <w:bottom w:val="nil"/>
              <w:right w:val="single" w:sz="4" w:space="0" w:color="auto"/>
            </w:tcBorders>
          </w:tcPr>
          <w:p w14:paraId="25C40C56" w14:textId="77777777" w:rsidR="007C089F" w:rsidRPr="00553838" w:rsidRDefault="007C089F" w:rsidP="005E5659">
            <w:pPr>
              <w:contextualSpacing/>
              <w:rPr>
                <w:rFonts w:asciiTheme="minorHAnsi" w:eastAsia="Calibri" w:hAnsiTheme="minorHAnsi" w:cstheme="minorHAnsi"/>
                <w:bCs/>
              </w:rPr>
            </w:pPr>
            <w:r w:rsidRPr="00553838">
              <w:rPr>
                <w:rFonts w:asciiTheme="minorHAnsi" w:eastAsia="Calibri" w:hAnsiTheme="minorHAnsi" w:cstheme="minorHAnsi"/>
                <w:bCs/>
              </w:rPr>
              <w:t xml:space="preserve">   Other</w:t>
            </w:r>
            <w:r>
              <w:rPr>
                <w:rStyle w:val="FootnoteReference"/>
                <w:rFonts w:asciiTheme="minorHAnsi" w:eastAsia="Calibri" w:hAnsiTheme="minorHAnsi" w:cstheme="minorHAnsi"/>
                <w:bCs/>
              </w:rPr>
              <w:footnoteReference w:id="15"/>
            </w:r>
          </w:p>
        </w:tc>
        <w:tc>
          <w:tcPr>
            <w:tcW w:w="1980" w:type="dxa"/>
            <w:tcBorders>
              <w:top w:val="nil"/>
              <w:left w:val="single" w:sz="4" w:space="0" w:color="auto"/>
              <w:bottom w:val="nil"/>
              <w:right w:val="single" w:sz="4" w:space="0" w:color="auto"/>
            </w:tcBorders>
          </w:tcPr>
          <w:p w14:paraId="6D1A13FC" w14:textId="77777777" w:rsidR="007C089F" w:rsidRPr="00553838" w:rsidRDefault="007C089F" w:rsidP="005E5659">
            <w:pPr>
              <w:ind w:left="720" w:hanging="557"/>
              <w:contextualSpacing/>
              <w:jc w:val="right"/>
              <w:rPr>
                <w:rFonts w:asciiTheme="minorHAnsi" w:eastAsia="Calibri" w:hAnsiTheme="minorHAnsi" w:cstheme="minorHAnsi"/>
                <w:b/>
              </w:rPr>
            </w:pPr>
            <w:r w:rsidRPr="00553838">
              <w:rPr>
                <w:rFonts w:asciiTheme="minorHAnsi" w:hAnsiTheme="minorHAnsi" w:cstheme="minorHAnsi"/>
              </w:rPr>
              <w:t>0.14%</w:t>
            </w:r>
          </w:p>
        </w:tc>
      </w:tr>
      <w:tr w:rsidR="007C089F" w:rsidRPr="00FA4ED8" w14:paraId="71ADDA87" w14:textId="77777777" w:rsidTr="005E5659">
        <w:trPr>
          <w:cantSplit/>
          <w:trHeight w:val="144"/>
          <w:jc w:val="center"/>
        </w:trPr>
        <w:tc>
          <w:tcPr>
            <w:tcW w:w="5215" w:type="dxa"/>
            <w:tcBorders>
              <w:top w:val="nil"/>
              <w:left w:val="single" w:sz="4" w:space="0" w:color="auto"/>
              <w:bottom w:val="single" w:sz="4" w:space="0" w:color="auto"/>
              <w:right w:val="single" w:sz="4" w:space="0" w:color="auto"/>
            </w:tcBorders>
          </w:tcPr>
          <w:p w14:paraId="18CD9EF3" w14:textId="77777777" w:rsidR="007C089F" w:rsidRPr="00553838" w:rsidRDefault="007C089F" w:rsidP="005E5659">
            <w:pPr>
              <w:ind w:left="520" w:hanging="557"/>
              <w:contextualSpacing/>
              <w:rPr>
                <w:rFonts w:asciiTheme="minorHAnsi" w:eastAsia="Calibri" w:hAnsiTheme="minorHAnsi" w:cstheme="minorHAnsi"/>
                <w:b/>
              </w:rPr>
            </w:pPr>
            <w:r w:rsidRPr="00553838">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235792F7" w14:textId="77777777" w:rsidR="007C089F" w:rsidRPr="00553838" w:rsidRDefault="007C089F" w:rsidP="005E5659">
            <w:pPr>
              <w:ind w:left="520" w:hanging="557"/>
              <w:contextualSpacing/>
              <w:jc w:val="right"/>
              <w:rPr>
                <w:rFonts w:asciiTheme="minorHAnsi" w:eastAsia="Calibri" w:hAnsiTheme="minorHAnsi" w:cstheme="minorHAnsi"/>
                <w:b/>
              </w:rPr>
            </w:pPr>
            <w:r w:rsidRPr="00553838">
              <w:rPr>
                <w:rFonts w:asciiTheme="minorHAnsi" w:eastAsia="Calibri" w:hAnsiTheme="minorHAnsi" w:cstheme="minorHAnsi"/>
                <w:b/>
              </w:rPr>
              <w:t>100.00%</w:t>
            </w:r>
          </w:p>
        </w:tc>
      </w:tr>
      <w:tr w:rsidR="007C089F" w:rsidRPr="00FA4ED8" w14:paraId="62F44E2B" w14:textId="77777777" w:rsidTr="005E5659">
        <w:trPr>
          <w:cantSplit/>
          <w:trHeight w:val="144"/>
          <w:jc w:val="center"/>
        </w:trPr>
        <w:tc>
          <w:tcPr>
            <w:tcW w:w="5215" w:type="dxa"/>
            <w:tcBorders>
              <w:top w:val="single" w:sz="4" w:space="0" w:color="auto"/>
              <w:left w:val="single" w:sz="4" w:space="0" w:color="auto"/>
              <w:bottom w:val="nil"/>
              <w:right w:val="single" w:sz="4" w:space="0" w:color="auto"/>
            </w:tcBorders>
          </w:tcPr>
          <w:p w14:paraId="35A57437" w14:textId="77777777" w:rsidR="007C089F" w:rsidRPr="00A666FB" w:rsidRDefault="007C089F" w:rsidP="005E5659">
            <w:pPr>
              <w:contextualSpacing/>
              <w:rPr>
                <w:rFonts w:asciiTheme="minorHAnsi" w:eastAsia="Calibri" w:hAnsiTheme="minorHAnsi" w:cstheme="minorHAnsi"/>
                <w:bCs/>
              </w:rPr>
            </w:pPr>
            <w:r w:rsidRPr="00A666FB">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27682F88" w14:textId="77777777" w:rsidR="007C089F" w:rsidRPr="00FA4ED8" w:rsidRDefault="007C089F" w:rsidP="005E5659">
            <w:pPr>
              <w:contextualSpacing/>
              <w:rPr>
                <w:rFonts w:asciiTheme="minorHAnsi" w:eastAsia="Calibri" w:hAnsiTheme="minorHAnsi" w:cstheme="minorHAnsi"/>
                <w:bCs/>
                <w:highlight w:val="yellow"/>
              </w:rPr>
            </w:pPr>
          </w:p>
        </w:tc>
      </w:tr>
      <w:tr w:rsidR="007C089F" w:rsidRPr="00FA4ED8" w14:paraId="10B4AAA2" w14:textId="77777777" w:rsidTr="005E5659">
        <w:trPr>
          <w:cantSplit/>
          <w:trHeight w:val="144"/>
          <w:jc w:val="center"/>
        </w:trPr>
        <w:tc>
          <w:tcPr>
            <w:tcW w:w="5215" w:type="dxa"/>
            <w:tcBorders>
              <w:top w:val="nil"/>
              <w:left w:val="single" w:sz="4" w:space="0" w:color="auto"/>
              <w:bottom w:val="nil"/>
              <w:right w:val="single" w:sz="4" w:space="0" w:color="auto"/>
            </w:tcBorders>
          </w:tcPr>
          <w:p w14:paraId="5167B8B0" w14:textId="77777777" w:rsidR="007C089F" w:rsidRPr="00A666FB" w:rsidRDefault="007C089F" w:rsidP="005E5659">
            <w:pPr>
              <w:contextualSpacing/>
              <w:rPr>
                <w:rFonts w:asciiTheme="minorHAnsi" w:eastAsia="Calibri" w:hAnsiTheme="minorHAnsi" w:cstheme="minorHAnsi"/>
                <w:b/>
              </w:rPr>
            </w:pPr>
            <w:r w:rsidRPr="00A666FB">
              <w:rPr>
                <w:rFonts w:asciiTheme="minorHAnsi" w:eastAsia="Calibri" w:hAnsiTheme="minorHAnsi" w:cstheme="minorHAnsi"/>
                <w:bCs/>
              </w:rPr>
              <w:t xml:space="preserve">    0-17</w:t>
            </w:r>
          </w:p>
        </w:tc>
        <w:tc>
          <w:tcPr>
            <w:tcW w:w="1980" w:type="dxa"/>
            <w:tcBorders>
              <w:top w:val="nil"/>
              <w:left w:val="single" w:sz="4" w:space="0" w:color="auto"/>
              <w:bottom w:val="nil"/>
              <w:right w:val="single" w:sz="4" w:space="0" w:color="auto"/>
            </w:tcBorders>
          </w:tcPr>
          <w:p w14:paraId="13251573" w14:textId="77777777" w:rsidR="007C089F" w:rsidRPr="00720076" w:rsidRDefault="007C089F" w:rsidP="005E5659">
            <w:pPr>
              <w:ind w:left="720" w:hanging="557"/>
              <w:contextualSpacing/>
              <w:jc w:val="right"/>
              <w:rPr>
                <w:rFonts w:asciiTheme="minorHAnsi" w:hAnsiTheme="minorHAnsi" w:cstheme="minorHAnsi"/>
              </w:rPr>
            </w:pPr>
            <w:r w:rsidRPr="00720076">
              <w:rPr>
                <w:rFonts w:asciiTheme="minorHAnsi" w:hAnsiTheme="minorHAnsi" w:cstheme="minorHAnsi"/>
              </w:rPr>
              <w:t>11.08%</w:t>
            </w:r>
          </w:p>
        </w:tc>
      </w:tr>
      <w:tr w:rsidR="007C089F" w:rsidRPr="00FA4ED8" w14:paraId="34E81C52" w14:textId="77777777" w:rsidTr="005E5659">
        <w:trPr>
          <w:cantSplit/>
          <w:trHeight w:val="144"/>
          <w:jc w:val="center"/>
        </w:trPr>
        <w:tc>
          <w:tcPr>
            <w:tcW w:w="5215" w:type="dxa"/>
            <w:tcBorders>
              <w:top w:val="nil"/>
              <w:left w:val="single" w:sz="4" w:space="0" w:color="auto"/>
              <w:bottom w:val="nil"/>
              <w:right w:val="single" w:sz="4" w:space="0" w:color="auto"/>
            </w:tcBorders>
          </w:tcPr>
          <w:p w14:paraId="7E02B1C2" w14:textId="77777777" w:rsidR="007C089F" w:rsidRPr="00A666FB" w:rsidRDefault="007C089F" w:rsidP="005E5659">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lastRenderedPageBreak/>
              <w:t>18-64</w:t>
            </w:r>
          </w:p>
        </w:tc>
        <w:tc>
          <w:tcPr>
            <w:tcW w:w="1980" w:type="dxa"/>
            <w:tcBorders>
              <w:top w:val="nil"/>
              <w:left w:val="single" w:sz="4" w:space="0" w:color="auto"/>
              <w:bottom w:val="nil"/>
              <w:right w:val="single" w:sz="4" w:space="0" w:color="auto"/>
            </w:tcBorders>
          </w:tcPr>
          <w:p w14:paraId="486A666C" w14:textId="77777777" w:rsidR="007C089F" w:rsidRPr="00720076" w:rsidRDefault="007C089F" w:rsidP="005E5659">
            <w:pPr>
              <w:ind w:left="720" w:hanging="557"/>
              <w:contextualSpacing/>
              <w:jc w:val="right"/>
              <w:rPr>
                <w:rFonts w:asciiTheme="minorHAnsi" w:hAnsiTheme="minorHAnsi" w:cstheme="minorHAnsi"/>
              </w:rPr>
            </w:pPr>
            <w:r w:rsidRPr="00720076">
              <w:rPr>
                <w:rFonts w:asciiTheme="minorHAnsi" w:hAnsiTheme="minorHAnsi" w:cstheme="minorHAnsi"/>
              </w:rPr>
              <w:t>60.84%</w:t>
            </w:r>
          </w:p>
        </w:tc>
      </w:tr>
      <w:tr w:rsidR="007C089F" w:rsidRPr="00FA4ED8" w14:paraId="0043752B" w14:textId="77777777" w:rsidTr="005E5659">
        <w:trPr>
          <w:cantSplit/>
          <w:trHeight w:val="144"/>
          <w:jc w:val="center"/>
        </w:trPr>
        <w:tc>
          <w:tcPr>
            <w:tcW w:w="5215" w:type="dxa"/>
            <w:tcBorders>
              <w:top w:val="nil"/>
              <w:left w:val="single" w:sz="4" w:space="0" w:color="auto"/>
              <w:bottom w:val="nil"/>
              <w:right w:val="single" w:sz="4" w:space="0" w:color="auto"/>
            </w:tcBorders>
          </w:tcPr>
          <w:p w14:paraId="47933C85" w14:textId="77777777" w:rsidR="007C089F" w:rsidRPr="00A666FB" w:rsidRDefault="007C089F" w:rsidP="005E5659">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tcPr>
          <w:p w14:paraId="7685A623" w14:textId="77777777" w:rsidR="007C089F" w:rsidRPr="00720076" w:rsidRDefault="007C089F" w:rsidP="005E5659">
            <w:pPr>
              <w:ind w:left="720" w:hanging="557"/>
              <w:contextualSpacing/>
              <w:jc w:val="right"/>
              <w:rPr>
                <w:rFonts w:asciiTheme="minorHAnsi" w:hAnsiTheme="minorHAnsi" w:cstheme="minorHAnsi"/>
              </w:rPr>
            </w:pPr>
            <w:r w:rsidRPr="00720076">
              <w:rPr>
                <w:rFonts w:asciiTheme="minorHAnsi" w:hAnsiTheme="minorHAnsi" w:cstheme="minorHAnsi"/>
              </w:rPr>
              <w:t>28.09%</w:t>
            </w:r>
          </w:p>
        </w:tc>
      </w:tr>
      <w:tr w:rsidR="007C089F" w:rsidRPr="00FA4ED8" w14:paraId="0E552615" w14:textId="77777777" w:rsidTr="005E5659">
        <w:trPr>
          <w:cantSplit/>
          <w:trHeight w:val="144"/>
          <w:jc w:val="center"/>
        </w:trPr>
        <w:tc>
          <w:tcPr>
            <w:tcW w:w="5215" w:type="dxa"/>
            <w:tcBorders>
              <w:top w:val="nil"/>
              <w:left w:val="single" w:sz="4" w:space="0" w:color="auto"/>
              <w:bottom w:val="single" w:sz="4" w:space="0" w:color="auto"/>
              <w:right w:val="single" w:sz="4" w:space="0" w:color="auto"/>
            </w:tcBorders>
          </w:tcPr>
          <w:p w14:paraId="36F2AE31" w14:textId="77777777" w:rsidR="007C089F" w:rsidRPr="00A666FB" w:rsidRDefault="007C089F" w:rsidP="005E5659">
            <w:pPr>
              <w:ind w:left="520" w:hanging="557"/>
              <w:contextualSpacing/>
              <w:rPr>
                <w:rFonts w:asciiTheme="minorHAnsi" w:eastAsia="Calibri" w:hAnsiTheme="minorHAnsi" w:cstheme="minorHAnsi"/>
                <w:b/>
              </w:rPr>
            </w:pPr>
            <w:r w:rsidRPr="00A666FB">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171150CA" w14:textId="77777777" w:rsidR="007C089F" w:rsidRPr="00FA4ED8" w:rsidRDefault="007C089F" w:rsidP="005E5659">
            <w:pPr>
              <w:ind w:left="720" w:hanging="557"/>
              <w:contextualSpacing/>
              <w:jc w:val="right"/>
              <w:rPr>
                <w:rFonts w:asciiTheme="minorHAnsi" w:eastAsia="Calibri" w:hAnsiTheme="minorHAnsi" w:cstheme="minorHAnsi"/>
                <w:b/>
                <w:highlight w:val="yellow"/>
              </w:rPr>
            </w:pPr>
            <w:r w:rsidRPr="00720076">
              <w:rPr>
                <w:rFonts w:asciiTheme="minorHAnsi" w:eastAsia="Calibri" w:hAnsiTheme="minorHAnsi" w:cstheme="minorHAnsi"/>
                <w:b/>
              </w:rPr>
              <w:t>100.00%</w:t>
            </w:r>
          </w:p>
        </w:tc>
      </w:tr>
      <w:tr w:rsidR="007C089F" w:rsidRPr="00FA4ED8" w14:paraId="3058770D" w14:textId="77777777" w:rsidTr="005E5659">
        <w:trPr>
          <w:cantSplit/>
          <w:trHeight w:val="144"/>
          <w:jc w:val="center"/>
        </w:trPr>
        <w:tc>
          <w:tcPr>
            <w:tcW w:w="5215" w:type="dxa"/>
            <w:tcBorders>
              <w:top w:val="single" w:sz="4" w:space="0" w:color="auto"/>
              <w:left w:val="single" w:sz="4" w:space="0" w:color="auto"/>
              <w:bottom w:val="nil"/>
              <w:right w:val="single" w:sz="4" w:space="0" w:color="auto"/>
            </w:tcBorders>
          </w:tcPr>
          <w:p w14:paraId="73A2BF27" w14:textId="77777777" w:rsidR="007C089F" w:rsidRPr="00E708CE" w:rsidRDefault="007C089F" w:rsidP="005E5659">
            <w:pPr>
              <w:contextualSpacing/>
              <w:rPr>
                <w:rFonts w:asciiTheme="minorHAnsi" w:eastAsia="Calibri" w:hAnsiTheme="minorHAnsi" w:cstheme="minorHAnsi"/>
                <w:b/>
              </w:rPr>
            </w:pPr>
            <w:r>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458C3EF8" w14:textId="77777777" w:rsidR="007C089F" w:rsidRPr="00FA4ED8" w:rsidRDefault="007C089F" w:rsidP="005E5659">
            <w:pPr>
              <w:rPr>
                <w:rFonts w:asciiTheme="minorHAnsi" w:hAnsiTheme="minorHAnsi" w:cstheme="minorHAnsi"/>
                <w:b/>
                <w:bCs/>
                <w:color w:val="000000"/>
                <w:highlight w:val="yellow"/>
              </w:rPr>
            </w:pPr>
          </w:p>
        </w:tc>
      </w:tr>
      <w:tr w:rsidR="007C089F" w:rsidRPr="00FA4ED8" w14:paraId="1888B22C" w14:textId="77777777" w:rsidTr="005E5659">
        <w:trPr>
          <w:cantSplit/>
          <w:trHeight w:val="144"/>
          <w:jc w:val="center"/>
        </w:trPr>
        <w:tc>
          <w:tcPr>
            <w:tcW w:w="5215" w:type="dxa"/>
            <w:tcBorders>
              <w:top w:val="nil"/>
              <w:left w:val="single" w:sz="4" w:space="0" w:color="auto"/>
              <w:bottom w:val="nil"/>
              <w:right w:val="single" w:sz="4" w:space="0" w:color="auto"/>
            </w:tcBorders>
            <w:vAlign w:val="center"/>
          </w:tcPr>
          <w:p w14:paraId="4CDC0816" w14:textId="77777777" w:rsidR="007C089F" w:rsidRPr="00E708CE" w:rsidRDefault="007C089F" w:rsidP="005E5659">
            <w:pPr>
              <w:ind w:left="720" w:hanging="557"/>
              <w:contextualSpacing/>
              <w:rPr>
                <w:rFonts w:asciiTheme="minorHAnsi" w:hAnsiTheme="minorHAnsi" w:cstheme="minorHAnsi"/>
                <w:spacing w:val="-2"/>
              </w:rPr>
            </w:pPr>
            <w:r w:rsidRPr="00E708CE">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center"/>
          </w:tcPr>
          <w:p w14:paraId="302F1015"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74.05%</w:t>
            </w:r>
          </w:p>
        </w:tc>
      </w:tr>
      <w:tr w:rsidR="007C089F" w:rsidRPr="00FA4ED8" w14:paraId="494889A9" w14:textId="77777777" w:rsidTr="005E5659">
        <w:trPr>
          <w:cantSplit/>
          <w:trHeight w:val="144"/>
          <w:jc w:val="center"/>
        </w:trPr>
        <w:tc>
          <w:tcPr>
            <w:tcW w:w="5215" w:type="dxa"/>
            <w:tcBorders>
              <w:top w:val="nil"/>
              <w:left w:val="single" w:sz="4" w:space="0" w:color="auto"/>
              <w:bottom w:val="nil"/>
              <w:right w:val="single" w:sz="4" w:space="0" w:color="auto"/>
            </w:tcBorders>
            <w:vAlign w:val="center"/>
          </w:tcPr>
          <w:p w14:paraId="4F2812D5" w14:textId="77777777" w:rsidR="007C089F" w:rsidRPr="00EE08DF" w:rsidRDefault="007C089F" w:rsidP="005E5659">
            <w:pPr>
              <w:ind w:left="720" w:hanging="557"/>
              <w:contextualSpacing/>
              <w:rPr>
                <w:rFonts w:asciiTheme="minorHAnsi" w:hAnsiTheme="minorHAnsi" w:cstheme="minorHAnsi"/>
                <w:color w:val="000000"/>
              </w:rPr>
            </w:pPr>
            <w:r w:rsidRPr="00E708CE">
              <w:rPr>
                <w:rFonts w:asciiTheme="minorHAnsi" w:hAnsiTheme="minorHAnsi" w:cstheme="minorHAnsi"/>
                <w:color w:val="000000"/>
              </w:rPr>
              <w:t>Black or African American</w:t>
            </w:r>
          </w:p>
        </w:tc>
        <w:tc>
          <w:tcPr>
            <w:tcW w:w="1980" w:type="dxa"/>
            <w:tcBorders>
              <w:top w:val="nil"/>
              <w:left w:val="single" w:sz="4" w:space="0" w:color="auto"/>
              <w:bottom w:val="nil"/>
              <w:right w:val="single" w:sz="4" w:space="0" w:color="auto"/>
            </w:tcBorders>
            <w:vAlign w:val="center"/>
          </w:tcPr>
          <w:p w14:paraId="4F674ED8"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5.45%</w:t>
            </w:r>
          </w:p>
        </w:tc>
      </w:tr>
      <w:tr w:rsidR="007C089F" w:rsidRPr="00FA4ED8" w14:paraId="26674EA6" w14:textId="77777777" w:rsidTr="005E5659">
        <w:trPr>
          <w:cantSplit/>
          <w:trHeight w:val="144"/>
          <w:jc w:val="center"/>
        </w:trPr>
        <w:tc>
          <w:tcPr>
            <w:tcW w:w="5215" w:type="dxa"/>
            <w:tcBorders>
              <w:top w:val="nil"/>
              <w:left w:val="single" w:sz="4" w:space="0" w:color="auto"/>
              <w:bottom w:val="nil"/>
              <w:right w:val="single" w:sz="4" w:space="0" w:color="auto"/>
            </w:tcBorders>
            <w:vAlign w:val="center"/>
          </w:tcPr>
          <w:p w14:paraId="7ED60663" w14:textId="77777777" w:rsidR="007C089F" w:rsidRPr="00EE08DF" w:rsidRDefault="007C089F" w:rsidP="005E5659">
            <w:pPr>
              <w:ind w:left="720" w:hanging="557"/>
              <w:contextualSpacing/>
              <w:rPr>
                <w:rFonts w:asciiTheme="minorHAnsi" w:hAnsiTheme="minorHAnsi" w:cstheme="minorHAnsi"/>
                <w:color w:val="000000"/>
              </w:rPr>
            </w:pPr>
            <w:r w:rsidRPr="00EE08DF">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center"/>
          </w:tcPr>
          <w:p w14:paraId="73BFF6AD"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0.13%</w:t>
            </w:r>
          </w:p>
        </w:tc>
      </w:tr>
      <w:tr w:rsidR="007C089F" w:rsidRPr="00FA4ED8" w14:paraId="4D204E7A" w14:textId="77777777" w:rsidTr="005E5659">
        <w:trPr>
          <w:cantSplit/>
          <w:trHeight w:val="144"/>
          <w:jc w:val="center"/>
        </w:trPr>
        <w:tc>
          <w:tcPr>
            <w:tcW w:w="5215" w:type="dxa"/>
            <w:tcBorders>
              <w:top w:val="nil"/>
              <w:left w:val="single" w:sz="4" w:space="0" w:color="auto"/>
              <w:bottom w:val="nil"/>
              <w:right w:val="single" w:sz="4" w:space="0" w:color="auto"/>
            </w:tcBorders>
            <w:vAlign w:val="center"/>
          </w:tcPr>
          <w:p w14:paraId="6440FD43" w14:textId="77777777" w:rsidR="007C089F" w:rsidRPr="00EE08DF" w:rsidRDefault="007C089F" w:rsidP="005E5659">
            <w:pPr>
              <w:ind w:left="720" w:hanging="557"/>
              <w:contextualSpacing/>
              <w:rPr>
                <w:rFonts w:asciiTheme="minorHAnsi" w:hAnsiTheme="minorHAnsi" w:cstheme="minorHAnsi"/>
                <w:color w:val="000000"/>
              </w:rPr>
            </w:pPr>
            <w:r w:rsidRPr="00EE08DF">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center"/>
          </w:tcPr>
          <w:p w14:paraId="2C40CDB4"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6.45%</w:t>
            </w:r>
          </w:p>
        </w:tc>
      </w:tr>
      <w:tr w:rsidR="007C089F" w:rsidRPr="00FA4ED8" w14:paraId="0EEF36EA" w14:textId="77777777" w:rsidTr="005E5659">
        <w:trPr>
          <w:cantSplit/>
          <w:trHeight w:val="144"/>
          <w:jc w:val="center"/>
        </w:trPr>
        <w:tc>
          <w:tcPr>
            <w:tcW w:w="5215" w:type="dxa"/>
            <w:tcBorders>
              <w:top w:val="nil"/>
              <w:left w:val="single" w:sz="4" w:space="0" w:color="auto"/>
              <w:bottom w:val="nil"/>
              <w:right w:val="single" w:sz="4" w:space="0" w:color="auto"/>
            </w:tcBorders>
            <w:vAlign w:val="center"/>
          </w:tcPr>
          <w:p w14:paraId="6B6F8139" w14:textId="77777777" w:rsidR="007C089F" w:rsidRPr="00EE08DF" w:rsidRDefault="007C089F" w:rsidP="005E5659">
            <w:pPr>
              <w:ind w:left="720" w:hanging="557"/>
              <w:contextualSpacing/>
              <w:rPr>
                <w:rFonts w:asciiTheme="minorHAnsi" w:hAnsiTheme="minorHAnsi" w:cstheme="minorHAnsi"/>
                <w:color w:val="000000"/>
              </w:rPr>
            </w:pPr>
            <w:r w:rsidRPr="00E708CE">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center"/>
          </w:tcPr>
          <w:p w14:paraId="2FBD5EEB"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0.07%</w:t>
            </w:r>
          </w:p>
        </w:tc>
      </w:tr>
      <w:tr w:rsidR="007C089F" w:rsidRPr="00FA4ED8" w14:paraId="004C3ED9" w14:textId="77777777" w:rsidTr="005E5659">
        <w:trPr>
          <w:cantSplit/>
          <w:trHeight w:val="144"/>
          <w:jc w:val="center"/>
        </w:trPr>
        <w:tc>
          <w:tcPr>
            <w:tcW w:w="5215" w:type="dxa"/>
            <w:tcBorders>
              <w:top w:val="nil"/>
              <w:left w:val="single" w:sz="4" w:space="0" w:color="auto"/>
              <w:bottom w:val="nil"/>
              <w:right w:val="single" w:sz="4" w:space="0" w:color="auto"/>
            </w:tcBorders>
            <w:vAlign w:val="bottom"/>
          </w:tcPr>
          <w:p w14:paraId="0A1A64CF" w14:textId="77777777" w:rsidR="007C089F" w:rsidRPr="00EE08DF" w:rsidRDefault="007C089F" w:rsidP="005E5659">
            <w:pPr>
              <w:ind w:left="720" w:hanging="557"/>
              <w:contextualSpacing/>
              <w:rPr>
                <w:rFonts w:asciiTheme="minorHAnsi" w:hAnsiTheme="minorHAnsi" w:cstheme="minorHAnsi"/>
                <w:color w:val="000000"/>
              </w:rPr>
            </w:pPr>
            <w:r w:rsidRPr="00EE08DF">
              <w:rPr>
                <w:rFonts w:asciiTheme="minorHAnsi" w:hAnsiTheme="minorHAnsi" w:cstheme="minorHAnsi"/>
                <w:color w:val="000000"/>
              </w:rPr>
              <w:t>Other</w:t>
            </w:r>
            <w:r w:rsidRPr="00317A17">
              <w:rPr>
                <w:rStyle w:val="FootnoteReference"/>
                <w:rFonts w:asciiTheme="minorHAnsi" w:eastAsia="Calibri" w:hAnsiTheme="minorHAnsi" w:cstheme="minorHAnsi"/>
                <w:bCs/>
              </w:rPr>
              <w:footnoteReference w:id="16"/>
            </w:r>
          </w:p>
        </w:tc>
        <w:tc>
          <w:tcPr>
            <w:tcW w:w="1980" w:type="dxa"/>
            <w:tcBorders>
              <w:top w:val="nil"/>
              <w:left w:val="single" w:sz="4" w:space="0" w:color="auto"/>
              <w:bottom w:val="nil"/>
              <w:right w:val="single" w:sz="4" w:space="0" w:color="auto"/>
            </w:tcBorders>
            <w:vAlign w:val="center"/>
          </w:tcPr>
          <w:p w14:paraId="319A1CB6"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6.66%</w:t>
            </w:r>
          </w:p>
        </w:tc>
      </w:tr>
      <w:tr w:rsidR="007C089F" w:rsidRPr="00FA4ED8" w14:paraId="48C65A47" w14:textId="77777777" w:rsidTr="005E5659">
        <w:trPr>
          <w:cantSplit/>
          <w:trHeight w:val="144"/>
          <w:jc w:val="center"/>
        </w:trPr>
        <w:tc>
          <w:tcPr>
            <w:tcW w:w="5215" w:type="dxa"/>
            <w:tcBorders>
              <w:top w:val="nil"/>
              <w:left w:val="single" w:sz="4" w:space="0" w:color="auto"/>
              <w:bottom w:val="nil"/>
              <w:right w:val="single" w:sz="4" w:space="0" w:color="auto"/>
            </w:tcBorders>
            <w:vAlign w:val="bottom"/>
          </w:tcPr>
          <w:p w14:paraId="0813BE50" w14:textId="77777777" w:rsidR="007C089F" w:rsidRPr="00EE08DF" w:rsidRDefault="007C089F" w:rsidP="005E5659">
            <w:pPr>
              <w:ind w:left="720" w:hanging="557"/>
              <w:contextualSpacing/>
              <w:rPr>
                <w:rFonts w:asciiTheme="minorHAnsi" w:hAnsiTheme="minorHAnsi" w:cstheme="minorHAnsi"/>
                <w:color w:val="000000"/>
              </w:rPr>
            </w:pPr>
            <w:r w:rsidRPr="00EE08DF">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7878AE5F"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5.71%</w:t>
            </w:r>
          </w:p>
        </w:tc>
      </w:tr>
      <w:tr w:rsidR="007C089F" w:rsidRPr="00FA4ED8" w14:paraId="2DD5C73B" w14:textId="77777777" w:rsidTr="005E5659">
        <w:trPr>
          <w:cantSplit/>
          <w:trHeight w:val="144"/>
          <w:jc w:val="center"/>
        </w:trPr>
        <w:tc>
          <w:tcPr>
            <w:tcW w:w="5215" w:type="dxa"/>
            <w:tcBorders>
              <w:top w:val="nil"/>
              <w:left w:val="single" w:sz="4" w:space="0" w:color="auto"/>
              <w:bottom w:val="nil"/>
              <w:right w:val="single" w:sz="4" w:space="0" w:color="auto"/>
            </w:tcBorders>
            <w:vAlign w:val="bottom"/>
          </w:tcPr>
          <w:p w14:paraId="7C82365F" w14:textId="77777777" w:rsidR="007C089F" w:rsidRPr="00EE08DF" w:rsidRDefault="007C089F" w:rsidP="005E5659">
            <w:pPr>
              <w:ind w:left="720" w:hanging="557"/>
              <w:contextualSpacing/>
              <w:rPr>
                <w:rFonts w:asciiTheme="minorHAnsi" w:hAnsiTheme="minorHAnsi" w:cstheme="minorHAnsi"/>
                <w:color w:val="000000"/>
              </w:rPr>
            </w:pPr>
            <w:r w:rsidRPr="00EE08DF">
              <w:rPr>
                <w:rFonts w:asciiTheme="minorHAnsi" w:hAnsiTheme="minorHAnsi" w:cstheme="minorHAnsi"/>
                <w:color w:val="000000"/>
              </w:rPr>
              <w:t>Patient Declined</w:t>
            </w:r>
          </w:p>
        </w:tc>
        <w:tc>
          <w:tcPr>
            <w:tcW w:w="1980" w:type="dxa"/>
            <w:tcBorders>
              <w:top w:val="nil"/>
              <w:left w:val="single" w:sz="4" w:space="0" w:color="auto"/>
              <w:bottom w:val="nil"/>
              <w:right w:val="single" w:sz="4" w:space="0" w:color="auto"/>
            </w:tcBorders>
            <w:vAlign w:val="center"/>
          </w:tcPr>
          <w:p w14:paraId="2A6CDFE3" w14:textId="77777777" w:rsidR="007C089F" w:rsidRPr="00317A17" w:rsidRDefault="007C089F" w:rsidP="005E5659">
            <w:pPr>
              <w:ind w:left="720" w:hanging="557"/>
              <w:contextualSpacing/>
              <w:jc w:val="right"/>
              <w:rPr>
                <w:rFonts w:asciiTheme="minorHAnsi" w:hAnsiTheme="minorHAnsi" w:cstheme="minorHAnsi"/>
              </w:rPr>
            </w:pPr>
            <w:r w:rsidRPr="00317A17">
              <w:rPr>
                <w:rFonts w:asciiTheme="minorHAnsi" w:hAnsiTheme="minorHAnsi" w:cstheme="minorHAnsi"/>
              </w:rPr>
              <w:t>1.49%</w:t>
            </w:r>
          </w:p>
        </w:tc>
      </w:tr>
      <w:tr w:rsidR="007C089F" w:rsidRPr="000F546B" w14:paraId="32EC8BA3" w14:textId="77777777" w:rsidTr="005E5659">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7D48EC02" w14:textId="77777777" w:rsidR="007C089F" w:rsidRPr="00E708CE" w:rsidRDefault="007C089F" w:rsidP="005E5659">
            <w:pPr>
              <w:ind w:left="720" w:hanging="557"/>
              <w:contextualSpacing/>
              <w:rPr>
                <w:rFonts w:asciiTheme="minorHAnsi" w:hAnsiTheme="minorHAnsi" w:cstheme="minorHAnsi"/>
                <w:b/>
                <w:bCs/>
              </w:rPr>
            </w:pPr>
            <w:r w:rsidRPr="00E708CE">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7193172A" w14:textId="77777777" w:rsidR="007C089F" w:rsidRPr="00FA4ED8" w:rsidRDefault="007C089F" w:rsidP="005E5659">
            <w:pPr>
              <w:jc w:val="right"/>
              <w:rPr>
                <w:rFonts w:asciiTheme="minorHAnsi" w:hAnsiTheme="minorHAnsi" w:cstheme="minorHAnsi"/>
                <w:b/>
                <w:bCs/>
                <w:color w:val="000000"/>
                <w:highlight w:val="yellow"/>
              </w:rPr>
            </w:pPr>
            <w:r w:rsidRPr="00317A17">
              <w:rPr>
                <w:rFonts w:asciiTheme="minorHAnsi" w:hAnsiTheme="minorHAnsi" w:cstheme="minorHAnsi"/>
                <w:b/>
                <w:bCs/>
                <w:color w:val="000000"/>
              </w:rPr>
              <w:t>100.00%</w:t>
            </w:r>
          </w:p>
        </w:tc>
      </w:tr>
      <w:tr w:rsidR="007C089F" w:rsidRPr="00FA4ED8" w14:paraId="43A8ED35" w14:textId="77777777" w:rsidTr="005E5659">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37B5BCEA" w14:textId="77777777" w:rsidR="007C089F" w:rsidRPr="00B34883" w:rsidRDefault="007C089F" w:rsidP="005E5659">
            <w:pPr>
              <w:contextualSpacing/>
              <w:rPr>
                <w:rFonts w:asciiTheme="minorHAnsi" w:eastAsia="Calibri" w:hAnsiTheme="minorHAnsi" w:cstheme="minorHAnsi"/>
                <w:b/>
              </w:rPr>
            </w:pPr>
            <w:r>
              <w:rPr>
                <w:rFonts w:asciiTheme="minorHAnsi" w:eastAsia="Calibri" w:hAnsiTheme="minorHAnsi" w:cstheme="minorHAnsi"/>
                <w:b/>
              </w:rPr>
              <w:t>Ethnicity</w:t>
            </w:r>
            <w:r>
              <w:rPr>
                <w:rStyle w:val="FootnoteReference"/>
                <w:rFonts w:asciiTheme="minorHAnsi" w:eastAsia="Calibri" w:hAnsiTheme="minorHAnsi" w:cstheme="minorHAnsi"/>
                <w:b/>
              </w:rPr>
              <w:footnoteReference w:id="17"/>
            </w:r>
          </w:p>
        </w:tc>
        <w:tc>
          <w:tcPr>
            <w:tcW w:w="1980" w:type="dxa"/>
            <w:tcBorders>
              <w:top w:val="single" w:sz="4" w:space="0" w:color="auto"/>
              <w:left w:val="single" w:sz="4" w:space="0" w:color="auto"/>
              <w:bottom w:val="nil"/>
              <w:right w:val="single" w:sz="4" w:space="0" w:color="auto"/>
            </w:tcBorders>
          </w:tcPr>
          <w:p w14:paraId="521D2889" w14:textId="77777777" w:rsidR="007C089F" w:rsidRPr="00FA4ED8" w:rsidRDefault="007C089F" w:rsidP="005E5659">
            <w:pPr>
              <w:contextualSpacing/>
              <w:rPr>
                <w:rFonts w:asciiTheme="minorHAnsi" w:eastAsia="Calibri" w:hAnsiTheme="minorHAnsi" w:cstheme="minorHAnsi"/>
                <w:bCs/>
                <w:highlight w:val="yellow"/>
              </w:rPr>
            </w:pPr>
          </w:p>
        </w:tc>
      </w:tr>
      <w:tr w:rsidR="007C089F" w:rsidRPr="00FA4ED8" w14:paraId="18DEB562"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42A0D123" w14:textId="77777777" w:rsidR="007C089F" w:rsidRPr="00B34883" w:rsidRDefault="007C089F" w:rsidP="005E5659">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Hispanic/Latino</w:t>
            </w:r>
          </w:p>
        </w:tc>
        <w:tc>
          <w:tcPr>
            <w:tcW w:w="1980" w:type="dxa"/>
            <w:tcBorders>
              <w:top w:val="nil"/>
              <w:left w:val="single" w:sz="4" w:space="0" w:color="auto"/>
              <w:bottom w:val="nil"/>
              <w:right w:val="single" w:sz="4" w:space="0" w:color="auto"/>
            </w:tcBorders>
            <w:vAlign w:val="center"/>
          </w:tcPr>
          <w:p w14:paraId="2E83FF1D" w14:textId="77777777" w:rsidR="007C089F" w:rsidRPr="00317174" w:rsidRDefault="007C089F" w:rsidP="005E5659">
            <w:pPr>
              <w:ind w:left="720" w:hanging="557"/>
              <w:contextualSpacing/>
              <w:jc w:val="right"/>
              <w:rPr>
                <w:rFonts w:asciiTheme="minorHAnsi" w:hAnsiTheme="minorHAnsi" w:cstheme="minorHAnsi"/>
              </w:rPr>
            </w:pPr>
            <w:r w:rsidRPr="007F0F1A">
              <w:rPr>
                <w:rFonts w:asciiTheme="minorHAnsi" w:hAnsiTheme="minorHAnsi" w:cstheme="minorHAnsi"/>
              </w:rPr>
              <w:t>5.95%</w:t>
            </w:r>
          </w:p>
        </w:tc>
      </w:tr>
      <w:tr w:rsidR="007C089F" w:rsidRPr="00FA4ED8" w14:paraId="47109FE5"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32E12CC5" w14:textId="77777777" w:rsidR="007C089F" w:rsidRPr="00B34883" w:rsidRDefault="007C089F" w:rsidP="005E5659">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Not Hispanic/Latino</w:t>
            </w:r>
          </w:p>
        </w:tc>
        <w:tc>
          <w:tcPr>
            <w:tcW w:w="1980" w:type="dxa"/>
            <w:tcBorders>
              <w:top w:val="nil"/>
              <w:left w:val="single" w:sz="4" w:space="0" w:color="auto"/>
              <w:bottom w:val="nil"/>
              <w:right w:val="single" w:sz="4" w:space="0" w:color="auto"/>
            </w:tcBorders>
            <w:vAlign w:val="center"/>
          </w:tcPr>
          <w:p w14:paraId="037F55F1" w14:textId="77777777" w:rsidR="007C089F" w:rsidRPr="00317174" w:rsidRDefault="007C089F" w:rsidP="005E5659">
            <w:pPr>
              <w:ind w:left="720" w:hanging="557"/>
              <w:contextualSpacing/>
              <w:jc w:val="right"/>
              <w:rPr>
                <w:rFonts w:asciiTheme="minorHAnsi" w:hAnsiTheme="minorHAnsi" w:cstheme="minorHAnsi"/>
              </w:rPr>
            </w:pPr>
            <w:r w:rsidRPr="007F0F1A">
              <w:rPr>
                <w:rFonts w:asciiTheme="minorHAnsi" w:hAnsiTheme="minorHAnsi" w:cstheme="minorHAnsi"/>
              </w:rPr>
              <w:t>80.38%</w:t>
            </w:r>
          </w:p>
        </w:tc>
      </w:tr>
      <w:tr w:rsidR="007C089F" w:rsidRPr="00FA4ED8" w14:paraId="36375CAB"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63D2E783" w14:textId="77777777" w:rsidR="007C089F" w:rsidRPr="00B34883" w:rsidRDefault="007C089F" w:rsidP="005E5659">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Patient Declined </w:t>
            </w:r>
          </w:p>
        </w:tc>
        <w:tc>
          <w:tcPr>
            <w:tcW w:w="1980" w:type="dxa"/>
            <w:tcBorders>
              <w:top w:val="nil"/>
              <w:left w:val="single" w:sz="4" w:space="0" w:color="auto"/>
              <w:bottom w:val="nil"/>
              <w:right w:val="single" w:sz="4" w:space="0" w:color="auto"/>
            </w:tcBorders>
            <w:vAlign w:val="center"/>
          </w:tcPr>
          <w:p w14:paraId="2D0865D5" w14:textId="77777777" w:rsidR="007C089F" w:rsidRPr="00317174" w:rsidRDefault="007C089F" w:rsidP="005E5659">
            <w:pPr>
              <w:ind w:left="720" w:hanging="557"/>
              <w:contextualSpacing/>
              <w:jc w:val="right"/>
              <w:rPr>
                <w:rFonts w:asciiTheme="minorHAnsi" w:hAnsiTheme="minorHAnsi" w:cstheme="minorHAnsi"/>
              </w:rPr>
            </w:pPr>
            <w:r w:rsidRPr="007F0F1A">
              <w:rPr>
                <w:rFonts w:asciiTheme="minorHAnsi" w:hAnsiTheme="minorHAnsi" w:cstheme="minorHAnsi"/>
              </w:rPr>
              <w:t>2.91%</w:t>
            </w:r>
          </w:p>
        </w:tc>
      </w:tr>
      <w:tr w:rsidR="007C089F" w:rsidRPr="00FA4ED8" w14:paraId="651F758C"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04EAE01F" w14:textId="77777777" w:rsidR="007C089F" w:rsidRPr="00B34883" w:rsidRDefault="007C089F" w:rsidP="005E5659">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41A4AA20" w14:textId="77777777" w:rsidR="007C089F" w:rsidRPr="00317174" w:rsidRDefault="007C089F" w:rsidP="005E5659">
            <w:pPr>
              <w:ind w:left="720" w:hanging="557"/>
              <w:contextualSpacing/>
              <w:jc w:val="right"/>
              <w:rPr>
                <w:rFonts w:asciiTheme="minorHAnsi" w:hAnsiTheme="minorHAnsi" w:cstheme="minorHAnsi"/>
              </w:rPr>
            </w:pPr>
            <w:r w:rsidRPr="007F0F1A">
              <w:rPr>
                <w:rFonts w:asciiTheme="minorHAnsi" w:hAnsiTheme="minorHAnsi" w:cstheme="minorHAnsi"/>
              </w:rPr>
              <w:t>7.36%</w:t>
            </w:r>
          </w:p>
        </w:tc>
      </w:tr>
      <w:tr w:rsidR="007C089F" w:rsidRPr="00FA4ED8" w14:paraId="1FBF1F0D"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02ED7998" w14:textId="77777777" w:rsidR="007C089F" w:rsidRPr="00B34883" w:rsidRDefault="007C089F" w:rsidP="005E5659">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Other </w:t>
            </w:r>
          </w:p>
        </w:tc>
        <w:tc>
          <w:tcPr>
            <w:tcW w:w="1980" w:type="dxa"/>
            <w:tcBorders>
              <w:top w:val="nil"/>
              <w:left w:val="single" w:sz="4" w:space="0" w:color="auto"/>
              <w:bottom w:val="nil"/>
              <w:right w:val="single" w:sz="4" w:space="0" w:color="auto"/>
            </w:tcBorders>
            <w:vAlign w:val="center"/>
          </w:tcPr>
          <w:p w14:paraId="6B5E67C0" w14:textId="77777777" w:rsidR="007C089F" w:rsidRPr="00317174" w:rsidRDefault="007C089F" w:rsidP="005E5659">
            <w:pPr>
              <w:ind w:left="720" w:hanging="557"/>
              <w:contextualSpacing/>
              <w:jc w:val="right"/>
              <w:rPr>
                <w:rFonts w:asciiTheme="minorHAnsi" w:hAnsiTheme="minorHAnsi" w:cstheme="minorHAnsi"/>
              </w:rPr>
            </w:pPr>
            <w:r w:rsidRPr="007F0F1A">
              <w:rPr>
                <w:rFonts w:asciiTheme="minorHAnsi" w:hAnsiTheme="minorHAnsi" w:cstheme="minorHAnsi"/>
              </w:rPr>
              <w:t>3.41%</w:t>
            </w:r>
          </w:p>
        </w:tc>
      </w:tr>
      <w:tr w:rsidR="007C089F" w:rsidRPr="00FA4ED8" w14:paraId="34BC563B" w14:textId="77777777" w:rsidTr="005E5659">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0216E84E" w14:textId="77777777" w:rsidR="007C089F" w:rsidRPr="00B34883" w:rsidRDefault="007C089F" w:rsidP="005E5659">
            <w:pPr>
              <w:contextualSpacing/>
              <w:rPr>
                <w:rFonts w:asciiTheme="minorHAnsi" w:eastAsia="Calibri" w:hAnsiTheme="minorHAnsi" w:cstheme="minorHAnsi"/>
                <w:b/>
              </w:rPr>
            </w:pPr>
            <w:r w:rsidRPr="0041377A">
              <w:rPr>
                <w:rFonts w:asciiTheme="minorHAnsi" w:hAnsiTheme="minorHAnsi" w:cstheme="minorHAnsi"/>
                <w:b/>
                <w:bCs/>
                <w:color w:val="000000"/>
              </w:rPr>
              <w:t xml:space="preserve"> </w:t>
            </w:r>
            <w:r>
              <w:rPr>
                <w:rFonts w:asciiTheme="minorHAnsi" w:hAnsiTheme="minorHAnsi" w:cstheme="minorHAnsi"/>
                <w:b/>
                <w:bCs/>
                <w:color w:val="000000"/>
              </w:rPr>
              <w:t xml:space="preserve">  </w:t>
            </w:r>
            <w:r w:rsidRPr="0041377A">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tcPr>
          <w:p w14:paraId="43DA9CC0" w14:textId="77777777" w:rsidR="007C089F" w:rsidRPr="004535A9" w:rsidRDefault="007C089F" w:rsidP="005E5659">
            <w:pPr>
              <w:ind w:left="720" w:hanging="557"/>
              <w:contextualSpacing/>
              <w:jc w:val="right"/>
              <w:rPr>
                <w:rFonts w:asciiTheme="minorHAnsi" w:hAnsiTheme="minorHAnsi" w:cstheme="minorHAnsi"/>
                <w:b/>
                <w:bCs/>
              </w:rPr>
            </w:pPr>
            <w:r w:rsidRPr="004535A9">
              <w:rPr>
                <w:rFonts w:asciiTheme="minorHAnsi" w:hAnsiTheme="minorHAnsi" w:cstheme="minorHAnsi"/>
                <w:b/>
                <w:bCs/>
              </w:rPr>
              <w:t>100.00%</w:t>
            </w:r>
          </w:p>
        </w:tc>
      </w:tr>
      <w:tr w:rsidR="007C089F" w:rsidRPr="00FA4ED8" w14:paraId="6D2326C6" w14:textId="77777777" w:rsidTr="005E5659">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3844F62B" w14:textId="77777777" w:rsidR="007C089F" w:rsidRPr="00B34883" w:rsidRDefault="007C089F" w:rsidP="005E5659">
            <w:pPr>
              <w:contextualSpacing/>
              <w:rPr>
                <w:rFonts w:asciiTheme="minorHAnsi" w:eastAsia="Calibri" w:hAnsiTheme="minorHAnsi" w:cstheme="minorHAnsi"/>
                <w:b/>
              </w:rPr>
            </w:pPr>
            <w:r w:rsidRPr="00B34883">
              <w:rPr>
                <w:rFonts w:asciiTheme="minorHAnsi" w:eastAsia="Calibri" w:hAnsiTheme="minorHAnsi" w:cstheme="minorHAnsi"/>
                <w:b/>
              </w:rPr>
              <w:t>Payer Mix</w:t>
            </w:r>
          </w:p>
        </w:tc>
        <w:tc>
          <w:tcPr>
            <w:tcW w:w="1980" w:type="dxa"/>
            <w:tcBorders>
              <w:top w:val="single" w:sz="4" w:space="0" w:color="auto"/>
              <w:left w:val="single" w:sz="4" w:space="0" w:color="auto"/>
              <w:bottom w:val="nil"/>
              <w:right w:val="single" w:sz="4" w:space="0" w:color="auto"/>
            </w:tcBorders>
          </w:tcPr>
          <w:p w14:paraId="48A49634" w14:textId="77777777" w:rsidR="007C089F" w:rsidRPr="00FA4ED8" w:rsidRDefault="007C089F" w:rsidP="005E5659">
            <w:pPr>
              <w:contextualSpacing/>
              <w:rPr>
                <w:rFonts w:asciiTheme="minorHAnsi" w:eastAsia="Calibri" w:hAnsiTheme="minorHAnsi" w:cstheme="minorHAnsi"/>
                <w:bCs/>
                <w:highlight w:val="yellow"/>
              </w:rPr>
            </w:pPr>
          </w:p>
        </w:tc>
      </w:tr>
      <w:tr w:rsidR="007C089F" w:rsidRPr="00FA4ED8" w14:paraId="0138EC48"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tcPr>
          <w:p w14:paraId="78936A9E" w14:textId="77777777" w:rsidR="007C089F" w:rsidRPr="00B34883" w:rsidRDefault="007C089F" w:rsidP="005E5659">
            <w:pPr>
              <w:ind w:left="720" w:hanging="557"/>
              <w:contextualSpacing/>
              <w:rPr>
                <w:rFonts w:asciiTheme="minorHAnsi" w:hAnsiTheme="minorHAnsi" w:cstheme="minorHAnsi"/>
                <w:color w:val="000000"/>
              </w:rPr>
            </w:pPr>
            <w:r w:rsidRPr="00B34883">
              <w:rPr>
                <w:rFonts w:asciiTheme="minorHAnsi" w:hAnsiTheme="minorHAnsi" w:cstheme="minorHAnsi"/>
                <w:color w:val="000000"/>
              </w:rPr>
              <w:t>Commercial</w:t>
            </w:r>
          </w:p>
        </w:tc>
        <w:tc>
          <w:tcPr>
            <w:tcW w:w="1980" w:type="dxa"/>
            <w:tcBorders>
              <w:top w:val="nil"/>
              <w:left w:val="single" w:sz="4" w:space="0" w:color="auto"/>
              <w:bottom w:val="nil"/>
              <w:right w:val="single" w:sz="4" w:space="0" w:color="auto"/>
            </w:tcBorders>
            <w:vAlign w:val="center"/>
          </w:tcPr>
          <w:p w14:paraId="4A6E36CB" w14:textId="77777777" w:rsidR="007C089F" w:rsidRPr="00DD1360" w:rsidRDefault="007C089F" w:rsidP="005E5659">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53.23%</w:t>
            </w:r>
          </w:p>
        </w:tc>
      </w:tr>
      <w:tr w:rsidR="007C089F" w:rsidRPr="00FA4ED8" w14:paraId="694D40AA"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tcPr>
          <w:p w14:paraId="7FCD3429" w14:textId="77777777" w:rsidR="007C089F" w:rsidRPr="00B34883" w:rsidRDefault="007C089F" w:rsidP="005E5659">
            <w:pPr>
              <w:ind w:left="720" w:hanging="557"/>
              <w:contextualSpacing/>
              <w:rPr>
                <w:rFonts w:asciiTheme="minorHAnsi" w:hAnsiTheme="minorHAnsi" w:cstheme="minorHAnsi"/>
                <w:color w:val="000000"/>
              </w:rPr>
            </w:pPr>
            <w:r w:rsidRPr="00B34883">
              <w:rPr>
                <w:rFonts w:asciiTheme="minorHAnsi" w:hAnsiTheme="minorHAnsi" w:cstheme="minorHAnsi"/>
                <w:color w:val="000000"/>
              </w:rPr>
              <w:t>Medicare</w:t>
            </w:r>
          </w:p>
        </w:tc>
        <w:tc>
          <w:tcPr>
            <w:tcW w:w="1980" w:type="dxa"/>
            <w:tcBorders>
              <w:top w:val="nil"/>
              <w:left w:val="single" w:sz="4" w:space="0" w:color="auto"/>
              <w:bottom w:val="nil"/>
              <w:right w:val="single" w:sz="4" w:space="0" w:color="auto"/>
            </w:tcBorders>
            <w:vAlign w:val="center"/>
          </w:tcPr>
          <w:p w14:paraId="7E56F6F6" w14:textId="77777777" w:rsidR="007C089F" w:rsidRPr="00DD1360" w:rsidRDefault="007C089F" w:rsidP="005E5659">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26.02%</w:t>
            </w:r>
          </w:p>
        </w:tc>
      </w:tr>
      <w:tr w:rsidR="007C089F" w:rsidRPr="00FA4ED8" w14:paraId="7B1B2D21"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tcPr>
          <w:p w14:paraId="53B698FE" w14:textId="77777777" w:rsidR="007C089F" w:rsidRPr="00B34883" w:rsidRDefault="007C089F" w:rsidP="005E5659">
            <w:pPr>
              <w:ind w:left="720" w:hanging="557"/>
              <w:contextualSpacing/>
              <w:rPr>
                <w:rFonts w:asciiTheme="minorHAnsi" w:hAnsiTheme="minorHAnsi" w:cstheme="minorHAnsi"/>
                <w:color w:val="000000"/>
              </w:rPr>
            </w:pPr>
            <w:r w:rsidRPr="00B34883">
              <w:rPr>
                <w:rFonts w:asciiTheme="minorHAnsi" w:hAnsiTheme="minorHAnsi" w:cstheme="minorHAnsi"/>
                <w:color w:val="000000"/>
              </w:rPr>
              <w:t xml:space="preserve">Medicaid </w:t>
            </w:r>
          </w:p>
        </w:tc>
        <w:tc>
          <w:tcPr>
            <w:tcW w:w="1980" w:type="dxa"/>
            <w:tcBorders>
              <w:top w:val="nil"/>
              <w:left w:val="single" w:sz="4" w:space="0" w:color="auto"/>
              <w:bottom w:val="nil"/>
              <w:right w:val="single" w:sz="4" w:space="0" w:color="auto"/>
            </w:tcBorders>
            <w:vAlign w:val="center"/>
          </w:tcPr>
          <w:p w14:paraId="1F181CF2" w14:textId="77777777" w:rsidR="007C089F" w:rsidRPr="00DD1360" w:rsidRDefault="007C089F" w:rsidP="005E5659">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10.14%</w:t>
            </w:r>
          </w:p>
        </w:tc>
      </w:tr>
      <w:tr w:rsidR="007C089F" w:rsidRPr="00FA4ED8" w14:paraId="7987C6E9"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tcPr>
          <w:p w14:paraId="5C9F3430" w14:textId="77777777" w:rsidR="007C089F" w:rsidRPr="00B34883" w:rsidRDefault="007C089F" w:rsidP="005E5659">
            <w:pPr>
              <w:ind w:left="720" w:hanging="557"/>
              <w:contextualSpacing/>
              <w:rPr>
                <w:rFonts w:asciiTheme="minorHAnsi" w:hAnsiTheme="minorHAnsi" w:cstheme="minorHAnsi"/>
                <w:color w:val="000000"/>
              </w:rPr>
            </w:pPr>
            <w:r w:rsidRPr="00B34883">
              <w:rPr>
                <w:rFonts w:asciiTheme="minorHAnsi" w:hAnsiTheme="minorHAnsi" w:cstheme="minorHAnsi"/>
                <w:color w:val="000000"/>
              </w:rPr>
              <w:t>Multiple Payers</w:t>
            </w:r>
          </w:p>
        </w:tc>
        <w:tc>
          <w:tcPr>
            <w:tcW w:w="1980" w:type="dxa"/>
            <w:tcBorders>
              <w:top w:val="nil"/>
              <w:left w:val="single" w:sz="4" w:space="0" w:color="auto"/>
              <w:bottom w:val="nil"/>
              <w:right w:val="single" w:sz="4" w:space="0" w:color="auto"/>
            </w:tcBorders>
            <w:vAlign w:val="center"/>
          </w:tcPr>
          <w:p w14:paraId="62A1F02D" w14:textId="77777777" w:rsidR="007C089F" w:rsidRPr="00DD1360" w:rsidRDefault="007C089F" w:rsidP="005E5659">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2.65%</w:t>
            </w:r>
          </w:p>
        </w:tc>
      </w:tr>
      <w:tr w:rsidR="007C089F" w:rsidRPr="00FA4ED8" w14:paraId="51BB30F6"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tcPr>
          <w:p w14:paraId="68E6CD4E" w14:textId="77777777" w:rsidR="007C089F" w:rsidRPr="00B34883" w:rsidRDefault="007C089F" w:rsidP="005E5659">
            <w:pPr>
              <w:ind w:left="720" w:hanging="557"/>
              <w:contextualSpacing/>
              <w:rPr>
                <w:rFonts w:asciiTheme="minorHAnsi" w:hAnsiTheme="minorHAnsi" w:cstheme="minorHAnsi"/>
                <w:color w:val="000000"/>
              </w:rPr>
            </w:pPr>
            <w:r w:rsidRPr="00B34883">
              <w:rPr>
                <w:rFonts w:asciiTheme="minorHAnsi" w:hAnsiTheme="minorHAnsi" w:cstheme="minorHAnsi"/>
                <w:color w:val="000000"/>
              </w:rPr>
              <w:t>Other</w:t>
            </w:r>
            <w:r w:rsidRPr="00601EAE">
              <w:rPr>
                <w:rStyle w:val="FootnoteReference"/>
                <w:rFonts w:asciiTheme="minorHAnsi" w:eastAsia="Calibri" w:hAnsiTheme="minorHAnsi" w:cstheme="minorHAnsi"/>
                <w:bCs/>
              </w:rPr>
              <w:footnoteReference w:id="18"/>
            </w:r>
          </w:p>
        </w:tc>
        <w:tc>
          <w:tcPr>
            <w:tcW w:w="1980" w:type="dxa"/>
            <w:tcBorders>
              <w:top w:val="nil"/>
              <w:left w:val="single" w:sz="4" w:space="0" w:color="auto"/>
              <w:bottom w:val="nil"/>
              <w:right w:val="single" w:sz="4" w:space="0" w:color="auto"/>
            </w:tcBorders>
            <w:vAlign w:val="center"/>
          </w:tcPr>
          <w:p w14:paraId="795F227E" w14:textId="77777777" w:rsidR="007C089F" w:rsidRPr="00DD1360" w:rsidRDefault="007C089F" w:rsidP="005E5659">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7.96%</w:t>
            </w:r>
          </w:p>
        </w:tc>
      </w:tr>
      <w:tr w:rsidR="007C089F" w:rsidRPr="00FA4ED8" w14:paraId="77ECA9AC" w14:textId="77777777" w:rsidTr="005E5659">
        <w:trPr>
          <w:cantSplit/>
          <w:trHeight w:val="144"/>
          <w:jc w:val="center"/>
        </w:trPr>
        <w:tc>
          <w:tcPr>
            <w:tcW w:w="5215" w:type="dxa"/>
            <w:tcBorders>
              <w:top w:val="nil"/>
              <w:left w:val="single" w:sz="4" w:space="0" w:color="auto"/>
              <w:bottom w:val="nil"/>
              <w:right w:val="single" w:sz="4" w:space="0" w:color="auto"/>
            </w:tcBorders>
            <w:shd w:val="clear" w:color="auto" w:fill="auto"/>
          </w:tcPr>
          <w:p w14:paraId="15522A82" w14:textId="77777777" w:rsidR="007C089F" w:rsidRPr="00B34883" w:rsidRDefault="007C089F" w:rsidP="005E5659">
            <w:pPr>
              <w:ind w:left="720" w:hanging="557"/>
              <w:contextualSpacing/>
              <w:rPr>
                <w:rFonts w:asciiTheme="minorHAnsi" w:hAnsiTheme="minorHAnsi" w:cstheme="minorHAnsi"/>
                <w:spacing w:val="-5"/>
              </w:rPr>
            </w:pPr>
            <w:r w:rsidRPr="00B34883">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0C35683D" w14:textId="77777777" w:rsidR="007C089F" w:rsidRPr="00DD1360" w:rsidRDefault="007C089F" w:rsidP="005E5659">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0.00%</w:t>
            </w:r>
          </w:p>
        </w:tc>
      </w:tr>
      <w:tr w:rsidR="007C089F" w:rsidRPr="00FA4ED8" w14:paraId="7BCEACF3" w14:textId="77777777" w:rsidTr="005E5659">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4D36308E" w14:textId="77777777" w:rsidR="007C089F" w:rsidRPr="00B34883" w:rsidRDefault="007C089F" w:rsidP="005E5659">
            <w:pPr>
              <w:contextualSpacing/>
              <w:rPr>
                <w:rFonts w:asciiTheme="minorHAnsi" w:eastAsia="Calibri" w:hAnsiTheme="minorHAnsi" w:cstheme="minorHAnsi"/>
                <w:b/>
              </w:rPr>
            </w:pPr>
            <w:r w:rsidRPr="00B34883">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32F1A834" w14:textId="77777777" w:rsidR="007C089F" w:rsidRPr="00FA4ED8" w:rsidRDefault="007C089F" w:rsidP="005E5659">
            <w:pPr>
              <w:ind w:left="720" w:hanging="557"/>
              <w:contextualSpacing/>
              <w:jc w:val="right"/>
              <w:rPr>
                <w:rFonts w:asciiTheme="minorHAnsi" w:hAnsiTheme="minorHAnsi" w:cstheme="minorHAnsi"/>
                <w:spacing w:val="-5"/>
                <w:highlight w:val="yellow"/>
              </w:rPr>
            </w:pPr>
            <w:r w:rsidRPr="00DD1360">
              <w:rPr>
                <w:rFonts w:asciiTheme="minorHAnsi" w:eastAsia="Calibri" w:hAnsiTheme="minorHAnsi" w:cstheme="minorHAnsi"/>
                <w:b/>
              </w:rPr>
              <w:t>100.00%</w:t>
            </w:r>
          </w:p>
        </w:tc>
      </w:tr>
    </w:tbl>
    <w:p w14:paraId="31A031FF" w14:textId="77777777" w:rsidR="007C089F" w:rsidRDefault="007C089F" w:rsidP="00C1132B">
      <w:pPr>
        <w:pStyle w:val="Heading1"/>
        <w:rPr>
          <w:rFonts w:asciiTheme="minorHAnsi" w:hAnsiTheme="minorHAnsi" w:cstheme="minorHAnsi"/>
        </w:rPr>
      </w:pPr>
    </w:p>
    <w:p w14:paraId="7BC6A2BB" w14:textId="680B86B4" w:rsidR="00C1132B" w:rsidRDefault="00C1132B" w:rsidP="00C1132B">
      <w:pPr>
        <w:pStyle w:val="Heading1"/>
        <w:rPr>
          <w:rFonts w:asciiTheme="minorHAnsi" w:hAnsiTheme="minorHAnsi" w:cstheme="minorHAnsi"/>
        </w:rPr>
      </w:pPr>
      <w:bookmarkStart w:id="77" w:name="_Toc155341759"/>
      <w:r w:rsidRPr="00654AA8">
        <w:rPr>
          <w:rFonts w:asciiTheme="minorHAnsi" w:hAnsiTheme="minorHAnsi" w:cstheme="minorHAnsi"/>
        </w:rPr>
        <w:t>Appendix I</w:t>
      </w:r>
      <w:r w:rsidR="002536D4">
        <w:rPr>
          <w:rFonts w:asciiTheme="minorHAnsi" w:hAnsiTheme="minorHAnsi" w:cstheme="minorHAnsi"/>
        </w:rPr>
        <w:t>I</w:t>
      </w:r>
      <w:r>
        <w:rPr>
          <w:rFonts w:asciiTheme="minorHAnsi" w:hAnsiTheme="minorHAnsi" w:cstheme="minorHAnsi"/>
        </w:rPr>
        <w:t>I</w:t>
      </w:r>
      <w:r w:rsidRPr="00654AA8">
        <w:rPr>
          <w:rFonts w:asciiTheme="minorHAnsi" w:hAnsiTheme="minorHAnsi" w:cstheme="minorHAnsi"/>
        </w:rPr>
        <w:t xml:space="preserve">: </w:t>
      </w:r>
      <w:r>
        <w:rPr>
          <w:rFonts w:asciiTheme="minorHAnsi" w:hAnsiTheme="minorHAnsi" w:cstheme="minorHAnsi"/>
        </w:rPr>
        <w:t>Literature Review</w:t>
      </w:r>
      <w:bookmarkEnd w:id="77"/>
    </w:p>
    <w:p w14:paraId="4ECBEF84" w14:textId="34587FF4" w:rsidR="0056052E" w:rsidRDefault="0056052E" w:rsidP="0056052E">
      <w:pPr>
        <w:pStyle w:val="EndnoteText"/>
        <w:jc w:val="both"/>
        <w:rPr>
          <w:rFonts w:cstheme="minorHAnsi"/>
        </w:rPr>
      </w:pPr>
      <w:r w:rsidRPr="005667BA">
        <w:rPr>
          <w:rFonts w:cstheme="minorHAnsi"/>
          <w:smallCaps/>
        </w:rPr>
        <w:t xml:space="preserve">Nat’l Cancer institute, </w:t>
      </w:r>
      <w:hyperlink r:id="rId14" w:history="1">
        <w:r w:rsidRPr="00B651DB">
          <w:rPr>
            <w:rStyle w:val="Hyperlink"/>
            <w:rFonts w:cstheme="minorHAnsi"/>
            <w:i/>
            <w:iCs/>
            <w:color w:val="auto"/>
            <w:u w:val="none"/>
          </w:rPr>
          <w:t>Radiation Therapy to Treat Cancer</w:t>
        </w:r>
      </w:hyperlink>
      <w:r w:rsidRPr="00B651DB">
        <w:rPr>
          <w:rFonts w:cstheme="minorHAnsi"/>
        </w:rPr>
        <w:t xml:space="preserve"> (updated </w:t>
      </w:r>
      <w:r w:rsidRPr="005667BA">
        <w:rPr>
          <w:rFonts w:cstheme="minorHAnsi"/>
        </w:rPr>
        <w:t xml:space="preserve">Jan. 8, 2019), </w:t>
      </w:r>
      <w:hyperlink r:id="rId15" w:history="1">
        <w:r w:rsidRPr="005667BA">
          <w:rPr>
            <w:rStyle w:val="Hyperlink"/>
            <w:rFonts w:cstheme="minorHAnsi"/>
            <w:color w:val="42558C" w:themeColor="accent1" w:themeShade="BF"/>
          </w:rPr>
          <w:t>https://www.cancer.gov/about-cancer/treatment/types/radiation-therapy</w:t>
        </w:r>
      </w:hyperlink>
      <w:r w:rsidRPr="005667BA">
        <w:rPr>
          <w:rFonts w:cstheme="minorHAnsi"/>
          <w:color w:val="42558C" w:themeColor="accent1" w:themeShade="BF"/>
        </w:rPr>
        <w:t xml:space="preserve"> </w:t>
      </w:r>
      <w:r w:rsidRPr="005667BA">
        <w:rPr>
          <w:rFonts w:cstheme="minorHAnsi"/>
        </w:rPr>
        <w:t xml:space="preserve">[hereinafter NCI, </w:t>
      </w:r>
      <w:r w:rsidRPr="005667BA">
        <w:rPr>
          <w:rFonts w:cstheme="minorHAnsi"/>
          <w:i/>
          <w:iCs/>
        </w:rPr>
        <w:t>Radiation</w:t>
      </w:r>
      <w:r w:rsidRPr="005667BA">
        <w:rPr>
          <w:rFonts w:cstheme="minorHAnsi"/>
        </w:rPr>
        <w:t xml:space="preserve"> </w:t>
      </w:r>
      <w:r w:rsidRPr="005667BA">
        <w:rPr>
          <w:rFonts w:cstheme="minorHAnsi"/>
          <w:i/>
          <w:iCs/>
        </w:rPr>
        <w:t>Therapy</w:t>
      </w:r>
      <w:r w:rsidRPr="005667BA">
        <w:rPr>
          <w:rFonts w:cstheme="minorHAnsi"/>
        </w:rPr>
        <w:t>].</w:t>
      </w:r>
    </w:p>
    <w:p w14:paraId="5C810407" w14:textId="77777777" w:rsidR="0056052E" w:rsidRPr="005667BA" w:rsidRDefault="0056052E" w:rsidP="0056052E">
      <w:pPr>
        <w:pStyle w:val="EndnoteText"/>
        <w:jc w:val="both"/>
        <w:rPr>
          <w:rFonts w:cstheme="minorHAnsi"/>
        </w:rPr>
      </w:pPr>
    </w:p>
    <w:p w14:paraId="00B08881" w14:textId="6120FE82" w:rsidR="0056052E" w:rsidRDefault="0056052E" w:rsidP="0056052E">
      <w:pPr>
        <w:pStyle w:val="EndnoteText"/>
        <w:jc w:val="both"/>
        <w:rPr>
          <w:rFonts w:cstheme="minorHAnsi"/>
          <w:shd w:val="clear" w:color="auto" w:fill="F7F7F7"/>
        </w:rPr>
      </w:pPr>
      <w:bookmarkStart w:id="78" w:name="_Hlk133927752"/>
      <w:r w:rsidRPr="005667BA">
        <w:rPr>
          <w:rFonts w:cstheme="minorHAnsi"/>
        </w:rPr>
        <w:lastRenderedPageBreak/>
        <w:t xml:space="preserve">Sarah Hegarty et al., </w:t>
      </w:r>
      <w:r w:rsidRPr="005667BA">
        <w:rPr>
          <w:rFonts w:cstheme="minorHAnsi"/>
          <w:i/>
          <w:iCs/>
        </w:rPr>
        <w:t>Please Place Your Seat in the Full Upright Position: A Technical Framework for Landing Upright Radiation Therapy in the 21</w:t>
      </w:r>
      <w:r w:rsidRPr="005667BA">
        <w:rPr>
          <w:rFonts w:cstheme="minorHAnsi"/>
          <w:i/>
          <w:iCs/>
          <w:vertAlign w:val="superscript"/>
        </w:rPr>
        <w:t>st</w:t>
      </w:r>
      <w:r w:rsidRPr="005667BA">
        <w:rPr>
          <w:rFonts w:cstheme="minorHAnsi"/>
          <w:i/>
          <w:iCs/>
        </w:rPr>
        <w:t> Century</w:t>
      </w:r>
      <w:r w:rsidRPr="005667BA">
        <w:rPr>
          <w:rFonts w:cstheme="minorHAnsi"/>
        </w:rPr>
        <w:t xml:space="preserve">. 12 </w:t>
      </w:r>
      <w:r w:rsidRPr="005667BA">
        <w:rPr>
          <w:rFonts w:cstheme="minorHAnsi"/>
          <w:smallCaps/>
        </w:rPr>
        <w:t>Frontiers Oncology</w:t>
      </w:r>
      <w:r w:rsidRPr="005667BA">
        <w:rPr>
          <w:rFonts w:cstheme="minorHAnsi"/>
        </w:rPr>
        <w:t> (Article) 821887 (2022).</w:t>
      </w:r>
      <w:r w:rsidRPr="005667BA">
        <w:rPr>
          <w:rFonts w:cstheme="minorHAnsi"/>
          <w:shd w:val="clear" w:color="auto" w:fill="F7F7F7"/>
        </w:rPr>
        <w:t xml:space="preserve"> </w:t>
      </w:r>
    </w:p>
    <w:p w14:paraId="69DA3B8F" w14:textId="77777777" w:rsidR="0056052E" w:rsidRPr="005667BA" w:rsidRDefault="0056052E" w:rsidP="0056052E">
      <w:pPr>
        <w:pStyle w:val="EndnoteText"/>
        <w:jc w:val="both"/>
        <w:rPr>
          <w:rFonts w:cstheme="minorHAnsi"/>
        </w:rPr>
      </w:pPr>
    </w:p>
    <w:bookmarkEnd w:id="78"/>
    <w:p w14:paraId="5F958C64" w14:textId="2D1A69CB" w:rsidR="0056052E" w:rsidRDefault="0056052E" w:rsidP="0056052E">
      <w:pPr>
        <w:pStyle w:val="EndnoteText"/>
        <w:rPr>
          <w:rFonts w:cstheme="minorHAnsi"/>
        </w:rPr>
      </w:pPr>
      <w:r w:rsidRPr="005667BA">
        <w:rPr>
          <w:rFonts w:cstheme="minorHAnsi"/>
          <w:i/>
          <w:iCs/>
        </w:rPr>
        <w:t xml:space="preserve">See </w:t>
      </w:r>
      <w:r w:rsidRPr="005667BA">
        <w:rPr>
          <w:rFonts w:cstheme="minorHAnsi"/>
          <w:smallCaps/>
        </w:rPr>
        <w:t>Am. Coll. Radiology</w:t>
      </w:r>
      <w:r w:rsidRPr="005667BA">
        <w:rPr>
          <w:rFonts w:cstheme="minorHAnsi"/>
        </w:rPr>
        <w:t xml:space="preserve">, </w:t>
      </w:r>
      <w:hyperlink r:id="rId16" w:history="1">
        <w:r w:rsidRPr="00110F70">
          <w:rPr>
            <w:rStyle w:val="Hyperlink"/>
            <w:rFonts w:cstheme="minorHAnsi"/>
            <w:i/>
            <w:iCs/>
            <w:color w:val="auto"/>
            <w:u w:val="none"/>
          </w:rPr>
          <w:t>ACR-ARS Practice Parameter for Intensity-Modulated Radiation Therapy (IMRT)</w:t>
        </w:r>
      </w:hyperlink>
      <w:r w:rsidRPr="00110F70">
        <w:rPr>
          <w:rFonts w:cstheme="minorHAnsi"/>
          <w:i/>
          <w:iCs/>
        </w:rPr>
        <w:t xml:space="preserve"> </w:t>
      </w:r>
      <w:r w:rsidRPr="00110F70">
        <w:rPr>
          <w:rFonts w:cstheme="minorHAnsi"/>
        </w:rPr>
        <w:t>(</w:t>
      </w:r>
      <w:r w:rsidRPr="005667BA">
        <w:rPr>
          <w:rFonts w:cstheme="minorHAnsi"/>
        </w:rPr>
        <w:t xml:space="preserve">2021), </w:t>
      </w:r>
      <w:hyperlink r:id="rId17" w:history="1">
        <w:r w:rsidRPr="005667BA">
          <w:rPr>
            <w:rStyle w:val="Hyperlink"/>
            <w:rFonts w:cstheme="minorHAnsi"/>
            <w:color w:val="42558C" w:themeColor="accent1" w:themeShade="BF"/>
          </w:rPr>
          <w:t>https://www.acr.org/-/media/ACR/Files/Practice-Parameters/imrt-ro.pdf</w:t>
        </w:r>
      </w:hyperlink>
      <w:r w:rsidRPr="005667BA">
        <w:rPr>
          <w:rFonts w:cstheme="minorHAnsi"/>
        </w:rPr>
        <w:t xml:space="preserve">; </w:t>
      </w:r>
      <w:r w:rsidRPr="005667BA">
        <w:rPr>
          <w:rFonts w:cstheme="minorHAnsi"/>
          <w:smallCaps/>
        </w:rPr>
        <w:t>NCI</w:t>
      </w:r>
      <w:r w:rsidRPr="005667BA">
        <w:rPr>
          <w:rFonts w:cstheme="minorHAnsi"/>
        </w:rPr>
        <w:t xml:space="preserve">, </w:t>
      </w:r>
      <w:r w:rsidRPr="005667BA">
        <w:rPr>
          <w:rFonts w:cstheme="minorHAnsi"/>
          <w:i/>
          <w:iCs/>
        </w:rPr>
        <w:t>External Beam</w:t>
      </w:r>
      <w:r w:rsidRPr="005667BA">
        <w:rPr>
          <w:rFonts w:cstheme="minorHAnsi"/>
        </w:rPr>
        <w:t xml:space="preserve">. </w:t>
      </w:r>
    </w:p>
    <w:p w14:paraId="50EEA2F6" w14:textId="77777777" w:rsidR="0056052E" w:rsidRPr="005667BA" w:rsidRDefault="0056052E" w:rsidP="0056052E">
      <w:pPr>
        <w:pStyle w:val="EndnoteText"/>
        <w:rPr>
          <w:rFonts w:cstheme="minorHAnsi"/>
        </w:rPr>
      </w:pPr>
    </w:p>
    <w:p w14:paraId="03BE6384" w14:textId="6DEE8A4F" w:rsidR="0056052E" w:rsidRDefault="0056052E" w:rsidP="0056052E">
      <w:pPr>
        <w:pStyle w:val="FootnoteText"/>
        <w:jc w:val="both"/>
        <w:rPr>
          <w:rFonts w:cstheme="minorHAnsi"/>
        </w:rPr>
      </w:pPr>
      <w:r w:rsidRPr="005667BA">
        <w:rPr>
          <w:rFonts w:cstheme="minorHAnsi"/>
        </w:rPr>
        <w:t xml:space="preserve">A Taylor &amp; MEB Powell, </w:t>
      </w:r>
      <w:r w:rsidRPr="005667BA">
        <w:rPr>
          <w:rFonts w:cstheme="minorHAnsi"/>
          <w:i/>
          <w:iCs/>
        </w:rPr>
        <w:t>Intensity-Modulated Radiotherapy--What Is It?</w:t>
      </w:r>
      <w:r w:rsidRPr="005667BA">
        <w:rPr>
          <w:rFonts w:cstheme="minorHAnsi"/>
        </w:rPr>
        <w:t xml:space="preserve"> 4 </w:t>
      </w:r>
      <w:r w:rsidRPr="005667BA">
        <w:rPr>
          <w:rFonts w:cstheme="minorHAnsi"/>
          <w:smallCaps/>
        </w:rPr>
        <w:t>Cancer Imaging</w:t>
      </w:r>
      <w:r w:rsidRPr="005667BA">
        <w:rPr>
          <w:rFonts w:cstheme="minorHAnsi"/>
        </w:rPr>
        <w:t xml:space="preserve"> 68, 68-73 (2004).</w:t>
      </w:r>
    </w:p>
    <w:p w14:paraId="0595A2B3" w14:textId="77777777" w:rsidR="0056052E" w:rsidRPr="005667BA" w:rsidRDefault="0056052E" w:rsidP="0056052E">
      <w:pPr>
        <w:pStyle w:val="FootnoteText"/>
        <w:jc w:val="both"/>
        <w:rPr>
          <w:rFonts w:cstheme="minorHAnsi"/>
        </w:rPr>
      </w:pPr>
    </w:p>
    <w:p w14:paraId="39FC6FE2" w14:textId="1277206D" w:rsidR="0056052E" w:rsidRDefault="0056052E" w:rsidP="0056052E">
      <w:pPr>
        <w:pStyle w:val="EndnoteText"/>
        <w:rPr>
          <w:rFonts w:cstheme="minorHAnsi"/>
        </w:rPr>
      </w:pPr>
      <w:r w:rsidRPr="005667BA">
        <w:rPr>
          <w:rFonts w:cstheme="minorHAnsi"/>
          <w:smallCaps/>
        </w:rPr>
        <w:t xml:space="preserve">Nat’l Cancer institute, </w:t>
      </w:r>
      <w:hyperlink r:id="rId18" w:history="1">
        <w:r w:rsidRPr="002D409A">
          <w:rPr>
            <w:rStyle w:val="Hyperlink"/>
            <w:rFonts w:cstheme="minorHAnsi"/>
            <w:i/>
            <w:iCs/>
            <w:color w:val="auto"/>
            <w:u w:val="none"/>
          </w:rPr>
          <w:t>External Beam Radiation Therapy for Cancer</w:t>
        </w:r>
      </w:hyperlink>
      <w:r w:rsidRPr="002D409A">
        <w:rPr>
          <w:rFonts w:cstheme="minorHAnsi"/>
        </w:rPr>
        <w:t xml:space="preserve"> (</w:t>
      </w:r>
      <w:r w:rsidRPr="005667BA">
        <w:rPr>
          <w:rFonts w:cstheme="minorHAnsi"/>
        </w:rPr>
        <w:t>May 1, 2018),</w:t>
      </w:r>
      <w:r w:rsidRPr="005667BA">
        <w:rPr>
          <w:rFonts w:cstheme="minorHAnsi"/>
          <w:color w:val="42558C" w:themeColor="accent1" w:themeShade="BF"/>
        </w:rPr>
        <w:t xml:space="preserve"> </w:t>
      </w:r>
      <w:hyperlink r:id="rId19" w:history="1">
        <w:r w:rsidRPr="005667BA">
          <w:rPr>
            <w:rStyle w:val="Hyperlink"/>
            <w:rFonts w:cstheme="minorHAnsi"/>
            <w:color w:val="42558C" w:themeColor="accent1" w:themeShade="BF"/>
          </w:rPr>
          <w:t>https://www.cancer.gov/about-cancer/treatment/types/radiation-therapy/external-beam</w:t>
        </w:r>
      </w:hyperlink>
      <w:r w:rsidRPr="005667BA">
        <w:rPr>
          <w:rFonts w:cstheme="minorHAnsi"/>
        </w:rPr>
        <w:t xml:space="preserve"> [hereinafter NCI, </w:t>
      </w:r>
      <w:r w:rsidRPr="005667BA">
        <w:rPr>
          <w:rFonts w:cstheme="minorHAnsi"/>
          <w:i/>
          <w:iCs/>
        </w:rPr>
        <w:t>External Beam</w:t>
      </w:r>
      <w:r w:rsidRPr="005667BA">
        <w:rPr>
          <w:rFonts w:cstheme="minorHAnsi"/>
        </w:rPr>
        <w:t>].</w:t>
      </w:r>
    </w:p>
    <w:p w14:paraId="6D004DF9" w14:textId="77777777" w:rsidR="0056052E" w:rsidRPr="005667BA" w:rsidRDefault="0056052E" w:rsidP="0056052E">
      <w:pPr>
        <w:pStyle w:val="EndnoteText"/>
        <w:rPr>
          <w:rFonts w:cstheme="minorHAnsi"/>
        </w:rPr>
      </w:pPr>
    </w:p>
    <w:p w14:paraId="245CFC08" w14:textId="6D660175" w:rsidR="0056052E" w:rsidRDefault="0056052E" w:rsidP="0056052E">
      <w:pPr>
        <w:pStyle w:val="EndnoteText"/>
        <w:rPr>
          <w:rFonts w:cstheme="minorHAnsi"/>
        </w:rPr>
      </w:pPr>
      <w:r w:rsidRPr="005667BA">
        <w:rPr>
          <w:rFonts w:cstheme="minorHAnsi"/>
          <w:smallCaps/>
        </w:rPr>
        <w:t>Johns Hopkins Medicine</w:t>
      </w:r>
      <w:r w:rsidRPr="005667BA">
        <w:rPr>
          <w:rFonts w:cstheme="minorHAnsi"/>
        </w:rPr>
        <w:t xml:space="preserve">, </w:t>
      </w:r>
      <w:hyperlink r:id="rId20" w:history="1">
        <w:r w:rsidRPr="002D409A">
          <w:rPr>
            <w:rStyle w:val="Hyperlink"/>
            <w:rFonts w:cstheme="minorHAnsi"/>
            <w:i/>
            <w:iCs/>
            <w:color w:val="auto"/>
            <w:u w:val="none"/>
          </w:rPr>
          <w:t>Stereotactic Radiosurgery</w:t>
        </w:r>
      </w:hyperlink>
      <w:r w:rsidRPr="005667BA">
        <w:rPr>
          <w:rFonts w:cstheme="minorHAnsi"/>
        </w:rPr>
        <w:t xml:space="preserve">, </w:t>
      </w:r>
      <w:hyperlink r:id="rId21" w:history="1">
        <w:r w:rsidRPr="005667BA">
          <w:rPr>
            <w:rStyle w:val="Hyperlink"/>
            <w:rFonts w:cstheme="minorHAnsi"/>
            <w:color w:val="42558C" w:themeColor="accent1" w:themeShade="BF"/>
          </w:rPr>
          <w:t>https://www.hopkinsmedicine.org/health/treatment-tests-and-therapies/stereotactic-radiosurgery</w:t>
        </w:r>
      </w:hyperlink>
      <w:r w:rsidRPr="005667BA">
        <w:rPr>
          <w:rFonts w:cstheme="minorHAnsi"/>
        </w:rPr>
        <w:t>.</w:t>
      </w:r>
    </w:p>
    <w:p w14:paraId="3F32FC92" w14:textId="77777777" w:rsidR="0056052E" w:rsidRPr="005667BA" w:rsidRDefault="0056052E" w:rsidP="0056052E">
      <w:pPr>
        <w:pStyle w:val="EndnoteText"/>
        <w:rPr>
          <w:rFonts w:cstheme="minorHAnsi"/>
        </w:rPr>
      </w:pPr>
    </w:p>
    <w:p w14:paraId="1E3D8AF6" w14:textId="221051D2" w:rsidR="0056052E" w:rsidRDefault="0056052E" w:rsidP="0056052E">
      <w:pPr>
        <w:pStyle w:val="EndnoteText"/>
        <w:rPr>
          <w:rFonts w:cstheme="minorHAnsi"/>
        </w:rPr>
      </w:pPr>
      <w:r w:rsidRPr="005667BA">
        <w:rPr>
          <w:rFonts w:cstheme="minorHAnsi"/>
        </w:rPr>
        <w:t xml:space="preserve">J.K. Jang et al., </w:t>
      </w:r>
      <w:r w:rsidRPr="005667BA">
        <w:rPr>
          <w:rFonts w:cstheme="minorHAnsi"/>
          <w:i/>
          <w:iCs/>
        </w:rPr>
        <w:t>Temporal Trends in the Utilization of Stereotactic Body Radiotherapy for Non-Small Cell Lung Cancer in the United States</w:t>
      </w:r>
      <w:r w:rsidRPr="005667BA">
        <w:rPr>
          <w:rFonts w:cstheme="minorHAnsi"/>
        </w:rPr>
        <w:t xml:space="preserve">, 105 </w:t>
      </w:r>
      <w:r w:rsidRPr="005667BA">
        <w:rPr>
          <w:rFonts w:cstheme="minorHAnsi"/>
          <w:smallCaps/>
        </w:rPr>
        <w:t>Int’l J, Radiation Oncology, Biology, Physics</w:t>
      </w:r>
      <w:r w:rsidRPr="005667BA">
        <w:rPr>
          <w:rFonts w:cstheme="minorHAnsi"/>
        </w:rPr>
        <w:t xml:space="preserve"> (Supplement 2019) E511 (2019).</w:t>
      </w:r>
    </w:p>
    <w:p w14:paraId="43F7B492" w14:textId="77777777" w:rsidR="0056052E" w:rsidRPr="005667BA" w:rsidRDefault="0056052E" w:rsidP="0056052E">
      <w:pPr>
        <w:pStyle w:val="EndnoteText"/>
        <w:rPr>
          <w:rFonts w:cstheme="minorHAnsi"/>
        </w:rPr>
      </w:pPr>
    </w:p>
    <w:p w14:paraId="3A08C0DB" w14:textId="10D7239A" w:rsidR="0056052E" w:rsidRDefault="0056052E" w:rsidP="0056052E">
      <w:pPr>
        <w:pStyle w:val="EndnoteText"/>
        <w:rPr>
          <w:rFonts w:cstheme="minorHAnsi"/>
        </w:rPr>
      </w:pPr>
      <w:r w:rsidRPr="005667BA">
        <w:rPr>
          <w:rFonts w:cstheme="minorHAnsi"/>
        </w:rPr>
        <w:t xml:space="preserve">Kavitha Prezzano et al., </w:t>
      </w:r>
      <w:r w:rsidRPr="005667BA">
        <w:rPr>
          <w:rFonts w:cstheme="minorHAnsi"/>
          <w:i/>
          <w:iCs/>
        </w:rPr>
        <w:t>Stereotactic Body Radiation Therapy for Non-Small Cell Lung Cancer: A Review</w:t>
      </w:r>
      <w:r w:rsidRPr="005667BA">
        <w:rPr>
          <w:rFonts w:cstheme="minorHAnsi"/>
        </w:rPr>
        <w:t xml:space="preserve">, 10 </w:t>
      </w:r>
      <w:r w:rsidRPr="005667BA">
        <w:rPr>
          <w:rFonts w:cstheme="minorHAnsi"/>
          <w:smallCaps/>
        </w:rPr>
        <w:t>World J. Clinical Oncology</w:t>
      </w:r>
      <w:r w:rsidRPr="005667BA">
        <w:rPr>
          <w:rFonts w:cstheme="minorHAnsi"/>
        </w:rPr>
        <w:t xml:space="preserve"> 14, 14-27 (2019); Maged Ghaly et al., </w:t>
      </w:r>
      <w:r w:rsidRPr="005667BA">
        <w:rPr>
          <w:rFonts w:cstheme="minorHAnsi"/>
          <w:i/>
          <w:iCs/>
        </w:rPr>
        <w:t>New Potential Options for SBRT in Pancreatic Cancer</w:t>
      </w:r>
      <w:r w:rsidRPr="005667BA">
        <w:rPr>
          <w:rFonts w:cstheme="minorHAnsi"/>
        </w:rPr>
        <w:t xml:space="preserve">, 4 </w:t>
      </w:r>
      <w:r w:rsidRPr="005667BA">
        <w:rPr>
          <w:rFonts w:cstheme="minorHAnsi"/>
          <w:smallCaps/>
        </w:rPr>
        <w:t>Cancer Medicine J.</w:t>
      </w:r>
      <w:r w:rsidRPr="005667BA">
        <w:rPr>
          <w:rFonts w:cstheme="minorHAnsi"/>
        </w:rPr>
        <w:t xml:space="preserve"> (Supplement 3) 41, 41-50 (2021); Chia-Lin Tseng et al, </w:t>
      </w:r>
      <w:r w:rsidRPr="005667BA">
        <w:rPr>
          <w:rFonts w:cstheme="minorHAnsi"/>
          <w:i/>
          <w:iCs/>
        </w:rPr>
        <w:t>Spine Stereotactic Body Radiotherapy: Indications, Outcomes, and Points of Caution</w:t>
      </w:r>
      <w:r w:rsidRPr="005667BA">
        <w:rPr>
          <w:rFonts w:cstheme="minorHAnsi"/>
        </w:rPr>
        <w:t xml:space="preserve">, 7 </w:t>
      </w:r>
      <w:r w:rsidRPr="005667BA">
        <w:rPr>
          <w:rFonts w:cstheme="minorHAnsi"/>
          <w:smallCaps/>
        </w:rPr>
        <w:t>Global Spine J.</w:t>
      </w:r>
      <w:r w:rsidRPr="005667BA">
        <w:rPr>
          <w:rFonts w:cstheme="minorHAnsi"/>
        </w:rPr>
        <w:t xml:space="preserve"> 179, 179-197 (2017).</w:t>
      </w:r>
    </w:p>
    <w:p w14:paraId="72BAF7A5" w14:textId="77777777" w:rsidR="0056052E" w:rsidRPr="005667BA" w:rsidRDefault="0056052E" w:rsidP="0056052E">
      <w:pPr>
        <w:pStyle w:val="EndnoteText"/>
        <w:rPr>
          <w:rFonts w:cstheme="minorHAnsi"/>
        </w:rPr>
      </w:pPr>
    </w:p>
    <w:p w14:paraId="7CDB61F4" w14:textId="1D48B617" w:rsidR="0056052E" w:rsidRPr="005667BA" w:rsidRDefault="0056052E" w:rsidP="0056052E">
      <w:pPr>
        <w:pStyle w:val="EndnoteText"/>
        <w:rPr>
          <w:rFonts w:cstheme="minorHAnsi"/>
        </w:rPr>
      </w:pPr>
      <w:r w:rsidRPr="005667BA">
        <w:rPr>
          <w:rFonts w:cstheme="minorHAnsi"/>
          <w:smallCaps/>
        </w:rPr>
        <w:t>Mayo Clinic</w:t>
      </w:r>
      <w:r w:rsidRPr="005667BA">
        <w:rPr>
          <w:rFonts w:cstheme="minorHAnsi"/>
        </w:rPr>
        <w:t xml:space="preserve">, </w:t>
      </w:r>
      <w:hyperlink r:id="rId22" w:history="1">
        <w:r w:rsidRPr="002D409A">
          <w:rPr>
            <w:rStyle w:val="Hyperlink"/>
            <w:rFonts w:cstheme="minorHAnsi"/>
            <w:color w:val="auto"/>
            <w:u w:val="none"/>
          </w:rPr>
          <w:t>Stereotactic Radiosurgery</w:t>
        </w:r>
      </w:hyperlink>
      <w:r w:rsidRPr="005667BA">
        <w:rPr>
          <w:rFonts w:cstheme="minorHAnsi"/>
        </w:rPr>
        <w:t>,</w:t>
      </w:r>
      <w:r w:rsidRPr="005667BA">
        <w:rPr>
          <w:rFonts w:cstheme="minorHAnsi"/>
          <w:color w:val="42558C" w:themeColor="accent1" w:themeShade="BF"/>
        </w:rPr>
        <w:t xml:space="preserve"> </w:t>
      </w:r>
      <w:hyperlink r:id="rId23" w:history="1">
        <w:r w:rsidRPr="005667BA">
          <w:rPr>
            <w:rStyle w:val="Hyperlink"/>
            <w:rFonts w:cstheme="minorHAnsi"/>
            <w:color w:val="42558C" w:themeColor="accent1" w:themeShade="BF"/>
          </w:rPr>
          <w:t>https://www.mayoclinic.org/tests-procedures/stereotactic-radiosurgery/about/pac-20384526</w:t>
        </w:r>
      </w:hyperlink>
      <w:r w:rsidRPr="005667BA">
        <w:rPr>
          <w:rFonts w:cstheme="minorHAnsi"/>
        </w:rPr>
        <w:t xml:space="preserve">. </w:t>
      </w:r>
    </w:p>
    <w:p w14:paraId="303F4DBF" w14:textId="77777777" w:rsidR="00C1132B" w:rsidRPr="00C1132B" w:rsidRDefault="00C1132B" w:rsidP="00C1132B"/>
    <w:p w14:paraId="52E7DE6D" w14:textId="77777777" w:rsidR="00C1132B" w:rsidRPr="005667BA" w:rsidRDefault="00C1132B" w:rsidP="005667BA">
      <w:pPr>
        <w:pStyle w:val="Default"/>
        <w:spacing w:after="120"/>
        <w:ind w:left="1080" w:firstLine="360"/>
        <w:rPr>
          <w:rFonts w:asciiTheme="minorHAnsi" w:hAnsiTheme="minorHAnsi" w:cstheme="minorHAnsi"/>
        </w:rPr>
      </w:pPr>
    </w:p>
    <w:p w14:paraId="0EF8237E" w14:textId="69497678" w:rsidR="002D535F" w:rsidRPr="00B742AF" w:rsidRDefault="002D535F" w:rsidP="000C1DBE">
      <w:pPr>
        <w:pStyle w:val="Heading1"/>
        <w:rPr>
          <w:rFonts w:asciiTheme="minorHAnsi" w:hAnsiTheme="minorHAnsi" w:cstheme="minorHAnsi"/>
          <w:b w:val="0"/>
          <w:bCs w:val="0"/>
          <w:iCs/>
        </w:rPr>
      </w:pPr>
      <w:bookmarkStart w:id="79" w:name="_Toc155341760"/>
      <w:r w:rsidRPr="005667BA">
        <w:rPr>
          <w:rFonts w:asciiTheme="minorHAnsi" w:hAnsiTheme="minorHAnsi" w:cstheme="minorHAnsi"/>
          <w:iCs/>
        </w:rPr>
        <w:t>REFERENCES</w:t>
      </w:r>
      <w:bookmarkEnd w:id="79"/>
    </w:p>
    <w:sectPr w:rsidR="002D535F" w:rsidRPr="00B742AF" w:rsidSect="004E2498">
      <w:headerReference w:type="even" r:id="rId24"/>
      <w:headerReference w:type="default" r:id="rId25"/>
      <w:footerReference w:type="default" r:id="rId26"/>
      <w:headerReference w:type="first" r:id="rId27"/>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E0DDF" w14:textId="77777777" w:rsidR="004E2498" w:rsidRDefault="004E2498" w:rsidP="008C0709">
      <w:r>
        <w:separator/>
      </w:r>
    </w:p>
  </w:endnote>
  <w:endnote w:type="continuationSeparator" w:id="0">
    <w:p w14:paraId="06899145" w14:textId="77777777" w:rsidR="004E2498" w:rsidRDefault="004E2498" w:rsidP="008C0709">
      <w:r>
        <w:continuationSeparator/>
      </w:r>
    </w:p>
  </w:endnote>
  <w:endnote w:type="continuationNotice" w:id="1">
    <w:p w14:paraId="3CD5E84D" w14:textId="77777777" w:rsidR="004E2498" w:rsidRDefault="004E2498"/>
  </w:endnote>
  <w:endnote w:id="2">
    <w:p w14:paraId="4CA69D78" w14:textId="77777777" w:rsidR="00863767" w:rsidRPr="005667BA" w:rsidRDefault="00863767" w:rsidP="005667BA">
      <w:pPr>
        <w:spacing w:before="102"/>
        <w:ind w:right="213"/>
        <w:rPr>
          <w:rFonts w:asciiTheme="minorHAnsi" w:hAnsiTheme="minorHAnsi" w:cstheme="minorHAnsi"/>
          <w:sz w:val="20"/>
          <w:szCs w:val="20"/>
        </w:rPr>
      </w:pPr>
      <w:r w:rsidRPr="005667BA">
        <w:rPr>
          <w:rStyle w:val="EndnoteReference"/>
          <w:rFonts w:asciiTheme="minorHAnsi" w:hAnsiTheme="minorHAnsi" w:cstheme="minorHAnsi"/>
          <w:sz w:val="20"/>
          <w:szCs w:val="20"/>
        </w:rPr>
        <w:endnoteRef/>
      </w:r>
      <w:r w:rsidRPr="005667BA">
        <w:rPr>
          <w:rFonts w:asciiTheme="minorHAnsi" w:hAnsiTheme="minorHAnsi" w:cstheme="minorHAnsi"/>
          <w:sz w:val="20"/>
          <w:szCs w:val="20"/>
        </w:rPr>
        <w:t xml:space="preserve"> Center for Health Information and Analysis.</w:t>
      </w:r>
      <w:r w:rsidRPr="005667BA">
        <w:rPr>
          <w:rFonts w:asciiTheme="minorHAnsi" w:hAnsiTheme="minorHAnsi" w:cstheme="minorHAnsi"/>
          <w:color w:val="000000" w:themeColor="text1"/>
          <w:sz w:val="20"/>
          <w:szCs w:val="20"/>
        </w:rPr>
        <w:t xml:space="preserve"> </w:t>
      </w:r>
      <w:hyperlink r:id="rId1" w:history="1">
        <w:r w:rsidRPr="005667BA">
          <w:rPr>
            <w:rStyle w:val="Hyperlink"/>
            <w:rFonts w:asciiTheme="minorHAnsi" w:hAnsiTheme="minorHAnsi" w:cstheme="minorHAnsi"/>
            <w:color w:val="000000" w:themeColor="text1"/>
            <w:sz w:val="20"/>
            <w:szCs w:val="20"/>
          </w:rPr>
          <w:t>Massachusetts Hospital Profiles. Technical Appendix</w:t>
        </w:r>
      </w:hyperlink>
      <w:r w:rsidRPr="005667BA">
        <w:rPr>
          <w:rFonts w:asciiTheme="minorHAnsi" w:hAnsiTheme="minorHAnsi" w:cstheme="minorHAnsi"/>
          <w:sz w:val="20"/>
          <w:szCs w:val="20"/>
        </w:rPr>
        <w:t xml:space="preserve">. </w:t>
      </w:r>
      <w:hyperlink r:id="rId2" w:history="1">
        <w:r w:rsidRPr="005667BA">
          <w:rPr>
            <w:rStyle w:val="Hyperlink"/>
            <w:rFonts w:asciiTheme="minorHAnsi" w:hAnsiTheme="minorHAnsi" w:cstheme="minorHAnsi"/>
            <w:color w:val="42558C" w:themeColor="accent1" w:themeShade="BF"/>
            <w:sz w:val="20"/>
            <w:szCs w:val="20"/>
          </w:rPr>
          <w:t>https://www.chiamass.gov/assets/docs/r/hospital-profiles/2021/FY21-Massachusetts-Hospital-Profiles-Technical-Appendix.pdf</w:t>
        </w:r>
      </w:hyperlink>
    </w:p>
  </w:endnote>
  <w:endnote w:id="3">
    <w:p w14:paraId="2EF3EA33" w14:textId="77777777" w:rsidR="00863767" w:rsidRPr="005667BA" w:rsidRDefault="00863767" w:rsidP="005667BA">
      <w:pPr>
        <w:pStyle w:val="EndnoteText"/>
        <w:rPr>
          <w:rFonts w:cstheme="minorHAnsi"/>
        </w:rPr>
      </w:pPr>
      <w:r w:rsidRPr="005667BA">
        <w:rPr>
          <w:rStyle w:val="EndnoteReference"/>
          <w:rFonts w:cstheme="minorHAnsi"/>
        </w:rPr>
        <w:endnoteRef/>
      </w:r>
      <w:r w:rsidRPr="005667BA">
        <w:rPr>
          <w:rFonts w:cstheme="minorHAnsi"/>
        </w:rPr>
        <w:t xml:space="preserve"> </w:t>
      </w:r>
      <w:hyperlink r:id="rId3" w:history="1">
        <w:r w:rsidRPr="005667BA">
          <w:rPr>
            <w:rStyle w:val="Hyperlink"/>
            <w:rFonts w:cstheme="minorHAnsi"/>
            <w:color w:val="000000" w:themeColor="text1"/>
          </w:rPr>
          <w:t>Center for Health Information and Analysis (CHIA). Beth Israel Lahey Health</w:t>
        </w:r>
      </w:hyperlink>
      <w:r w:rsidRPr="005667BA">
        <w:rPr>
          <w:rFonts w:cstheme="minorHAnsi"/>
          <w:color w:val="000000" w:themeColor="text1"/>
        </w:rPr>
        <w:t xml:space="preserve">. </w:t>
      </w:r>
      <w:hyperlink r:id="rId4" w:history="1">
        <w:r w:rsidRPr="005667BA">
          <w:rPr>
            <w:rStyle w:val="Hyperlink"/>
            <w:rFonts w:cstheme="minorHAnsi"/>
            <w:color w:val="42558C" w:themeColor="accent1" w:themeShade="BF"/>
          </w:rPr>
          <w:t>https://www.chiamass.gov/assets/docs/r/hospital-profiles/2021/hospital-health-systems/Beth-Israel-Lahey.pdf</w:t>
        </w:r>
      </w:hyperlink>
    </w:p>
  </w:endnote>
  <w:endnote w:id="4">
    <w:p w14:paraId="16A51BAB" w14:textId="1F079F90" w:rsidR="00E66253" w:rsidRDefault="00E66253">
      <w:pPr>
        <w:pStyle w:val="EndnoteText"/>
      </w:pPr>
      <w:r>
        <w:rPr>
          <w:rStyle w:val="EndnoteReference"/>
        </w:rPr>
        <w:endnoteRef/>
      </w:r>
      <w:r>
        <w:t xml:space="preserve"> </w:t>
      </w:r>
      <w:r w:rsidR="00570BA3" w:rsidRPr="00570BA3">
        <w:rPr>
          <w:rFonts w:cstheme="minorHAnsi"/>
          <w:color w:val="202124"/>
          <w:shd w:val="clear" w:color="auto" w:fill="FFFFFF"/>
        </w:rPr>
        <w:t>U.S. Census Bureau, "</w:t>
      </w:r>
      <w:hyperlink r:id="rId5" w:history="1">
        <w:r w:rsidR="005D0303" w:rsidRPr="002D409A">
          <w:rPr>
            <w:rStyle w:val="Hyperlink"/>
            <w:rFonts w:cstheme="minorHAnsi"/>
            <w:color w:val="auto"/>
            <w:u w:val="none"/>
            <w:shd w:val="clear" w:color="auto" w:fill="FFFFFF"/>
          </w:rPr>
          <w:t>Demographic Profile</w:t>
        </w:r>
        <w:r w:rsidR="00570BA3" w:rsidRPr="002D409A">
          <w:rPr>
            <w:rStyle w:val="Hyperlink"/>
            <w:rFonts w:cstheme="minorHAnsi"/>
            <w:color w:val="auto"/>
            <w:u w:val="none"/>
            <w:shd w:val="clear" w:color="auto" w:fill="FFFFFF"/>
          </w:rPr>
          <w:t>, July 1, 2022 (V2022) – Plymouth County, MA," Quick Facts</w:t>
        </w:r>
      </w:hyperlink>
      <w:r w:rsidR="00570BA3" w:rsidRPr="002D409A">
        <w:rPr>
          <w:rFonts w:cstheme="minorHAnsi"/>
          <w:shd w:val="clear" w:color="auto" w:fill="FFFFFF"/>
        </w:rPr>
        <w:t xml:space="preserve">, accessed </w:t>
      </w:r>
      <w:r w:rsidR="00570BA3" w:rsidRPr="00570BA3">
        <w:rPr>
          <w:rFonts w:cstheme="minorHAnsi"/>
          <w:color w:val="202124"/>
          <w:shd w:val="clear" w:color="auto" w:fill="FFFFFF"/>
        </w:rPr>
        <w:t>December 13, 2022</w:t>
      </w:r>
      <w:r w:rsidRPr="00570BA3">
        <w:rPr>
          <w:rFonts w:cstheme="minorHAnsi"/>
        </w:rPr>
        <w:t xml:space="preserve">. </w:t>
      </w:r>
      <w:hyperlink r:id="rId6" w:history="1">
        <w:r w:rsidR="00943836" w:rsidRPr="00570BA3">
          <w:rPr>
            <w:rStyle w:val="Hyperlink"/>
            <w:rFonts w:cstheme="minorHAnsi"/>
            <w:color w:val="42558C" w:themeColor="accent1" w:themeShade="BF"/>
          </w:rPr>
          <w:t>https://www.census.gov/quickfacts/plymouthcountymassachusetts</w:t>
        </w:r>
      </w:hyperlink>
      <w:r w:rsidR="00943836" w:rsidRPr="00943836">
        <w:rPr>
          <w:color w:val="42558C" w:themeColor="accent1" w:themeShade="BF"/>
        </w:rPr>
        <w:t xml:space="preserve"> </w:t>
      </w:r>
    </w:p>
  </w:endnote>
  <w:endnote w:id="5">
    <w:p w14:paraId="530D88D9" w14:textId="5773D3E3" w:rsidR="009B7C11" w:rsidRPr="009F1197" w:rsidRDefault="009B7C11" w:rsidP="009B7C1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Ctrs. For Disease Control, Div. Cancer Prevention &amp; Control</w:t>
      </w:r>
      <w:r w:rsidRPr="009F1197">
        <w:rPr>
          <w:rFonts w:cstheme="minorHAnsi"/>
        </w:rPr>
        <w:t xml:space="preserve">, </w:t>
      </w:r>
      <w:hyperlink r:id="rId7" w:history="1">
        <w:r w:rsidRPr="002D409A">
          <w:rPr>
            <w:rStyle w:val="Hyperlink"/>
            <w:rFonts w:cstheme="minorHAnsi"/>
            <w:i/>
            <w:iCs/>
            <w:color w:val="auto"/>
            <w:u w:val="none"/>
          </w:rPr>
          <w:t>Cancer Prevention During Older Adulthood</w:t>
        </w:r>
      </w:hyperlink>
      <w:r w:rsidRPr="002D409A">
        <w:rPr>
          <w:rFonts w:cstheme="minorHAnsi"/>
          <w:i/>
          <w:iCs/>
        </w:rPr>
        <w:t xml:space="preserve"> </w:t>
      </w:r>
      <w:r w:rsidRPr="002D409A">
        <w:rPr>
          <w:rFonts w:cstheme="minorHAnsi"/>
        </w:rPr>
        <w:t>(Sept</w:t>
      </w:r>
      <w:r w:rsidRPr="009F1197">
        <w:rPr>
          <w:rFonts w:cstheme="minorHAnsi"/>
        </w:rPr>
        <w:t xml:space="preserve">. 3, 2021), </w:t>
      </w:r>
      <w:hyperlink r:id="rId8" w:history="1">
        <w:r w:rsidRPr="009F1197">
          <w:rPr>
            <w:rStyle w:val="Hyperlink"/>
            <w:rFonts w:cstheme="minorHAnsi"/>
            <w:color w:val="42558C" w:themeColor="accent1" w:themeShade="BF"/>
          </w:rPr>
          <w:t>https://www.cdc.gov/cancer/dcpc/prevention/older-adulthood.htm</w:t>
        </w:r>
      </w:hyperlink>
      <w:r w:rsidRPr="009F1197">
        <w:rPr>
          <w:rFonts w:cstheme="minorHAnsi"/>
        </w:rPr>
        <w:t>.</w:t>
      </w:r>
    </w:p>
  </w:endnote>
  <w:endnote w:id="6">
    <w:p w14:paraId="4947D38F" w14:textId="4AB04E32" w:rsidR="009B7C11" w:rsidRPr="005667BA" w:rsidRDefault="009B7C11" w:rsidP="009B7C11">
      <w:pPr>
        <w:pStyle w:val="EndnoteText"/>
        <w:rPr>
          <w:rFonts w:cstheme="minorHAnsi"/>
        </w:rPr>
      </w:pPr>
      <w:r w:rsidRPr="005667BA">
        <w:rPr>
          <w:rStyle w:val="EndnoteReference"/>
          <w:rFonts w:cstheme="minorHAnsi"/>
        </w:rPr>
        <w:endnoteRef/>
      </w:r>
      <w:r w:rsidRPr="005667BA">
        <w:rPr>
          <w:rFonts w:cstheme="minorHAnsi"/>
        </w:rPr>
        <w:t xml:space="preserve"> </w:t>
      </w:r>
      <w:hyperlink r:id="rId9" w:history="1">
        <w:r w:rsidRPr="002D409A">
          <w:rPr>
            <w:rStyle w:val="Hyperlink"/>
            <w:rFonts w:cstheme="minorHAnsi"/>
            <w:i/>
            <w:iCs/>
            <w:color w:val="auto"/>
            <w:u w:val="none"/>
          </w:rPr>
          <w:t>Massachusetts Population Projections</w:t>
        </w:r>
      </w:hyperlink>
      <w:r w:rsidRPr="002D409A">
        <w:rPr>
          <w:rFonts w:cstheme="minorHAnsi"/>
        </w:rPr>
        <w:t>,</w:t>
      </w:r>
      <w:r w:rsidRPr="002D409A">
        <w:rPr>
          <w:rFonts w:cstheme="minorHAnsi"/>
          <w:i/>
          <w:iCs/>
        </w:rPr>
        <w:t xml:space="preserve"> </w:t>
      </w:r>
      <w:r w:rsidRPr="005667BA">
        <w:rPr>
          <w:rFonts w:cstheme="minorHAnsi"/>
          <w:smallCaps/>
        </w:rPr>
        <w:t>UMass Donahue Institute Population Estimates Program</w:t>
      </w:r>
      <w:r w:rsidRPr="005667BA">
        <w:rPr>
          <w:rFonts w:cstheme="minorHAnsi"/>
        </w:rPr>
        <w:t xml:space="preserve"> (last visited Sept. 20, 2023),</w:t>
      </w:r>
      <w:r w:rsidRPr="005667BA">
        <w:rPr>
          <w:rFonts w:cstheme="minorHAnsi"/>
          <w:i/>
          <w:iCs/>
        </w:rPr>
        <w:t xml:space="preserve"> </w:t>
      </w:r>
      <w:hyperlink r:id="rId10" w:history="1">
        <w:r w:rsidRPr="00943836">
          <w:rPr>
            <w:rStyle w:val="Hyperlink"/>
            <w:rFonts w:cstheme="minorHAnsi"/>
            <w:color w:val="42558C" w:themeColor="accent1" w:themeShade="BF"/>
          </w:rPr>
          <w:t>http://www.pep.donahue-institute.org/</w:t>
        </w:r>
      </w:hyperlink>
      <w:r w:rsidRPr="00943836">
        <w:rPr>
          <w:rFonts w:cstheme="minorHAnsi"/>
          <w:color w:val="42558C" w:themeColor="accent1" w:themeShade="BF"/>
        </w:rPr>
        <w:t xml:space="preserve">. </w:t>
      </w:r>
    </w:p>
  </w:endnote>
  <w:endnote w:id="7">
    <w:p w14:paraId="638BEFE9" w14:textId="36450A03" w:rsidR="009B7C11" w:rsidRPr="005667BA" w:rsidRDefault="009B7C11" w:rsidP="009B7C11">
      <w:pPr>
        <w:pStyle w:val="EndnoteText"/>
        <w:rPr>
          <w:rFonts w:cstheme="minorHAnsi"/>
        </w:rPr>
      </w:pPr>
      <w:r w:rsidRPr="005667BA">
        <w:rPr>
          <w:rStyle w:val="EndnoteReference"/>
          <w:rFonts w:cstheme="minorHAnsi"/>
        </w:rPr>
        <w:endnoteRef/>
      </w:r>
      <w:r w:rsidRPr="005667BA">
        <w:rPr>
          <w:rFonts w:cstheme="minorHAnsi"/>
        </w:rPr>
        <w:t xml:space="preserve"> </w:t>
      </w:r>
      <w:hyperlink r:id="rId11" w:history="1">
        <w:r w:rsidRPr="007E3E02">
          <w:rPr>
            <w:rStyle w:val="Hyperlink"/>
            <w:rFonts w:cstheme="minorHAnsi"/>
            <w:i/>
            <w:iCs/>
            <w:color w:val="auto"/>
            <w:u w:val="none"/>
          </w:rPr>
          <w:t>Cancer Incidence Estimator</w:t>
        </w:r>
      </w:hyperlink>
      <w:r w:rsidRPr="007E3E02">
        <w:rPr>
          <w:rFonts w:cstheme="minorHAnsi"/>
        </w:rPr>
        <w:t xml:space="preserve">, </w:t>
      </w:r>
      <w:r w:rsidRPr="005667BA">
        <w:rPr>
          <w:rFonts w:cstheme="minorHAnsi"/>
          <w:smallCaps/>
        </w:rPr>
        <w:t>Advisory Board</w:t>
      </w:r>
      <w:r w:rsidRPr="005667BA">
        <w:rPr>
          <w:rFonts w:cstheme="minorHAnsi"/>
        </w:rPr>
        <w:t xml:space="preserve">, </w:t>
      </w:r>
      <w:hyperlink r:id="rId12" w:history="1">
        <w:r w:rsidRPr="005667BA">
          <w:rPr>
            <w:rStyle w:val="Hyperlink"/>
            <w:rFonts w:cstheme="minorHAnsi"/>
            <w:color w:val="42558C" w:themeColor="accent1" w:themeShade="BF"/>
          </w:rPr>
          <w:t>https://www.advisory.com/topics/oncology/2020/06/cancer-incidence-estimator</w:t>
        </w:r>
      </w:hyperlink>
      <w:r w:rsidRPr="005667BA">
        <w:rPr>
          <w:rFonts w:cstheme="minorHAnsi"/>
        </w:rPr>
        <w:t xml:space="preserve"> (last visited Aug. 31, 2023). </w:t>
      </w:r>
    </w:p>
  </w:endnote>
  <w:endnote w:id="8">
    <w:p w14:paraId="0A7FAB1E" w14:textId="6644A846" w:rsidR="009B7C11" w:rsidRPr="005667BA" w:rsidRDefault="009B7C11" w:rsidP="009B7C11">
      <w:pPr>
        <w:pStyle w:val="EndnoteText"/>
        <w:rPr>
          <w:rFonts w:cstheme="minorHAnsi"/>
        </w:rPr>
      </w:pPr>
      <w:r w:rsidRPr="005667BA">
        <w:rPr>
          <w:rStyle w:val="EndnoteReference"/>
          <w:rFonts w:cstheme="minorHAnsi"/>
        </w:rPr>
        <w:endnoteRef/>
      </w:r>
      <w:r w:rsidRPr="005667BA">
        <w:rPr>
          <w:rFonts w:cstheme="minorHAnsi"/>
        </w:rPr>
        <w:t xml:space="preserve"> </w:t>
      </w:r>
      <w:hyperlink r:id="rId13" w:history="1">
        <w:r w:rsidRPr="007E3E02">
          <w:rPr>
            <w:rStyle w:val="Hyperlink"/>
            <w:rFonts w:cstheme="minorHAnsi"/>
            <w:i/>
            <w:iCs/>
            <w:color w:val="auto"/>
            <w:u w:val="none"/>
          </w:rPr>
          <w:t>Oncology Market Estimator</w:t>
        </w:r>
        <w:r w:rsidRPr="007E3E02">
          <w:rPr>
            <w:rStyle w:val="Hyperlink"/>
            <w:rFonts w:cstheme="minorHAnsi"/>
            <w:color w:val="auto"/>
            <w:u w:val="none"/>
          </w:rPr>
          <w:t>,</w:t>
        </w:r>
      </w:hyperlink>
      <w:r w:rsidRPr="007E3E02">
        <w:rPr>
          <w:rFonts w:cstheme="minorHAnsi"/>
        </w:rPr>
        <w:t xml:space="preserve"> </w:t>
      </w:r>
      <w:r w:rsidRPr="007E3E02">
        <w:rPr>
          <w:rFonts w:cstheme="minorHAnsi"/>
          <w:smallCaps/>
        </w:rPr>
        <w:t xml:space="preserve">Advisory </w:t>
      </w:r>
      <w:r w:rsidRPr="005667BA">
        <w:rPr>
          <w:rFonts w:cstheme="minorHAnsi"/>
          <w:smallCaps/>
        </w:rPr>
        <w:t>Board</w:t>
      </w:r>
      <w:r w:rsidRPr="005667BA">
        <w:rPr>
          <w:rFonts w:cstheme="minorHAnsi"/>
        </w:rPr>
        <w:t xml:space="preserve">, </w:t>
      </w:r>
      <w:hyperlink r:id="rId14" w:history="1">
        <w:r w:rsidRPr="005667BA">
          <w:rPr>
            <w:rStyle w:val="Hyperlink"/>
            <w:rFonts w:cstheme="minorHAnsi"/>
            <w:color w:val="42558C" w:themeColor="accent1" w:themeShade="BF"/>
          </w:rPr>
          <w:t>https://www.advisory.com/topics/oncology/2019/05/oncology-market-estimator</w:t>
        </w:r>
      </w:hyperlink>
      <w:r w:rsidRPr="005667BA">
        <w:rPr>
          <w:rFonts w:cstheme="minorHAnsi"/>
        </w:rPr>
        <w:t xml:space="preserve"> (last visited Aug. 31, 2023).</w:t>
      </w:r>
    </w:p>
  </w:endnote>
  <w:endnote w:id="9">
    <w:p w14:paraId="2E2FFD08" w14:textId="560CF77D" w:rsidR="007A455E" w:rsidRPr="007A455E" w:rsidRDefault="007A455E">
      <w:pPr>
        <w:pStyle w:val="EndnoteText"/>
        <w:rPr>
          <w:rFonts w:cstheme="minorHAnsi"/>
        </w:rPr>
      </w:pPr>
      <w:r w:rsidRPr="007A455E">
        <w:rPr>
          <w:rStyle w:val="EndnoteReference"/>
          <w:rFonts w:cstheme="minorHAnsi"/>
        </w:rPr>
        <w:endnoteRef/>
      </w:r>
      <w:r w:rsidRPr="007A455E">
        <w:rPr>
          <w:rFonts w:cstheme="minorHAnsi"/>
        </w:rPr>
        <w:t xml:space="preserve"> Katie Albus, </w:t>
      </w:r>
      <w:hyperlink r:id="rId15" w:history="1">
        <w:r w:rsidRPr="007E3E02">
          <w:rPr>
            <w:rStyle w:val="Hyperlink"/>
            <w:rFonts w:cstheme="minorHAnsi"/>
            <w:i/>
            <w:iCs/>
            <w:color w:val="auto"/>
            <w:u w:val="none"/>
          </w:rPr>
          <w:t>Personnel: Radiation Oncology</w:t>
        </w:r>
      </w:hyperlink>
      <w:r w:rsidRPr="007E3E02">
        <w:rPr>
          <w:rFonts w:cstheme="minorHAnsi"/>
        </w:rPr>
        <w:t xml:space="preserve">, </w:t>
      </w:r>
      <w:r w:rsidRPr="007A455E">
        <w:rPr>
          <w:rFonts w:cstheme="minorHAnsi"/>
          <w:smallCaps/>
        </w:rPr>
        <w:t>American College of Radiology (</w:t>
      </w:r>
      <w:r w:rsidRPr="007A455E">
        <w:rPr>
          <w:rFonts w:cstheme="minorHAnsi"/>
        </w:rPr>
        <w:t xml:space="preserve">Jul. 18, 2023), </w:t>
      </w:r>
      <w:hyperlink r:id="rId16" w:history="1">
        <w:r w:rsidRPr="007A455E">
          <w:rPr>
            <w:rStyle w:val="Hyperlink"/>
            <w:rFonts w:cstheme="minorHAnsi"/>
            <w:color w:val="42558C" w:themeColor="accent1" w:themeShade="BF"/>
          </w:rPr>
          <w:t>https://accreditationsupport.acr.org/support/solutions/articles/11000049781-personnel-radiation-oncology-revised-8-2-2022-</w:t>
        </w:r>
      </w:hyperlink>
      <w:r w:rsidRPr="007A455E">
        <w:rPr>
          <w:rFonts w:cstheme="minorHAnsi"/>
          <w:color w:val="42558C" w:themeColor="accent1" w:themeShade="BF"/>
        </w:rPr>
        <w:t>.</w:t>
      </w:r>
    </w:p>
  </w:endnote>
  <w:endnote w:id="10">
    <w:p w14:paraId="644EE493" w14:textId="63E798D1" w:rsidR="00AC59DE" w:rsidRPr="005667BA" w:rsidRDefault="00AC59DE" w:rsidP="00AC59DE">
      <w:pPr>
        <w:pStyle w:val="EndnoteText"/>
        <w:jc w:val="both"/>
        <w:rPr>
          <w:rFonts w:cstheme="minorHAnsi"/>
        </w:rPr>
      </w:pPr>
      <w:r w:rsidRPr="005667BA">
        <w:rPr>
          <w:rStyle w:val="EndnoteReference"/>
          <w:rFonts w:cstheme="minorHAnsi"/>
        </w:rPr>
        <w:endnoteRef/>
      </w:r>
      <w:r w:rsidRPr="005667BA">
        <w:rPr>
          <w:rFonts w:cstheme="minorHAnsi"/>
        </w:rPr>
        <w:t xml:space="preserve"> </w:t>
      </w:r>
      <w:r w:rsidRPr="005667BA">
        <w:rPr>
          <w:rFonts w:cstheme="minorHAnsi"/>
          <w:smallCaps/>
        </w:rPr>
        <w:t xml:space="preserve">Nat’l Cancer institute, </w:t>
      </w:r>
      <w:hyperlink r:id="rId17" w:history="1">
        <w:r w:rsidRPr="007E3E02">
          <w:rPr>
            <w:rStyle w:val="Hyperlink"/>
            <w:rFonts w:cstheme="minorHAnsi"/>
            <w:i/>
            <w:iCs/>
            <w:color w:val="auto"/>
            <w:u w:val="none"/>
          </w:rPr>
          <w:t>Types of Radiation Therapy</w:t>
        </w:r>
      </w:hyperlink>
      <w:r w:rsidRPr="007E3E02">
        <w:rPr>
          <w:rFonts w:cstheme="minorHAnsi"/>
        </w:rPr>
        <w:t xml:space="preserve">, </w:t>
      </w:r>
      <w:hyperlink r:id="rId18" w:history="1">
        <w:r w:rsidRPr="005667BA">
          <w:rPr>
            <w:rStyle w:val="Hyperlink"/>
            <w:rFonts w:cstheme="minorHAnsi"/>
            <w:color w:val="42558C" w:themeColor="accent1" w:themeShade="BF"/>
          </w:rPr>
          <w:t>https://training.seer.cancer.gov/treatment/radiation/types.html</w:t>
        </w:r>
      </w:hyperlink>
      <w:r w:rsidRPr="005667BA">
        <w:rPr>
          <w:rFonts w:cstheme="minorHAnsi"/>
        </w:rPr>
        <w:t xml:space="preserve">. </w:t>
      </w:r>
    </w:p>
  </w:endnote>
  <w:endnote w:id="11">
    <w:p w14:paraId="6043386E" w14:textId="77777777" w:rsidR="00AC59DE" w:rsidRPr="005667BA" w:rsidRDefault="00AC59DE" w:rsidP="00AC59DE">
      <w:pPr>
        <w:pStyle w:val="EndnoteText"/>
        <w:rPr>
          <w:rFonts w:cstheme="minorHAnsi"/>
        </w:rPr>
      </w:pPr>
      <w:r w:rsidRPr="005667BA">
        <w:rPr>
          <w:rStyle w:val="EndnoteReference"/>
          <w:rFonts w:cstheme="minorHAnsi"/>
        </w:rPr>
        <w:endnoteRef/>
      </w:r>
      <w:r w:rsidRPr="005667BA">
        <w:rPr>
          <w:rFonts w:cstheme="minorHAnsi"/>
        </w:rPr>
        <w:t xml:space="preserve"> Jeremy P Harris et al., </w:t>
      </w:r>
      <w:r w:rsidRPr="005667BA">
        <w:rPr>
          <w:rFonts w:cstheme="minorHAnsi"/>
          <w:i/>
          <w:iCs/>
        </w:rPr>
        <w:t>Association of Survival With Shorter Time to Radiation Therapy After Surgery for US Patients With Head and Neck Cancer</w:t>
      </w:r>
      <w:r w:rsidRPr="005667BA">
        <w:rPr>
          <w:rFonts w:cstheme="minorHAnsi"/>
        </w:rPr>
        <w:t xml:space="preserve">, 144(4) </w:t>
      </w:r>
      <w:r w:rsidRPr="005667BA">
        <w:rPr>
          <w:rFonts w:cstheme="minorHAnsi"/>
          <w:smallCaps/>
        </w:rPr>
        <w:t>JAMA Otolaryngology – Head &amp; Neck Surgery</w:t>
      </w:r>
      <w:r w:rsidRPr="005667BA">
        <w:rPr>
          <w:rFonts w:cstheme="minorHAnsi"/>
        </w:rPr>
        <w:t xml:space="preserve"> 349–359 (2018).</w:t>
      </w:r>
    </w:p>
  </w:endnote>
  <w:endnote w:id="12">
    <w:p w14:paraId="0DD8BC0A" w14:textId="77777777" w:rsidR="00AC59DE" w:rsidRPr="005667BA" w:rsidRDefault="00AC59DE" w:rsidP="00AC59DE">
      <w:pPr>
        <w:pStyle w:val="EndnoteText"/>
        <w:rPr>
          <w:rFonts w:cstheme="minorHAnsi"/>
        </w:rPr>
      </w:pPr>
      <w:r w:rsidRPr="005667BA">
        <w:rPr>
          <w:rStyle w:val="EndnoteReference"/>
          <w:rFonts w:cstheme="minorHAnsi"/>
        </w:rPr>
        <w:endnoteRef/>
      </w:r>
      <w:r w:rsidRPr="005667BA">
        <w:rPr>
          <w:rFonts w:cstheme="minorHAnsi"/>
        </w:rPr>
        <w:t xml:space="preserve"> Nzhde Agazaryan et al., T</w:t>
      </w:r>
      <w:r w:rsidRPr="005667BA">
        <w:rPr>
          <w:rFonts w:cstheme="minorHAnsi"/>
          <w:i/>
          <w:iCs/>
        </w:rPr>
        <w:t>he Timeliness Initiative: Continuous Process Improvement for Prompt Initiation of Radiation Therapy Treatment</w:t>
      </w:r>
      <w:r w:rsidRPr="005667BA">
        <w:rPr>
          <w:rFonts w:cstheme="minorHAnsi"/>
        </w:rPr>
        <w:t xml:space="preserve">, 5(5) </w:t>
      </w:r>
      <w:r w:rsidRPr="005667BA">
        <w:rPr>
          <w:rFonts w:cstheme="minorHAnsi"/>
          <w:smallCaps/>
        </w:rPr>
        <w:t>Advanced Radiation Oncology</w:t>
      </w:r>
      <w:r w:rsidRPr="005667BA">
        <w:rPr>
          <w:rFonts w:cstheme="minorHAnsi"/>
        </w:rPr>
        <w:t xml:space="preserve"> 1014-1021 (2020).</w:t>
      </w:r>
    </w:p>
  </w:endnote>
  <w:endnote w:id="13">
    <w:p w14:paraId="4EB28A92" w14:textId="7122912F" w:rsidR="00AC59DE" w:rsidRPr="005667BA" w:rsidRDefault="00AC59DE" w:rsidP="00AC59DE">
      <w:pPr>
        <w:pStyle w:val="EndnoteText"/>
        <w:rPr>
          <w:rFonts w:cstheme="minorHAnsi"/>
        </w:rPr>
      </w:pPr>
      <w:r w:rsidRPr="005667BA">
        <w:rPr>
          <w:rStyle w:val="EndnoteReference"/>
          <w:rFonts w:cstheme="minorHAnsi"/>
        </w:rPr>
        <w:endnoteRef/>
      </w:r>
      <w:r w:rsidRPr="005667BA">
        <w:rPr>
          <w:rFonts w:cstheme="minorHAnsi"/>
        </w:rPr>
        <w:t xml:space="preserve"> Jeremy </w:t>
      </w:r>
      <w:r w:rsidRPr="005667BA">
        <w:rPr>
          <w:rFonts w:eastAsia="Arial" w:cstheme="minorHAnsi"/>
        </w:rPr>
        <w:t>Mattson,</w:t>
      </w:r>
      <w:r w:rsidRPr="005667BA">
        <w:rPr>
          <w:rFonts w:eastAsia="Arial" w:cstheme="minorHAnsi"/>
          <w:spacing w:val="-3"/>
        </w:rPr>
        <w:t xml:space="preserve"> </w:t>
      </w:r>
      <w:r w:rsidRPr="005667BA">
        <w:rPr>
          <w:rFonts w:eastAsia="Arial" w:cstheme="minorHAnsi"/>
          <w:smallCaps/>
          <w:spacing w:val="-3"/>
        </w:rPr>
        <w:t>Small Urban &amp; R</w:t>
      </w:r>
      <w:r w:rsidRPr="007E3E02">
        <w:rPr>
          <w:rFonts w:eastAsia="Arial" w:cstheme="minorHAnsi"/>
          <w:smallCaps/>
          <w:spacing w:val="-3"/>
        </w:rPr>
        <w:t>ural Transit Ctr</w:t>
      </w:r>
      <w:r w:rsidRPr="007E3E02">
        <w:rPr>
          <w:rFonts w:eastAsia="Arial" w:cstheme="minorHAnsi"/>
          <w:i/>
          <w:iCs/>
          <w:smallCaps/>
          <w:spacing w:val="-3"/>
        </w:rPr>
        <w:t xml:space="preserve">, </w:t>
      </w:r>
      <w:hyperlink r:id="rId19" w:history="1">
        <w:r w:rsidRPr="007E3E02">
          <w:rPr>
            <w:rStyle w:val="Hyperlink"/>
            <w:rFonts w:eastAsia="Arial" w:cstheme="minorHAnsi"/>
            <w:i/>
            <w:iCs/>
            <w:color w:val="auto"/>
            <w:u w:val="none"/>
          </w:rPr>
          <w:t>Transportation,</w:t>
        </w:r>
        <w:r w:rsidRPr="007E3E02">
          <w:rPr>
            <w:rStyle w:val="Hyperlink"/>
            <w:rFonts w:eastAsia="Arial" w:cstheme="minorHAnsi"/>
            <w:i/>
            <w:iCs/>
            <w:color w:val="auto"/>
            <w:spacing w:val="-5"/>
            <w:u w:val="none"/>
          </w:rPr>
          <w:t xml:space="preserve"> </w:t>
        </w:r>
        <w:r w:rsidRPr="007E3E02">
          <w:rPr>
            <w:rStyle w:val="Hyperlink"/>
            <w:rFonts w:eastAsia="Arial" w:cstheme="minorHAnsi"/>
            <w:i/>
            <w:iCs/>
            <w:color w:val="auto"/>
            <w:u w:val="none"/>
          </w:rPr>
          <w:t>Distance,</w:t>
        </w:r>
        <w:r w:rsidRPr="007E3E02">
          <w:rPr>
            <w:rStyle w:val="Hyperlink"/>
            <w:rFonts w:eastAsia="Arial" w:cstheme="minorHAnsi"/>
            <w:i/>
            <w:iCs/>
            <w:color w:val="auto"/>
            <w:spacing w:val="-3"/>
            <w:u w:val="none"/>
          </w:rPr>
          <w:t xml:space="preserve"> </w:t>
        </w:r>
        <w:r w:rsidRPr="007E3E02">
          <w:rPr>
            <w:rStyle w:val="Hyperlink"/>
            <w:rFonts w:eastAsia="Arial" w:cstheme="minorHAnsi"/>
            <w:i/>
            <w:iCs/>
            <w:color w:val="auto"/>
            <w:u w:val="none"/>
          </w:rPr>
          <w:t>and</w:t>
        </w:r>
        <w:r w:rsidRPr="007E3E02">
          <w:rPr>
            <w:rStyle w:val="Hyperlink"/>
            <w:rFonts w:eastAsia="Arial" w:cstheme="minorHAnsi"/>
            <w:i/>
            <w:iCs/>
            <w:color w:val="auto"/>
            <w:spacing w:val="-2"/>
            <w:u w:val="none"/>
          </w:rPr>
          <w:t xml:space="preserve"> </w:t>
        </w:r>
        <w:r w:rsidRPr="007E3E02">
          <w:rPr>
            <w:rStyle w:val="Hyperlink"/>
            <w:rFonts w:eastAsia="Arial" w:cstheme="minorHAnsi"/>
            <w:i/>
            <w:iCs/>
            <w:color w:val="auto"/>
            <w:u w:val="none"/>
          </w:rPr>
          <w:t>Health</w:t>
        </w:r>
        <w:r w:rsidRPr="007E3E02">
          <w:rPr>
            <w:rStyle w:val="Hyperlink"/>
            <w:rFonts w:eastAsia="Arial" w:cstheme="minorHAnsi"/>
            <w:i/>
            <w:iCs/>
            <w:color w:val="auto"/>
            <w:spacing w:val="-4"/>
            <w:u w:val="none"/>
          </w:rPr>
          <w:t xml:space="preserve"> </w:t>
        </w:r>
        <w:r w:rsidRPr="007E3E02">
          <w:rPr>
            <w:rStyle w:val="Hyperlink"/>
            <w:rFonts w:eastAsia="Arial" w:cstheme="minorHAnsi"/>
            <w:i/>
            <w:iCs/>
            <w:color w:val="auto"/>
            <w:u w:val="none"/>
          </w:rPr>
          <w:t>Care</w:t>
        </w:r>
        <w:r w:rsidRPr="007E3E02">
          <w:rPr>
            <w:rStyle w:val="Hyperlink"/>
            <w:rFonts w:eastAsia="Arial" w:cstheme="minorHAnsi"/>
            <w:i/>
            <w:iCs/>
            <w:color w:val="auto"/>
            <w:spacing w:val="-2"/>
            <w:u w:val="none"/>
          </w:rPr>
          <w:t xml:space="preserve"> </w:t>
        </w:r>
        <w:r w:rsidRPr="007E3E02">
          <w:rPr>
            <w:rStyle w:val="Hyperlink"/>
            <w:rFonts w:eastAsia="Arial" w:cstheme="minorHAnsi"/>
            <w:i/>
            <w:iCs/>
            <w:color w:val="auto"/>
            <w:u w:val="none"/>
          </w:rPr>
          <w:t>Utilization</w:t>
        </w:r>
        <w:r w:rsidRPr="007E3E02">
          <w:rPr>
            <w:rStyle w:val="Hyperlink"/>
            <w:rFonts w:eastAsia="Arial" w:cstheme="minorHAnsi"/>
            <w:i/>
            <w:iCs/>
            <w:color w:val="auto"/>
            <w:spacing w:val="-1"/>
            <w:u w:val="none"/>
          </w:rPr>
          <w:t xml:space="preserve"> </w:t>
        </w:r>
        <w:r w:rsidRPr="007E3E02">
          <w:rPr>
            <w:rStyle w:val="Hyperlink"/>
            <w:rFonts w:eastAsia="Arial" w:cstheme="minorHAnsi"/>
            <w:i/>
            <w:iCs/>
            <w:color w:val="auto"/>
            <w:u w:val="none"/>
          </w:rPr>
          <w:t>for</w:t>
        </w:r>
        <w:r w:rsidRPr="007E3E02">
          <w:rPr>
            <w:rStyle w:val="Hyperlink"/>
            <w:rFonts w:eastAsia="Arial" w:cstheme="minorHAnsi"/>
            <w:i/>
            <w:iCs/>
            <w:color w:val="auto"/>
            <w:spacing w:val="-2"/>
            <w:u w:val="none"/>
          </w:rPr>
          <w:t xml:space="preserve"> </w:t>
        </w:r>
        <w:r w:rsidRPr="007E3E02">
          <w:rPr>
            <w:rStyle w:val="Hyperlink"/>
            <w:rFonts w:eastAsia="Arial" w:cstheme="minorHAnsi"/>
            <w:i/>
            <w:iCs/>
            <w:color w:val="auto"/>
            <w:u w:val="none"/>
          </w:rPr>
          <w:t>Older</w:t>
        </w:r>
        <w:r w:rsidRPr="007E3E02">
          <w:rPr>
            <w:rStyle w:val="Hyperlink"/>
            <w:rFonts w:eastAsia="Arial" w:cstheme="minorHAnsi"/>
            <w:i/>
            <w:iCs/>
            <w:color w:val="auto"/>
            <w:spacing w:val="-5"/>
            <w:u w:val="none"/>
          </w:rPr>
          <w:t xml:space="preserve"> </w:t>
        </w:r>
        <w:r w:rsidRPr="007E3E02">
          <w:rPr>
            <w:rStyle w:val="Hyperlink"/>
            <w:rFonts w:eastAsia="Arial" w:cstheme="minorHAnsi"/>
            <w:i/>
            <w:iCs/>
            <w:color w:val="auto"/>
            <w:u w:val="none"/>
          </w:rPr>
          <w:t>Adults</w:t>
        </w:r>
        <w:r w:rsidRPr="007E3E02">
          <w:rPr>
            <w:rStyle w:val="Hyperlink"/>
            <w:rFonts w:eastAsia="Arial" w:cstheme="minorHAnsi"/>
            <w:i/>
            <w:iCs/>
            <w:color w:val="auto"/>
            <w:spacing w:val="-2"/>
            <w:u w:val="none"/>
          </w:rPr>
          <w:t xml:space="preserve"> </w:t>
        </w:r>
        <w:r w:rsidRPr="007E3E02">
          <w:rPr>
            <w:rStyle w:val="Hyperlink"/>
            <w:rFonts w:eastAsia="Arial" w:cstheme="minorHAnsi"/>
            <w:i/>
            <w:iCs/>
            <w:color w:val="auto"/>
            <w:u w:val="none"/>
          </w:rPr>
          <w:t>in</w:t>
        </w:r>
        <w:r w:rsidRPr="007E3E02">
          <w:rPr>
            <w:rStyle w:val="Hyperlink"/>
            <w:rFonts w:eastAsia="Arial" w:cstheme="minorHAnsi"/>
            <w:i/>
            <w:iCs/>
            <w:color w:val="auto"/>
            <w:spacing w:val="-2"/>
            <w:u w:val="none"/>
          </w:rPr>
          <w:t xml:space="preserve"> </w:t>
        </w:r>
        <w:r w:rsidRPr="007E3E02">
          <w:rPr>
            <w:rStyle w:val="Hyperlink"/>
            <w:rFonts w:eastAsia="Arial" w:cstheme="minorHAnsi"/>
            <w:i/>
            <w:iCs/>
            <w:color w:val="auto"/>
            <w:u w:val="none"/>
          </w:rPr>
          <w:t>Rural</w:t>
        </w:r>
        <w:r w:rsidRPr="007E3E02">
          <w:rPr>
            <w:rStyle w:val="Hyperlink"/>
            <w:rFonts w:eastAsia="Arial" w:cstheme="minorHAnsi"/>
            <w:i/>
            <w:iCs/>
            <w:color w:val="auto"/>
            <w:spacing w:val="-1"/>
            <w:u w:val="none"/>
          </w:rPr>
          <w:t xml:space="preserve"> </w:t>
        </w:r>
        <w:r w:rsidRPr="007E3E02">
          <w:rPr>
            <w:rStyle w:val="Hyperlink"/>
            <w:rFonts w:eastAsia="Arial" w:cstheme="minorHAnsi"/>
            <w:i/>
            <w:iCs/>
            <w:color w:val="auto"/>
            <w:u w:val="none"/>
          </w:rPr>
          <w:t>and</w:t>
        </w:r>
        <w:r w:rsidRPr="007E3E02">
          <w:rPr>
            <w:rStyle w:val="Hyperlink"/>
            <w:rFonts w:eastAsia="Arial" w:cstheme="minorHAnsi"/>
            <w:i/>
            <w:iCs/>
            <w:color w:val="auto"/>
            <w:spacing w:val="-4"/>
            <w:u w:val="none"/>
          </w:rPr>
          <w:t xml:space="preserve"> </w:t>
        </w:r>
        <w:r w:rsidRPr="007E3E02">
          <w:rPr>
            <w:rStyle w:val="Hyperlink"/>
            <w:rFonts w:eastAsia="Arial" w:cstheme="minorHAnsi"/>
            <w:i/>
            <w:iCs/>
            <w:color w:val="auto"/>
            <w:u w:val="none"/>
          </w:rPr>
          <w:t>Small</w:t>
        </w:r>
        <w:r w:rsidRPr="007E3E02">
          <w:rPr>
            <w:rStyle w:val="Hyperlink"/>
            <w:rFonts w:eastAsia="Arial" w:cstheme="minorHAnsi"/>
            <w:i/>
            <w:iCs/>
            <w:color w:val="auto"/>
            <w:spacing w:val="-1"/>
            <w:u w:val="none"/>
          </w:rPr>
          <w:t xml:space="preserve"> </w:t>
        </w:r>
        <w:r w:rsidRPr="007E3E02">
          <w:rPr>
            <w:rStyle w:val="Hyperlink"/>
            <w:rFonts w:eastAsia="Arial" w:cstheme="minorHAnsi"/>
            <w:i/>
            <w:iCs/>
            <w:color w:val="auto"/>
            <w:u w:val="none"/>
          </w:rPr>
          <w:t>Urban</w:t>
        </w:r>
        <w:r w:rsidRPr="007E3E02">
          <w:rPr>
            <w:rStyle w:val="Hyperlink"/>
            <w:rFonts w:eastAsia="Arial" w:cstheme="minorHAnsi"/>
            <w:i/>
            <w:iCs/>
            <w:color w:val="auto"/>
            <w:spacing w:val="-4"/>
            <w:u w:val="none"/>
          </w:rPr>
          <w:t xml:space="preserve"> </w:t>
        </w:r>
        <w:r w:rsidRPr="007E3E02">
          <w:rPr>
            <w:rStyle w:val="Hyperlink"/>
            <w:rFonts w:eastAsia="Arial" w:cstheme="minorHAnsi"/>
            <w:i/>
            <w:iCs/>
            <w:color w:val="auto"/>
            <w:u w:val="none"/>
          </w:rPr>
          <w:t>Areas</w:t>
        </w:r>
      </w:hyperlink>
      <w:r w:rsidRPr="007E3E02">
        <w:rPr>
          <w:rFonts w:eastAsia="Arial" w:cstheme="minorHAnsi"/>
          <w:i/>
          <w:iCs/>
        </w:rPr>
        <w:t xml:space="preserve"> </w:t>
      </w:r>
      <w:r w:rsidRPr="007E3E02">
        <w:rPr>
          <w:rFonts w:eastAsia="Arial" w:cstheme="minorHAnsi"/>
        </w:rPr>
        <w:t>(2010</w:t>
      </w:r>
      <w:r w:rsidRPr="005667BA">
        <w:rPr>
          <w:rFonts w:eastAsia="Arial" w:cstheme="minorHAnsi"/>
        </w:rPr>
        <w:t>),</w:t>
      </w:r>
      <w:r w:rsidRPr="005667BA">
        <w:rPr>
          <w:rFonts w:eastAsia="Arial" w:cstheme="minorHAnsi"/>
          <w:i/>
        </w:rPr>
        <w:t xml:space="preserve"> </w:t>
      </w:r>
      <w:hyperlink r:id="rId20">
        <w:r w:rsidRPr="005667BA">
          <w:rPr>
            <w:rFonts w:eastAsia="Arial" w:cstheme="minorHAnsi"/>
            <w:color w:val="42558C" w:themeColor="accent1" w:themeShade="BF"/>
            <w:u w:val="single" w:color="0562C1"/>
          </w:rPr>
          <w:t>https://www.ugpti.org/resources/reports/downloads/dp-236.pdf</w:t>
        </w:r>
      </w:hyperlink>
    </w:p>
  </w:endnote>
  <w:endnote w:id="14">
    <w:p w14:paraId="327AF30F" w14:textId="77777777" w:rsidR="00AC59DE" w:rsidRPr="005667BA" w:rsidRDefault="00AC59DE" w:rsidP="00AC59DE">
      <w:pPr>
        <w:pStyle w:val="EndnoteText"/>
        <w:rPr>
          <w:rFonts w:cstheme="minorHAnsi"/>
        </w:rPr>
      </w:pPr>
      <w:r w:rsidRPr="005667BA">
        <w:rPr>
          <w:rStyle w:val="EndnoteReference"/>
          <w:rFonts w:cstheme="minorHAnsi"/>
        </w:rPr>
        <w:endnoteRef/>
      </w:r>
      <w:r w:rsidRPr="005667BA">
        <w:rPr>
          <w:rFonts w:cstheme="minorHAnsi"/>
        </w:rPr>
        <w:t xml:space="preserve"> Charlene A Winters et al., </w:t>
      </w:r>
      <w:r w:rsidRPr="005667BA">
        <w:rPr>
          <w:rFonts w:cstheme="minorHAnsi"/>
          <w:i/>
          <w:iCs/>
        </w:rPr>
        <w:t>The Rural Context and Women's Self- Management of Chronic Health Conditions</w:t>
      </w:r>
      <w:r w:rsidRPr="005667BA">
        <w:rPr>
          <w:rFonts w:cstheme="minorHAnsi"/>
        </w:rPr>
        <w:t xml:space="preserve">, 2 </w:t>
      </w:r>
      <w:r w:rsidRPr="005667BA">
        <w:rPr>
          <w:rFonts w:cstheme="minorHAnsi"/>
          <w:smallCaps/>
        </w:rPr>
        <w:t>Chronic Illness</w:t>
      </w:r>
      <w:r w:rsidRPr="005667BA">
        <w:rPr>
          <w:rFonts w:cstheme="minorHAnsi"/>
        </w:rPr>
        <w:t xml:space="preserve"> 273-289 (2006).</w:t>
      </w:r>
    </w:p>
  </w:endnote>
  <w:endnote w:id="15">
    <w:p w14:paraId="2E50B9C4" w14:textId="5708094E" w:rsidR="00944036" w:rsidRPr="005667BA" w:rsidRDefault="00944036" w:rsidP="00944036">
      <w:pPr>
        <w:pStyle w:val="Default"/>
        <w:rPr>
          <w:rFonts w:asciiTheme="minorHAnsi" w:hAnsiTheme="minorHAnsi" w:cstheme="minorHAnsi"/>
          <w:sz w:val="20"/>
          <w:szCs w:val="20"/>
        </w:rPr>
      </w:pPr>
      <w:r w:rsidRPr="005667BA">
        <w:rPr>
          <w:rStyle w:val="EndnoteReference"/>
          <w:rFonts w:asciiTheme="minorHAnsi" w:hAnsiTheme="minorHAnsi" w:cstheme="minorHAnsi"/>
          <w:sz w:val="20"/>
          <w:szCs w:val="20"/>
        </w:rPr>
        <w:endnoteRef/>
      </w:r>
      <w:r w:rsidRPr="005667BA">
        <w:rPr>
          <w:rFonts w:asciiTheme="minorHAnsi" w:hAnsiTheme="minorHAnsi" w:cstheme="minorHAnsi"/>
          <w:sz w:val="20"/>
          <w:szCs w:val="20"/>
        </w:rPr>
        <w:t xml:space="preserve"> HealthIT.gov. </w:t>
      </w:r>
      <w:hyperlink r:id="rId21" w:history="1">
        <w:r w:rsidRPr="007E3E02">
          <w:rPr>
            <w:rStyle w:val="Hyperlink"/>
            <w:rFonts w:asciiTheme="minorHAnsi" w:hAnsiTheme="minorHAnsi" w:cstheme="minorHAnsi"/>
            <w:color w:val="auto"/>
            <w:sz w:val="20"/>
            <w:szCs w:val="20"/>
            <w:u w:val="none"/>
          </w:rPr>
          <w:t>Improve Care Coordination.</w:t>
        </w:r>
      </w:hyperlink>
      <w:r w:rsidRPr="007E3E02">
        <w:rPr>
          <w:rFonts w:asciiTheme="minorHAnsi" w:hAnsiTheme="minorHAnsi" w:cstheme="minorHAnsi"/>
          <w:color w:val="auto"/>
          <w:sz w:val="20"/>
          <w:szCs w:val="20"/>
        </w:rPr>
        <w:t xml:space="preserve"> </w:t>
      </w:r>
      <w:r w:rsidRPr="005667BA">
        <w:rPr>
          <w:rFonts w:asciiTheme="minorHAnsi" w:hAnsiTheme="minorHAnsi" w:cstheme="minorHAnsi"/>
          <w:sz w:val="20"/>
          <w:szCs w:val="20"/>
        </w:rPr>
        <w:t>Available:</w:t>
      </w:r>
      <w:r w:rsidRPr="005667BA">
        <w:rPr>
          <w:rFonts w:asciiTheme="minorHAnsi" w:hAnsiTheme="minorHAnsi" w:cstheme="minorHAnsi"/>
          <w:color w:val="42558C" w:themeColor="accent1" w:themeShade="BF"/>
          <w:sz w:val="20"/>
          <w:szCs w:val="20"/>
        </w:rPr>
        <w:t xml:space="preserve"> </w:t>
      </w:r>
      <w:hyperlink r:id="rId22" w:history="1">
        <w:r w:rsidRPr="005667BA">
          <w:rPr>
            <w:rStyle w:val="Hyperlink"/>
            <w:rFonts w:asciiTheme="minorHAnsi" w:hAnsiTheme="minorHAnsi" w:cstheme="minorHAnsi"/>
            <w:color w:val="42558C" w:themeColor="accent1" w:themeShade="BF"/>
            <w:sz w:val="20"/>
            <w:szCs w:val="20"/>
          </w:rPr>
          <w:t>https://www.healthit.gov/topic/health-it-and-health-information-exchange-basics/improve-care-coordination</w:t>
        </w:r>
      </w:hyperlink>
    </w:p>
    <w:p w14:paraId="69F371DC" w14:textId="409933EC" w:rsidR="00944036" w:rsidRPr="005667BA" w:rsidRDefault="00944036" w:rsidP="00944036">
      <w:pPr>
        <w:pStyle w:val="EndnoteText"/>
        <w:rPr>
          <w:rFonts w:cstheme="minorHAnsi"/>
          <w:color w:val="000000"/>
        </w:rPr>
      </w:pPr>
      <w:r w:rsidRPr="005667BA">
        <w:rPr>
          <w:rFonts w:cstheme="minorHAnsi"/>
          <w:color w:val="000000"/>
        </w:rPr>
        <w:t>Alain Pinsonneault, Shamel Addas, Christina Qian, Vijay Dakshinamoorthy &amp; Robyn</w:t>
      </w:r>
      <w:r w:rsidRPr="007E3E02">
        <w:rPr>
          <w:rFonts w:cstheme="minorHAnsi"/>
        </w:rPr>
        <w:t xml:space="preserve"> Tamblyn (2017) </w:t>
      </w:r>
      <w:hyperlink r:id="rId23" w:history="1">
        <w:r w:rsidRPr="007E3E02">
          <w:rPr>
            <w:rStyle w:val="Hyperlink"/>
            <w:rFonts w:cstheme="minorHAnsi"/>
            <w:color w:val="auto"/>
            <w:u w:val="none"/>
          </w:rPr>
          <w:t>Integrated Health Information Technology and the Quality of Patient Care: A Natural Experiment</w:t>
        </w:r>
      </w:hyperlink>
      <w:r w:rsidRPr="007E3E02">
        <w:rPr>
          <w:rFonts w:cstheme="minorHAnsi"/>
        </w:rPr>
        <w:t xml:space="preserve">, </w:t>
      </w:r>
      <w:r w:rsidRPr="005667BA">
        <w:rPr>
          <w:rFonts w:cstheme="minorHAnsi"/>
          <w:color w:val="000000"/>
        </w:rPr>
        <w:t>Journal of Management Information Systems, 34:2, 457-486, DOI: 10.1080/07421222.2017.1334477 Available:</w:t>
      </w:r>
      <w:r w:rsidRPr="005667BA">
        <w:rPr>
          <w:rFonts w:cstheme="minorHAnsi"/>
          <w:color w:val="42558C" w:themeColor="accent1" w:themeShade="BF"/>
        </w:rPr>
        <w:t xml:space="preserve"> </w:t>
      </w:r>
      <w:hyperlink r:id="rId24" w:history="1">
        <w:r w:rsidRPr="005667BA">
          <w:rPr>
            <w:rStyle w:val="Hyperlink"/>
            <w:rFonts w:cstheme="minorHAnsi"/>
            <w:color w:val="42558C" w:themeColor="accent1" w:themeShade="BF"/>
          </w:rPr>
          <w:t>https://www.tandfonline.com/doi/abs/10.1080/07421222.2017.1334477</w:t>
        </w:r>
      </w:hyperlink>
    </w:p>
  </w:endnote>
  <w:endnote w:id="16">
    <w:p w14:paraId="3B640713" w14:textId="77777777" w:rsidR="00944036" w:rsidRPr="005667BA" w:rsidRDefault="00944036" w:rsidP="00944036">
      <w:pPr>
        <w:pStyle w:val="EndnoteText"/>
        <w:rPr>
          <w:rFonts w:cstheme="minorHAnsi"/>
        </w:rPr>
      </w:pPr>
      <w:r w:rsidRPr="005667BA">
        <w:rPr>
          <w:rStyle w:val="EndnoteReference"/>
          <w:rFonts w:cstheme="minorHAnsi"/>
        </w:rPr>
        <w:endnoteRef/>
      </w:r>
      <w:r w:rsidRPr="005667BA">
        <w:rPr>
          <w:rFonts w:cstheme="minorHAnsi"/>
        </w:rPr>
        <w:t xml:space="preserve"> HealthIT.gov, </w:t>
      </w:r>
      <w:hyperlink r:id="rId25" w:history="1">
        <w:r w:rsidRPr="005667BA">
          <w:rPr>
            <w:rStyle w:val="Hyperlink"/>
            <w:rFonts w:cstheme="minorHAnsi"/>
            <w:color w:val="42558C" w:themeColor="accent1" w:themeShade="BF"/>
          </w:rPr>
          <w:t>https://www.healthit.gov/topic/health-it-and-health-information-exchange-basics/improved-diagnostics-patient-outcomes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DA78" w14:textId="77777777" w:rsidR="004E2498" w:rsidRDefault="004E2498" w:rsidP="008C0709">
      <w:r>
        <w:separator/>
      </w:r>
    </w:p>
  </w:footnote>
  <w:footnote w:type="continuationSeparator" w:id="0">
    <w:p w14:paraId="6724EF4E" w14:textId="77777777" w:rsidR="004E2498" w:rsidRDefault="004E2498" w:rsidP="008C0709">
      <w:r>
        <w:continuationSeparator/>
      </w:r>
    </w:p>
  </w:footnote>
  <w:footnote w:type="continuationNotice" w:id="1">
    <w:p w14:paraId="2CEE8ADA" w14:textId="77777777" w:rsidR="004E2498" w:rsidRDefault="004E2498"/>
  </w:footnote>
  <w:footnote w:id="2">
    <w:p w14:paraId="615A5FF1" w14:textId="77777777" w:rsidR="00863767" w:rsidRPr="00791CC1" w:rsidRDefault="00863767" w:rsidP="00863767">
      <w:pPr>
        <w:pStyle w:val="FootnoteText"/>
        <w:rPr>
          <w:sz w:val="16"/>
          <w:szCs w:val="16"/>
        </w:rPr>
      </w:pPr>
      <w:r w:rsidRPr="00791CC1">
        <w:rPr>
          <w:rStyle w:val="FootnoteReference"/>
          <w:sz w:val="16"/>
          <w:szCs w:val="16"/>
        </w:rPr>
        <w:footnoteRef/>
      </w:r>
      <w:r w:rsidRPr="00791CC1">
        <w:rPr>
          <w:sz w:val="16"/>
          <w:szCs w:val="16"/>
        </w:rPr>
        <w:t xml:space="preserve"> The</w:t>
      </w:r>
      <w:r w:rsidRPr="00791CC1">
        <w:rPr>
          <w:spacing w:val="-2"/>
          <w:sz w:val="16"/>
          <w:szCs w:val="16"/>
        </w:rPr>
        <w:t xml:space="preserve"> </w:t>
      </w:r>
      <w:r w:rsidRPr="00791CC1">
        <w:rPr>
          <w:sz w:val="16"/>
          <w:szCs w:val="16"/>
        </w:rPr>
        <w:t>Applicant</w:t>
      </w:r>
      <w:r w:rsidRPr="00791CC1">
        <w:rPr>
          <w:spacing w:val="-2"/>
          <w:sz w:val="16"/>
          <w:szCs w:val="16"/>
        </w:rPr>
        <w:t xml:space="preserve"> </w:t>
      </w:r>
      <w:r w:rsidRPr="00791CC1">
        <w:rPr>
          <w:sz w:val="16"/>
          <w:szCs w:val="16"/>
        </w:rPr>
        <w:t>states</w:t>
      </w:r>
      <w:r w:rsidRPr="00791CC1">
        <w:rPr>
          <w:spacing w:val="-2"/>
          <w:sz w:val="16"/>
          <w:szCs w:val="16"/>
        </w:rPr>
        <w:t xml:space="preserve"> </w:t>
      </w:r>
      <w:r w:rsidRPr="00791CC1">
        <w:rPr>
          <w:sz w:val="16"/>
          <w:szCs w:val="16"/>
        </w:rPr>
        <w:t>that</w:t>
      </w:r>
      <w:r w:rsidRPr="00791CC1">
        <w:rPr>
          <w:spacing w:val="-2"/>
          <w:sz w:val="16"/>
          <w:szCs w:val="16"/>
        </w:rPr>
        <w:t xml:space="preserve"> </w:t>
      </w:r>
      <w:r w:rsidRPr="00791CC1">
        <w:rPr>
          <w:sz w:val="16"/>
          <w:szCs w:val="16"/>
        </w:rPr>
        <w:t>an</w:t>
      </w:r>
      <w:r w:rsidRPr="00791CC1">
        <w:rPr>
          <w:spacing w:val="-2"/>
          <w:sz w:val="16"/>
          <w:szCs w:val="16"/>
        </w:rPr>
        <w:t xml:space="preserve"> </w:t>
      </w:r>
      <w:r w:rsidRPr="00791CC1">
        <w:rPr>
          <w:sz w:val="16"/>
          <w:szCs w:val="16"/>
        </w:rPr>
        <w:t>estimated</w:t>
      </w:r>
      <w:r w:rsidRPr="00791CC1">
        <w:rPr>
          <w:spacing w:val="-2"/>
          <w:sz w:val="16"/>
          <w:szCs w:val="16"/>
        </w:rPr>
        <w:t xml:space="preserve"> </w:t>
      </w:r>
      <w:r w:rsidRPr="00791CC1">
        <w:rPr>
          <w:sz w:val="16"/>
          <w:szCs w:val="16"/>
        </w:rPr>
        <w:t>five</w:t>
      </w:r>
      <w:r w:rsidRPr="00791CC1">
        <w:rPr>
          <w:spacing w:val="-2"/>
          <w:sz w:val="16"/>
          <w:szCs w:val="16"/>
        </w:rPr>
        <w:t xml:space="preserve"> </w:t>
      </w:r>
      <w:r w:rsidRPr="00791CC1">
        <w:rPr>
          <w:sz w:val="16"/>
          <w:szCs w:val="16"/>
        </w:rPr>
        <w:t>million</w:t>
      </w:r>
      <w:r w:rsidRPr="00791CC1">
        <w:rPr>
          <w:spacing w:val="-2"/>
          <w:sz w:val="16"/>
          <w:szCs w:val="16"/>
        </w:rPr>
        <w:t xml:space="preserve"> </w:t>
      </w:r>
      <w:r w:rsidRPr="00791CC1">
        <w:rPr>
          <w:sz w:val="16"/>
          <w:szCs w:val="16"/>
        </w:rPr>
        <w:t>people</w:t>
      </w:r>
      <w:r w:rsidRPr="00791CC1">
        <w:rPr>
          <w:spacing w:val="-2"/>
          <w:sz w:val="16"/>
          <w:szCs w:val="16"/>
        </w:rPr>
        <w:t xml:space="preserve"> </w:t>
      </w:r>
      <w:r w:rsidRPr="00791CC1">
        <w:rPr>
          <w:sz w:val="16"/>
          <w:szCs w:val="16"/>
        </w:rPr>
        <w:t>reside</w:t>
      </w:r>
      <w:r w:rsidRPr="00791CC1">
        <w:rPr>
          <w:spacing w:val="-2"/>
          <w:sz w:val="16"/>
          <w:szCs w:val="16"/>
        </w:rPr>
        <w:t xml:space="preserve"> </w:t>
      </w:r>
      <w:r w:rsidRPr="00791CC1">
        <w:rPr>
          <w:sz w:val="16"/>
          <w:szCs w:val="16"/>
        </w:rPr>
        <w:t>in</w:t>
      </w:r>
      <w:r w:rsidRPr="00791CC1">
        <w:rPr>
          <w:spacing w:val="-2"/>
          <w:sz w:val="16"/>
          <w:szCs w:val="16"/>
        </w:rPr>
        <w:t xml:space="preserve"> </w:t>
      </w:r>
      <w:r w:rsidRPr="00791CC1">
        <w:rPr>
          <w:sz w:val="16"/>
          <w:szCs w:val="16"/>
        </w:rPr>
        <w:t>the</w:t>
      </w:r>
      <w:r w:rsidRPr="00791CC1">
        <w:rPr>
          <w:spacing w:val="-2"/>
          <w:sz w:val="16"/>
          <w:szCs w:val="16"/>
        </w:rPr>
        <w:t xml:space="preserve"> </w:t>
      </w:r>
      <w:r w:rsidRPr="00791CC1">
        <w:rPr>
          <w:sz w:val="16"/>
          <w:szCs w:val="16"/>
        </w:rPr>
        <w:t>BILH</w:t>
      </w:r>
      <w:r w:rsidRPr="00791CC1">
        <w:rPr>
          <w:spacing w:val="-1"/>
          <w:sz w:val="16"/>
          <w:szCs w:val="16"/>
        </w:rPr>
        <w:t xml:space="preserve"> </w:t>
      </w:r>
      <w:r w:rsidRPr="00791CC1">
        <w:rPr>
          <w:sz w:val="16"/>
          <w:szCs w:val="16"/>
        </w:rPr>
        <w:t>service</w:t>
      </w:r>
      <w:r w:rsidRPr="00791CC1">
        <w:rPr>
          <w:spacing w:val="-1"/>
          <w:sz w:val="16"/>
          <w:szCs w:val="16"/>
        </w:rPr>
        <w:t xml:space="preserve"> </w:t>
      </w:r>
      <w:r w:rsidRPr="00791CC1">
        <w:rPr>
          <w:spacing w:val="-2"/>
          <w:sz w:val="16"/>
          <w:szCs w:val="16"/>
        </w:rPr>
        <w:t>area.</w:t>
      </w:r>
    </w:p>
  </w:footnote>
  <w:footnote w:id="3">
    <w:p w14:paraId="631F8E65" w14:textId="77777777" w:rsidR="00863767" w:rsidRPr="00B12009" w:rsidRDefault="00863767" w:rsidP="00863767">
      <w:pPr>
        <w:jc w:val="both"/>
        <w:rPr>
          <w:rFonts w:asciiTheme="minorHAnsi" w:hAnsiTheme="minorHAnsi" w:cstheme="minorHAnsi"/>
          <w:sz w:val="20"/>
          <w:szCs w:val="20"/>
        </w:rPr>
      </w:pPr>
      <w:r w:rsidRPr="00791CC1">
        <w:rPr>
          <w:rStyle w:val="FootnoteReference"/>
          <w:rFonts w:asciiTheme="minorHAnsi" w:hAnsiTheme="minorHAnsi" w:cstheme="minorHAnsi"/>
          <w:sz w:val="16"/>
          <w:szCs w:val="16"/>
        </w:rPr>
        <w:footnoteRef/>
      </w:r>
      <w:r w:rsidRPr="00791CC1">
        <w:rPr>
          <w:rFonts w:asciiTheme="minorHAnsi" w:hAnsiTheme="minorHAnsi" w:cstheme="minorHAnsi"/>
          <w:sz w:val="16"/>
          <w:szCs w:val="16"/>
        </w:rPr>
        <w:t xml:space="preserve"> Beth Israel Lahey Health includes the following Hospitals: Addison Gilbert Hospital (Northeast), Anna Jaques Hospital, Beth Israel Deaconess Hospital – Milton, Beth Israel Hospital – Needham, Beth Israel Hospital – Plymouth,</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Beth</w:t>
      </w:r>
      <w:r w:rsidRPr="00791CC1">
        <w:rPr>
          <w:rFonts w:asciiTheme="minorHAnsi" w:hAnsiTheme="minorHAnsi" w:cstheme="minorHAnsi"/>
          <w:spacing w:val="-4"/>
          <w:sz w:val="16"/>
          <w:szCs w:val="16"/>
        </w:rPr>
        <w:t xml:space="preserve"> </w:t>
      </w:r>
      <w:r w:rsidRPr="00791CC1">
        <w:rPr>
          <w:rFonts w:asciiTheme="minorHAnsi" w:hAnsiTheme="minorHAnsi" w:cstheme="minorHAnsi"/>
          <w:sz w:val="16"/>
          <w:szCs w:val="16"/>
        </w:rPr>
        <w:t>Israel</w:t>
      </w:r>
      <w:r w:rsidRPr="00791CC1">
        <w:rPr>
          <w:rFonts w:asciiTheme="minorHAnsi" w:hAnsiTheme="minorHAnsi" w:cstheme="minorHAnsi"/>
          <w:spacing w:val="-2"/>
          <w:sz w:val="16"/>
          <w:szCs w:val="16"/>
        </w:rPr>
        <w:t xml:space="preserve"> </w:t>
      </w:r>
      <w:r w:rsidRPr="00791CC1">
        <w:rPr>
          <w:rFonts w:asciiTheme="minorHAnsi" w:hAnsiTheme="minorHAnsi" w:cstheme="minorHAnsi"/>
          <w:sz w:val="16"/>
          <w:szCs w:val="16"/>
        </w:rPr>
        <w:t>Deaconess</w:t>
      </w:r>
      <w:r w:rsidRPr="00791CC1">
        <w:rPr>
          <w:rFonts w:asciiTheme="minorHAnsi" w:hAnsiTheme="minorHAnsi" w:cstheme="minorHAnsi"/>
          <w:spacing w:val="-2"/>
          <w:sz w:val="16"/>
          <w:szCs w:val="16"/>
        </w:rPr>
        <w:t xml:space="preserve"> </w:t>
      </w:r>
      <w:r w:rsidRPr="00791CC1">
        <w:rPr>
          <w:rFonts w:asciiTheme="minorHAnsi" w:hAnsiTheme="minorHAnsi" w:cstheme="minorHAnsi"/>
          <w:sz w:val="16"/>
          <w:szCs w:val="16"/>
        </w:rPr>
        <w:t>Medical</w:t>
      </w:r>
      <w:r w:rsidRPr="00791CC1">
        <w:rPr>
          <w:rFonts w:asciiTheme="minorHAnsi" w:hAnsiTheme="minorHAnsi" w:cstheme="minorHAnsi"/>
          <w:spacing w:val="-4"/>
          <w:sz w:val="16"/>
          <w:szCs w:val="16"/>
        </w:rPr>
        <w:t xml:space="preserve"> </w:t>
      </w:r>
      <w:r w:rsidRPr="00791CC1">
        <w:rPr>
          <w:rFonts w:asciiTheme="minorHAnsi" w:hAnsiTheme="minorHAnsi" w:cstheme="minorHAnsi"/>
          <w:sz w:val="16"/>
          <w:szCs w:val="16"/>
        </w:rPr>
        <w:t>Center,</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Beverly</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Hospital</w:t>
      </w:r>
      <w:r w:rsidRPr="00791CC1">
        <w:rPr>
          <w:rFonts w:asciiTheme="minorHAnsi" w:hAnsiTheme="minorHAnsi" w:cstheme="minorHAnsi"/>
          <w:spacing w:val="-1"/>
          <w:sz w:val="16"/>
          <w:szCs w:val="16"/>
        </w:rPr>
        <w:t xml:space="preserve"> </w:t>
      </w:r>
      <w:r w:rsidRPr="00791CC1">
        <w:rPr>
          <w:rFonts w:asciiTheme="minorHAnsi" w:hAnsiTheme="minorHAnsi" w:cstheme="minorHAnsi"/>
          <w:sz w:val="16"/>
          <w:szCs w:val="16"/>
        </w:rPr>
        <w:t>(Northeast),</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Lahey</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Hospital</w:t>
      </w:r>
      <w:r w:rsidRPr="00791CC1">
        <w:rPr>
          <w:rFonts w:asciiTheme="minorHAnsi" w:hAnsiTheme="minorHAnsi" w:cstheme="minorHAnsi"/>
          <w:spacing w:val="-4"/>
          <w:sz w:val="16"/>
          <w:szCs w:val="16"/>
        </w:rPr>
        <w:t xml:space="preserve"> </w:t>
      </w:r>
      <w:r w:rsidRPr="00791CC1">
        <w:rPr>
          <w:rFonts w:asciiTheme="minorHAnsi" w:hAnsiTheme="minorHAnsi" w:cstheme="minorHAnsi"/>
          <w:sz w:val="16"/>
          <w:szCs w:val="16"/>
        </w:rPr>
        <w:t>&amp;</w:t>
      </w:r>
      <w:r w:rsidRPr="00791CC1">
        <w:rPr>
          <w:rFonts w:asciiTheme="minorHAnsi" w:hAnsiTheme="minorHAnsi" w:cstheme="minorHAnsi"/>
          <w:spacing w:val="-4"/>
          <w:sz w:val="16"/>
          <w:szCs w:val="16"/>
        </w:rPr>
        <w:t xml:space="preserve"> </w:t>
      </w:r>
      <w:r w:rsidRPr="00791CC1">
        <w:rPr>
          <w:rFonts w:asciiTheme="minorHAnsi" w:hAnsiTheme="minorHAnsi" w:cstheme="minorHAnsi"/>
          <w:sz w:val="16"/>
          <w:szCs w:val="16"/>
        </w:rPr>
        <w:t>Medical</w:t>
      </w:r>
      <w:r w:rsidRPr="00791CC1">
        <w:rPr>
          <w:rFonts w:asciiTheme="minorHAnsi" w:hAnsiTheme="minorHAnsi" w:cstheme="minorHAnsi"/>
          <w:spacing w:val="-4"/>
          <w:sz w:val="16"/>
          <w:szCs w:val="16"/>
        </w:rPr>
        <w:t xml:space="preserve"> </w:t>
      </w:r>
      <w:r w:rsidRPr="00791CC1">
        <w:rPr>
          <w:rFonts w:asciiTheme="minorHAnsi" w:hAnsiTheme="minorHAnsi" w:cstheme="minorHAnsi"/>
          <w:sz w:val="16"/>
          <w:szCs w:val="16"/>
        </w:rPr>
        <w:t>Center,</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Lahey</w:t>
      </w:r>
      <w:r w:rsidRPr="00791CC1">
        <w:rPr>
          <w:rFonts w:asciiTheme="minorHAnsi" w:hAnsiTheme="minorHAnsi" w:cstheme="minorHAnsi"/>
          <w:spacing w:val="-3"/>
          <w:sz w:val="16"/>
          <w:szCs w:val="16"/>
        </w:rPr>
        <w:t xml:space="preserve"> </w:t>
      </w:r>
      <w:r w:rsidRPr="00791CC1">
        <w:rPr>
          <w:rFonts w:asciiTheme="minorHAnsi" w:hAnsiTheme="minorHAnsi" w:cstheme="minorHAnsi"/>
          <w:sz w:val="16"/>
          <w:szCs w:val="16"/>
        </w:rPr>
        <w:t>Medical Center, Peabody, Mount Auburn Hospital, New England Baptist Hospital, and Winchester Hospital.</w:t>
      </w:r>
    </w:p>
  </w:footnote>
  <w:footnote w:id="4">
    <w:p w14:paraId="506E7162" w14:textId="77777777" w:rsidR="00E677D5" w:rsidRPr="0009172A" w:rsidRDefault="00E677D5" w:rsidP="00E677D5">
      <w:pPr>
        <w:pStyle w:val="FootnoteText"/>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3800A0A2" w14:textId="77777777" w:rsidR="00E677D5" w:rsidRPr="0009172A" w:rsidRDefault="00E677D5" w:rsidP="00E677D5">
      <w:pPr>
        <w:pStyle w:val="FootnoteText"/>
        <w:jc w:val="both"/>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For purposes of the Applicant’s Patient Panel, the fiscal year is defined as July 1 through June 30.</w:t>
      </w:r>
    </w:p>
  </w:footnote>
  <w:footnote w:id="6">
    <w:p w14:paraId="0B1F2D23" w14:textId="77777777" w:rsidR="00E677D5" w:rsidRPr="0020606A" w:rsidRDefault="00E677D5" w:rsidP="00E677D5">
      <w:pPr>
        <w:pStyle w:val="FootnoteText"/>
        <w:rPr>
          <w:sz w:val="16"/>
          <w:szCs w:val="16"/>
        </w:rPr>
      </w:pPr>
      <w:r w:rsidRPr="0020606A">
        <w:rPr>
          <w:rStyle w:val="FootnoteReference"/>
          <w:sz w:val="16"/>
          <w:szCs w:val="16"/>
        </w:rPr>
        <w:footnoteRef/>
      </w:r>
      <w:r w:rsidRPr="0020606A">
        <w:rPr>
          <w:sz w:val="16"/>
          <w:szCs w:val="16"/>
        </w:rPr>
        <w:t xml:space="preserve"> </w:t>
      </w:r>
      <w:r w:rsidRPr="0020606A">
        <w:rPr>
          <w:rFonts w:cstheme="minorHAnsi"/>
          <w:sz w:val="16"/>
          <w:szCs w:val="16"/>
        </w:rPr>
        <w:t>This information is from the Center for Health Information and Analysis (“CHIA”) Massachusetts Acute Care Hospital Inpatient Discharge Dataset</w:t>
      </w:r>
      <w:r>
        <w:rPr>
          <w:rFonts w:cstheme="minorHAnsi"/>
          <w:sz w:val="16"/>
          <w:szCs w:val="16"/>
        </w:rPr>
        <w:t>, which</w:t>
      </w:r>
      <w:r w:rsidRPr="0020606A">
        <w:rPr>
          <w:rFonts w:cstheme="minorHAnsi"/>
          <w:sz w:val="16"/>
          <w:szCs w:val="16"/>
        </w:rPr>
        <w:t xml:space="preserve"> is only current through the end of 2021. Therefore, the data provided is from FY21</w:t>
      </w:r>
      <w:r>
        <w:rPr>
          <w:rFonts w:cstheme="minorHAnsi"/>
          <w:sz w:val="16"/>
          <w:szCs w:val="16"/>
        </w:rPr>
        <w:t>.</w:t>
      </w:r>
    </w:p>
  </w:footnote>
  <w:footnote w:id="7">
    <w:p w14:paraId="4083AB1C" w14:textId="77777777" w:rsidR="00E677D5" w:rsidRPr="001E425B" w:rsidRDefault="00E677D5" w:rsidP="00E677D5">
      <w:pPr>
        <w:pStyle w:val="FootnoteText"/>
        <w:rPr>
          <w:rFonts w:cstheme="minorHAnsi"/>
          <w:sz w:val="16"/>
          <w:szCs w:val="16"/>
        </w:rPr>
      </w:pPr>
      <w:r w:rsidRPr="001E425B">
        <w:rPr>
          <w:rStyle w:val="FootnoteReference"/>
          <w:rFonts w:cstheme="minorHAnsi"/>
          <w:sz w:val="16"/>
          <w:szCs w:val="16"/>
        </w:rPr>
        <w:footnoteRef/>
      </w:r>
      <w:r w:rsidRPr="001E425B">
        <w:rPr>
          <w:rFonts w:cstheme="minorHAnsi"/>
          <w:sz w:val="16"/>
          <w:szCs w:val="16"/>
        </w:rPr>
        <w:t xml:space="preserve"> “Other” is a choice for patients to select if they do not feel that their race/ethnicity is reflected in the list of choices.</w:t>
      </w:r>
    </w:p>
  </w:footnote>
  <w:footnote w:id="8">
    <w:p w14:paraId="16481E33" w14:textId="77777777" w:rsidR="00E677D5" w:rsidRPr="00F87B3D" w:rsidRDefault="00E677D5" w:rsidP="00E677D5">
      <w:pPr>
        <w:pStyle w:val="FootnoteText"/>
        <w:rPr>
          <w:rFonts w:ascii="Arial" w:hAnsi="Arial" w:cs="Arial"/>
          <w:sz w:val="16"/>
          <w:szCs w:val="16"/>
        </w:rPr>
      </w:pPr>
      <w:r w:rsidRPr="00E40DCB">
        <w:rPr>
          <w:rStyle w:val="FootnoteReference"/>
          <w:rFonts w:cstheme="minorHAnsi"/>
          <w:sz w:val="16"/>
          <w:szCs w:val="16"/>
        </w:rPr>
        <w:footnoteRef/>
      </w:r>
      <w:r w:rsidRPr="00E40DCB">
        <w:rPr>
          <w:rFonts w:cstheme="minorHAnsi"/>
          <w:sz w:val="16"/>
          <w:szCs w:val="16"/>
        </w:rPr>
        <w:t xml:space="preserve"> Includes self-pay, health safety net, and liability coverage other than worker’s compensation for an injury event.</w:t>
      </w:r>
    </w:p>
  </w:footnote>
  <w:footnote w:id="9">
    <w:p w14:paraId="05AC56B9" w14:textId="77777777" w:rsidR="009B7C11" w:rsidRPr="0099607E" w:rsidRDefault="009B7C11" w:rsidP="009B7C11">
      <w:pPr>
        <w:pStyle w:val="FootnoteText"/>
        <w:rPr>
          <w:sz w:val="16"/>
          <w:szCs w:val="16"/>
        </w:rPr>
      </w:pPr>
      <w:r w:rsidRPr="0099607E">
        <w:rPr>
          <w:rStyle w:val="FootnoteReference"/>
          <w:sz w:val="16"/>
          <w:szCs w:val="16"/>
        </w:rPr>
        <w:footnoteRef/>
      </w:r>
      <w:r w:rsidRPr="0099607E">
        <w:rPr>
          <w:sz w:val="16"/>
          <w:szCs w:val="16"/>
        </w:rPr>
        <w:t xml:space="preserve"> “New starts” is the number of treatment courses.</w:t>
      </w:r>
    </w:p>
  </w:footnote>
  <w:footnote w:id="10">
    <w:p w14:paraId="3F87AD3B" w14:textId="77777777" w:rsidR="009B7C11" w:rsidRPr="00A6605E" w:rsidRDefault="009B7C11" w:rsidP="009B7C11">
      <w:pPr>
        <w:pStyle w:val="FootnoteText"/>
        <w:rPr>
          <w:sz w:val="16"/>
          <w:szCs w:val="16"/>
        </w:rPr>
      </w:pPr>
      <w:r w:rsidRPr="00A6605E">
        <w:rPr>
          <w:rStyle w:val="FootnoteReference"/>
          <w:sz w:val="16"/>
          <w:szCs w:val="16"/>
        </w:rPr>
        <w:footnoteRef/>
      </w:r>
      <w:r w:rsidRPr="00A6605E">
        <w:rPr>
          <w:sz w:val="16"/>
          <w:szCs w:val="16"/>
        </w:rPr>
        <w:t xml:space="preserve"> The total LINAC treatments is the total number of visits/treatments.</w:t>
      </w:r>
    </w:p>
  </w:footnote>
  <w:footnote w:id="11">
    <w:p w14:paraId="0BED406E" w14:textId="77777777" w:rsidR="009E6EB1" w:rsidRPr="00B5302D" w:rsidRDefault="009E6EB1" w:rsidP="009E6EB1">
      <w:pPr>
        <w:pStyle w:val="FootnoteText"/>
        <w:contextualSpacing/>
        <w:rPr>
          <w:rFonts w:cstheme="minorHAnsi"/>
          <w:sz w:val="18"/>
          <w:szCs w:val="18"/>
        </w:rPr>
      </w:pPr>
      <w:r w:rsidRPr="00D90AC9">
        <w:rPr>
          <w:rStyle w:val="FootnoteReference"/>
          <w:rFonts w:ascii="Arial" w:hAnsi="Arial" w:cs="Arial"/>
          <w:sz w:val="18"/>
          <w:szCs w:val="18"/>
        </w:rPr>
        <w:footnoteRef/>
      </w:r>
      <w:r w:rsidRPr="00D90AC9">
        <w:rPr>
          <w:rFonts w:ascii="Arial" w:hAnsi="Arial" w:cs="Arial"/>
          <w:sz w:val="18"/>
          <w:szCs w:val="18"/>
        </w:rPr>
        <w:t xml:space="preserve"> </w:t>
      </w:r>
      <w:hyperlink r:id="rId1" w:history="1">
        <w:r w:rsidRPr="00B5302D">
          <w:rPr>
            <w:rStyle w:val="Hyperlink"/>
            <w:rFonts w:eastAsia="Times New Roman" w:cstheme="minorHAnsi"/>
            <w:color w:val="004A94"/>
            <w:sz w:val="18"/>
            <w:szCs w:val="18"/>
          </w:rPr>
          <w:t>Community Engagement Standards for Community Health Planning Guideline</w:t>
        </w:r>
      </w:hyperlink>
      <w:r w:rsidRPr="00B5302D">
        <w:rPr>
          <w:rFonts w:eastAsia="Times New Roman" w:cstheme="minorHAnsi"/>
          <w:sz w:val="18"/>
          <w:szCs w:val="18"/>
        </w:rPr>
        <w:t>.</w:t>
      </w:r>
      <w:r w:rsidRPr="00B5302D">
        <w:rPr>
          <w:rFonts w:cstheme="minorHAnsi"/>
          <w:sz w:val="18"/>
          <w:szCs w:val="18"/>
        </w:rPr>
        <w:t xml:space="preserve"> </w:t>
      </w:r>
    </w:p>
  </w:footnote>
  <w:footnote w:id="12">
    <w:p w14:paraId="27CD83D2" w14:textId="77777777" w:rsidR="009E6EB1" w:rsidRPr="00D90AC9" w:rsidRDefault="009E6EB1" w:rsidP="009E6EB1">
      <w:pPr>
        <w:pStyle w:val="FootnoteText"/>
        <w:rPr>
          <w:rFonts w:ascii="Arial" w:hAnsi="Arial" w:cs="Arial"/>
          <w:sz w:val="18"/>
          <w:szCs w:val="18"/>
        </w:rPr>
      </w:pPr>
      <w:r w:rsidRPr="00B5302D">
        <w:rPr>
          <w:rStyle w:val="FootnoteReference"/>
          <w:rFonts w:cstheme="minorHAnsi"/>
          <w:sz w:val="18"/>
          <w:szCs w:val="18"/>
        </w:rPr>
        <w:footnoteRef/>
      </w:r>
      <w:r w:rsidRPr="00B5302D">
        <w:rPr>
          <w:rFonts w:cstheme="minorHAnsi"/>
          <w:sz w:val="18"/>
          <w:szCs w:val="18"/>
        </w:rPr>
        <w:t xml:space="preserve"> </w:t>
      </w:r>
      <w:hyperlink r:id="rId2" w:history="1">
        <w:r w:rsidRPr="00B5302D">
          <w:rPr>
            <w:rStyle w:val="Hyperlink"/>
            <w:rFonts w:cstheme="minorHAnsi"/>
            <w:color w:val="004A94"/>
            <w:sz w:val="18"/>
            <w:szCs w:val="18"/>
          </w:rPr>
          <w:t>DoN Regulation 100.210 (A)(1)(e)</w:t>
        </w:r>
      </w:hyperlink>
      <w:r w:rsidRPr="00B5302D">
        <w:rPr>
          <w:rFonts w:cstheme="minorHAnsi"/>
          <w:color w:val="004A94"/>
          <w:sz w:val="18"/>
          <w:szCs w:val="18"/>
        </w:rPr>
        <w:t>.</w:t>
      </w:r>
      <w:r w:rsidRPr="00D90AC9">
        <w:rPr>
          <w:rFonts w:ascii="Arial" w:hAnsi="Arial" w:cs="Arial"/>
          <w:color w:val="004A94"/>
          <w:sz w:val="18"/>
          <w:szCs w:val="18"/>
        </w:rPr>
        <w:t xml:space="preserve"> </w:t>
      </w:r>
    </w:p>
  </w:footnote>
  <w:footnote w:id="13">
    <w:p w14:paraId="041BAFC8" w14:textId="77777777" w:rsidR="00472A9D" w:rsidRPr="0027543F" w:rsidRDefault="00472A9D" w:rsidP="00472A9D">
      <w:pPr>
        <w:pStyle w:val="FootnoteText"/>
        <w:rPr>
          <w:sz w:val="16"/>
          <w:szCs w:val="16"/>
        </w:rPr>
      </w:pPr>
      <w:r w:rsidRPr="0027543F">
        <w:rPr>
          <w:rStyle w:val="FootnoteReference"/>
          <w:sz w:val="16"/>
          <w:szCs w:val="16"/>
        </w:rPr>
        <w:footnoteRef/>
      </w:r>
      <w:r w:rsidRPr="0027543F">
        <w:rPr>
          <w:sz w:val="16"/>
          <w:szCs w:val="16"/>
        </w:rPr>
        <w:t xml:space="preserve"> </w:t>
      </w:r>
      <w:r w:rsidRPr="0027543F">
        <w:rPr>
          <w:rFonts w:eastAsia="Times New Roman" w:cstheme="minorHAnsi"/>
          <w:sz w:val="16"/>
          <w:szCs w:val="16"/>
        </w:rPr>
        <w:t>Reasonableness is defined within the context of this report as supportable and proper, given the underlying</w:t>
      </w:r>
      <w:r w:rsidRPr="0027543F">
        <w:rPr>
          <w:rFonts w:cstheme="minorHAnsi"/>
          <w:sz w:val="16"/>
          <w:szCs w:val="16"/>
        </w:rPr>
        <w:t xml:space="preserve"> </w:t>
      </w:r>
      <w:r w:rsidRPr="0027543F">
        <w:rPr>
          <w:rFonts w:eastAsia="Times New Roman" w:cstheme="minorHAnsi"/>
          <w:sz w:val="16"/>
          <w:szCs w:val="16"/>
        </w:rPr>
        <w:t>information.</w:t>
      </w:r>
    </w:p>
  </w:footnote>
  <w:footnote w:id="14">
    <w:p w14:paraId="353342BB" w14:textId="77777777" w:rsidR="00472A9D" w:rsidRPr="0027543F" w:rsidRDefault="00472A9D" w:rsidP="00472A9D">
      <w:pPr>
        <w:autoSpaceDE w:val="0"/>
        <w:autoSpaceDN w:val="0"/>
        <w:adjustRightInd w:val="0"/>
        <w:rPr>
          <w:rFonts w:asciiTheme="minorHAnsi" w:hAnsiTheme="minorHAnsi" w:cstheme="minorHAnsi"/>
          <w:sz w:val="16"/>
          <w:szCs w:val="16"/>
        </w:rPr>
      </w:pPr>
      <w:r w:rsidRPr="0027543F">
        <w:rPr>
          <w:rStyle w:val="FootnoteReference"/>
          <w:rFonts w:asciiTheme="minorHAnsi" w:hAnsiTheme="minorHAnsi" w:cstheme="minorHAnsi"/>
          <w:sz w:val="16"/>
          <w:szCs w:val="16"/>
        </w:rPr>
        <w:footnoteRef/>
      </w:r>
      <w:r w:rsidRPr="0027543F">
        <w:rPr>
          <w:sz w:val="16"/>
          <w:szCs w:val="16"/>
        </w:rPr>
        <w:t xml:space="preserve"> </w:t>
      </w:r>
      <w:r w:rsidRPr="0027543F">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 w:id="15">
    <w:p w14:paraId="42CDF338" w14:textId="77777777" w:rsidR="007C089F" w:rsidRDefault="007C089F" w:rsidP="007C089F">
      <w:pPr>
        <w:pStyle w:val="FootnoteText"/>
      </w:pPr>
      <w:r w:rsidRPr="0009172A">
        <w:rPr>
          <w:rStyle w:val="FootnoteReference"/>
          <w:rFonts w:cstheme="minorHAnsi"/>
          <w:sz w:val="16"/>
          <w:szCs w:val="16"/>
        </w:rPr>
        <w:footnoteRef/>
      </w:r>
      <w:r w:rsidRPr="0009172A">
        <w:rPr>
          <w:rFonts w:cstheme="minorHAnsi"/>
          <w:sz w:val="16"/>
          <w:szCs w:val="16"/>
        </w:rPr>
        <w:t xml:space="preserve"> Patients for whom a gender is not specified or whose gender varies across visits over the time period are included in “Other.”</w:t>
      </w:r>
      <w:r w:rsidRPr="005326D6">
        <w:rPr>
          <w:rFonts w:ascii="Arial" w:hAnsi="Arial" w:cs="Arial"/>
          <w:sz w:val="16"/>
          <w:szCs w:val="16"/>
        </w:rPr>
        <w:t xml:space="preserve">  </w:t>
      </w:r>
    </w:p>
  </w:footnote>
  <w:footnote w:id="16">
    <w:p w14:paraId="71F87871" w14:textId="77777777" w:rsidR="007C089F" w:rsidRPr="00AB2BE9" w:rsidRDefault="007C089F" w:rsidP="007C089F">
      <w:pPr>
        <w:pStyle w:val="FootnoteText"/>
        <w:jc w:val="both"/>
        <w:rPr>
          <w:rFonts w:cstheme="minorHAnsi"/>
          <w:sz w:val="16"/>
          <w:szCs w:val="16"/>
        </w:rPr>
      </w:pPr>
      <w:r w:rsidRPr="004512CA">
        <w:rPr>
          <w:rStyle w:val="FootnoteReference"/>
          <w:rFonts w:cstheme="minorHAnsi"/>
          <w:sz w:val="16"/>
          <w:szCs w:val="16"/>
        </w:rPr>
        <w:footnoteRef/>
      </w:r>
      <w:r w:rsidRPr="004512CA">
        <w:rPr>
          <w:rFonts w:cstheme="minorHAnsi"/>
          <w:sz w:val="16"/>
          <w:szCs w:val="16"/>
        </w:rPr>
        <w:t xml:space="preserve"> 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 “Other” is a choice for patients to select if </w:t>
      </w:r>
      <w:r w:rsidRPr="00AB2BE9">
        <w:rPr>
          <w:rFonts w:cstheme="minorHAnsi"/>
          <w:sz w:val="16"/>
          <w:szCs w:val="16"/>
        </w:rPr>
        <w:t>they do not feel that their race/ethnicity is reflected in the list of choices.</w:t>
      </w:r>
    </w:p>
  </w:footnote>
  <w:footnote w:id="17">
    <w:p w14:paraId="643183BB" w14:textId="77777777" w:rsidR="007C089F" w:rsidRDefault="007C089F" w:rsidP="007C089F">
      <w:pPr>
        <w:pStyle w:val="FootnoteText"/>
      </w:pPr>
      <w:r w:rsidRPr="00AB2BE9">
        <w:rPr>
          <w:rStyle w:val="FootnoteReference"/>
          <w:rFonts w:cstheme="minorHAnsi"/>
          <w:sz w:val="16"/>
          <w:szCs w:val="16"/>
        </w:rPr>
        <w:footnoteRef/>
      </w:r>
      <w:r w:rsidRPr="00AB2BE9">
        <w:rPr>
          <w:rFonts w:cstheme="minorHAnsi"/>
          <w:sz w:val="16"/>
          <w:szCs w:val="16"/>
        </w:rPr>
        <w:t xml:space="preserve"> Ethnicity information is not available at the system-level for three hospitals: </w:t>
      </w:r>
      <w:bookmarkStart w:id="76" w:name="_Hlk143068511"/>
      <w:r w:rsidRPr="00AB2BE9">
        <w:rPr>
          <w:rFonts w:cstheme="minorHAnsi"/>
          <w:sz w:val="16"/>
          <w:szCs w:val="16"/>
        </w:rPr>
        <w:t>BID-Milton, BID-Needham, and BID-Plymouth</w:t>
      </w:r>
      <w:bookmarkEnd w:id="76"/>
      <w:r w:rsidRPr="00AB2BE9">
        <w:rPr>
          <w:rFonts w:cstheme="minorHAnsi"/>
          <w:sz w:val="16"/>
          <w:szCs w:val="16"/>
        </w:rPr>
        <w:t>. For the remaining BILH hospitals, ethnicity information is self-reported. Patients for whom ethnicity is not specified are included in "Patient Declined," "Unknown," or "Other," per the local facility’s data collection methodology. Patients for whom ethnicity varies across visits over the time period are included in "Other."</w:t>
      </w:r>
    </w:p>
  </w:footnote>
  <w:footnote w:id="18">
    <w:p w14:paraId="5A97805D" w14:textId="77777777" w:rsidR="007C089F" w:rsidRPr="005326D6" w:rsidRDefault="007C089F" w:rsidP="007C089F">
      <w:pPr>
        <w:pStyle w:val="FootnoteText"/>
        <w:jc w:val="both"/>
        <w:rPr>
          <w:rFonts w:ascii="Arial" w:hAnsi="Arial" w:cs="Arial"/>
          <w:sz w:val="16"/>
          <w:szCs w:val="16"/>
        </w:rPr>
      </w:pPr>
      <w:r w:rsidRPr="004512CA">
        <w:rPr>
          <w:rStyle w:val="FootnoteReference"/>
          <w:rFonts w:cstheme="minorHAnsi"/>
          <w:sz w:val="16"/>
          <w:szCs w:val="16"/>
        </w:rPr>
        <w:footnoteRef/>
      </w:r>
      <w:r w:rsidRPr="004512CA">
        <w:rPr>
          <w:rFonts w:cstheme="minorHAnsi"/>
          <w:sz w:val="16"/>
          <w:szCs w:val="16"/>
        </w:rPr>
        <w:t xml:space="preserve"> Includes self-pay, health safety net, and liability insurance coverage other than worker’s compensation for an injury event.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C4570F" w:rsidRDefault="00C4570F">
    <w:pPr>
      <w:pStyle w:val="Header"/>
    </w:pPr>
  </w:p>
  <w:p w14:paraId="488AA00B" w14:textId="77777777" w:rsidR="00B6671B" w:rsidRDefault="00B66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E8D88"/>
    <w:multiLevelType w:val="hybridMultilevel"/>
    <w:tmpl w:val="73BC6ACA"/>
    <w:lvl w:ilvl="0" w:tplc="2FF431B6">
      <w:start w:val="1"/>
      <w:numFmt w:val="decimal"/>
      <w:lvlText w:val="%1."/>
      <w:lvlJc w:val="left"/>
      <w:pPr>
        <w:ind w:left="720" w:hanging="360"/>
      </w:pPr>
    </w:lvl>
    <w:lvl w:ilvl="1" w:tplc="75A6DCEA">
      <w:start w:val="1"/>
      <w:numFmt w:val="lowerLetter"/>
      <w:lvlText w:val="%2."/>
      <w:lvlJc w:val="left"/>
      <w:pPr>
        <w:ind w:left="1440" w:hanging="360"/>
      </w:pPr>
    </w:lvl>
    <w:lvl w:ilvl="2" w:tplc="7B222896">
      <w:start w:val="1"/>
      <w:numFmt w:val="lowerRoman"/>
      <w:lvlText w:val="%3."/>
      <w:lvlJc w:val="right"/>
      <w:pPr>
        <w:ind w:left="2160" w:hanging="180"/>
      </w:pPr>
    </w:lvl>
    <w:lvl w:ilvl="3" w:tplc="8A6CD808">
      <w:start w:val="1"/>
      <w:numFmt w:val="decimal"/>
      <w:lvlText w:val="%4."/>
      <w:lvlJc w:val="left"/>
      <w:pPr>
        <w:ind w:left="2880" w:hanging="360"/>
      </w:pPr>
    </w:lvl>
    <w:lvl w:ilvl="4" w:tplc="2208F09C">
      <w:start w:val="1"/>
      <w:numFmt w:val="lowerLetter"/>
      <w:lvlText w:val="%5."/>
      <w:lvlJc w:val="left"/>
      <w:pPr>
        <w:ind w:left="3600" w:hanging="360"/>
      </w:pPr>
    </w:lvl>
    <w:lvl w:ilvl="5" w:tplc="13B8C2E8">
      <w:start w:val="1"/>
      <w:numFmt w:val="lowerRoman"/>
      <w:lvlText w:val="%6."/>
      <w:lvlJc w:val="right"/>
      <w:pPr>
        <w:ind w:left="4320" w:hanging="180"/>
      </w:pPr>
    </w:lvl>
    <w:lvl w:ilvl="6" w:tplc="E638A038">
      <w:start w:val="1"/>
      <w:numFmt w:val="decimal"/>
      <w:lvlText w:val="%7."/>
      <w:lvlJc w:val="left"/>
      <w:pPr>
        <w:ind w:left="5040" w:hanging="360"/>
      </w:pPr>
    </w:lvl>
    <w:lvl w:ilvl="7" w:tplc="328EEECC">
      <w:start w:val="1"/>
      <w:numFmt w:val="lowerLetter"/>
      <w:lvlText w:val="%8."/>
      <w:lvlJc w:val="left"/>
      <w:pPr>
        <w:ind w:left="5760" w:hanging="360"/>
      </w:pPr>
    </w:lvl>
    <w:lvl w:ilvl="8" w:tplc="A2CCD91C">
      <w:start w:val="1"/>
      <w:numFmt w:val="lowerRoman"/>
      <w:lvlText w:val="%9."/>
      <w:lvlJc w:val="right"/>
      <w:pPr>
        <w:ind w:left="6480" w:hanging="180"/>
      </w:pPr>
    </w:lvl>
  </w:abstractNum>
  <w:abstractNum w:abstractNumId="1"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4"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5"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6"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D150B"/>
    <w:multiLevelType w:val="hybridMultilevel"/>
    <w:tmpl w:val="0BC00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14891"/>
    <w:multiLevelType w:val="hybridMultilevel"/>
    <w:tmpl w:val="C0006B34"/>
    <w:lvl w:ilvl="0" w:tplc="7A56A35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BAE505E"/>
    <w:multiLevelType w:val="hybridMultilevel"/>
    <w:tmpl w:val="25D49C44"/>
    <w:lvl w:ilvl="0" w:tplc="1F3EE6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4525">
    <w:abstractNumId w:val="11"/>
  </w:num>
  <w:num w:numId="2" w16cid:durableId="1706637529">
    <w:abstractNumId w:val="2"/>
  </w:num>
  <w:num w:numId="3" w16cid:durableId="1095706336">
    <w:abstractNumId w:val="14"/>
  </w:num>
  <w:num w:numId="4" w16cid:durableId="268512433">
    <w:abstractNumId w:val="1"/>
  </w:num>
  <w:num w:numId="5" w16cid:durableId="1101728889">
    <w:abstractNumId w:val="7"/>
  </w:num>
  <w:num w:numId="6" w16cid:durableId="1125539271">
    <w:abstractNumId w:val="5"/>
  </w:num>
  <w:num w:numId="7" w16cid:durableId="318271561">
    <w:abstractNumId w:val="6"/>
  </w:num>
  <w:num w:numId="8" w16cid:durableId="134226042">
    <w:abstractNumId w:val="9"/>
  </w:num>
  <w:num w:numId="9" w16cid:durableId="544609802">
    <w:abstractNumId w:val="10"/>
  </w:num>
  <w:num w:numId="10" w16cid:durableId="1918710780">
    <w:abstractNumId w:val="19"/>
  </w:num>
  <w:num w:numId="11" w16cid:durableId="101462868">
    <w:abstractNumId w:val="3"/>
  </w:num>
  <w:num w:numId="12" w16cid:durableId="1628855354">
    <w:abstractNumId w:val="17"/>
  </w:num>
  <w:num w:numId="13" w16cid:durableId="445930342">
    <w:abstractNumId w:val="15"/>
  </w:num>
  <w:num w:numId="14" w16cid:durableId="200827285">
    <w:abstractNumId w:val="16"/>
  </w:num>
  <w:num w:numId="15" w16cid:durableId="25722690">
    <w:abstractNumId w:val="4"/>
  </w:num>
  <w:num w:numId="16" w16cid:durableId="1734506320">
    <w:abstractNumId w:val="8"/>
  </w:num>
  <w:num w:numId="17" w16cid:durableId="1757557050">
    <w:abstractNumId w:val="13"/>
  </w:num>
  <w:num w:numId="18" w16cid:durableId="435248400">
    <w:abstractNumId w:val="0"/>
  </w:num>
  <w:num w:numId="19" w16cid:durableId="2030720218">
    <w:abstractNumId w:val="12"/>
  </w:num>
  <w:num w:numId="20" w16cid:durableId="205850569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A76"/>
    <w:rsid w:val="00002ADE"/>
    <w:rsid w:val="0000364F"/>
    <w:rsid w:val="000036FB"/>
    <w:rsid w:val="00003AE8"/>
    <w:rsid w:val="0000516F"/>
    <w:rsid w:val="00005226"/>
    <w:rsid w:val="000053FA"/>
    <w:rsid w:val="00005421"/>
    <w:rsid w:val="000056AF"/>
    <w:rsid w:val="00005945"/>
    <w:rsid w:val="00006043"/>
    <w:rsid w:val="00006075"/>
    <w:rsid w:val="00006964"/>
    <w:rsid w:val="00006B6F"/>
    <w:rsid w:val="00006FCD"/>
    <w:rsid w:val="000073EC"/>
    <w:rsid w:val="00007818"/>
    <w:rsid w:val="0000789D"/>
    <w:rsid w:val="00007EC7"/>
    <w:rsid w:val="00010084"/>
    <w:rsid w:val="000102C3"/>
    <w:rsid w:val="0001067C"/>
    <w:rsid w:val="000111B6"/>
    <w:rsid w:val="00011399"/>
    <w:rsid w:val="0001145D"/>
    <w:rsid w:val="000114A8"/>
    <w:rsid w:val="000115ED"/>
    <w:rsid w:val="00011EA4"/>
    <w:rsid w:val="00012039"/>
    <w:rsid w:val="00012296"/>
    <w:rsid w:val="00012B79"/>
    <w:rsid w:val="00012E91"/>
    <w:rsid w:val="00013C9B"/>
    <w:rsid w:val="00014493"/>
    <w:rsid w:val="000147B7"/>
    <w:rsid w:val="00014C77"/>
    <w:rsid w:val="0001519C"/>
    <w:rsid w:val="00015479"/>
    <w:rsid w:val="0001582B"/>
    <w:rsid w:val="00015A86"/>
    <w:rsid w:val="00015E91"/>
    <w:rsid w:val="0001695B"/>
    <w:rsid w:val="00016CED"/>
    <w:rsid w:val="000174E9"/>
    <w:rsid w:val="00017A92"/>
    <w:rsid w:val="00017C27"/>
    <w:rsid w:val="00017CAC"/>
    <w:rsid w:val="00017EBE"/>
    <w:rsid w:val="00020068"/>
    <w:rsid w:val="00020821"/>
    <w:rsid w:val="00020965"/>
    <w:rsid w:val="00020F52"/>
    <w:rsid w:val="00020FD7"/>
    <w:rsid w:val="0002143F"/>
    <w:rsid w:val="0002171E"/>
    <w:rsid w:val="0002218C"/>
    <w:rsid w:val="00022292"/>
    <w:rsid w:val="000227A3"/>
    <w:rsid w:val="00022966"/>
    <w:rsid w:val="00022C7E"/>
    <w:rsid w:val="000239AD"/>
    <w:rsid w:val="00023A81"/>
    <w:rsid w:val="00023D12"/>
    <w:rsid w:val="00023D70"/>
    <w:rsid w:val="00023E8F"/>
    <w:rsid w:val="000242E8"/>
    <w:rsid w:val="0002439E"/>
    <w:rsid w:val="00024662"/>
    <w:rsid w:val="000249CC"/>
    <w:rsid w:val="00025525"/>
    <w:rsid w:val="000258D8"/>
    <w:rsid w:val="00025C87"/>
    <w:rsid w:val="000262A9"/>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1F31"/>
    <w:rsid w:val="0003203D"/>
    <w:rsid w:val="000323B4"/>
    <w:rsid w:val="000325AF"/>
    <w:rsid w:val="0003285D"/>
    <w:rsid w:val="00032F3A"/>
    <w:rsid w:val="000332B4"/>
    <w:rsid w:val="000336D9"/>
    <w:rsid w:val="000338CF"/>
    <w:rsid w:val="00034075"/>
    <w:rsid w:val="00034426"/>
    <w:rsid w:val="0003540A"/>
    <w:rsid w:val="000354C2"/>
    <w:rsid w:val="00035726"/>
    <w:rsid w:val="00035859"/>
    <w:rsid w:val="00035882"/>
    <w:rsid w:val="0003595A"/>
    <w:rsid w:val="00036534"/>
    <w:rsid w:val="000365BB"/>
    <w:rsid w:val="0003678F"/>
    <w:rsid w:val="000370BA"/>
    <w:rsid w:val="00037223"/>
    <w:rsid w:val="00037248"/>
    <w:rsid w:val="0003777C"/>
    <w:rsid w:val="0003779F"/>
    <w:rsid w:val="000378C9"/>
    <w:rsid w:val="000378CE"/>
    <w:rsid w:val="00037AF0"/>
    <w:rsid w:val="00037B9D"/>
    <w:rsid w:val="00040884"/>
    <w:rsid w:val="000415F0"/>
    <w:rsid w:val="00041BB8"/>
    <w:rsid w:val="00041BFC"/>
    <w:rsid w:val="00041F4C"/>
    <w:rsid w:val="000422A3"/>
    <w:rsid w:val="000424D3"/>
    <w:rsid w:val="000427E0"/>
    <w:rsid w:val="00042D93"/>
    <w:rsid w:val="0004323A"/>
    <w:rsid w:val="000439B7"/>
    <w:rsid w:val="00043F4F"/>
    <w:rsid w:val="000455A9"/>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2F2B"/>
    <w:rsid w:val="0005358D"/>
    <w:rsid w:val="000536D7"/>
    <w:rsid w:val="00053849"/>
    <w:rsid w:val="00054A7A"/>
    <w:rsid w:val="00054DD1"/>
    <w:rsid w:val="00054F01"/>
    <w:rsid w:val="00055577"/>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1C45"/>
    <w:rsid w:val="0006330F"/>
    <w:rsid w:val="000635A1"/>
    <w:rsid w:val="00063ADA"/>
    <w:rsid w:val="00063F91"/>
    <w:rsid w:val="00063FB5"/>
    <w:rsid w:val="000646E0"/>
    <w:rsid w:val="0006494D"/>
    <w:rsid w:val="00064AB0"/>
    <w:rsid w:val="00064D70"/>
    <w:rsid w:val="00065360"/>
    <w:rsid w:val="00065CD6"/>
    <w:rsid w:val="00065E14"/>
    <w:rsid w:val="00066603"/>
    <w:rsid w:val="00066AD1"/>
    <w:rsid w:val="00067169"/>
    <w:rsid w:val="000672AF"/>
    <w:rsid w:val="00067A9B"/>
    <w:rsid w:val="00067B9B"/>
    <w:rsid w:val="00067D64"/>
    <w:rsid w:val="00067F0D"/>
    <w:rsid w:val="0007003D"/>
    <w:rsid w:val="00070074"/>
    <w:rsid w:val="00070785"/>
    <w:rsid w:val="00070D6C"/>
    <w:rsid w:val="00071141"/>
    <w:rsid w:val="0007184A"/>
    <w:rsid w:val="00071A16"/>
    <w:rsid w:val="000726A9"/>
    <w:rsid w:val="0007293D"/>
    <w:rsid w:val="00073735"/>
    <w:rsid w:val="000737B6"/>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085"/>
    <w:rsid w:val="0008011B"/>
    <w:rsid w:val="00080430"/>
    <w:rsid w:val="00080666"/>
    <w:rsid w:val="00080739"/>
    <w:rsid w:val="00080BE8"/>
    <w:rsid w:val="000810E3"/>
    <w:rsid w:val="00082044"/>
    <w:rsid w:val="0008227E"/>
    <w:rsid w:val="00082400"/>
    <w:rsid w:val="00082461"/>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8FF"/>
    <w:rsid w:val="00090989"/>
    <w:rsid w:val="00090E01"/>
    <w:rsid w:val="00090EE1"/>
    <w:rsid w:val="000911E7"/>
    <w:rsid w:val="000913AB"/>
    <w:rsid w:val="00091793"/>
    <w:rsid w:val="000923B5"/>
    <w:rsid w:val="00092A70"/>
    <w:rsid w:val="00092E92"/>
    <w:rsid w:val="0009304B"/>
    <w:rsid w:val="000931A6"/>
    <w:rsid w:val="000939BD"/>
    <w:rsid w:val="00093E2B"/>
    <w:rsid w:val="00093FC3"/>
    <w:rsid w:val="000942E8"/>
    <w:rsid w:val="00094366"/>
    <w:rsid w:val="0009543A"/>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69D"/>
    <w:rsid w:val="000A0E80"/>
    <w:rsid w:val="000A1411"/>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5C9A"/>
    <w:rsid w:val="000A6BFD"/>
    <w:rsid w:val="000A70D9"/>
    <w:rsid w:val="000A7478"/>
    <w:rsid w:val="000A75F4"/>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767"/>
    <w:rsid w:val="000B58B5"/>
    <w:rsid w:val="000B661C"/>
    <w:rsid w:val="000B6696"/>
    <w:rsid w:val="000B72C0"/>
    <w:rsid w:val="000B741C"/>
    <w:rsid w:val="000B7B63"/>
    <w:rsid w:val="000C03E8"/>
    <w:rsid w:val="000C0407"/>
    <w:rsid w:val="000C0753"/>
    <w:rsid w:val="000C0B5C"/>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800"/>
    <w:rsid w:val="000C79C7"/>
    <w:rsid w:val="000C7B09"/>
    <w:rsid w:val="000C7CEC"/>
    <w:rsid w:val="000C7DA4"/>
    <w:rsid w:val="000D0ADC"/>
    <w:rsid w:val="000D0C8C"/>
    <w:rsid w:val="000D0ED8"/>
    <w:rsid w:val="000D1D38"/>
    <w:rsid w:val="000D2043"/>
    <w:rsid w:val="000D20F1"/>
    <w:rsid w:val="000D272A"/>
    <w:rsid w:val="000D2A7D"/>
    <w:rsid w:val="000D2A90"/>
    <w:rsid w:val="000D2AFA"/>
    <w:rsid w:val="000D2CBA"/>
    <w:rsid w:val="000D2E2C"/>
    <w:rsid w:val="000D3A86"/>
    <w:rsid w:val="000D3A87"/>
    <w:rsid w:val="000D40DF"/>
    <w:rsid w:val="000D458A"/>
    <w:rsid w:val="000D4C43"/>
    <w:rsid w:val="000D4C5A"/>
    <w:rsid w:val="000D5247"/>
    <w:rsid w:val="000D5407"/>
    <w:rsid w:val="000D565B"/>
    <w:rsid w:val="000D5716"/>
    <w:rsid w:val="000D6622"/>
    <w:rsid w:val="000D6A68"/>
    <w:rsid w:val="000D6AF2"/>
    <w:rsid w:val="000D6E6E"/>
    <w:rsid w:val="000D6ED1"/>
    <w:rsid w:val="000D6F8E"/>
    <w:rsid w:val="000D709A"/>
    <w:rsid w:val="000D7BA6"/>
    <w:rsid w:val="000D7BFE"/>
    <w:rsid w:val="000D7E3B"/>
    <w:rsid w:val="000E0343"/>
    <w:rsid w:val="000E084D"/>
    <w:rsid w:val="000E0C47"/>
    <w:rsid w:val="000E0E62"/>
    <w:rsid w:val="000E1041"/>
    <w:rsid w:val="000E1182"/>
    <w:rsid w:val="000E1CBB"/>
    <w:rsid w:val="000E1F11"/>
    <w:rsid w:val="000E23D4"/>
    <w:rsid w:val="000E3039"/>
    <w:rsid w:val="000E321D"/>
    <w:rsid w:val="000E3718"/>
    <w:rsid w:val="000E3F36"/>
    <w:rsid w:val="000E441E"/>
    <w:rsid w:val="000E45AC"/>
    <w:rsid w:val="000E4791"/>
    <w:rsid w:val="000E4DCD"/>
    <w:rsid w:val="000E4ED3"/>
    <w:rsid w:val="000E5195"/>
    <w:rsid w:val="000E5CD6"/>
    <w:rsid w:val="000E5F08"/>
    <w:rsid w:val="000E6158"/>
    <w:rsid w:val="000E67CA"/>
    <w:rsid w:val="000E6AC6"/>
    <w:rsid w:val="000E72BB"/>
    <w:rsid w:val="000E776A"/>
    <w:rsid w:val="000F02D7"/>
    <w:rsid w:val="000F0F2E"/>
    <w:rsid w:val="000F115E"/>
    <w:rsid w:val="000F12F9"/>
    <w:rsid w:val="000F200E"/>
    <w:rsid w:val="000F2543"/>
    <w:rsid w:val="000F2589"/>
    <w:rsid w:val="000F2FF8"/>
    <w:rsid w:val="000F30D4"/>
    <w:rsid w:val="000F317F"/>
    <w:rsid w:val="000F31DF"/>
    <w:rsid w:val="000F3C99"/>
    <w:rsid w:val="000F3DAD"/>
    <w:rsid w:val="000F3E5B"/>
    <w:rsid w:val="000F4347"/>
    <w:rsid w:val="000F48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C26"/>
    <w:rsid w:val="000F7C9A"/>
    <w:rsid w:val="000F7DFB"/>
    <w:rsid w:val="00100082"/>
    <w:rsid w:val="001004B8"/>
    <w:rsid w:val="001005C6"/>
    <w:rsid w:val="0010120C"/>
    <w:rsid w:val="00101837"/>
    <w:rsid w:val="00101943"/>
    <w:rsid w:val="00101B15"/>
    <w:rsid w:val="001020EE"/>
    <w:rsid w:val="001022D6"/>
    <w:rsid w:val="00102683"/>
    <w:rsid w:val="00102D4C"/>
    <w:rsid w:val="00103383"/>
    <w:rsid w:val="001039A7"/>
    <w:rsid w:val="001039F3"/>
    <w:rsid w:val="00103B28"/>
    <w:rsid w:val="00104BB8"/>
    <w:rsid w:val="00104C61"/>
    <w:rsid w:val="00104CD5"/>
    <w:rsid w:val="00104E11"/>
    <w:rsid w:val="00104FED"/>
    <w:rsid w:val="00105784"/>
    <w:rsid w:val="00105A50"/>
    <w:rsid w:val="00105B76"/>
    <w:rsid w:val="00106691"/>
    <w:rsid w:val="001068A0"/>
    <w:rsid w:val="00106CA8"/>
    <w:rsid w:val="00106F7D"/>
    <w:rsid w:val="00107780"/>
    <w:rsid w:val="00107893"/>
    <w:rsid w:val="001100CE"/>
    <w:rsid w:val="0011063D"/>
    <w:rsid w:val="001106D5"/>
    <w:rsid w:val="00110CCC"/>
    <w:rsid w:val="00110F70"/>
    <w:rsid w:val="001114BC"/>
    <w:rsid w:val="0011211C"/>
    <w:rsid w:val="00112E30"/>
    <w:rsid w:val="0011318D"/>
    <w:rsid w:val="001137C7"/>
    <w:rsid w:val="00113894"/>
    <w:rsid w:val="00113A67"/>
    <w:rsid w:val="001140E5"/>
    <w:rsid w:val="0011440B"/>
    <w:rsid w:val="00114525"/>
    <w:rsid w:val="00114B38"/>
    <w:rsid w:val="00114DF7"/>
    <w:rsid w:val="00114F4A"/>
    <w:rsid w:val="0011583A"/>
    <w:rsid w:val="00115F6B"/>
    <w:rsid w:val="0011621B"/>
    <w:rsid w:val="001163BA"/>
    <w:rsid w:val="001166DA"/>
    <w:rsid w:val="00117338"/>
    <w:rsid w:val="0011737F"/>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1B4B"/>
    <w:rsid w:val="0012234D"/>
    <w:rsid w:val="00122462"/>
    <w:rsid w:val="00122561"/>
    <w:rsid w:val="00122642"/>
    <w:rsid w:val="0012336A"/>
    <w:rsid w:val="0012367E"/>
    <w:rsid w:val="0012392C"/>
    <w:rsid w:val="00124050"/>
    <w:rsid w:val="00124894"/>
    <w:rsid w:val="00124BCB"/>
    <w:rsid w:val="00124E50"/>
    <w:rsid w:val="0012521D"/>
    <w:rsid w:val="0012535E"/>
    <w:rsid w:val="001259C3"/>
    <w:rsid w:val="001259C6"/>
    <w:rsid w:val="001265B4"/>
    <w:rsid w:val="001265FC"/>
    <w:rsid w:val="00126E8A"/>
    <w:rsid w:val="00127222"/>
    <w:rsid w:val="00127DBA"/>
    <w:rsid w:val="001300AE"/>
    <w:rsid w:val="0013018D"/>
    <w:rsid w:val="001301CB"/>
    <w:rsid w:val="00130275"/>
    <w:rsid w:val="00130BE3"/>
    <w:rsid w:val="00130EB0"/>
    <w:rsid w:val="0013103B"/>
    <w:rsid w:val="001310BB"/>
    <w:rsid w:val="001314DD"/>
    <w:rsid w:val="0013187E"/>
    <w:rsid w:val="001319F2"/>
    <w:rsid w:val="00131B41"/>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4E5C"/>
    <w:rsid w:val="00135286"/>
    <w:rsid w:val="0013591D"/>
    <w:rsid w:val="001359C8"/>
    <w:rsid w:val="00135B71"/>
    <w:rsid w:val="00135B96"/>
    <w:rsid w:val="00135D92"/>
    <w:rsid w:val="00135E14"/>
    <w:rsid w:val="00135E81"/>
    <w:rsid w:val="00136358"/>
    <w:rsid w:val="0013679C"/>
    <w:rsid w:val="00136B09"/>
    <w:rsid w:val="0013724C"/>
    <w:rsid w:val="001373D9"/>
    <w:rsid w:val="001375F6"/>
    <w:rsid w:val="001377D8"/>
    <w:rsid w:val="00137C5B"/>
    <w:rsid w:val="001401F2"/>
    <w:rsid w:val="00140989"/>
    <w:rsid w:val="00141004"/>
    <w:rsid w:val="00141279"/>
    <w:rsid w:val="001412F5"/>
    <w:rsid w:val="001418D7"/>
    <w:rsid w:val="00141991"/>
    <w:rsid w:val="00141D5C"/>
    <w:rsid w:val="00141E82"/>
    <w:rsid w:val="0014242D"/>
    <w:rsid w:val="00142BE7"/>
    <w:rsid w:val="00142FC9"/>
    <w:rsid w:val="00143407"/>
    <w:rsid w:val="00143664"/>
    <w:rsid w:val="001438F2"/>
    <w:rsid w:val="00143A5F"/>
    <w:rsid w:val="00143C83"/>
    <w:rsid w:val="00143D18"/>
    <w:rsid w:val="00143F1D"/>
    <w:rsid w:val="00144119"/>
    <w:rsid w:val="00144153"/>
    <w:rsid w:val="00144A1A"/>
    <w:rsid w:val="001458A7"/>
    <w:rsid w:val="00146710"/>
    <w:rsid w:val="0014702B"/>
    <w:rsid w:val="00147508"/>
    <w:rsid w:val="001478F1"/>
    <w:rsid w:val="00147A15"/>
    <w:rsid w:val="00147B20"/>
    <w:rsid w:val="00147C38"/>
    <w:rsid w:val="00147FCF"/>
    <w:rsid w:val="00150255"/>
    <w:rsid w:val="0015037D"/>
    <w:rsid w:val="00150D2E"/>
    <w:rsid w:val="001512D3"/>
    <w:rsid w:val="00151409"/>
    <w:rsid w:val="001522A9"/>
    <w:rsid w:val="00152B48"/>
    <w:rsid w:val="00152F52"/>
    <w:rsid w:val="00153584"/>
    <w:rsid w:val="0015359F"/>
    <w:rsid w:val="00153CB3"/>
    <w:rsid w:val="001544ED"/>
    <w:rsid w:val="00154765"/>
    <w:rsid w:val="0015484A"/>
    <w:rsid w:val="00154958"/>
    <w:rsid w:val="00154CF4"/>
    <w:rsid w:val="001550CE"/>
    <w:rsid w:val="001550EF"/>
    <w:rsid w:val="00155601"/>
    <w:rsid w:val="00155FFE"/>
    <w:rsid w:val="001562A2"/>
    <w:rsid w:val="001562D1"/>
    <w:rsid w:val="00156AF2"/>
    <w:rsid w:val="001571E0"/>
    <w:rsid w:val="001578D7"/>
    <w:rsid w:val="0016022B"/>
    <w:rsid w:val="0016038D"/>
    <w:rsid w:val="00160781"/>
    <w:rsid w:val="00160C58"/>
    <w:rsid w:val="00160F5F"/>
    <w:rsid w:val="00161097"/>
    <w:rsid w:val="001610C5"/>
    <w:rsid w:val="001611A7"/>
    <w:rsid w:val="00161472"/>
    <w:rsid w:val="0016179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AFB"/>
    <w:rsid w:val="00166E4E"/>
    <w:rsid w:val="00167738"/>
    <w:rsid w:val="00167C12"/>
    <w:rsid w:val="00167C25"/>
    <w:rsid w:val="00170563"/>
    <w:rsid w:val="00171342"/>
    <w:rsid w:val="001714B2"/>
    <w:rsid w:val="00171608"/>
    <w:rsid w:val="00171823"/>
    <w:rsid w:val="00171A74"/>
    <w:rsid w:val="00171FF0"/>
    <w:rsid w:val="00172262"/>
    <w:rsid w:val="001727FD"/>
    <w:rsid w:val="00172EDB"/>
    <w:rsid w:val="0017310C"/>
    <w:rsid w:val="0017394B"/>
    <w:rsid w:val="00173B15"/>
    <w:rsid w:val="00173CC9"/>
    <w:rsid w:val="0017419D"/>
    <w:rsid w:val="001743D3"/>
    <w:rsid w:val="00174C7E"/>
    <w:rsid w:val="001752FB"/>
    <w:rsid w:val="00175766"/>
    <w:rsid w:val="0017586D"/>
    <w:rsid w:val="00175906"/>
    <w:rsid w:val="00175A04"/>
    <w:rsid w:val="00175AF1"/>
    <w:rsid w:val="00176749"/>
    <w:rsid w:val="001768CC"/>
    <w:rsid w:val="0017737E"/>
    <w:rsid w:val="001773CB"/>
    <w:rsid w:val="00177898"/>
    <w:rsid w:val="00177E14"/>
    <w:rsid w:val="001800C0"/>
    <w:rsid w:val="00180307"/>
    <w:rsid w:val="00180463"/>
    <w:rsid w:val="0018054A"/>
    <w:rsid w:val="00180C5A"/>
    <w:rsid w:val="001811C7"/>
    <w:rsid w:val="00181B5A"/>
    <w:rsid w:val="00181FAC"/>
    <w:rsid w:val="00181FCF"/>
    <w:rsid w:val="00182B4D"/>
    <w:rsid w:val="00182FCF"/>
    <w:rsid w:val="00183967"/>
    <w:rsid w:val="00183E43"/>
    <w:rsid w:val="001843D1"/>
    <w:rsid w:val="00184404"/>
    <w:rsid w:val="0018463C"/>
    <w:rsid w:val="001846C2"/>
    <w:rsid w:val="00185387"/>
    <w:rsid w:val="00185E34"/>
    <w:rsid w:val="00185FBF"/>
    <w:rsid w:val="00186063"/>
    <w:rsid w:val="00186706"/>
    <w:rsid w:val="00186DEE"/>
    <w:rsid w:val="00187F15"/>
    <w:rsid w:val="00187FC3"/>
    <w:rsid w:val="00190F55"/>
    <w:rsid w:val="0019142C"/>
    <w:rsid w:val="00191621"/>
    <w:rsid w:val="00191A1D"/>
    <w:rsid w:val="00191ABE"/>
    <w:rsid w:val="00191B8C"/>
    <w:rsid w:val="00191CCA"/>
    <w:rsid w:val="00191CE6"/>
    <w:rsid w:val="00191DB0"/>
    <w:rsid w:val="00191DC1"/>
    <w:rsid w:val="00191FB6"/>
    <w:rsid w:val="001921C9"/>
    <w:rsid w:val="001921FD"/>
    <w:rsid w:val="0019317E"/>
    <w:rsid w:val="0019376A"/>
    <w:rsid w:val="00193AE7"/>
    <w:rsid w:val="00193F34"/>
    <w:rsid w:val="0019415A"/>
    <w:rsid w:val="001942F6"/>
    <w:rsid w:val="0019497C"/>
    <w:rsid w:val="00195E58"/>
    <w:rsid w:val="00196087"/>
    <w:rsid w:val="0019686D"/>
    <w:rsid w:val="00196BFC"/>
    <w:rsid w:val="00196F36"/>
    <w:rsid w:val="00196FCD"/>
    <w:rsid w:val="001971E3"/>
    <w:rsid w:val="001973D7"/>
    <w:rsid w:val="001973F9"/>
    <w:rsid w:val="0019742D"/>
    <w:rsid w:val="001978A7"/>
    <w:rsid w:val="001978E9"/>
    <w:rsid w:val="0019796B"/>
    <w:rsid w:val="00197BBF"/>
    <w:rsid w:val="001A041E"/>
    <w:rsid w:val="001A05BE"/>
    <w:rsid w:val="001A07C8"/>
    <w:rsid w:val="001A0F44"/>
    <w:rsid w:val="001A1229"/>
    <w:rsid w:val="001A1B1D"/>
    <w:rsid w:val="001A1BB7"/>
    <w:rsid w:val="001A1CEE"/>
    <w:rsid w:val="001A2145"/>
    <w:rsid w:val="001A21B5"/>
    <w:rsid w:val="001A281F"/>
    <w:rsid w:val="001A2BC4"/>
    <w:rsid w:val="001A31D3"/>
    <w:rsid w:val="001A3354"/>
    <w:rsid w:val="001A3618"/>
    <w:rsid w:val="001A3A08"/>
    <w:rsid w:val="001A3C9C"/>
    <w:rsid w:val="001A3D30"/>
    <w:rsid w:val="001A3D32"/>
    <w:rsid w:val="001A41E7"/>
    <w:rsid w:val="001A44FB"/>
    <w:rsid w:val="001A4D05"/>
    <w:rsid w:val="001A4E7D"/>
    <w:rsid w:val="001A55BE"/>
    <w:rsid w:val="001A59BC"/>
    <w:rsid w:val="001A5C40"/>
    <w:rsid w:val="001A6912"/>
    <w:rsid w:val="001A6ADC"/>
    <w:rsid w:val="001A6BA8"/>
    <w:rsid w:val="001A6E8C"/>
    <w:rsid w:val="001A6EFE"/>
    <w:rsid w:val="001A6F6E"/>
    <w:rsid w:val="001A71FB"/>
    <w:rsid w:val="001A72A6"/>
    <w:rsid w:val="001A7B48"/>
    <w:rsid w:val="001B0631"/>
    <w:rsid w:val="001B0DF8"/>
    <w:rsid w:val="001B0FD5"/>
    <w:rsid w:val="001B1348"/>
    <w:rsid w:val="001B1550"/>
    <w:rsid w:val="001B163C"/>
    <w:rsid w:val="001B1667"/>
    <w:rsid w:val="001B2522"/>
    <w:rsid w:val="001B2628"/>
    <w:rsid w:val="001B2928"/>
    <w:rsid w:val="001B2AAD"/>
    <w:rsid w:val="001B2B2D"/>
    <w:rsid w:val="001B2C1D"/>
    <w:rsid w:val="001B396B"/>
    <w:rsid w:val="001B3A66"/>
    <w:rsid w:val="001B3B64"/>
    <w:rsid w:val="001B4409"/>
    <w:rsid w:val="001B55F0"/>
    <w:rsid w:val="001B5782"/>
    <w:rsid w:val="001B5884"/>
    <w:rsid w:val="001B5EA1"/>
    <w:rsid w:val="001B6D5E"/>
    <w:rsid w:val="001B6E15"/>
    <w:rsid w:val="001B6FE1"/>
    <w:rsid w:val="001B7288"/>
    <w:rsid w:val="001B7902"/>
    <w:rsid w:val="001B79BC"/>
    <w:rsid w:val="001B7B43"/>
    <w:rsid w:val="001C0FA7"/>
    <w:rsid w:val="001C120C"/>
    <w:rsid w:val="001C14F7"/>
    <w:rsid w:val="001C172B"/>
    <w:rsid w:val="001C189F"/>
    <w:rsid w:val="001C1B5E"/>
    <w:rsid w:val="001C1E4A"/>
    <w:rsid w:val="001C21EF"/>
    <w:rsid w:val="001C233A"/>
    <w:rsid w:val="001C263E"/>
    <w:rsid w:val="001C27AA"/>
    <w:rsid w:val="001C27E6"/>
    <w:rsid w:val="001C281E"/>
    <w:rsid w:val="001C2BC9"/>
    <w:rsid w:val="001C339A"/>
    <w:rsid w:val="001C3554"/>
    <w:rsid w:val="001C3E16"/>
    <w:rsid w:val="001C3E2E"/>
    <w:rsid w:val="001C3FAF"/>
    <w:rsid w:val="001C409F"/>
    <w:rsid w:val="001C4107"/>
    <w:rsid w:val="001C4161"/>
    <w:rsid w:val="001C42C9"/>
    <w:rsid w:val="001C42DD"/>
    <w:rsid w:val="001C4FE6"/>
    <w:rsid w:val="001C5983"/>
    <w:rsid w:val="001C5A1B"/>
    <w:rsid w:val="001C5F05"/>
    <w:rsid w:val="001C68C8"/>
    <w:rsid w:val="001C69E6"/>
    <w:rsid w:val="001C6CA3"/>
    <w:rsid w:val="001C7134"/>
    <w:rsid w:val="001C73C9"/>
    <w:rsid w:val="001C773B"/>
    <w:rsid w:val="001C7752"/>
    <w:rsid w:val="001C7980"/>
    <w:rsid w:val="001D0000"/>
    <w:rsid w:val="001D00DA"/>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15"/>
    <w:rsid w:val="001D5843"/>
    <w:rsid w:val="001D5A4B"/>
    <w:rsid w:val="001D5D52"/>
    <w:rsid w:val="001D5E72"/>
    <w:rsid w:val="001D61B8"/>
    <w:rsid w:val="001D6E31"/>
    <w:rsid w:val="001D7C41"/>
    <w:rsid w:val="001D7E23"/>
    <w:rsid w:val="001D7F16"/>
    <w:rsid w:val="001D7FD7"/>
    <w:rsid w:val="001E03C5"/>
    <w:rsid w:val="001E0B84"/>
    <w:rsid w:val="001E0D4E"/>
    <w:rsid w:val="001E0E87"/>
    <w:rsid w:val="001E0F3B"/>
    <w:rsid w:val="001E16D6"/>
    <w:rsid w:val="001E1A3F"/>
    <w:rsid w:val="001E2017"/>
    <w:rsid w:val="001E302C"/>
    <w:rsid w:val="001E36A8"/>
    <w:rsid w:val="001E3E8C"/>
    <w:rsid w:val="001E425B"/>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7E1"/>
    <w:rsid w:val="001E7832"/>
    <w:rsid w:val="001E7C3B"/>
    <w:rsid w:val="001E7E17"/>
    <w:rsid w:val="001F0933"/>
    <w:rsid w:val="001F1873"/>
    <w:rsid w:val="001F18EC"/>
    <w:rsid w:val="001F1B4D"/>
    <w:rsid w:val="001F2180"/>
    <w:rsid w:val="001F2225"/>
    <w:rsid w:val="001F37CE"/>
    <w:rsid w:val="001F4DDB"/>
    <w:rsid w:val="001F5310"/>
    <w:rsid w:val="001F537E"/>
    <w:rsid w:val="001F548F"/>
    <w:rsid w:val="001F5A13"/>
    <w:rsid w:val="001F5B57"/>
    <w:rsid w:val="001F5E8E"/>
    <w:rsid w:val="001F6589"/>
    <w:rsid w:val="001F673E"/>
    <w:rsid w:val="001F6848"/>
    <w:rsid w:val="001F6C01"/>
    <w:rsid w:val="001F7027"/>
    <w:rsid w:val="001F7225"/>
    <w:rsid w:val="001F7272"/>
    <w:rsid w:val="001F7365"/>
    <w:rsid w:val="001F747C"/>
    <w:rsid w:val="00200289"/>
    <w:rsid w:val="00200807"/>
    <w:rsid w:val="002010BA"/>
    <w:rsid w:val="002016A8"/>
    <w:rsid w:val="002019A7"/>
    <w:rsid w:val="002019F5"/>
    <w:rsid w:val="00201EB0"/>
    <w:rsid w:val="0020236F"/>
    <w:rsid w:val="002028D8"/>
    <w:rsid w:val="002029AA"/>
    <w:rsid w:val="00202FF8"/>
    <w:rsid w:val="00203911"/>
    <w:rsid w:val="00203BBE"/>
    <w:rsid w:val="00203C32"/>
    <w:rsid w:val="00203E24"/>
    <w:rsid w:val="0020429B"/>
    <w:rsid w:val="002042F6"/>
    <w:rsid w:val="0020445E"/>
    <w:rsid w:val="002044F9"/>
    <w:rsid w:val="00204531"/>
    <w:rsid w:val="0020481E"/>
    <w:rsid w:val="002048F3"/>
    <w:rsid w:val="0020495A"/>
    <w:rsid w:val="00204975"/>
    <w:rsid w:val="0020499A"/>
    <w:rsid w:val="0020515B"/>
    <w:rsid w:val="002052D9"/>
    <w:rsid w:val="00205875"/>
    <w:rsid w:val="00205A01"/>
    <w:rsid w:val="00206428"/>
    <w:rsid w:val="0020646A"/>
    <w:rsid w:val="00206D94"/>
    <w:rsid w:val="0020757B"/>
    <w:rsid w:val="00207F40"/>
    <w:rsid w:val="0021008C"/>
    <w:rsid w:val="002103AA"/>
    <w:rsid w:val="00210BE8"/>
    <w:rsid w:val="00210EF8"/>
    <w:rsid w:val="002116BB"/>
    <w:rsid w:val="00211915"/>
    <w:rsid w:val="00211961"/>
    <w:rsid w:val="00211A5C"/>
    <w:rsid w:val="00211E9C"/>
    <w:rsid w:val="002124EE"/>
    <w:rsid w:val="00212832"/>
    <w:rsid w:val="00213456"/>
    <w:rsid w:val="002141D4"/>
    <w:rsid w:val="002141F1"/>
    <w:rsid w:val="002142B6"/>
    <w:rsid w:val="00214444"/>
    <w:rsid w:val="0021453E"/>
    <w:rsid w:val="00214650"/>
    <w:rsid w:val="00214EA6"/>
    <w:rsid w:val="00214F37"/>
    <w:rsid w:val="002152B7"/>
    <w:rsid w:val="002155BC"/>
    <w:rsid w:val="0021582E"/>
    <w:rsid w:val="002164A5"/>
    <w:rsid w:val="00216723"/>
    <w:rsid w:val="0021693B"/>
    <w:rsid w:val="00216A83"/>
    <w:rsid w:val="00216C90"/>
    <w:rsid w:val="00216D29"/>
    <w:rsid w:val="002177AB"/>
    <w:rsid w:val="002177C1"/>
    <w:rsid w:val="00217E2E"/>
    <w:rsid w:val="00217F91"/>
    <w:rsid w:val="002200C6"/>
    <w:rsid w:val="002201FF"/>
    <w:rsid w:val="00220809"/>
    <w:rsid w:val="00220DE3"/>
    <w:rsid w:val="002212CB"/>
    <w:rsid w:val="00221472"/>
    <w:rsid w:val="00221C91"/>
    <w:rsid w:val="00221E03"/>
    <w:rsid w:val="0022246F"/>
    <w:rsid w:val="002228EE"/>
    <w:rsid w:val="00222A53"/>
    <w:rsid w:val="00222B74"/>
    <w:rsid w:val="00223340"/>
    <w:rsid w:val="0022376F"/>
    <w:rsid w:val="00223A7B"/>
    <w:rsid w:val="00223CD3"/>
    <w:rsid w:val="00224058"/>
    <w:rsid w:val="00224078"/>
    <w:rsid w:val="0022422F"/>
    <w:rsid w:val="002242AC"/>
    <w:rsid w:val="00224731"/>
    <w:rsid w:val="002248D8"/>
    <w:rsid w:val="0022497C"/>
    <w:rsid w:val="00225028"/>
    <w:rsid w:val="00225165"/>
    <w:rsid w:val="002252A2"/>
    <w:rsid w:val="0022549A"/>
    <w:rsid w:val="00225626"/>
    <w:rsid w:val="0022572B"/>
    <w:rsid w:val="00225D76"/>
    <w:rsid w:val="002270FB"/>
    <w:rsid w:val="0022769C"/>
    <w:rsid w:val="0022788A"/>
    <w:rsid w:val="00227A3A"/>
    <w:rsid w:val="002300A0"/>
    <w:rsid w:val="002301A0"/>
    <w:rsid w:val="0023025C"/>
    <w:rsid w:val="002305D0"/>
    <w:rsid w:val="00231124"/>
    <w:rsid w:val="00231128"/>
    <w:rsid w:val="002316D5"/>
    <w:rsid w:val="00231792"/>
    <w:rsid w:val="00231963"/>
    <w:rsid w:val="00231AB4"/>
    <w:rsid w:val="002328B1"/>
    <w:rsid w:val="00232C79"/>
    <w:rsid w:val="002333D0"/>
    <w:rsid w:val="0023342D"/>
    <w:rsid w:val="00233478"/>
    <w:rsid w:val="0023374F"/>
    <w:rsid w:val="002338FD"/>
    <w:rsid w:val="00234300"/>
    <w:rsid w:val="002344DA"/>
    <w:rsid w:val="002347EF"/>
    <w:rsid w:val="00234964"/>
    <w:rsid w:val="002349CC"/>
    <w:rsid w:val="00234DE2"/>
    <w:rsid w:val="00235229"/>
    <w:rsid w:val="002355A2"/>
    <w:rsid w:val="00236222"/>
    <w:rsid w:val="00236373"/>
    <w:rsid w:val="002363F6"/>
    <w:rsid w:val="00237553"/>
    <w:rsid w:val="00237618"/>
    <w:rsid w:val="0023797D"/>
    <w:rsid w:val="00237DDB"/>
    <w:rsid w:val="00237F51"/>
    <w:rsid w:val="00237F66"/>
    <w:rsid w:val="00240DA8"/>
    <w:rsid w:val="00240E70"/>
    <w:rsid w:val="00240F43"/>
    <w:rsid w:val="00241267"/>
    <w:rsid w:val="002418C5"/>
    <w:rsid w:val="00241FD7"/>
    <w:rsid w:val="002427F4"/>
    <w:rsid w:val="00242B88"/>
    <w:rsid w:val="00242E67"/>
    <w:rsid w:val="00242E76"/>
    <w:rsid w:val="00242EB7"/>
    <w:rsid w:val="002435DA"/>
    <w:rsid w:val="002435F7"/>
    <w:rsid w:val="00243602"/>
    <w:rsid w:val="00243663"/>
    <w:rsid w:val="00244134"/>
    <w:rsid w:val="00244505"/>
    <w:rsid w:val="00244C8D"/>
    <w:rsid w:val="00244C99"/>
    <w:rsid w:val="00245328"/>
    <w:rsid w:val="00245BCF"/>
    <w:rsid w:val="00245EEE"/>
    <w:rsid w:val="0024620F"/>
    <w:rsid w:val="002466B9"/>
    <w:rsid w:val="00246810"/>
    <w:rsid w:val="00247190"/>
    <w:rsid w:val="002473C0"/>
    <w:rsid w:val="002474B9"/>
    <w:rsid w:val="0024765B"/>
    <w:rsid w:val="002476EC"/>
    <w:rsid w:val="0024787A"/>
    <w:rsid w:val="00247880"/>
    <w:rsid w:val="002479FB"/>
    <w:rsid w:val="0025012B"/>
    <w:rsid w:val="002501D6"/>
    <w:rsid w:val="002505DD"/>
    <w:rsid w:val="00250EBB"/>
    <w:rsid w:val="00251229"/>
    <w:rsid w:val="00251254"/>
    <w:rsid w:val="0025126D"/>
    <w:rsid w:val="00251F4D"/>
    <w:rsid w:val="00252431"/>
    <w:rsid w:val="00252586"/>
    <w:rsid w:val="00252ECB"/>
    <w:rsid w:val="002532A4"/>
    <w:rsid w:val="00253348"/>
    <w:rsid w:val="00253406"/>
    <w:rsid w:val="00253599"/>
    <w:rsid w:val="002536D4"/>
    <w:rsid w:val="00253B94"/>
    <w:rsid w:val="00253DE8"/>
    <w:rsid w:val="0025455E"/>
    <w:rsid w:val="002554CB"/>
    <w:rsid w:val="00255746"/>
    <w:rsid w:val="002558F8"/>
    <w:rsid w:val="00255985"/>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B8B"/>
    <w:rsid w:val="00262DFA"/>
    <w:rsid w:val="00263256"/>
    <w:rsid w:val="00263332"/>
    <w:rsid w:val="00263513"/>
    <w:rsid w:val="0026387E"/>
    <w:rsid w:val="00263A8B"/>
    <w:rsid w:val="00263D57"/>
    <w:rsid w:val="00263D59"/>
    <w:rsid w:val="002644B6"/>
    <w:rsid w:val="00264704"/>
    <w:rsid w:val="002652BE"/>
    <w:rsid w:val="002658A9"/>
    <w:rsid w:val="00265A28"/>
    <w:rsid w:val="00265C05"/>
    <w:rsid w:val="00265D78"/>
    <w:rsid w:val="002667FB"/>
    <w:rsid w:val="00266FEA"/>
    <w:rsid w:val="00267548"/>
    <w:rsid w:val="0026766D"/>
    <w:rsid w:val="00267B78"/>
    <w:rsid w:val="00267CB8"/>
    <w:rsid w:val="00267D85"/>
    <w:rsid w:val="00267E93"/>
    <w:rsid w:val="00270832"/>
    <w:rsid w:val="002716CA"/>
    <w:rsid w:val="002716F0"/>
    <w:rsid w:val="00271A00"/>
    <w:rsid w:val="00272390"/>
    <w:rsid w:val="00272683"/>
    <w:rsid w:val="00272AF5"/>
    <w:rsid w:val="00273745"/>
    <w:rsid w:val="00273DFC"/>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613"/>
    <w:rsid w:val="00283023"/>
    <w:rsid w:val="00283233"/>
    <w:rsid w:val="002833C5"/>
    <w:rsid w:val="0028347D"/>
    <w:rsid w:val="00283918"/>
    <w:rsid w:val="00283C63"/>
    <w:rsid w:val="00283D23"/>
    <w:rsid w:val="00283DEB"/>
    <w:rsid w:val="00283E62"/>
    <w:rsid w:val="00283F23"/>
    <w:rsid w:val="0028488A"/>
    <w:rsid w:val="002852EB"/>
    <w:rsid w:val="00285428"/>
    <w:rsid w:val="002855D6"/>
    <w:rsid w:val="00285851"/>
    <w:rsid w:val="00285A7A"/>
    <w:rsid w:val="00285FBC"/>
    <w:rsid w:val="002861A2"/>
    <w:rsid w:val="002866B9"/>
    <w:rsid w:val="00286ED6"/>
    <w:rsid w:val="00287204"/>
    <w:rsid w:val="00287B7B"/>
    <w:rsid w:val="00287B7F"/>
    <w:rsid w:val="00287D17"/>
    <w:rsid w:val="002904FA"/>
    <w:rsid w:val="0029122A"/>
    <w:rsid w:val="0029190A"/>
    <w:rsid w:val="00292079"/>
    <w:rsid w:val="00293B0F"/>
    <w:rsid w:val="00293BB4"/>
    <w:rsid w:val="00293CC9"/>
    <w:rsid w:val="00293E43"/>
    <w:rsid w:val="00294487"/>
    <w:rsid w:val="00294671"/>
    <w:rsid w:val="0029476B"/>
    <w:rsid w:val="00294B17"/>
    <w:rsid w:val="00295393"/>
    <w:rsid w:val="002958C9"/>
    <w:rsid w:val="00295A5B"/>
    <w:rsid w:val="002964E7"/>
    <w:rsid w:val="00296539"/>
    <w:rsid w:val="00296816"/>
    <w:rsid w:val="0029752F"/>
    <w:rsid w:val="00297AEF"/>
    <w:rsid w:val="00297F46"/>
    <w:rsid w:val="002A0250"/>
    <w:rsid w:val="002A02C6"/>
    <w:rsid w:val="002A0367"/>
    <w:rsid w:val="002A067D"/>
    <w:rsid w:val="002A08DB"/>
    <w:rsid w:val="002A15E2"/>
    <w:rsid w:val="002A1A23"/>
    <w:rsid w:val="002A1C2F"/>
    <w:rsid w:val="002A22A5"/>
    <w:rsid w:val="002A27AA"/>
    <w:rsid w:val="002A305B"/>
    <w:rsid w:val="002A4FDF"/>
    <w:rsid w:val="002A639A"/>
    <w:rsid w:val="002A67D1"/>
    <w:rsid w:val="002A698F"/>
    <w:rsid w:val="002A6A2D"/>
    <w:rsid w:val="002A7457"/>
    <w:rsid w:val="002A7AC5"/>
    <w:rsid w:val="002B0000"/>
    <w:rsid w:val="002B003D"/>
    <w:rsid w:val="002B07D6"/>
    <w:rsid w:val="002B0DB2"/>
    <w:rsid w:val="002B1A98"/>
    <w:rsid w:val="002B1EBD"/>
    <w:rsid w:val="002B1F17"/>
    <w:rsid w:val="002B342D"/>
    <w:rsid w:val="002B3B4C"/>
    <w:rsid w:val="002B3B9E"/>
    <w:rsid w:val="002B3C6F"/>
    <w:rsid w:val="002B3EEE"/>
    <w:rsid w:val="002B414C"/>
    <w:rsid w:val="002B544C"/>
    <w:rsid w:val="002B566F"/>
    <w:rsid w:val="002B598D"/>
    <w:rsid w:val="002B6554"/>
    <w:rsid w:val="002B6D88"/>
    <w:rsid w:val="002B72EA"/>
    <w:rsid w:val="002B74D4"/>
    <w:rsid w:val="002B7542"/>
    <w:rsid w:val="002B7A96"/>
    <w:rsid w:val="002C0763"/>
    <w:rsid w:val="002C0C20"/>
    <w:rsid w:val="002C11E2"/>
    <w:rsid w:val="002C1265"/>
    <w:rsid w:val="002C1D67"/>
    <w:rsid w:val="002C25AD"/>
    <w:rsid w:val="002C2B96"/>
    <w:rsid w:val="002C2CE1"/>
    <w:rsid w:val="002C2DBC"/>
    <w:rsid w:val="002C3127"/>
    <w:rsid w:val="002C3360"/>
    <w:rsid w:val="002C3827"/>
    <w:rsid w:val="002C38F8"/>
    <w:rsid w:val="002C3B08"/>
    <w:rsid w:val="002C3E4C"/>
    <w:rsid w:val="002C4532"/>
    <w:rsid w:val="002C4601"/>
    <w:rsid w:val="002C4AB0"/>
    <w:rsid w:val="002C4B24"/>
    <w:rsid w:val="002C5014"/>
    <w:rsid w:val="002C5267"/>
    <w:rsid w:val="002C5533"/>
    <w:rsid w:val="002C585A"/>
    <w:rsid w:val="002C654D"/>
    <w:rsid w:val="002C715A"/>
    <w:rsid w:val="002C728D"/>
    <w:rsid w:val="002C765F"/>
    <w:rsid w:val="002C7855"/>
    <w:rsid w:val="002C7AB6"/>
    <w:rsid w:val="002D002B"/>
    <w:rsid w:val="002D01E5"/>
    <w:rsid w:val="002D0382"/>
    <w:rsid w:val="002D07A7"/>
    <w:rsid w:val="002D0E7A"/>
    <w:rsid w:val="002D11C7"/>
    <w:rsid w:val="002D1649"/>
    <w:rsid w:val="002D2E0C"/>
    <w:rsid w:val="002D3984"/>
    <w:rsid w:val="002D409A"/>
    <w:rsid w:val="002D452D"/>
    <w:rsid w:val="002D4618"/>
    <w:rsid w:val="002D464C"/>
    <w:rsid w:val="002D4902"/>
    <w:rsid w:val="002D4C32"/>
    <w:rsid w:val="002D535F"/>
    <w:rsid w:val="002D54A7"/>
    <w:rsid w:val="002D55B9"/>
    <w:rsid w:val="002D565E"/>
    <w:rsid w:val="002D5686"/>
    <w:rsid w:val="002D5974"/>
    <w:rsid w:val="002D5FEE"/>
    <w:rsid w:val="002D6167"/>
    <w:rsid w:val="002D6186"/>
    <w:rsid w:val="002D6207"/>
    <w:rsid w:val="002D6285"/>
    <w:rsid w:val="002D6DEE"/>
    <w:rsid w:val="002D71C7"/>
    <w:rsid w:val="002D736B"/>
    <w:rsid w:val="002D7A10"/>
    <w:rsid w:val="002D7D23"/>
    <w:rsid w:val="002E00DA"/>
    <w:rsid w:val="002E045A"/>
    <w:rsid w:val="002E088D"/>
    <w:rsid w:val="002E0A71"/>
    <w:rsid w:val="002E13F7"/>
    <w:rsid w:val="002E1837"/>
    <w:rsid w:val="002E1AFB"/>
    <w:rsid w:val="002E1C0F"/>
    <w:rsid w:val="002E3100"/>
    <w:rsid w:val="002E3344"/>
    <w:rsid w:val="002E3DC8"/>
    <w:rsid w:val="002E4467"/>
    <w:rsid w:val="002E471E"/>
    <w:rsid w:val="002E5176"/>
    <w:rsid w:val="002E5489"/>
    <w:rsid w:val="002E5AEC"/>
    <w:rsid w:val="002E719D"/>
    <w:rsid w:val="002E71CE"/>
    <w:rsid w:val="002E73A8"/>
    <w:rsid w:val="002E762D"/>
    <w:rsid w:val="002F0065"/>
    <w:rsid w:val="002F021B"/>
    <w:rsid w:val="002F095E"/>
    <w:rsid w:val="002F0C48"/>
    <w:rsid w:val="002F1159"/>
    <w:rsid w:val="002F1CEA"/>
    <w:rsid w:val="002F1D45"/>
    <w:rsid w:val="002F2165"/>
    <w:rsid w:val="002F2575"/>
    <w:rsid w:val="002F25F6"/>
    <w:rsid w:val="002F2688"/>
    <w:rsid w:val="002F27DC"/>
    <w:rsid w:val="002F3AFC"/>
    <w:rsid w:val="002F3BCD"/>
    <w:rsid w:val="002F44A3"/>
    <w:rsid w:val="002F50C8"/>
    <w:rsid w:val="002F510C"/>
    <w:rsid w:val="002F5457"/>
    <w:rsid w:val="002F57BD"/>
    <w:rsid w:val="002F63D1"/>
    <w:rsid w:val="002F63F0"/>
    <w:rsid w:val="002F6791"/>
    <w:rsid w:val="002F6D2A"/>
    <w:rsid w:val="002F6D80"/>
    <w:rsid w:val="002F756A"/>
    <w:rsid w:val="00300145"/>
    <w:rsid w:val="00300AD0"/>
    <w:rsid w:val="00300CA5"/>
    <w:rsid w:val="00300D64"/>
    <w:rsid w:val="0030103B"/>
    <w:rsid w:val="0030134E"/>
    <w:rsid w:val="00301934"/>
    <w:rsid w:val="00301C1C"/>
    <w:rsid w:val="00301DCF"/>
    <w:rsid w:val="003021F9"/>
    <w:rsid w:val="00302263"/>
    <w:rsid w:val="0030235D"/>
    <w:rsid w:val="003032D0"/>
    <w:rsid w:val="003038A3"/>
    <w:rsid w:val="00304376"/>
    <w:rsid w:val="003046AA"/>
    <w:rsid w:val="0030486A"/>
    <w:rsid w:val="00305595"/>
    <w:rsid w:val="00306F6E"/>
    <w:rsid w:val="00307076"/>
    <w:rsid w:val="00310195"/>
    <w:rsid w:val="003102CB"/>
    <w:rsid w:val="00310551"/>
    <w:rsid w:val="00310EA3"/>
    <w:rsid w:val="00310F6C"/>
    <w:rsid w:val="00311198"/>
    <w:rsid w:val="00311857"/>
    <w:rsid w:val="00311BA6"/>
    <w:rsid w:val="00311D30"/>
    <w:rsid w:val="00312447"/>
    <w:rsid w:val="00312AE9"/>
    <w:rsid w:val="0031307D"/>
    <w:rsid w:val="00313413"/>
    <w:rsid w:val="00313518"/>
    <w:rsid w:val="00313B04"/>
    <w:rsid w:val="0031402C"/>
    <w:rsid w:val="00314305"/>
    <w:rsid w:val="00315192"/>
    <w:rsid w:val="003154A9"/>
    <w:rsid w:val="0031714F"/>
    <w:rsid w:val="003173DF"/>
    <w:rsid w:val="003178D8"/>
    <w:rsid w:val="00317B97"/>
    <w:rsid w:val="00317F62"/>
    <w:rsid w:val="003201F8"/>
    <w:rsid w:val="003209E9"/>
    <w:rsid w:val="0032125A"/>
    <w:rsid w:val="00321556"/>
    <w:rsid w:val="00321E51"/>
    <w:rsid w:val="00322151"/>
    <w:rsid w:val="00322AED"/>
    <w:rsid w:val="00322ED5"/>
    <w:rsid w:val="0032301E"/>
    <w:rsid w:val="003230A5"/>
    <w:rsid w:val="00323698"/>
    <w:rsid w:val="00323FFC"/>
    <w:rsid w:val="0032411E"/>
    <w:rsid w:val="00324267"/>
    <w:rsid w:val="00324487"/>
    <w:rsid w:val="003253C6"/>
    <w:rsid w:val="00326761"/>
    <w:rsid w:val="00326F8D"/>
    <w:rsid w:val="00327ADC"/>
    <w:rsid w:val="00327EA6"/>
    <w:rsid w:val="003301E3"/>
    <w:rsid w:val="00330782"/>
    <w:rsid w:val="00330A95"/>
    <w:rsid w:val="0033127D"/>
    <w:rsid w:val="003317B8"/>
    <w:rsid w:val="00331CAE"/>
    <w:rsid w:val="00331D99"/>
    <w:rsid w:val="00332085"/>
    <w:rsid w:val="0033284A"/>
    <w:rsid w:val="00332D9D"/>
    <w:rsid w:val="00333666"/>
    <w:rsid w:val="00333EA3"/>
    <w:rsid w:val="00334923"/>
    <w:rsid w:val="00334DA8"/>
    <w:rsid w:val="00334F21"/>
    <w:rsid w:val="00335C3A"/>
    <w:rsid w:val="00335FDA"/>
    <w:rsid w:val="003361A1"/>
    <w:rsid w:val="0033626E"/>
    <w:rsid w:val="00336548"/>
    <w:rsid w:val="003369A0"/>
    <w:rsid w:val="00336BA0"/>
    <w:rsid w:val="00336CFB"/>
    <w:rsid w:val="00337410"/>
    <w:rsid w:val="00337508"/>
    <w:rsid w:val="00337846"/>
    <w:rsid w:val="00337AFC"/>
    <w:rsid w:val="0034024F"/>
    <w:rsid w:val="00340576"/>
    <w:rsid w:val="003408C0"/>
    <w:rsid w:val="00340D7E"/>
    <w:rsid w:val="003411C0"/>
    <w:rsid w:val="0034185D"/>
    <w:rsid w:val="00342D41"/>
    <w:rsid w:val="00343835"/>
    <w:rsid w:val="00343D33"/>
    <w:rsid w:val="00344A4E"/>
    <w:rsid w:val="00344FC2"/>
    <w:rsid w:val="003459AF"/>
    <w:rsid w:val="00346046"/>
    <w:rsid w:val="0034670F"/>
    <w:rsid w:val="00346ABF"/>
    <w:rsid w:val="00346AF5"/>
    <w:rsid w:val="00347748"/>
    <w:rsid w:val="00347D27"/>
    <w:rsid w:val="00347DC8"/>
    <w:rsid w:val="00347DD6"/>
    <w:rsid w:val="00347F5E"/>
    <w:rsid w:val="00350E11"/>
    <w:rsid w:val="00351549"/>
    <w:rsid w:val="00351E84"/>
    <w:rsid w:val="00352116"/>
    <w:rsid w:val="003522FB"/>
    <w:rsid w:val="00352302"/>
    <w:rsid w:val="0035294B"/>
    <w:rsid w:val="00353553"/>
    <w:rsid w:val="00353FBE"/>
    <w:rsid w:val="003550E8"/>
    <w:rsid w:val="00355171"/>
    <w:rsid w:val="003556DC"/>
    <w:rsid w:val="00355970"/>
    <w:rsid w:val="00355C11"/>
    <w:rsid w:val="00356C0A"/>
    <w:rsid w:val="00356CB6"/>
    <w:rsid w:val="003573A9"/>
    <w:rsid w:val="003600C5"/>
    <w:rsid w:val="003600E1"/>
    <w:rsid w:val="00360540"/>
    <w:rsid w:val="00360CC4"/>
    <w:rsid w:val="00360CE1"/>
    <w:rsid w:val="00360D35"/>
    <w:rsid w:val="00360DD5"/>
    <w:rsid w:val="00360EB9"/>
    <w:rsid w:val="003615FC"/>
    <w:rsid w:val="00361671"/>
    <w:rsid w:val="003616E9"/>
    <w:rsid w:val="00361ADC"/>
    <w:rsid w:val="00362407"/>
    <w:rsid w:val="0036260A"/>
    <w:rsid w:val="00362F66"/>
    <w:rsid w:val="00363200"/>
    <w:rsid w:val="00363367"/>
    <w:rsid w:val="0036336C"/>
    <w:rsid w:val="00363404"/>
    <w:rsid w:val="00363D01"/>
    <w:rsid w:val="003645F4"/>
    <w:rsid w:val="0036543A"/>
    <w:rsid w:val="0036568A"/>
    <w:rsid w:val="003656CA"/>
    <w:rsid w:val="00366533"/>
    <w:rsid w:val="00366711"/>
    <w:rsid w:val="00366E10"/>
    <w:rsid w:val="00367010"/>
    <w:rsid w:val="00367965"/>
    <w:rsid w:val="00367BD9"/>
    <w:rsid w:val="00367CEF"/>
    <w:rsid w:val="00370303"/>
    <w:rsid w:val="0037086D"/>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D4B"/>
    <w:rsid w:val="003825FA"/>
    <w:rsid w:val="003826C7"/>
    <w:rsid w:val="003828B3"/>
    <w:rsid w:val="00382C02"/>
    <w:rsid w:val="00382D36"/>
    <w:rsid w:val="0038376A"/>
    <w:rsid w:val="003838B3"/>
    <w:rsid w:val="0038410B"/>
    <w:rsid w:val="003844A8"/>
    <w:rsid w:val="00384655"/>
    <w:rsid w:val="003848E7"/>
    <w:rsid w:val="00384D60"/>
    <w:rsid w:val="0038538E"/>
    <w:rsid w:val="0038596E"/>
    <w:rsid w:val="00386611"/>
    <w:rsid w:val="00386800"/>
    <w:rsid w:val="003868D6"/>
    <w:rsid w:val="00386929"/>
    <w:rsid w:val="00386AF1"/>
    <w:rsid w:val="00386BF8"/>
    <w:rsid w:val="003877C1"/>
    <w:rsid w:val="003879C3"/>
    <w:rsid w:val="00387EEE"/>
    <w:rsid w:val="00390290"/>
    <w:rsid w:val="0039062A"/>
    <w:rsid w:val="00390B13"/>
    <w:rsid w:val="00390DAC"/>
    <w:rsid w:val="00391025"/>
    <w:rsid w:val="003910F8"/>
    <w:rsid w:val="0039160E"/>
    <w:rsid w:val="00391774"/>
    <w:rsid w:val="00391ABB"/>
    <w:rsid w:val="0039207A"/>
    <w:rsid w:val="0039217E"/>
    <w:rsid w:val="003925E0"/>
    <w:rsid w:val="00392610"/>
    <w:rsid w:val="00392841"/>
    <w:rsid w:val="0039286D"/>
    <w:rsid w:val="003929D8"/>
    <w:rsid w:val="0039349D"/>
    <w:rsid w:val="00393BD5"/>
    <w:rsid w:val="003949A7"/>
    <w:rsid w:val="00394BDF"/>
    <w:rsid w:val="00394D5E"/>
    <w:rsid w:val="00394E1B"/>
    <w:rsid w:val="0039548B"/>
    <w:rsid w:val="003955DE"/>
    <w:rsid w:val="0039577D"/>
    <w:rsid w:val="00395A23"/>
    <w:rsid w:val="003964D0"/>
    <w:rsid w:val="003969E0"/>
    <w:rsid w:val="00396BC2"/>
    <w:rsid w:val="00397223"/>
    <w:rsid w:val="0039729B"/>
    <w:rsid w:val="003974CD"/>
    <w:rsid w:val="00397C9E"/>
    <w:rsid w:val="003A10D6"/>
    <w:rsid w:val="003A19C7"/>
    <w:rsid w:val="003A1B00"/>
    <w:rsid w:val="003A1CFE"/>
    <w:rsid w:val="003A221F"/>
    <w:rsid w:val="003A243B"/>
    <w:rsid w:val="003A2DFE"/>
    <w:rsid w:val="003A35EB"/>
    <w:rsid w:val="003A35EE"/>
    <w:rsid w:val="003A38E3"/>
    <w:rsid w:val="003A39A5"/>
    <w:rsid w:val="003A3B1E"/>
    <w:rsid w:val="003A5254"/>
    <w:rsid w:val="003A5552"/>
    <w:rsid w:val="003A6431"/>
    <w:rsid w:val="003A663E"/>
    <w:rsid w:val="003A73BA"/>
    <w:rsid w:val="003A7669"/>
    <w:rsid w:val="003A7C39"/>
    <w:rsid w:val="003A7D45"/>
    <w:rsid w:val="003A7EA8"/>
    <w:rsid w:val="003B0454"/>
    <w:rsid w:val="003B061E"/>
    <w:rsid w:val="003B0EF9"/>
    <w:rsid w:val="003B0FB8"/>
    <w:rsid w:val="003B1753"/>
    <w:rsid w:val="003B1AA5"/>
    <w:rsid w:val="003B22B3"/>
    <w:rsid w:val="003B22E3"/>
    <w:rsid w:val="003B236A"/>
    <w:rsid w:val="003B2D8F"/>
    <w:rsid w:val="003B3666"/>
    <w:rsid w:val="003B44FD"/>
    <w:rsid w:val="003B4BD7"/>
    <w:rsid w:val="003B4E85"/>
    <w:rsid w:val="003B4FEA"/>
    <w:rsid w:val="003B539B"/>
    <w:rsid w:val="003B53B4"/>
    <w:rsid w:val="003B560C"/>
    <w:rsid w:val="003B5A78"/>
    <w:rsid w:val="003B6698"/>
    <w:rsid w:val="003B66FF"/>
    <w:rsid w:val="003B6783"/>
    <w:rsid w:val="003B70C5"/>
    <w:rsid w:val="003B796A"/>
    <w:rsid w:val="003B7AB9"/>
    <w:rsid w:val="003B7DD4"/>
    <w:rsid w:val="003B7E0B"/>
    <w:rsid w:val="003C00C4"/>
    <w:rsid w:val="003C0150"/>
    <w:rsid w:val="003C0640"/>
    <w:rsid w:val="003C0FA7"/>
    <w:rsid w:val="003C14E5"/>
    <w:rsid w:val="003C1DBC"/>
    <w:rsid w:val="003C2367"/>
    <w:rsid w:val="003C2839"/>
    <w:rsid w:val="003C29A0"/>
    <w:rsid w:val="003C2ADA"/>
    <w:rsid w:val="003C2E04"/>
    <w:rsid w:val="003C3738"/>
    <w:rsid w:val="003C38B6"/>
    <w:rsid w:val="003C395B"/>
    <w:rsid w:val="003C4324"/>
    <w:rsid w:val="003C4417"/>
    <w:rsid w:val="003C44CF"/>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BE"/>
    <w:rsid w:val="003D08F7"/>
    <w:rsid w:val="003D2130"/>
    <w:rsid w:val="003D2446"/>
    <w:rsid w:val="003D32DF"/>
    <w:rsid w:val="003D39DA"/>
    <w:rsid w:val="003D3A89"/>
    <w:rsid w:val="003D3E00"/>
    <w:rsid w:val="003D3F00"/>
    <w:rsid w:val="003D3F28"/>
    <w:rsid w:val="003D4389"/>
    <w:rsid w:val="003D45CC"/>
    <w:rsid w:val="003D486E"/>
    <w:rsid w:val="003D4DDC"/>
    <w:rsid w:val="003D55B4"/>
    <w:rsid w:val="003D590A"/>
    <w:rsid w:val="003D5D1D"/>
    <w:rsid w:val="003D5D83"/>
    <w:rsid w:val="003D6339"/>
    <w:rsid w:val="003D6427"/>
    <w:rsid w:val="003D6FC1"/>
    <w:rsid w:val="003D7099"/>
    <w:rsid w:val="003D73C3"/>
    <w:rsid w:val="003D761E"/>
    <w:rsid w:val="003D76B6"/>
    <w:rsid w:val="003E04FD"/>
    <w:rsid w:val="003E0C4C"/>
    <w:rsid w:val="003E134D"/>
    <w:rsid w:val="003E13B6"/>
    <w:rsid w:val="003E13D4"/>
    <w:rsid w:val="003E1AA1"/>
    <w:rsid w:val="003E2655"/>
    <w:rsid w:val="003E2749"/>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3F"/>
    <w:rsid w:val="003E6FCA"/>
    <w:rsid w:val="003E7334"/>
    <w:rsid w:val="003E763F"/>
    <w:rsid w:val="003E7982"/>
    <w:rsid w:val="003E79A6"/>
    <w:rsid w:val="003F057A"/>
    <w:rsid w:val="003F0C5E"/>
    <w:rsid w:val="003F0CC5"/>
    <w:rsid w:val="003F0D07"/>
    <w:rsid w:val="003F0F86"/>
    <w:rsid w:val="003F1134"/>
    <w:rsid w:val="003F1173"/>
    <w:rsid w:val="003F16A1"/>
    <w:rsid w:val="003F174C"/>
    <w:rsid w:val="003F277D"/>
    <w:rsid w:val="003F27F5"/>
    <w:rsid w:val="003F29A4"/>
    <w:rsid w:val="003F2ED0"/>
    <w:rsid w:val="003F345D"/>
    <w:rsid w:val="003F377E"/>
    <w:rsid w:val="003F3CE9"/>
    <w:rsid w:val="003F433D"/>
    <w:rsid w:val="003F4BC9"/>
    <w:rsid w:val="003F4BD0"/>
    <w:rsid w:val="003F4C9B"/>
    <w:rsid w:val="003F4F31"/>
    <w:rsid w:val="003F54B8"/>
    <w:rsid w:val="003F62E7"/>
    <w:rsid w:val="003F6321"/>
    <w:rsid w:val="003F666B"/>
    <w:rsid w:val="003F6D8A"/>
    <w:rsid w:val="003F7ADD"/>
    <w:rsid w:val="003F7E20"/>
    <w:rsid w:val="003F7F46"/>
    <w:rsid w:val="003F7F47"/>
    <w:rsid w:val="0040001A"/>
    <w:rsid w:val="0040001D"/>
    <w:rsid w:val="00401931"/>
    <w:rsid w:val="004023F7"/>
    <w:rsid w:val="00402828"/>
    <w:rsid w:val="0040289D"/>
    <w:rsid w:val="00402B0F"/>
    <w:rsid w:val="00402E62"/>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4EA4"/>
    <w:rsid w:val="004152CA"/>
    <w:rsid w:val="00415370"/>
    <w:rsid w:val="004156B1"/>
    <w:rsid w:val="00415B27"/>
    <w:rsid w:val="00415DD0"/>
    <w:rsid w:val="0041647C"/>
    <w:rsid w:val="00416869"/>
    <w:rsid w:val="00417203"/>
    <w:rsid w:val="004173BD"/>
    <w:rsid w:val="004173BF"/>
    <w:rsid w:val="00417E1A"/>
    <w:rsid w:val="004201C4"/>
    <w:rsid w:val="004201E8"/>
    <w:rsid w:val="00420414"/>
    <w:rsid w:val="00420722"/>
    <w:rsid w:val="00420DCD"/>
    <w:rsid w:val="0042114B"/>
    <w:rsid w:val="00421203"/>
    <w:rsid w:val="00421250"/>
    <w:rsid w:val="00421423"/>
    <w:rsid w:val="00421476"/>
    <w:rsid w:val="0042165E"/>
    <w:rsid w:val="00421888"/>
    <w:rsid w:val="00421BFE"/>
    <w:rsid w:val="004220F5"/>
    <w:rsid w:val="00422151"/>
    <w:rsid w:val="004229D9"/>
    <w:rsid w:val="00422BAC"/>
    <w:rsid w:val="00422C02"/>
    <w:rsid w:val="0042318F"/>
    <w:rsid w:val="00423590"/>
    <w:rsid w:val="00423B8A"/>
    <w:rsid w:val="004243F5"/>
    <w:rsid w:val="00425106"/>
    <w:rsid w:val="004251BE"/>
    <w:rsid w:val="00425599"/>
    <w:rsid w:val="00425CE4"/>
    <w:rsid w:val="00425E96"/>
    <w:rsid w:val="00425EDF"/>
    <w:rsid w:val="0042606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675"/>
    <w:rsid w:val="00431A10"/>
    <w:rsid w:val="00431BB4"/>
    <w:rsid w:val="0043284B"/>
    <w:rsid w:val="00432E24"/>
    <w:rsid w:val="00433A2E"/>
    <w:rsid w:val="00433B06"/>
    <w:rsid w:val="00433BFC"/>
    <w:rsid w:val="00433E79"/>
    <w:rsid w:val="00433E7A"/>
    <w:rsid w:val="00433EB9"/>
    <w:rsid w:val="00434BE0"/>
    <w:rsid w:val="00434FFC"/>
    <w:rsid w:val="00435471"/>
    <w:rsid w:val="00435760"/>
    <w:rsid w:val="00435812"/>
    <w:rsid w:val="00435A10"/>
    <w:rsid w:val="00435A66"/>
    <w:rsid w:val="00435D04"/>
    <w:rsid w:val="0043624E"/>
    <w:rsid w:val="00436292"/>
    <w:rsid w:val="0043632F"/>
    <w:rsid w:val="00436678"/>
    <w:rsid w:val="0043683F"/>
    <w:rsid w:val="00436B25"/>
    <w:rsid w:val="00436B4D"/>
    <w:rsid w:val="00436B5E"/>
    <w:rsid w:val="0043730D"/>
    <w:rsid w:val="00437379"/>
    <w:rsid w:val="00437E8B"/>
    <w:rsid w:val="00437EDA"/>
    <w:rsid w:val="004400EA"/>
    <w:rsid w:val="0044022F"/>
    <w:rsid w:val="00440AE9"/>
    <w:rsid w:val="00440CAA"/>
    <w:rsid w:val="004412C5"/>
    <w:rsid w:val="0044181F"/>
    <w:rsid w:val="00441A13"/>
    <w:rsid w:val="00441B1F"/>
    <w:rsid w:val="00441B90"/>
    <w:rsid w:val="00441C10"/>
    <w:rsid w:val="00441FA7"/>
    <w:rsid w:val="004420F1"/>
    <w:rsid w:val="004428C1"/>
    <w:rsid w:val="00442BD8"/>
    <w:rsid w:val="00442E73"/>
    <w:rsid w:val="00442F76"/>
    <w:rsid w:val="00443252"/>
    <w:rsid w:val="00443403"/>
    <w:rsid w:val="00443ED2"/>
    <w:rsid w:val="004442E4"/>
    <w:rsid w:val="0044459F"/>
    <w:rsid w:val="0044469B"/>
    <w:rsid w:val="00444730"/>
    <w:rsid w:val="00444C12"/>
    <w:rsid w:val="00444F1F"/>
    <w:rsid w:val="004451BB"/>
    <w:rsid w:val="00445466"/>
    <w:rsid w:val="004459DC"/>
    <w:rsid w:val="00446652"/>
    <w:rsid w:val="00446B17"/>
    <w:rsid w:val="00446F50"/>
    <w:rsid w:val="00446FBA"/>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5E0"/>
    <w:rsid w:val="0045285C"/>
    <w:rsid w:val="004529C3"/>
    <w:rsid w:val="00452EDD"/>
    <w:rsid w:val="00453B09"/>
    <w:rsid w:val="00453E38"/>
    <w:rsid w:val="00454030"/>
    <w:rsid w:val="00454476"/>
    <w:rsid w:val="0045453D"/>
    <w:rsid w:val="004547F9"/>
    <w:rsid w:val="00454999"/>
    <w:rsid w:val="00454A82"/>
    <w:rsid w:val="00454AB1"/>
    <w:rsid w:val="00454CB5"/>
    <w:rsid w:val="00454E4C"/>
    <w:rsid w:val="00454F68"/>
    <w:rsid w:val="004550AE"/>
    <w:rsid w:val="004557D3"/>
    <w:rsid w:val="00455CCF"/>
    <w:rsid w:val="00455F11"/>
    <w:rsid w:val="00455F7C"/>
    <w:rsid w:val="00456126"/>
    <w:rsid w:val="00456D24"/>
    <w:rsid w:val="00456DEB"/>
    <w:rsid w:val="00456F7E"/>
    <w:rsid w:val="004571D1"/>
    <w:rsid w:val="0045722E"/>
    <w:rsid w:val="0045729D"/>
    <w:rsid w:val="0045741D"/>
    <w:rsid w:val="0046031C"/>
    <w:rsid w:val="00460A58"/>
    <w:rsid w:val="00460B89"/>
    <w:rsid w:val="0046109A"/>
    <w:rsid w:val="00461863"/>
    <w:rsid w:val="004619D0"/>
    <w:rsid w:val="00461D5D"/>
    <w:rsid w:val="004622B5"/>
    <w:rsid w:val="00462B8A"/>
    <w:rsid w:val="00462BC7"/>
    <w:rsid w:val="00463759"/>
    <w:rsid w:val="004637E0"/>
    <w:rsid w:val="00464E71"/>
    <w:rsid w:val="00464F43"/>
    <w:rsid w:val="00465167"/>
    <w:rsid w:val="00465779"/>
    <w:rsid w:val="00465793"/>
    <w:rsid w:val="00465BC9"/>
    <w:rsid w:val="004665E2"/>
    <w:rsid w:val="00466EB2"/>
    <w:rsid w:val="0046708C"/>
    <w:rsid w:val="00467309"/>
    <w:rsid w:val="00467C6E"/>
    <w:rsid w:val="00470193"/>
    <w:rsid w:val="00470508"/>
    <w:rsid w:val="00470791"/>
    <w:rsid w:val="004708AD"/>
    <w:rsid w:val="004710D3"/>
    <w:rsid w:val="00471314"/>
    <w:rsid w:val="00471B61"/>
    <w:rsid w:val="00471DE3"/>
    <w:rsid w:val="00472A9D"/>
    <w:rsid w:val="00472C6C"/>
    <w:rsid w:val="00473966"/>
    <w:rsid w:val="004739CF"/>
    <w:rsid w:val="00474055"/>
    <w:rsid w:val="0047468F"/>
    <w:rsid w:val="00474A7C"/>
    <w:rsid w:val="004750BD"/>
    <w:rsid w:val="004751DD"/>
    <w:rsid w:val="0047570E"/>
    <w:rsid w:val="004764F5"/>
    <w:rsid w:val="00476524"/>
    <w:rsid w:val="00477111"/>
    <w:rsid w:val="0047759C"/>
    <w:rsid w:val="004776C0"/>
    <w:rsid w:val="004777A7"/>
    <w:rsid w:val="00480561"/>
    <w:rsid w:val="004806D0"/>
    <w:rsid w:val="00480CBB"/>
    <w:rsid w:val="00481571"/>
    <w:rsid w:val="0048189A"/>
    <w:rsid w:val="004818A9"/>
    <w:rsid w:val="004819B2"/>
    <w:rsid w:val="00481AA4"/>
    <w:rsid w:val="00483445"/>
    <w:rsid w:val="00483532"/>
    <w:rsid w:val="00483659"/>
    <w:rsid w:val="00483C64"/>
    <w:rsid w:val="00483EEC"/>
    <w:rsid w:val="004840AB"/>
    <w:rsid w:val="00484101"/>
    <w:rsid w:val="004846F7"/>
    <w:rsid w:val="00484DD2"/>
    <w:rsid w:val="004858D2"/>
    <w:rsid w:val="00485996"/>
    <w:rsid w:val="004859E9"/>
    <w:rsid w:val="00486219"/>
    <w:rsid w:val="00486591"/>
    <w:rsid w:val="004869E6"/>
    <w:rsid w:val="00486FB4"/>
    <w:rsid w:val="00487683"/>
    <w:rsid w:val="004876BF"/>
    <w:rsid w:val="004879A5"/>
    <w:rsid w:val="004900CD"/>
    <w:rsid w:val="004903E2"/>
    <w:rsid w:val="0049051E"/>
    <w:rsid w:val="00490D71"/>
    <w:rsid w:val="0049156A"/>
    <w:rsid w:val="004915CD"/>
    <w:rsid w:val="0049177C"/>
    <w:rsid w:val="00491787"/>
    <w:rsid w:val="004919F4"/>
    <w:rsid w:val="00491BD8"/>
    <w:rsid w:val="00491D89"/>
    <w:rsid w:val="004926D9"/>
    <w:rsid w:val="004928C4"/>
    <w:rsid w:val="00492BD6"/>
    <w:rsid w:val="00492C49"/>
    <w:rsid w:val="00492D64"/>
    <w:rsid w:val="00493745"/>
    <w:rsid w:val="0049378C"/>
    <w:rsid w:val="00493792"/>
    <w:rsid w:val="004938C4"/>
    <w:rsid w:val="00493B8E"/>
    <w:rsid w:val="00493C9F"/>
    <w:rsid w:val="00493D52"/>
    <w:rsid w:val="00494CD7"/>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F18"/>
    <w:rsid w:val="004A00CB"/>
    <w:rsid w:val="004A01EB"/>
    <w:rsid w:val="004A0935"/>
    <w:rsid w:val="004A0D6B"/>
    <w:rsid w:val="004A1551"/>
    <w:rsid w:val="004A1762"/>
    <w:rsid w:val="004A1DE3"/>
    <w:rsid w:val="004A1FC3"/>
    <w:rsid w:val="004A219D"/>
    <w:rsid w:val="004A22D9"/>
    <w:rsid w:val="004A242D"/>
    <w:rsid w:val="004A26AD"/>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55E"/>
    <w:rsid w:val="004A5ABD"/>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41D0"/>
    <w:rsid w:val="004B4653"/>
    <w:rsid w:val="004B485F"/>
    <w:rsid w:val="004B537C"/>
    <w:rsid w:val="004B5919"/>
    <w:rsid w:val="004B6228"/>
    <w:rsid w:val="004B686D"/>
    <w:rsid w:val="004B6AD9"/>
    <w:rsid w:val="004B6BEA"/>
    <w:rsid w:val="004B6E52"/>
    <w:rsid w:val="004B7139"/>
    <w:rsid w:val="004B7ECA"/>
    <w:rsid w:val="004C0154"/>
    <w:rsid w:val="004C0ED2"/>
    <w:rsid w:val="004C0F21"/>
    <w:rsid w:val="004C1114"/>
    <w:rsid w:val="004C1BA1"/>
    <w:rsid w:val="004C1D9E"/>
    <w:rsid w:val="004C2101"/>
    <w:rsid w:val="004C21CC"/>
    <w:rsid w:val="004C233F"/>
    <w:rsid w:val="004C28CD"/>
    <w:rsid w:val="004C3C4D"/>
    <w:rsid w:val="004C44E1"/>
    <w:rsid w:val="004C46A6"/>
    <w:rsid w:val="004C493C"/>
    <w:rsid w:val="004C5199"/>
    <w:rsid w:val="004C5658"/>
    <w:rsid w:val="004C59DC"/>
    <w:rsid w:val="004C59DE"/>
    <w:rsid w:val="004C5A37"/>
    <w:rsid w:val="004C5CE3"/>
    <w:rsid w:val="004C5D8A"/>
    <w:rsid w:val="004C63C8"/>
    <w:rsid w:val="004C6520"/>
    <w:rsid w:val="004C6718"/>
    <w:rsid w:val="004C6A3C"/>
    <w:rsid w:val="004C6BAF"/>
    <w:rsid w:val="004C6C70"/>
    <w:rsid w:val="004C6F1D"/>
    <w:rsid w:val="004C7023"/>
    <w:rsid w:val="004C7682"/>
    <w:rsid w:val="004C7863"/>
    <w:rsid w:val="004C78F6"/>
    <w:rsid w:val="004C7F00"/>
    <w:rsid w:val="004C7FB1"/>
    <w:rsid w:val="004D0218"/>
    <w:rsid w:val="004D03F2"/>
    <w:rsid w:val="004D08E6"/>
    <w:rsid w:val="004D16DD"/>
    <w:rsid w:val="004D171C"/>
    <w:rsid w:val="004D175C"/>
    <w:rsid w:val="004D2272"/>
    <w:rsid w:val="004D238A"/>
    <w:rsid w:val="004D29D1"/>
    <w:rsid w:val="004D2BA0"/>
    <w:rsid w:val="004D2F2D"/>
    <w:rsid w:val="004D3F21"/>
    <w:rsid w:val="004D45DD"/>
    <w:rsid w:val="004D506B"/>
    <w:rsid w:val="004D5257"/>
    <w:rsid w:val="004D5317"/>
    <w:rsid w:val="004D5369"/>
    <w:rsid w:val="004D5A35"/>
    <w:rsid w:val="004D604D"/>
    <w:rsid w:val="004D62FE"/>
    <w:rsid w:val="004D723D"/>
    <w:rsid w:val="004D7A78"/>
    <w:rsid w:val="004D7E13"/>
    <w:rsid w:val="004E0018"/>
    <w:rsid w:val="004E0378"/>
    <w:rsid w:val="004E04A6"/>
    <w:rsid w:val="004E0FBA"/>
    <w:rsid w:val="004E1540"/>
    <w:rsid w:val="004E1725"/>
    <w:rsid w:val="004E195C"/>
    <w:rsid w:val="004E1E9C"/>
    <w:rsid w:val="004E2498"/>
    <w:rsid w:val="004E3894"/>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9B2"/>
    <w:rsid w:val="004E6B6F"/>
    <w:rsid w:val="004E6CBA"/>
    <w:rsid w:val="004E7E77"/>
    <w:rsid w:val="004F0019"/>
    <w:rsid w:val="004F02D1"/>
    <w:rsid w:val="004F051B"/>
    <w:rsid w:val="004F055F"/>
    <w:rsid w:val="004F0608"/>
    <w:rsid w:val="004F0CFC"/>
    <w:rsid w:val="004F11C0"/>
    <w:rsid w:val="004F174C"/>
    <w:rsid w:val="004F1D19"/>
    <w:rsid w:val="004F21BC"/>
    <w:rsid w:val="004F2244"/>
    <w:rsid w:val="004F27D3"/>
    <w:rsid w:val="004F28F0"/>
    <w:rsid w:val="004F2956"/>
    <w:rsid w:val="004F2AD8"/>
    <w:rsid w:val="004F2EE3"/>
    <w:rsid w:val="004F3757"/>
    <w:rsid w:val="004F394E"/>
    <w:rsid w:val="004F42C2"/>
    <w:rsid w:val="004F445B"/>
    <w:rsid w:val="004F48E4"/>
    <w:rsid w:val="004F4954"/>
    <w:rsid w:val="004F4DFC"/>
    <w:rsid w:val="004F5127"/>
    <w:rsid w:val="004F51F0"/>
    <w:rsid w:val="004F5236"/>
    <w:rsid w:val="004F53C2"/>
    <w:rsid w:val="004F55EA"/>
    <w:rsid w:val="004F60BF"/>
    <w:rsid w:val="004F6D98"/>
    <w:rsid w:val="004F6DE7"/>
    <w:rsid w:val="004F6FC5"/>
    <w:rsid w:val="004F74C3"/>
    <w:rsid w:val="004F7515"/>
    <w:rsid w:val="004F772A"/>
    <w:rsid w:val="004F7927"/>
    <w:rsid w:val="004F7ACB"/>
    <w:rsid w:val="004F7AD4"/>
    <w:rsid w:val="004F7B5C"/>
    <w:rsid w:val="004F7F70"/>
    <w:rsid w:val="00500BCB"/>
    <w:rsid w:val="00500DC0"/>
    <w:rsid w:val="0050134B"/>
    <w:rsid w:val="00501473"/>
    <w:rsid w:val="005019B1"/>
    <w:rsid w:val="00502740"/>
    <w:rsid w:val="005027D1"/>
    <w:rsid w:val="005029AA"/>
    <w:rsid w:val="00503132"/>
    <w:rsid w:val="0050342D"/>
    <w:rsid w:val="00503A1B"/>
    <w:rsid w:val="00503A78"/>
    <w:rsid w:val="00503E04"/>
    <w:rsid w:val="005047C9"/>
    <w:rsid w:val="00504C40"/>
    <w:rsid w:val="00504F92"/>
    <w:rsid w:val="005052A2"/>
    <w:rsid w:val="00505658"/>
    <w:rsid w:val="00505A2A"/>
    <w:rsid w:val="00505B2A"/>
    <w:rsid w:val="00505D9D"/>
    <w:rsid w:val="005060C1"/>
    <w:rsid w:val="00506363"/>
    <w:rsid w:val="00506523"/>
    <w:rsid w:val="00506525"/>
    <w:rsid w:val="00506B5C"/>
    <w:rsid w:val="00506DD4"/>
    <w:rsid w:val="0050722D"/>
    <w:rsid w:val="005077CD"/>
    <w:rsid w:val="00507CEC"/>
    <w:rsid w:val="00507ED8"/>
    <w:rsid w:val="005107A8"/>
    <w:rsid w:val="0051088C"/>
    <w:rsid w:val="005114A3"/>
    <w:rsid w:val="005118EB"/>
    <w:rsid w:val="005119DD"/>
    <w:rsid w:val="00511E0E"/>
    <w:rsid w:val="00511E57"/>
    <w:rsid w:val="0051234C"/>
    <w:rsid w:val="00513276"/>
    <w:rsid w:val="00513350"/>
    <w:rsid w:val="0051350D"/>
    <w:rsid w:val="0051356A"/>
    <w:rsid w:val="0051377F"/>
    <w:rsid w:val="005137A2"/>
    <w:rsid w:val="00513AB7"/>
    <w:rsid w:val="00513E2A"/>
    <w:rsid w:val="005148DA"/>
    <w:rsid w:val="00515204"/>
    <w:rsid w:val="00515A9F"/>
    <w:rsid w:val="00515C23"/>
    <w:rsid w:val="00515E28"/>
    <w:rsid w:val="00515F29"/>
    <w:rsid w:val="0051609A"/>
    <w:rsid w:val="005161F1"/>
    <w:rsid w:val="0051637E"/>
    <w:rsid w:val="005173E0"/>
    <w:rsid w:val="005174FE"/>
    <w:rsid w:val="00517E4A"/>
    <w:rsid w:val="00520366"/>
    <w:rsid w:val="00520B6B"/>
    <w:rsid w:val="00520E96"/>
    <w:rsid w:val="0052276A"/>
    <w:rsid w:val="00522C3C"/>
    <w:rsid w:val="0052312B"/>
    <w:rsid w:val="005231A2"/>
    <w:rsid w:val="00524146"/>
    <w:rsid w:val="00524B49"/>
    <w:rsid w:val="00524EF0"/>
    <w:rsid w:val="00525076"/>
    <w:rsid w:val="00525235"/>
    <w:rsid w:val="00525240"/>
    <w:rsid w:val="005253E3"/>
    <w:rsid w:val="00525F71"/>
    <w:rsid w:val="005264C5"/>
    <w:rsid w:val="00526737"/>
    <w:rsid w:val="00526766"/>
    <w:rsid w:val="0052682D"/>
    <w:rsid w:val="00526C3C"/>
    <w:rsid w:val="00527059"/>
    <w:rsid w:val="0052724E"/>
    <w:rsid w:val="00527782"/>
    <w:rsid w:val="005278B3"/>
    <w:rsid w:val="00527983"/>
    <w:rsid w:val="0053020D"/>
    <w:rsid w:val="0053063E"/>
    <w:rsid w:val="00530816"/>
    <w:rsid w:val="00530CF6"/>
    <w:rsid w:val="00531092"/>
    <w:rsid w:val="0053158D"/>
    <w:rsid w:val="00531596"/>
    <w:rsid w:val="00531E88"/>
    <w:rsid w:val="005323FE"/>
    <w:rsid w:val="00532616"/>
    <w:rsid w:val="00532EA1"/>
    <w:rsid w:val="005342C5"/>
    <w:rsid w:val="00534472"/>
    <w:rsid w:val="005344DB"/>
    <w:rsid w:val="00534B3C"/>
    <w:rsid w:val="00534C78"/>
    <w:rsid w:val="0053520F"/>
    <w:rsid w:val="0053537B"/>
    <w:rsid w:val="00535594"/>
    <w:rsid w:val="005356B7"/>
    <w:rsid w:val="00535B32"/>
    <w:rsid w:val="00535B79"/>
    <w:rsid w:val="00536049"/>
    <w:rsid w:val="00536326"/>
    <w:rsid w:val="00536613"/>
    <w:rsid w:val="005368DF"/>
    <w:rsid w:val="00536B63"/>
    <w:rsid w:val="00537715"/>
    <w:rsid w:val="00540108"/>
    <w:rsid w:val="0054020D"/>
    <w:rsid w:val="0054030B"/>
    <w:rsid w:val="00540430"/>
    <w:rsid w:val="00540622"/>
    <w:rsid w:val="0054087B"/>
    <w:rsid w:val="00540E0A"/>
    <w:rsid w:val="005414DC"/>
    <w:rsid w:val="00541850"/>
    <w:rsid w:val="005418E6"/>
    <w:rsid w:val="00541BD0"/>
    <w:rsid w:val="00542698"/>
    <w:rsid w:val="00542B67"/>
    <w:rsid w:val="00542CBD"/>
    <w:rsid w:val="00543107"/>
    <w:rsid w:val="005433CC"/>
    <w:rsid w:val="00543534"/>
    <w:rsid w:val="0054396C"/>
    <w:rsid w:val="00543C69"/>
    <w:rsid w:val="00543FBC"/>
    <w:rsid w:val="00544110"/>
    <w:rsid w:val="00544372"/>
    <w:rsid w:val="005446F0"/>
    <w:rsid w:val="00544B99"/>
    <w:rsid w:val="00544D1D"/>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5D5"/>
    <w:rsid w:val="00553E62"/>
    <w:rsid w:val="005543FE"/>
    <w:rsid w:val="00554414"/>
    <w:rsid w:val="0055487A"/>
    <w:rsid w:val="00554ABF"/>
    <w:rsid w:val="00554C2C"/>
    <w:rsid w:val="005550F9"/>
    <w:rsid w:val="00555396"/>
    <w:rsid w:val="0055551E"/>
    <w:rsid w:val="005556D3"/>
    <w:rsid w:val="00555A8E"/>
    <w:rsid w:val="00555F1F"/>
    <w:rsid w:val="00556165"/>
    <w:rsid w:val="0055672F"/>
    <w:rsid w:val="00556DFC"/>
    <w:rsid w:val="0055705C"/>
    <w:rsid w:val="00557356"/>
    <w:rsid w:val="00557E1F"/>
    <w:rsid w:val="00560162"/>
    <w:rsid w:val="005603F9"/>
    <w:rsid w:val="0056052E"/>
    <w:rsid w:val="005609FC"/>
    <w:rsid w:val="00560AEA"/>
    <w:rsid w:val="00560C3D"/>
    <w:rsid w:val="00560DD3"/>
    <w:rsid w:val="00560E78"/>
    <w:rsid w:val="00561310"/>
    <w:rsid w:val="0056135E"/>
    <w:rsid w:val="005619F4"/>
    <w:rsid w:val="00561A71"/>
    <w:rsid w:val="00561BB7"/>
    <w:rsid w:val="0056267F"/>
    <w:rsid w:val="00562778"/>
    <w:rsid w:val="00562F41"/>
    <w:rsid w:val="0056313E"/>
    <w:rsid w:val="00563217"/>
    <w:rsid w:val="00563A10"/>
    <w:rsid w:val="00563BCB"/>
    <w:rsid w:val="00563EFE"/>
    <w:rsid w:val="00564427"/>
    <w:rsid w:val="00564A75"/>
    <w:rsid w:val="00564C0A"/>
    <w:rsid w:val="00564CE0"/>
    <w:rsid w:val="00565047"/>
    <w:rsid w:val="005653F0"/>
    <w:rsid w:val="005659C0"/>
    <w:rsid w:val="00565BFA"/>
    <w:rsid w:val="0056600F"/>
    <w:rsid w:val="0056633E"/>
    <w:rsid w:val="00566736"/>
    <w:rsid w:val="005667BA"/>
    <w:rsid w:val="00566C1A"/>
    <w:rsid w:val="00566E79"/>
    <w:rsid w:val="00566FC9"/>
    <w:rsid w:val="0056702A"/>
    <w:rsid w:val="005670D4"/>
    <w:rsid w:val="00567323"/>
    <w:rsid w:val="0056754B"/>
    <w:rsid w:val="00567FF2"/>
    <w:rsid w:val="0057002F"/>
    <w:rsid w:val="005701AF"/>
    <w:rsid w:val="00570416"/>
    <w:rsid w:val="0057072E"/>
    <w:rsid w:val="00570B7A"/>
    <w:rsid w:val="00570BA3"/>
    <w:rsid w:val="00570C13"/>
    <w:rsid w:val="00570FDA"/>
    <w:rsid w:val="0057168E"/>
    <w:rsid w:val="00571999"/>
    <w:rsid w:val="00571A0D"/>
    <w:rsid w:val="00571B43"/>
    <w:rsid w:val="00571BEC"/>
    <w:rsid w:val="00571D9B"/>
    <w:rsid w:val="0057201F"/>
    <w:rsid w:val="0057246C"/>
    <w:rsid w:val="00572A2B"/>
    <w:rsid w:val="00572CF2"/>
    <w:rsid w:val="00573125"/>
    <w:rsid w:val="0057380B"/>
    <w:rsid w:val="00573A5B"/>
    <w:rsid w:val="00573F22"/>
    <w:rsid w:val="00573FD1"/>
    <w:rsid w:val="00574178"/>
    <w:rsid w:val="005743D8"/>
    <w:rsid w:val="00574CA5"/>
    <w:rsid w:val="00574CE8"/>
    <w:rsid w:val="00574D70"/>
    <w:rsid w:val="0057555B"/>
    <w:rsid w:val="00575D7B"/>
    <w:rsid w:val="00576017"/>
    <w:rsid w:val="005760DA"/>
    <w:rsid w:val="00576CA2"/>
    <w:rsid w:val="00577053"/>
    <w:rsid w:val="00577183"/>
    <w:rsid w:val="00577400"/>
    <w:rsid w:val="00577F69"/>
    <w:rsid w:val="00580F32"/>
    <w:rsid w:val="00582639"/>
    <w:rsid w:val="005828A9"/>
    <w:rsid w:val="00582F8B"/>
    <w:rsid w:val="00582FBE"/>
    <w:rsid w:val="00582FBF"/>
    <w:rsid w:val="00583680"/>
    <w:rsid w:val="00583784"/>
    <w:rsid w:val="00583FBE"/>
    <w:rsid w:val="00584293"/>
    <w:rsid w:val="005843F7"/>
    <w:rsid w:val="005846AC"/>
    <w:rsid w:val="00584AA5"/>
    <w:rsid w:val="00584AFF"/>
    <w:rsid w:val="00584C7D"/>
    <w:rsid w:val="0058565F"/>
    <w:rsid w:val="00585929"/>
    <w:rsid w:val="005867B7"/>
    <w:rsid w:val="00587235"/>
    <w:rsid w:val="00587722"/>
    <w:rsid w:val="00590227"/>
    <w:rsid w:val="005904BA"/>
    <w:rsid w:val="005905E8"/>
    <w:rsid w:val="00590A05"/>
    <w:rsid w:val="00591568"/>
    <w:rsid w:val="00591946"/>
    <w:rsid w:val="00591FA0"/>
    <w:rsid w:val="005921AC"/>
    <w:rsid w:val="0059285B"/>
    <w:rsid w:val="00592955"/>
    <w:rsid w:val="00593968"/>
    <w:rsid w:val="00593D36"/>
    <w:rsid w:val="00594BE7"/>
    <w:rsid w:val="00594E58"/>
    <w:rsid w:val="00595124"/>
    <w:rsid w:val="00595366"/>
    <w:rsid w:val="00595B8E"/>
    <w:rsid w:val="00595FBC"/>
    <w:rsid w:val="00596021"/>
    <w:rsid w:val="00596510"/>
    <w:rsid w:val="005966A9"/>
    <w:rsid w:val="005966CA"/>
    <w:rsid w:val="00596C31"/>
    <w:rsid w:val="00596D15"/>
    <w:rsid w:val="005970F9"/>
    <w:rsid w:val="005976C9"/>
    <w:rsid w:val="005977A4"/>
    <w:rsid w:val="0059790A"/>
    <w:rsid w:val="00597C5D"/>
    <w:rsid w:val="00597E9C"/>
    <w:rsid w:val="00597F67"/>
    <w:rsid w:val="005A01CC"/>
    <w:rsid w:val="005A0222"/>
    <w:rsid w:val="005A0492"/>
    <w:rsid w:val="005A0BFD"/>
    <w:rsid w:val="005A10A7"/>
    <w:rsid w:val="005A1297"/>
    <w:rsid w:val="005A1652"/>
    <w:rsid w:val="005A1726"/>
    <w:rsid w:val="005A1E43"/>
    <w:rsid w:val="005A1E6A"/>
    <w:rsid w:val="005A1EAB"/>
    <w:rsid w:val="005A285A"/>
    <w:rsid w:val="005A29DC"/>
    <w:rsid w:val="005A29EC"/>
    <w:rsid w:val="005A2F25"/>
    <w:rsid w:val="005A3307"/>
    <w:rsid w:val="005A355C"/>
    <w:rsid w:val="005A47D7"/>
    <w:rsid w:val="005A499E"/>
    <w:rsid w:val="005A4ACB"/>
    <w:rsid w:val="005A4D94"/>
    <w:rsid w:val="005A5242"/>
    <w:rsid w:val="005A54C7"/>
    <w:rsid w:val="005A5518"/>
    <w:rsid w:val="005A55D9"/>
    <w:rsid w:val="005A5612"/>
    <w:rsid w:val="005A6438"/>
    <w:rsid w:val="005A650D"/>
    <w:rsid w:val="005A698B"/>
    <w:rsid w:val="005A6ABA"/>
    <w:rsid w:val="005A6B3E"/>
    <w:rsid w:val="005A7004"/>
    <w:rsid w:val="005A714F"/>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E23"/>
    <w:rsid w:val="005B1E4F"/>
    <w:rsid w:val="005B25B6"/>
    <w:rsid w:val="005B2648"/>
    <w:rsid w:val="005B3109"/>
    <w:rsid w:val="005B3753"/>
    <w:rsid w:val="005B37DD"/>
    <w:rsid w:val="005B3C6F"/>
    <w:rsid w:val="005B3FBA"/>
    <w:rsid w:val="005B4204"/>
    <w:rsid w:val="005B496E"/>
    <w:rsid w:val="005B4F27"/>
    <w:rsid w:val="005B50FB"/>
    <w:rsid w:val="005B51E3"/>
    <w:rsid w:val="005B6014"/>
    <w:rsid w:val="005B6E5B"/>
    <w:rsid w:val="005C052A"/>
    <w:rsid w:val="005C069F"/>
    <w:rsid w:val="005C0727"/>
    <w:rsid w:val="005C07FE"/>
    <w:rsid w:val="005C1153"/>
    <w:rsid w:val="005C138F"/>
    <w:rsid w:val="005C1C79"/>
    <w:rsid w:val="005C1CCE"/>
    <w:rsid w:val="005C1E1B"/>
    <w:rsid w:val="005C22A0"/>
    <w:rsid w:val="005C22BC"/>
    <w:rsid w:val="005C2394"/>
    <w:rsid w:val="005C2A9C"/>
    <w:rsid w:val="005C2CC6"/>
    <w:rsid w:val="005C36AE"/>
    <w:rsid w:val="005C39F0"/>
    <w:rsid w:val="005C3B0C"/>
    <w:rsid w:val="005C4174"/>
    <w:rsid w:val="005C4ADF"/>
    <w:rsid w:val="005C4D57"/>
    <w:rsid w:val="005C4DCF"/>
    <w:rsid w:val="005C5BE1"/>
    <w:rsid w:val="005C5C0A"/>
    <w:rsid w:val="005C5C5E"/>
    <w:rsid w:val="005C5D99"/>
    <w:rsid w:val="005C654C"/>
    <w:rsid w:val="005C66FC"/>
    <w:rsid w:val="005C681D"/>
    <w:rsid w:val="005C6B0C"/>
    <w:rsid w:val="005C7335"/>
    <w:rsid w:val="005C77C2"/>
    <w:rsid w:val="005C7C50"/>
    <w:rsid w:val="005D0027"/>
    <w:rsid w:val="005D0303"/>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48DC"/>
    <w:rsid w:val="005D4F99"/>
    <w:rsid w:val="005D53FD"/>
    <w:rsid w:val="005D542D"/>
    <w:rsid w:val="005D58A5"/>
    <w:rsid w:val="005D5F95"/>
    <w:rsid w:val="005D61E6"/>
    <w:rsid w:val="005D620B"/>
    <w:rsid w:val="005D66C5"/>
    <w:rsid w:val="005D6A5D"/>
    <w:rsid w:val="005D7257"/>
    <w:rsid w:val="005D73EF"/>
    <w:rsid w:val="005D74D3"/>
    <w:rsid w:val="005D77FB"/>
    <w:rsid w:val="005D798C"/>
    <w:rsid w:val="005D7B03"/>
    <w:rsid w:val="005D7B4A"/>
    <w:rsid w:val="005D7B60"/>
    <w:rsid w:val="005D7E2A"/>
    <w:rsid w:val="005D7F08"/>
    <w:rsid w:val="005E09BB"/>
    <w:rsid w:val="005E1041"/>
    <w:rsid w:val="005E146F"/>
    <w:rsid w:val="005E18F9"/>
    <w:rsid w:val="005E1910"/>
    <w:rsid w:val="005E1BA3"/>
    <w:rsid w:val="005E2B71"/>
    <w:rsid w:val="005E2F28"/>
    <w:rsid w:val="005E3A44"/>
    <w:rsid w:val="005E3AB6"/>
    <w:rsid w:val="005E3D3B"/>
    <w:rsid w:val="005E4832"/>
    <w:rsid w:val="005E4AAF"/>
    <w:rsid w:val="005E4E2C"/>
    <w:rsid w:val="005E4F4A"/>
    <w:rsid w:val="005E588F"/>
    <w:rsid w:val="005E5EE9"/>
    <w:rsid w:val="005E600B"/>
    <w:rsid w:val="005E623E"/>
    <w:rsid w:val="005E628D"/>
    <w:rsid w:val="005E662E"/>
    <w:rsid w:val="005E6AA0"/>
    <w:rsid w:val="005E6C9C"/>
    <w:rsid w:val="005E6ED5"/>
    <w:rsid w:val="005E771E"/>
    <w:rsid w:val="005E7D97"/>
    <w:rsid w:val="005F0379"/>
    <w:rsid w:val="005F08A4"/>
    <w:rsid w:val="005F0DA9"/>
    <w:rsid w:val="005F1431"/>
    <w:rsid w:val="005F1EA3"/>
    <w:rsid w:val="005F1F4C"/>
    <w:rsid w:val="005F2421"/>
    <w:rsid w:val="005F3189"/>
    <w:rsid w:val="005F343A"/>
    <w:rsid w:val="005F3D94"/>
    <w:rsid w:val="005F44C8"/>
    <w:rsid w:val="005F52A6"/>
    <w:rsid w:val="005F55CC"/>
    <w:rsid w:val="005F56D0"/>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096"/>
    <w:rsid w:val="006051ED"/>
    <w:rsid w:val="00605401"/>
    <w:rsid w:val="0060560B"/>
    <w:rsid w:val="00605996"/>
    <w:rsid w:val="006059B3"/>
    <w:rsid w:val="006064B6"/>
    <w:rsid w:val="006068B2"/>
    <w:rsid w:val="00606DC2"/>
    <w:rsid w:val="00606F1E"/>
    <w:rsid w:val="0060709C"/>
    <w:rsid w:val="00607629"/>
    <w:rsid w:val="00607669"/>
    <w:rsid w:val="006076B7"/>
    <w:rsid w:val="00607B70"/>
    <w:rsid w:val="00607E71"/>
    <w:rsid w:val="006108A7"/>
    <w:rsid w:val="00610D2D"/>
    <w:rsid w:val="00610D32"/>
    <w:rsid w:val="0061112D"/>
    <w:rsid w:val="00611197"/>
    <w:rsid w:val="006114AF"/>
    <w:rsid w:val="006115E2"/>
    <w:rsid w:val="006115E5"/>
    <w:rsid w:val="00611D59"/>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5818"/>
    <w:rsid w:val="006163C6"/>
    <w:rsid w:val="00616505"/>
    <w:rsid w:val="00616D32"/>
    <w:rsid w:val="00616D78"/>
    <w:rsid w:val="00616F1F"/>
    <w:rsid w:val="00616FB7"/>
    <w:rsid w:val="00617094"/>
    <w:rsid w:val="00617320"/>
    <w:rsid w:val="0061747F"/>
    <w:rsid w:val="006176BA"/>
    <w:rsid w:val="006179FA"/>
    <w:rsid w:val="00617B7B"/>
    <w:rsid w:val="00620220"/>
    <w:rsid w:val="00620638"/>
    <w:rsid w:val="00620F1E"/>
    <w:rsid w:val="00621417"/>
    <w:rsid w:val="00621636"/>
    <w:rsid w:val="00621792"/>
    <w:rsid w:val="00621A81"/>
    <w:rsid w:val="00621CB5"/>
    <w:rsid w:val="00621D47"/>
    <w:rsid w:val="00622566"/>
    <w:rsid w:val="006230DC"/>
    <w:rsid w:val="00623363"/>
    <w:rsid w:val="00623530"/>
    <w:rsid w:val="006238A4"/>
    <w:rsid w:val="00623CD5"/>
    <w:rsid w:val="00623D36"/>
    <w:rsid w:val="00624045"/>
    <w:rsid w:val="0062408B"/>
    <w:rsid w:val="006240FB"/>
    <w:rsid w:val="006244BD"/>
    <w:rsid w:val="0062483C"/>
    <w:rsid w:val="006248DD"/>
    <w:rsid w:val="00624A67"/>
    <w:rsid w:val="00624B17"/>
    <w:rsid w:val="0062526E"/>
    <w:rsid w:val="0062542A"/>
    <w:rsid w:val="006258F0"/>
    <w:rsid w:val="00625948"/>
    <w:rsid w:val="00625D48"/>
    <w:rsid w:val="00625E81"/>
    <w:rsid w:val="00625F7D"/>
    <w:rsid w:val="00626A2B"/>
    <w:rsid w:val="0062706B"/>
    <w:rsid w:val="006271FC"/>
    <w:rsid w:val="0062768B"/>
    <w:rsid w:val="006301B1"/>
    <w:rsid w:val="0063045B"/>
    <w:rsid w:val="0063091F"/>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6031"/>
    <w:rsid w:val="0063641F"/>
    <w:rsid w:val="006369EB"/>
    <w:rsid w:val="00636B8E"/>
    <w:rsid w:val="00637685"/>
    <w:rsid w:val="00637693"/>
    <w:rsid w:val="00640995"/>
    <w:rsid w:val="00641194"/>
    <w:rsid w:val="00641D53"/>
    <w:rsid w:val="00641EEE"/>
    <w:rsid w:val="00642690"/>
    <w:rsid w:val="00643176"/>
    <w:rsid w:val="006431EA"/>
    <w:rsid w:val="00643361"/>
    <w:rsid w:val="006435F6"/>
    <w:rsid w:val="00643774"/>
    <w:rsid w:val="00644861"/>
    <w:rsid w:val="00644B91"/>
    <w:rsid w:val="0064512C"/>
    <w:rsid w:val="0064556D"/>
    <w:rsid w:val="006455C9"/>
    <w:rsid w:val="006459FC"/>
    <w:rsid w:val="00645EBD"/>
    <w:rsid w:val="00646000"/>
    <w:rsid w:val="0064647C"/>
    <w:rsid w:val="006467EC"/>
    <w:rsid w:val="00646A44"/>
    <w:rsid w:val="006473C8"/>
    <w:rsid w:val="00647C94"/>
    <w:rsid w:val="00647FA8"/>
    <w:rsid w:val="00650F7A"/>
    <w:rsid w:val="00651487"/>
    <w:rsid w:val="006516FE"/>
    <w:rsid w:val="00651BEA"/>
    <w:rsid w:val="00651E2D"/>
    <w:rsid w:val="0065270C"/>
    <w:rsid w:val="0065291A"/>
    <w:rsid w:val="00652D1E"/>
    <w:rsid w:val="00652E40"/>
    <w:rsid w:val="00653276"/>
    <w:rsid w:val="00653AF3"/>
    <w:rsid w:val="00653CCD"/>
    <w:rsid w:val="0065419D"/>
    <w:rsid w:val="00654AA8"/>
    <w:rsid w:val="00654F52"/>
    <w:rsid w:val="00654FE0"/>
    <w:rsid w:val="00655BD1"/>
    <w:rsid w:val="00655C42"/>
    <w:rsid w:val="00655D94"/>
    <w:rsid w:val="00655EDC"/>
    <w:rsid w:val="006566F2"/>
    <w:rsid w:val="0065676E"/>
    <w:rsid w:val="006573F6"/>
    <w:rsid w:val="00657666"/>
    <w:rsid w:val="0065790A"/>
    <w:rsid w:val="006604DF"/>
    <w:rsid w:val="00660A55"/>
    <w:rsid w:val="00660A9E"/>
    <w:rsid w:val="00660B0F"/>
    <w:rsid w:val="00660D79"/>
    <w:rsid w:val="00661915"/>
    <w:rsid w:val="00661CA6"/>
    <w:rsid w:val="00661F7D"/>
    <w:rsid w:val="00662E22"/>
    <w:rsid w:val="00663186"/>
    <w:rsid w:val="006633C0"/>
    <w:rsid w:val="00664351"/>
    <w:rsid w:val="00664406"/>
    <w:rsid w:val="00664431"/>
    <w:rsid w:val="00664536"/>
    <w:rsid w:val="00664765"/>
    <w:rsid w:val="006648DC"/>
    <w:rsid w:val="00664A7B"/>
    <w:rsid w:val="00664BC0"/>
    <w:rsid w:val="00665518"/>
    <w:rsid w:val="006659C8"/>
    <w:rsid w:val="0066609D"/>
    <w:rsid w:val="006660BB"/>
    <w:rsid w:val="006660BE"/>
    <w:rsid w:val="00667259"/>
    <w:rsid w:val="00667424"/>
    <w:rsid w:val="0066760B"/>
    <w:rsid w:val="00667AE6"/>
    <w:rsid w:val="00667AF2"/>
    <w:rsid w:val="00667B3E"/>
    <w:rsid w:val="00671169"/>
    <w:rsid w:val="00671173"/>
    <w:rsid w:val="00671ACA"/>
    <w:rsid w:val="00672CF8"/>
    <w:rsid w:val="00672E4B"/>
    <w:rsid w:val="00672EDF"/>
    <w:rsid w:val="006730B4"/>
    <w:rsid w:val="006734E2"/>
    <w:rsid w:val="00673723"/>
    <w:rsid w:val="00673AA5"/>
    <w:rsid w:val="00673BD6"/>
    <w:rsid w:val="00673F14"/>
    <w:rsid w:val="00674236"/>
    <w:rsid w:val="0067445B"/>
    <w:rsid w:val="00674E9A"/>
    <w:rsid w:val="00674F76"/>
    <w:rsid w:val="0067522E"/>
    <w:rsid w:val="006752C9"/>
    <w:rsid w:val="006754AC"/>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803"/>
    <w:rsid w:val="006809B4"/>
    <w:rsid w:val="00680D12"/>
    <w:rsid w:val="00680E37"/>
    <w:rsid w:val="00681110"/>
    <w:rsid w:val="006815BF"/>
    <w:rsid w:val="00681860"/>
    <w:rsid w:val="006819A3"/>
    <w:rsid w:val="00681A5A"/>
    <w:rsid w:val="00681C3D"/>
    <w:rsid w:val="006820B5"/>
    <w:rsid w:val="006824C6"/>
    <w:rsid w:val="0068354A"/>
    <w:rsid w:val="006836A6"/>
    <w:rsid w:val="00683CBE"/>
    <w:rsid w:val="00683E05"/>
    <w:rsid w:val="006840A8"/>
    <w:rsid w:val="00684275"/>
    <w:rsid w:val="006847BD"/>
    <w:rsid w:val="00685182"/>
    <w:rsid w:val="00685945"/>
    <w:rsid w:val="00685A73"/>
    <w:rsid w:val="00685C3D"/>
    <w:rsid w:val="00685CFC"/>
    <w:rsid w:val="00686150"/>
    <w:rsid w:val="00686D18"/>
    <w:rsid w:val="00687989"/>
    <w:rsid w:val="0069046F"/>
    <w:rsid w:val="006904D3"/>
    <w:rsid w:val="00690A2E"/>
    <w:rsid w:val="00690D04"/>
    <w:rsid w:val="00691822"/>
    <w:rsid w:val="00691E0B"/>
    <w:rsid w:val="006920D1"/>
    <w:rsid w:val="006923D0"/>
    <w:rsid w:val="0069253D"/>
    <w:rsid w:val="00692581"/>
    <w:rsid w:val="006929A2"/>
    <w:rsid w:val="00692AB1"/>
    <w:rsid w:val="00692DDF"/>
    <w:rsid w:val="00693098"/>
    <w:rsid w:val="00693613"/>
    <w:rsid w:val="00693796"/>
    <w:rsid w:val="006939D8"/>
    <w:rsid w:val="00693A3E"/>
    <w:rsid w:val="00693B2F"/>
    <w:rsid w:val="00693DE6"/>
    <w:rsid w:val="006940B8"/>
    <w:rsid w:val="006943A0"/>
    <w:rsid w:val="00694730"/>
    <w:rsid w:val="00695095"/>
    <w:rsid w:val="00696201"/>
    <w:rsid w:val="006967E1"/>
    <w:rsid w:val="00696CE0"/>
    <w:rsid w:val="00697814"/>
    <w:rsid w:val="00697EDA"/>
    <w:rsid w:val="006A04DA"/>
    <w:rsid w:val="006A091E"/>
    <w:rsid w:val="006A12AC"/>
    <w:rsid w:val="006A1357"/>
    <w:rsid w:val="006A19DA"/>
    <w:rsid w:val="006A1BFF"/>
    <w:rsid w:val="006A1D95"/>
    <w:rsid w:val="006A2A93"/>
    <w:rsid w:val="006A33BA"/>
    <w:rsid w:val="006A35EA"/>
    <w:rsid w:val="006A4455"/>
    <w:rsid w:val="006A4B1B"/>
    <w:rsid w:val="006A4EC5"/>
    <w:rsid w:val="006A53D1"/>
    <w:rsid w:val="006A5613"/>
    <w:rsid w:val="006A5C4F"/>
    <w:rsid w:val="006A62E3"/>
    <w:rsid w:val="006A6947"/>
    <w:rsid w:val="006A6BED"/>
    <w:rsid w:val="006A704C"/>
    <w:rsid w:val="006A7453"/>
    <w:rsid w:val="006A74E0"/>
    <w:rsid w:val="006B0575"/>
    <w:rsid w:val="006B07ED"/>
    <w:rsid w:val="006B0877"/>
    <w:rsid w:val="006B0C95"/>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60F"/>
    <w:rsid w:val="006C0B02"/>
    <w:rsid w:val="006C11E7"/>
    <w:rsid w:val="006C14F1"/>
    <w:rsid w:val="006C196D"/>
    <w:rsid w:val="006C1BF0"/>
    <w:rsid w:val="006C1DE6"/>
    <w:rsid w:val="006C1EFC"/>
    <w:rsid w:val="006C2DFC"/>
    <w:rsid w:val="006C2EDA"/>
    <w:rsid w:val="006C30E0"/>
    <w:rsid w:val="006C357B"/>
    <w:rsid w:val="006C3610"/>
    <w:rsid w:val="006C3A19"/>
    <w:rsid w:val="006C3DDF"/>
    <w:rsid w:val="006C44E2"/>
    <w:rsid w:val="006C467C"/>
    <w:rsid w:val="006C4DCE"/>
    <w:rsid w:val="006C527F"/>
    <w:rsid w:val="006C5F34"/>
    <w:rsid w:val="006C600B"/>
    <w:rsid w:val="006C63D1"/>
    <w:rsid w:val="006C65F0"/>
    <w:rsid w:val="006C67DD"/>
    <w:rsid w:val="006C6CF8"/>
    <w:rsid w:val="006C72E6"/>
    <w:rsid w:val="006C7309"/>
    <w:rsid w:val="006C74A2"/>
    <w:rsid w:val="006C783A"/>
    <w:rsid w:val="006C78C0"/>
    <w:rsid w:val="006C7C59"/>
    <w:rsid w:val="006C7D61"/>
    <w:rsid w:val="006C7E7F"/>
    <w:rsid w:val="006D0341"/>
    <w:rsid w:val="006D068A"/>
    <w:rsid w:val="006D0A19"/>
    <w:rsid w:val="006D102B"/>
    <w:rsid w:val="006D10B0"/>
    <w:rsid w:val="006D1B48"/>
    <w:rsid w:val="006D1BCC"/>
    <w:rsid w:val="006D2CD5"/>
    <w:rsid w:val="006D2F2A"/>
    <w:rsid w:val="006D31EE"/>
    <w:rsid w:val="006D32B3"/>
    <w:rsid w:val="006D359E"/>
    <w:rsid w:val="006D37A8"/>
    <w:rsid w:val="006D3934"/>
    <w:rsid w:val="006D3B38"/>
    <w:rsid w:val="006D3BBF"/>
    <w:rsid w:val="006D4176"/>
    <w:rsid w:val="006D496B"/>
    <w:rsid w:val="006D4A80"/>
    <w:rsid w:val="006D4C69"/>
    <w:rsid w:val="006D4D71"/>
    <w:rsid w:val="006D56EB"/>
    <w:rsid w:val="006D589C"/>
    <w:rsid w:val="006D5BBC"/>
    <w:rsid w:val="006D7303"/>
    <w:rsid w:val="006D763A"/>
    <w:rsid w:val="006D79FA"/>
    <w:rsid w:val="006D7E51"/>
    <w:rsid w:val="006E00CE"/>
    <w:rsid w:val="006E10B9"/>
    <w:rsid w:val="006E1376"/>
    <w:rsid w:val="006E1DF4"/>
    <w:rsid w:val="006E1EB3"/>
    <w:rsid w:val="006E2237"/>
    <w:rsid w:val="006E2A1D"/>
    <w:rsid w:val="006E32D6"/>
    <w:rsid w:val="006E33E6"/>
    <w:rsid w:val="006E3619"/>
    <w:rsid w:val="006E380E"/>
    <w:rsid w:val="006E3937"/>
    <w:rsid w:val="006E3C6E"/>
    <w:rsid w:val="006E40CB"/>
    <w:rsid w:val="006E42FE"/>
    <w:rsid w:val="006E431B"/>
    <w:rsid w:val="006E45AB"/>
    <w:rsid w:val="006E471B"/>
    <w:rsid w:val="006E4B58"/>
    <w:rsid w:val="006E52F5"/>
    <w:rsid w:val="006E5462"/>
    <w:rsid w:val="006E55B6"/>
    <w:rsid w:val="006E566C"/>
    <w:rsid w:val="006E65DF"/>
    <w:rsid w:val="006E725A"/>
    <w:rsid w:val="006E797A"/>
    <w:rsid w:val="006F04AE"/>
    <w:rsid w:val="006F04D5"/>
    <w:rsid w:val="006F1101"/>
    <w:rsid w:val="006F118E"/>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EB2"/>
    <w:rsid w:val="006F6F35"/>
    <w:rsid w:val="006F735A"/>
    <w:rsid w:val="006F79A8"/>
    <w:rsid w:val="00700549"/>
    <w:rsid w:val="00700A2F"/>
    <w:rsid w:val="00701834"/>
    <w:rsid w:val="00701A7F"/>
    <w:rsid w:val="0070203B"/>
    <w:rsid w:val="0070299A"/>
    <w:rsid w:val="007029A5"/>
    <w:rsid w:val="007032B9"/>
    <w:rsid w:val="00703717"/>
    <w:rsid w:val="007041EF"/>
    <w:rsid w:val="007042F0"/>
    <w:rsid w:val="007044A9"/>
    <w:rsid w:val="00704BEC"/>
    <w:rsid w:val="00704D67"/>
    <w:rsid w:val="00705295"/>
    <w:rsid w:val="00705386"/>
    <w:rsid w:val="007054C6"/>
    <w:rsid w:val="007058E0"/>
    <w:rsid w:val="00705AF6"/>
    <w:rsid w:val="00705E43"/>
    <w:rsid w:val="00705FA4"/>
    <w:rsid w:val="00706005"/>
    <w:rsid w:val="00707138"/>
    <w:rsid w:val="0070714E"/>
    <w:rsid w:val="007078B0"/>
    <w:rsid w:val="00710217"/>
    <w:rsid w:val="00710539"/>
    <w:rsid w:val="007105FC"/>
    <w:rsid w:val="00711279"/>
    <w:rsid w:val="0071172F"/>
    <w:rsid w:val="007119A2"/>
    <w:rsid w:val="007123EC"/>
    <w:rsid w:val="00713482"/>
    <w:rsid w:val="00713A28"/>
    <w:rsid w:val="00713BA7"/>
    <w:rsid w:val="00713BBE"/>
    <w:rsid w:val="00713C9C"/>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991"/>
    <w:rsid w:val="00723BB7"/>
    <w:rsid w:val="00723DAF"/>
    <w:rsid w:val="007240B1"/>
    <w:rsid w:val="00724653"/>
    <w:rsid w:val="0072508F"/>
    <w:rsid w:val="007258B8"/>
    <w:rsid w:val="00725A65"/>
    <w:rsid w:val="00725BC3"/>
    <w:rsid w:val="0072619E"/>
    <w:rsid w:val="007262D9"/>
    <w:rsid w:val="007265F0"/>
    <w:rsid w:val="007267CB"/>
    <w:rsid w:val="00726950"/>
    <w:rsid w:val="007269CD"/>
    <w:rsid w:val="00726AA7"/>
    <w:rsid w:val="00726BF3"/>
    <w:rsid w:val="00727155"/>
    <w:rsid w:val="00727363"/>
    <w:rsid w:val="007273B4"/>
    <w:rsid w:val="00727613"/>
    <w:rsid w:val="00727AF3"/>
    <w:rsid w:val="00727E3F"/>
    <w:rsid w:val="00727F94"/>
    <w:rsid w:val="007300CF"/>
    <w:rsid w:val="00730937"/>
    <w:rsid w:val="007309AA"/>
    <w:rsid w:val="00730A70"/>
    <w:rsid w:val="00730EF4"/>
    <w:rsid w:val="00731372"/>
    <w:rsid w:val="007314FA"/>
    <w:rsid w:val="007315C7"/>
    <w:rsid w:val="007319AA"/>
    <w:rsid w:val="00731DAE"/>
    <w:rsid w:val="00731F7B"/>
    <w:rsid w:val="0073208D"/>
    <w:rsid w:val="007324C0"/>
    <w:rsid w:val="0073279E"/>
    <w:rsid w:val="007327AF"/>
    <w:rsid w:val="00732FC7"/>
    <w:rsid w:val="007330B6"/>
    <w:rsid w:val="00733110"/>
    <w:rsid w:val="00733213"/>
    <w:rsid w:val="007333AE"/>
    <w:rsid w:val="007337C4"/>
    <w:rsid w:val="00733A62"/>
    <w:rsid w:val="00733A9F"/>
    <w:rsid w:val="00733AF5"/>
    <w:rsid w:val="00733DC6"/>
    <w:rsid w:val="00733E9A"/>
    <w:rsid w:val="0073424B"/>
    <w:rsid w:val="007342B2"/>
    <w:rsid w:val="00734A85"/>
    <w:rsid w:val="00734AE5"/>
    <w:rsid w:val="00734B19"/>
    <w:rsid w:val="00734B61"/>
    <w:rsid w:val="00734C11"/>
    <w:rsid w:val="00734C74"/>
    <w:rsid w:val="00734ED8"/>
    <w:rsid w:val="00734F93"/>
    <w:rsid w:val="00735183"/>
    <w:rsid w:val="007353F4"/>
    <w:rsid w:val="00735446"/>
    <w:rsid w:val="0073554B"/>
    <w:rsid w:val="00735574"/>
    <w:rsid w:val="0073598A"/>
    <w:rsid w:val="007365F1"/>
    <w:rsid w:val="00736FBD"/>
    <w:rsid w:val="00737062"/>
    <w:rsid w:val="007372DB"/>
    <w:rsid w:val="0073748E"/>
    <w:rsid w:val="007374D5"/>
    <w:rsid w:val="007377F5"/>
    <w:rsid w:val="00737CD8"/>
    <w:rsid w:val="00737F1C"/>
    <w:rsid w:val="00740077"/>
    <w:rsid w:val="0074028D"/>
    <w:rsid w:val="007410D4"/>
    <w:rsid w:val="007410D5"/>
    <w:rsid w:val="00741753"/>
    <w:rsid w:val="00742009"/>
    <w:rsid w:val="007423E4"/>
    <w:rsid w:val="007428C2"/>
    <w:rsid w:val="00742D2F"/>
    <w:rsid w:val="00743EA6"/>
    <w:rsid w:val="0074415F"/>
    <w:rsid w:val="007447B7"/>
    <w:rsid w:val="00744BC6"/>
    <w:rsid w:val="007454BA"/>
    <w:rsid w:val="007454DF"/>
    <w:rsid w:val="0074639E"/>
    <w:rsid w:val="007463C0"/>
    <w:rsid w:val="0074649C"/>
    <w:rsid w:val="00746628"/>
    <w:rsid w:val="00746880"/>
    <w:rsid w:val="0074690B"/>
    <w:rsid w:val="00746FC3"/>
    <w:rsid w:val="00747BBB"/>
    <w:rsid w:val="00750722"/>
    <w:rsid w:val="00751133"/>
    <w:rsid w:val="0075125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4AB3"/>
    <w:rsid w:val="00754F30"/>
    <w:rsid w:val="0075514F"/>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66D2F"/>
    <w:rsid w:val="00767053"/>
    <w:rsid w:val="007673FD"/>
    <w:rsid w:val="0076797D"/>
    <w:rsid w:val="00767E0E"/>
    <w:rsid w:val="00770014"/>
    <w:rsid w:val="00770860"/>
    <w:rsid w:val="00770CA3"/>
    <w:rsid w:val="00770FA2"/>
    <w:rsid w:val="007716B9"/>
    <w:rsid w:val="007716E8"/>
    <w:rsid w:val="00772025"/>
    <w:rsid w:val="00772226"/>
    <w:rsid w:val="00772D77"/>
    <w:rsid w:val="00772FB1"/>
    <w:rsid w:val="007730AF"/>
    <w:rsid w:val="00773265"/>
    <w:rsid w:val="00773B55"/>
    <w:rsid w:val="00774E02"/>
    <w:rsid w:val="007751F9"/>
    <w:rsid w:val="007752FA"/>
    <w:rsid w:val="007754F4"/>
    <w:rsid w:val="00775812"/>
    <w:rsid w:val="00775B38"/>
    <w:rsid w:val="00775B5A"/>
    <w:rsid w:val="0077617B"/>
    <w:rsid w:val="007764FB"/>
    <w:rsid w:val="00776DF8"/>
    <w:rsid w:val="00777341"/>
    <w:rsid w:val="00777C05"/>
    <w:rsid w:val="007800A5"/>
    <w:rsid w:val="00780B01"/>
    <w:rsid w:val="007810C2"/>
    <w:rsid w:val="00781DAB"/>
    <w:rsid w:val="00781F78"/>
    <w:rsid w:val="0078214D"/>
    <w:rsid w:val="00782459"/>
    <w:rsid w:val="00782671"/>
    <w:rsid w:val="00782CBC"/>
    <w:rsid w:val="00782D01"/>
    <w:rsid w:val="00782D15"/>
    <w:rsid w:val="007837DC"/>
    <w:rsid w:val="0078388E"/>
    <w:rsid w:val="007839B1"/>
    <w:rsid w:val="007841C0"/>
    <w:rsid w:val="007842F7"/>
    <w:rsid w:val="0078466D"/>
    <w:rsid w:val="00784851"/>
    <w:rsid w:val="00784859"/>
    <w:rsid w:val="00784D27"/>
    <w:rsid w:val="00785722"/>
    <w:rsid w:val="007861F5"/>
    <w:rsid w:val="007864C1"/>
    <w:rsid w:val="00786D0B"/>
    <w:rsid w:val="007874A2"/>
    <w:rsid w:val="00787C16"/>
    <w:rsid w:val="00790420"/>
    <w:rsid w:val="00790791"/>
    <w:rsid w:val="00790999"/>
    <w:rsid w:val="00790A2E"/>
    <w:rsid w:val="00790AF0"/>
    <w:rsid w:val="00790D6C"/>
    <w:rsid w:val="00790FEB"/>
    <w:rsid w:val="007913B0"/>
    <w:rsid w:val="007916BE"/>
    <w:rsid w:val="00791BBD"/>
    <w:rsid w:val="00791EA4"/>
    <w:rsid w:val="007923FF"/>
    <w:rsid w:val="007927D6"/>
    <w:rsid w:val="00792E77"/>
    <w:rsid w:val="00793938"/>
    <w:rsid w:val="00793D7B"/>
    <w:rsid w:val="00794419"/>
    <w:rsid w:val="00794BC0"/>
    <w:rsid w:val="00794C2A"/>
    <w:rsid w:val="00794F23"/>
    <w:rsid w:val="007954F0"/>
    <w:rsid w:val="0079576F"/>
    <w:rsid w:val="007957BC"/>
    <w:rsid w:val="0079594B"/>
    <w:rsid w:val="00796002"/>
    <w:rsid w:val="00796557"/>
    <w:rsid w:val="007969A7"/>
    <w:rsid w:val="00796A0B"/>
    <w:rsid w:val="00796A50"/>
    <w:rsid w:val="00796AF9"/>
    <w:rsid w:val="00796CC3"/>
    <w:rsid w:val="007971B5"/>
    <w:rsid w:val="00797474"/>
    <w:rsid w:val="007974E2"/>
    <w:rsid w:val="00797C89"/>
    <w:rsid w:val="00797D9E"/>
    <w:rsid w:val="007A0137"/>
    <w:rsid w:val="007A017B"/>
    <w:rsid w:val="007A06F8"/>
    <w:rsid w:val="007A0913"/>
    <w:rsid w:val="007A094A"/>
    <w:rsid w:val="007A0FCD"/>
    <w:rsid w:val="007A0FFD"/>
    <w:rsid w:val="007A111C"/>
    <w:rsid w:val="007A1532"/>
    <w:rsid w:val="007A1767"/>
    <w:rsid w:val="007A2D45"/>
    <w:rsid w:val="007A31A9"/>
    <w:rsid w:val="007A32BE"/>
    <w:rsid w:val="007A399C"/>
    <w:rsid w:val="007A3C03"/>
    <w:rsid w:val="007A455E"/>
    <w:rsid w:val="007A529A"/>
    <w:rsid w:val="007A541F"/>
    <w:rsid w:val="007A55E4"/>
    <w:rsid w:val="007A55E7"/>
    <w:rsid w:val="007A57C4"/>
    <w:rsid w:val="007A5A7D"/>
    <w:rsid w:val="007A61C5"/>
    <w:rsid w:val="007A6272"/>
    <w:rsid w:val="007A6623"/>
    <w:rsid w:val="007A680D"/>
    <w:rsid w:val="007A6F8C"/>
    <w:rsid w:val="007A7C75"/>
    <w:rsid w:val="007B02A3"/>
    <w:rsid w:val="007B03DB"/>
    <w:rsid w:val="007B0454"/>
    <w:rsid w:val="007B0576"/>
    <w:rsid w:val="007B0A3D"/>
    <w:rsid w:val="007B0D6A"/>
    <w:rsid w:val="007B1247"/>
    <w:rsid w:val="007B1733"/>
    <w:rsid w:val="007B1CBD"/>
    <w:rsid w:val="007B203F"/>
    <w:rsid w:val="007B2529"/>
    <w:rsid w:val="007B28E5"/>
    <w:rsid w:val="007B3D9A"/>
    <w:rsid w:val="007B50D6"/>
    <w:rsid w:val="007B54CB"/>
    <w:rsid w:val="007B5665"/>
    <w:rsid w:val="007B5B31"/>
    <w:rsid w:val="007B5C16"/>
    <w:rsid w:val="007B5D4C"/>
    <w:rsid w:val="007B5D7D"/>
    <w:rsid w:val="007B6751"/>
    <w:rsid w:val="007B692A"/>
    <w:rsid w:val="007B6BF9"/>
    <w:rsid w:val="007B6C1D"/>
    <w:rsid w:val="007B72FA"/>
    <w:rsid w:val="007B755C"/>
    <w:rsid w:val="007B7DB4"/>
    <w:rsid w:val="007B7EEC"/>
    <w:rsid w:val="007C014D"/>
    <w:rsid w:val="007C044B"/>
    <w:rsid w:val="007C089F"/>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699B"/>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64"/>
    <w:rsid w:val="007D6DD6"/>
    <w:rsid w:val="007D6E1D"/>
    <w:rsid w:val="007D7961"/>
    <w:rsid w:val="007D7EA8"/>
    <w:rsid w:val="007E05E9"/>
    <w:rsid w:val="007E08E0"/>
    <w:rsid w:val="007E0D62"/>
    <w:rsid w:val="007E11EA"/>
    <w:rsid w:val="007E188E"/>
    <w:rsid w:val="007E18C6"/>
    <w:rsid w:val="007E193E"/>
    <w:rsid w:val="007E1953"/>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3E02"/>
    <w:rsid w:val="007E4279"/>
    <w:rsid w:val="007E484C"/>
    <w:rsid w:val="007E4861"/>
    <w:rsid w:val="007E4BFC"/>
    <w:rsid w:val="007E4D4C"/>
    <w:rsid w:val="007E66A4"/>
    <w:rsid w:val="007E7331"/>
    <w:rsid w:val="007E7829"/>
    <w:rsid w:val="007E7E3B"/>
    <w:rsid w:val="007F0448"/>
    <w:rsid w:val="007F0734"/>
    <w:rsid w:val="007F07E5"/>
    <w:rsid w:val="007F0D79"/>
    <w:rsid w:val="007F0E82"/>
    <w:rsid w:val="007F0EED"/>
    <w:rsid w:val="007F1D5D"/>
    <w:rsid w:val="007F246C"/>
    <w:rsid w:val="007F28F3"/>
    <w:rsid w:val="007F2AC2"/>
    <w:rsid w:val="007F2C2F"/>
    <w:rsid w:val="007F308B"/>
    <w:rsid w:val="007F31AB"/>
    <w:rsid w:val="007F34BF"/>
    <w:rsid w:val="007F3734"/>
    <w:rsid w:val="007F37E3"/>
    <w:rsid w:val="007F3A4A"/>
    <w:rsid w:val="007F4420"/>
    <w:rsid w:val="007F455B"/>
    <w:rsid w:val="007F46E0"/>
    <w:rsid w:val="007F4844"/>
    <w:rsid w:val="007F4B9C"/>
    <w:rsid w:val="007F4CD4"/>
    <w:rsid w:val="007F4D4A"/>
    <w:rsid w:val="007F5003"/>
    <w:rsid w:val="007F5164"/>
    <w:rsid w:val="007F5C59"/>
    <w:rsid w:val="007F5E5A"/>
    <w:rsid w:val="007F5E92"/>
    <w:rsid w:val="007F611B"/>
    <w:rsid w:val="007F67AB"/>
    <w:rsid w:val="007F6DF4"/>
    <w:rsid w:val="007F7148"/>
    <w:rsid w:val="007F71A5"/>
    <w:rsid w:val="007F78EE"/>
    <w:rsid w:val="00800433"/>
    <w:rsid w:val="00800936"/>
    <w:rsid w:val="00800EC2"/>
    <w:rsid w:val="008010CA"/>
    <w:rsid w:val="008017C1"/>
    <w:rsid w:val="0080181E"/>
    <w:rsid w:val="00801EB2"/>
    <w:rsid w:val="00801FBA"/>
    <w:rsid w:val="00802938"/>
    <w:rsid w:val="00802B28"/>
    <w:rsid w:val="00802B84"/>
    <w:rsid w:val="0080330F"/>
    <w:rsid w:val="00803ABC"/>
    <w:rsid w:val="00804118"/>
    <w:rsid w:val="00804D66"/>
    <w:rsid w:val="00804E26"/>
    <w:rsid w:val="00805076"/>
    <w:rsid w:val="00805415"/>
    <w:rsid w:val="00806834"/>
    <w:rsid w:val="0080695D"/>
    <w:rsid w:val="00806AF3"/>
    <w:rsid w:val="00806B42"/>
    <w:rsid w:val="00806CCF"/>
    <w:rsid w:val="00806F0B"/>
    <w:rsid w:val="00806F54"/>
    <w:rsid w:val="00806FC0"/>
    <w:rsid w:val="00807BF3"/>
    <w:rsid w:val="00807CFF"/>
    <w:rsid w:val="00807F9E"/>
    <w:rsid w:val="008102D7"/>
    <w:rsid w:val="00810A1E"/>
    <w:rsid w:val="00810AEE"/>
    <w:rsid w:val="00811286"/>
    <w:rsid w:val="008112C0"/>
    <w:rsid w:val="00811813"/>
    <w:rsid w:val="00811CBC"/>
    <w:rsid w:val="00811E56"/>
    <w:rsid w:val="008121DB"/>
    <w:rsid w:val="00812766"/>
    <w:rsid w:val="008128C6"/>
    <w:rsid w:val="00812A7B"/>
    <w:rsid w:val="008130BF"/>
    <w:rsid w:val="008138D9"/>
    <w:rsid w:val="00813A04"/>
    <w:rsid w:val="00813D10"/>
    <w:rsid w:val="008142A4"/>
    <w:rsid w:val="008144E8"/>
    <w:rsid w:val="00814D3E"/>
    <w:rsid w:val="008151DB"/>
    <w:rsid w:val="00815983"/>
    <w:rsid w:val="00815A33"/>
    <w:rsid w:val="00815A6E"/>
    <w:rsid w:val="008160B1"/>
    <w:rsid w:val="00816F24"/>
    <w:rsid w:val="008173E1"/>
    <w:rsid w:val="00817437"/>
    <w:rsid w:val="00817691"/>
    <w:rsid w:val="00817D7E"/>
    <w:rsid w:val="00820653"/>
    <w:rsid w:val="0082090B"/>
    <w:rsid w:val="008210CC"/>
    <w:rsid w:val="008211D9"/>
    <w:rsid w:val="008217B7"/>
    <w:rsid w:val="008217E0"/>
    <w:rsid w:val="0082190C"/>
    <w:rsid w:val="00821A47"/>
    <w:rsid w:val="008227BD"/>
    <w:rsid w:val="00822AA4"/>
    <w:rsid w:val="00822C58"/>
    <w:rsid w:val="00823EB8"/>
    <w:rsid w:val="0082445C"/>
    <w:rsid w:val="00824837"/>
    <w:rsid w:val="00824938"/>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4F4"/>
    <w:rsid w:val="008316CA"/>
    <w:rsid w:val="00831A1A"/>
    <w:rsid w:val="00831DA6"/>
    <w:rsid w:val="008321F9"/>
    <w:rsid w:val="008326F0"/>
    <w:rsid w:val="0083289A"/>
    <w:rsid w:val="008336A9"/>
    <w:rsid w:val="0083410E"/>
    <w:rsid w:val="0083482E"/>
    <w:rsid w:val="00834D25"/>
    <w:rsid w:val="00835153"/>
    <w:rsid w:val="00835A89"/>
    <w:rsid w:val="00835C5A"/>
    <w:rsid w:val="008368F9"/>
    <w:rsid w:val="00836E5D"/>
    <w:rsid w:val="00840ACA"/>
    <w:rsid w:val="00840C2F"/>
    <w:rsid w:val="00840FF2"/>
    <w:rsid w:val="008413A9"/>
    <w:rsid w:val="008419C9"/>
    <w:rsid w:val="00841D60"/>
    <w:rsid w:val="008422F5"/>
    <w:rsid w:val="008425BB"/>
    <w:rsid w:val="0084263A"/>
    <w:rsid w:val="008428D5"/>
    <w:rsid w:val="00842A72"/>
    <w:rsid w:val="00842C33"/>
    <w:rsid w:val="00842EF7"/>
    <w:rsid w:val="00843024"/>
    <w:rsid w:val="00843730"/>
    <w:rsid w:val="00844F86"/>
    <w:rsid w:val="008451B2"/>
    <w:rsid w:val="00845278"/>
    <w:rsid w:val="00845DE8"/>
    <w:rsid w:val="008461F2"/>
    <w:rsid w:val="0084626D"/>
    <w:rsid w:val="0084632A"/>
    <w:rsid w:val="0084684B"/>
    <w:rsid w:val="00846AA9"/>
    <w:rsid w:val="00846D8D"/>
    <w:rsid w:val="00847295"/>
    <w:rsid w:val="00847EE8"/>
    <w:rsid w:val="00850639"/>
    <w:rsid w:val="0085064F"/>
    <w:rsid w:val="008510D6"/>
    <w:rsid w:val="008513B9"/>
    <w:rsid w:val="0085290B"/>
    <w:rsid w:val="0085346C"/>
    <w:rsid w:val="00853708"/>
    <w:rsid w:val="00854AE2"/>
    <w:rsid w:val="00854C3B"/>
    <w:rsid w:val="00854FA0"/>
    <w:rsid w:val="008557C5"/>
    <w:rsid w:val="00855A1A"/>
    <w:rsid w:val="008562F1"/>
    <w:rsid w:val="0085652F"/>
    <w:rsid w:val="00856618"/>
    <w:rsid w:val="008566B8"/>
    <w:rsid w:val="00856C23"/>
    <w:rsid w:val="00856D5D"/>
    <w:rsid w:val="00857CDA"/>
    <w:rsid w:val="00860153"/>
    <w:rsid w:val="00860743"/>
    <w:rsid w:val="00860F2D"/>
    <w:rsid w:val="0086119F"/>
    <w:rsid w:val="008617AB"/>
    <w:rsid w:val="008619CB"/>
    <w:rsid w:val="00862004"/>
    <w:rsid w:val="00862743"/>
    <w:rsid w:val="008630DB"/>
    <w:rsid w:val="00863767"/>
    <w:rsid w:val="00863C41"/>
    <w:rsid w:val="00863EA4"/>
    <w:rsid w:val="00864519"/>
    <w:rsid w:val="00865480"/>
    <w:rsid w:val="00865492"/>
    <w:rsid w:val="00865AB1"/>
    <w:rsid w:val="00865D9C"/>
    <w:rsid w:val="0086650F"/>
    <w:rsid w:val="00866685"/>
    <w:rsid w:val="008668B9"/>
    <w:rsid w:val="00867064"/>
    <w:rsid w:val="0086784D"/>
    <w:rsid w:val="0087025D"/>
    <w:rsid w:val="00870266"/>
    <w:rsid w:val="0087063C"/>
    <w:rsid w:val="00870D64"/>
    <w:rsid w:val="00870E00"/>
    <w:rsid w:val="00871A75"/>
    <w:rsid w:val="00871B94"/>
    <w:rsid w:val="008721CB"/>
    <w:rsid w:val="008725A8"/>
    <w:rsid w:val="00872852"/>
    <w:rsid w:val="00872E50"/>
    <w:rsid w:val="0087329E"/>
    <w:rsid w:val="00873905"/>
    <w:rsid w:val="008740CF"/>
    <w:rsid w:val="00874493"/>
    <w:rsid w:val="00874785"/>
    <w:rsid w:val="00874972"/>
    <w:rsid w:val="00874F9C"/>
    <w:rsid w:val="0087563F"/>
    <w:rsid w:val="008759F5"/>
    <w:rsid w:val="0087718C"/>
    <w:rsid w:val="0087719F"/>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2DBF"/>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C0C"/>
    <w:rsid w:val="00886D2E"/>
    <w:rsid w:val="00886F75"/>
    <w:rsid w:val="00887621"/>
    <w:rsid w:val="008877D3"/>
    <w:rsid w:val="00887B2B"/>
    <w:rsid w:val="00887C83"/>
    <w:rsid w:val="0089038F"/>
    <w:rsid w:val="008904EF"/>
    <w:rsid w:val="008905DB"/>
    <w:rsid w:val="00890668"/>
    <w:rsid w:val="00890A8C"/>
    <w:rsid w:val="008915CF"/>
    <w:rsid w:val="008916DE"/>
    <w:rsid w:val="00891783"/>
    <w:rsid w:val="00891D4F"/>
    <w:rsid w:val="008926C3"/>
    <w:rsid w:val="00892957"/>
    <w:rsid w:val="00893646"/>
    <w:rsid w:val="0089463C"/>
    <w:rsid w:val="00894CBF"/>
    <w:rsid w:val="0089530F"/>
    <w:rsid w:val="008955F4"/>
    <w:rsid w:val="00895D87"/>
    <w:rsid w:val="00895D92"/>
    <w:rsid w:val="008961B5"/>
    <w:rsid w:val="00896328"/>
    <w:rsid w:val="00896975"/>
    <w:rsid w:val="00896FEF"/>
    <w:rsid w:val="00897239"/>
    <w:rsid w:val="00897728"/>
    <w:rsid w:val="00897C8C"/>
    <w:rsid w:val="00897E16"/>
    <w:rsid w:val="008A044E"/>
    <w:rsid w:val="008A05BE"/>
    <w:rsid w:val="008A0890"/>
    <w:rsid w:val="008A089F"/>
    <w:rsid w:val="008A093B"/>
    <w:rsid w:val="008A0BBF"/>
    <w:rsid w:val="008A0FF8"/>
    <w:rsid w:val="008A252E"/>
    <w:rsid w:val="008A2706"/>
    <w:rsid w:val="008A272F"/>
    <w:rsid w:val="008A29DA"/>
    <w:rsid w:val="008A2A3D"/>
    <w:rsid w:val="008A2F68"/>
    <w:rsid w:val="008A321B"/>
    <w:rsid w:val="008A3AC6"/>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030"/>
    <w:rsid w:val="008A61AE"/>
    <w:rsid w:val="008A6B9D"/>
    <w:rsid w:val="008A76C7"/>
    <w:rsid w:val="008A7E87"/>
    <w:rsid w:val="008B03B0"/>
    <w:rsid w:val="008B04D4"/>
    <w:rsid w:val="008B0FEA"/>
    <w:rsid w:val="008B18AD"/>
    <w:rsid w:val="008B1F86"/>
    <w:rsid w:val="008B2018"/>
    <w:rsid w:val="008B2644"/>
    <w:rsid w:val="008B2825"/>
    <w:rsid w:val="008B2A44"/>
    <w:rsid w:val="008B2C53"/>
    <w:rsid w:val="008B30EE"/>
    <w:rsid w:val="008B3146"/>
    <w:rsid w:val="008B3547"/>
    <w:rsid w:val="008B35A8"/>
    <w:rsid w:val="008B3932"/>
    <w:rsid w:val="008B39D1"/>
    <w:rsid w:val="008B406A"/>
    <w:rsid w:val="008B508A"/>
    <w:rsid w:val="008B55CF"/>
    <w:rsid w:val="008B5911"/>
    <w:rsid w:val="008B5BB6"/>
    <w:rsid w:val="008B63FF"/>
    <w:rsid w:val="008B655B"/>
    <w:rsid w:val="008B6BE9"/>
    <w:rsid w:val="008B6C5E"/>
    <w:rsid w:val="008B71ED"/>
    <w:rsid w:val="008B7288"/>
    <w:rsid w:val="008B7B41"/>
    <w:rsid w:val="008B7C92"/>
    <w:rsid w:val="008B7DA5"/>
    <w:rsid w:val="008B7F74"/>
    <w:rsid w:val="008C046C"/>
    <w:rsid w:val="008C0709"/>
    <w:rsid w:val="008C0C42"/>
    <w:rsid w:val="008C157E"/>
    <w:rsid w:val="008C18F2"/>
    <w:rsid w:val="008C1AFD"/>
    <w:rsid w:val="008C25BA"/>
    <w:rsid w:val="008C2A1E"/>
    <w:rsid w:val="008C2AFB"/>
    <w:rsid w:val="008C2E71"/>
    <w:rsid w:val="008C3378"/>
    <w:rsid w:val="008C3450"/>
    <w:rsid w:val="008C36E8"/>
    <w:rsid w:val="008C3976"/>
    <w:rsid w:val="008C41BC"/>
    <w:rsid w:val="008C4312"/>
    <w:rsid w:val="008C459B"/>
    <w:rsid w:val="008C5B21"/>
    <w:rsid w:val="008C5E13"/>
    <w:rsid w:val="008C5E80"/>
    <w:rsid w:val="008C6201"/>
    <w:rsid w:val="008C6A2A"/>
    <w:rsid w:val="008C7111"/>
    <w:rsid w:val="008C7A79"/>
    <w:rsid w:val="008C7F9A"/>
    <w:rsid w:val="008D002B"/>
    <w:rsid w:val="008D0341"/>
    <w:rsid w:val="008D04B9"/>
    <w:rsid w:val="008D0E9D"/>
    <w:rsid w:val="008D168D"/>
    <w:rsid w:val="008D1856"/>
    <w:rsid w:val="008D2342"/>
    <w:rsid w:val="008D281D"/>
    <w:rsid w:val="008D2A9D"/>
    <w:rsid w:val="008D2FA3"/>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074"/>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68E"/>
    <w:rsid w:val="008E7AEF"/>
    <w:rsid w:val="008E7BD5"/>
    <w:rsid w:val="008E7CC4"/>
    <w:rsid w:val="008E7EBF"/>
    <w:rsid w:val="008F0309"/>
    <w:rsid w:val="008F0587"/>
    <w:rsid w:val="008F08BE"/>
    <w:rsid w:val="008F0BF1"/>
    <w:rsid w:val="008F0C01"/>
    <w:rsid w:val="008F0DF8"/>
    <w:rsid w:val="008F135D"/>
    <w:rsid w:val="008F1817"/>
    <w:rsid w:val="008F19B5"/>
    <w:rsid w:val="008F24E8"/>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706F"/>
    <w:rsid w:val="008F7354"/>
    <w:rsid w:val="008F7866"/>
    <w:rsid w:val="008F7EC8"/>
    <w:rsid w:val="009001F9"/>
    <w:rsid w:val="009005A8"/>
    <w:rsid w:val="00900794"/>
    <w:rsid w:val="009007E4"/>
    <w:rsid w:val="00900A41"/>
    <w:rsid w:val="00900A6B"/>
    <w:rsid w:val="0090152C"/>
    <w:rsid w:val="00901B5E"/>
    <w:rsid w:val="0090258B"/>
    <w:rsid w:val="0090263B"/>
    <w:rsid w:val="009026F1"/>
    <w:rsid w:val="00902B9C"/>
    <w:rsid w:val="00902DF5"/>
    <w:rsid w:val="009033F3"/>
    <w:rsid w:val="009035CB"/>
    <w:rsid w:val="009036F9"/>
    <w:rsid w:val="009039D3"/>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840"/>
    <w:rsid w:val="00907CBA"/>
    <w:rsid w:val="00907D11"/>
    <w:rsid w:val="00907D54"/>
    <w:rsid w:val="00907FBF"/>
    <w:rsid w:val="0091049C"/>
    <w:rsid w:val="009106B4"/>
    <w:rsid w:val="00910E0C"/>
    <w:rsid w:val="009116F5"/>
    <w:rsid w:val="0091186A"/>
    <w:rsid w:val="009121FB"/>
    <w:rsid w:val="0091232D"/>
    <w:rsid w:val="00912E42"/>
    <w:rsid w:val="00912F67"/>
    <w:rsid w:val="00913007"/>
    <w:rsid w:val="009130DD"/>
    <w:rsid w:val="00913467"/>
    <w:rsid w:val="0091370B"/>
    <w:rsid w:val="00913728"/>
    <w:rsid w:val="00913780"/>
    <w:rsid w:val="009139EA"/>
    <w:rsid w:val="00913FAF"/>
    <w:rsid w:val="00914007"/>
    <w:rsid w:val="009141F5"/>
    <w:rsid w:val="00914821"/>
    <w:rsid w:val="00914CDF"/>
    <w:rsid w:val="009156F0"/>
    <w:rsid w:val="00915909"/>
    <w:rsid w:val="00915BAE"/>
    <w:rsid w:val="00915DAB"/>
    <w:rsid w:val="0091682C"/>
    <w:rsid w:val="0091695E"/>
    <w:rsid w:val="00916AA5"/>
    <w:rsid w:val="00916C83"/>
    <w:rsid w:val="00916FB0"/>
    <w:rsid w:val="00917CCE"/>
    <w:rsid w:val="00920E6C"/>
    <w:rsid w:val="00921210"/>
    <w:rsid w:val="0092142E"/>
    <w:rsid w:val="00921658"/>
    <w:rsid w:val="0092176E"/>
    <w:rsid w:val="0092234C"/>
    <w:rsid w:val="00922388"/>
    <w:rsid w:val="00922A01"/>
    <w:rsid w:val="00922C9B"/>
    <w:rsid w:val="00923527"/>
    <w:rsid w:val="00923C7E"/>
    <w:rsid w:val="00923E7D"/>
    <w:rsid w:val="00923EDC"/>
    <w:rsid w:val="00924A81"/>
    <w:rsid w:val="00925F4A"/>
    <w:rsid w:val="00926BC1"/>
    <w:rsid w:val="00926CD8"/>
    <w:rsid w:val="00926F01"/>
    <w:rsid w:val="00927084"/>
    <w:rsid w:val="009274B8"/>
    <w:rsid w:val="00927BB7"/>
    <w:rsid w:val="00927C5B"/>
    <w:rsid w:val="00927F06"/>
    <w:rsid w:val="009305BB"/>
    <w:rsid w:val="00930C58"/>
    <w:rsid w:val="00931322"/>
    <w:rsid w:val="0093171A"/>
    <w:rsid w:val="009318DE"/>
    <w:rsid w:val="00931B23"/>
    <w:rsid w:val="00931B74"/>
    <w:rsid w:val="00931E1B"/>
    <w:rsid w:val="009321B9"/>
    <w:rsid w:val="009324C1"/>
    <w:rsid w:val="00932787"/>
    <w:rsid w:val="0093333C"/>
    <w:rsid w:val="0093367C"/>
    <w:rsid w:val="009337BD"/>
    <w:rsid w:val="00933B43"/>
    <w:rsid w:val="00934CC8"/>
    <w:rsid w:val="00934E42"/>
    <w:rsid w:val="00934FB1"/>
    <w:rsid w:val="00935037"/>
    <w:rsid w:val="0093512B"/>
    <w:rsid w:val="00935F6E"/>
    <w:rsid w:val="0093622E"/>
    <w:rsid w:val="009363D0"/>
    <w:rsid w:val="009364B5"/>
    <w:rsid w:val="00936540"/>
    <w:rsid w:val="00936CFA"/>
    <w:rsid w:val="00936D22"/>
    <w:rsid w:val="00936F66"/>
    <w:rsid w:val="00936F6C"/>
    <w:rsid w:val="0093750B"/>
    <w:rsid w:val="009377A7"/>
    <w:rsid w:val="00937890"/>
    <w:rsid w:val="00937F24"/>
    <w:rsid w:val="009403CC"/>
    <w:rsid w:val="00940691"/>
    <w:rsid w:val="009407E7"/>
    <w:rsid w:val="00940811"/>
    <w:rsid w:val="00940948"/>
    <w:rsid w:val="00940ACC"/>
    <w:rsid w:val="00940E73"/>
    <w:rsid w:val="00941013"/>
    <w:rsid w:val="00941758"/>
    <w:rsid w:val="0094188E"/>
    <w:rsid w:val="0094196F"/>
    <w:rsid w:val="00942076"/>
    <w:rsid w:val="0094213B"/>
    <w:rsid w:val="00942865"/>
    <w:rsid w:val="00942938"/>
    <w:rsid w:val="009432A8"/>
    <w:rsid w:val="0094359A"/>
    <w:rsid w:val="00943836"/>
    <w:rsid w:val="00943D7A"/>
    <w:rsid w:val="00944036"/>
    <w:rsid w:val="009445F1"/>
    <w:rsid w:val="00944B59"/>
    <w:rsid w:val="00944CAC"/>
    <w:rsid w:val="00944CB0"/>
    <w:rsid w:val="0094516D"/>
    <w:rsid w:val="00945477"/>
    <w:rsid w:val="009455E6"/>
    <w:rsid w:val="00945A69"/>
    <w:rsid w:val="00945F78"/>
    <w:rsid w:val="00946718"/>
    <w:rsid w:val="0094677E"/>
    <w:rsid w:val="00946881"/>
    <w:rsid w:val="00946E09"/>
    <w:rsid w:val="0094738E"/>
    <w:rsid w:val="0094741D"/>
    <w:rsid w:val="009475F7"/>
    <w:rsid w:val="009476A4"/>
    <w:rsid w:val="00947B97"/>
    <w:rsid w:val="00950016"/>
    <w:rsid w:val="0095006B"/>
    <w:rsid w:val="00950116"/>
    <w:rsid w:val="00950189"/>
    <w:rsid w:val="0095026C"/>
    <w:rsid w:val="00950A49"/>
    <w:rsid w:val="00950F7A"/>
    <w:rsid w:val="00951579"/>
    <w:rsid w:val="009517A9"/>
    <w:rsid w:val="00951F41"/>
    <w:rsid w:val="0095204E"/>
    <w:rsid w:val="009522C5"/>
    <w:rsid w:val="00952A2C"/>
    <w:rsid w:val="00952D0D"/>
    <w:rsid w:val="0095338E"/>
    <w:rsid w:val="00953506"/>
    <w:rsid w:val="00953998"/>
    <w:rsid w:val="00953A6A"/>
    <w:rsid w:val="00953F20"/>
    <w:rsid w:val="0095420D"/>
    <w:rsid w:val="009544CC"/>
    <w:rsid w:val="009556AC"/>
    <w:rsid w:val="009558B0"/>
    <w:rsid w:val="00955939"/>
    <w:rsid w:val="009560A4"/>
    <w:rsid w:val="00956201"/>
    <w:rsid w:val="00956626"/>
    <w:rsid w:val="00956E39"/>
    <w:rsid w:val="0095701A"/>
    <w:rsid w:val="00957746"/>
    <w:rsid w:val="00957EE7"/>
    <w:rsid w:val="00960835"/>
    <w:rsid w:val="00960C64"/>
    <w:rsid w:val="00960F50"/>
    <w:rsid w:val="009610D4"/>
    <w:rsid w:val="00961479"/>
    <w:rsid w:val="00961E3C"/>
    <w:rsid w:val="009621D8"/>
    <w:rsid w:val="009621F5"/>
    <w:rsid w:val="00963058"/>
    <w:rsid w:val="0096329C"/>
    <w:rsid w:val="009633A3"/>
    <w:rsid w:val="009635FC"/>
    <w:rsid w:val="00963678"/>
    <w:rsid w:val="00963C47"/>
    <w:rsid w:val="00963E82"/>
    <w:rsid w:val="009643B5"/>
    <w:rsid w:val="009643D1"/>
    <w:rsid w:val="0096465D"/>
    <w:rsid w:val="009649C8"/>
    <w:rsid w:val="009653C9"/>
    <w:rsid w:val="009654F5"/>
    <w:rsid w:val="00965BA3"/>
    <w:rsid w:val="0096655A"/>
    <w:rsid w:val="00966CCD"/>
    <w:rsid w:val="009670D6"/>
    <w:rsid w:val="0096718F"/>
    <w:rsid w:val="0096735E"/>
    <w:rsid w:val="00967864"/>
    <w:rsid w:val="00967A82"/>
    <w:rsid w:val="00967BCD"/>
    <w:rsid w:val="00967DD3"/>
    <w:rsid w:val="00970F15"/>
    <w:rsid w:val="00970F87"/>
    <w:rsid w:val="009710A8"/>
    <w:rsid w:val="00971A33"/>
    <w:rsid w:val="00971A4C"/>
    <w:rsid w:val="00971A50"/>
    <w:rsid w:val="0097222F"/>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6B1"/>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9021D"/>
    <w:rsid w:val="00990290"/>
    <w:rsid w:val="009902FF"/>
    <w:rsid w:val="0099095A"/>
    <w:rsid w:val="00990AC8"/>
    <w:rsid w:val="00990BCD"/>
    <w:rsid w:val="00990D8B"/>
    <w:rsid w:val="00990FA4"/>
    <w:rsid w:val="00991412"/>
    <w:rsid w:val="009917E6"/>
    <w:rsid w:val="00991963"/>
    <w:rsid w:val="00991C5C"/>
    <w:rsid w:val="009920EB"/>
    <w:rsid w:val="0099217C"/>
    <w:rsid w:val="0099237C"/>
    <w:rsid w:val="009924DF"/>
    <w:rsid w:val="009926A2"/>
    <w:rsid w:val="009934AC"/>
    <w:rsid w:val="0099403A"/>
    <w:rsid w:val="00994802"/>
    <w:rsid w:val="009948FE"/>
    <w:rsid w:val="00994951"/>
    <w:rsid w:val="009949AF"/>
    <w:rsid w:val="00994A48"/>
    <w:rsid w:val="00994BCD"/>
    <w:rsid w:val="00994CF1"/>
    <w:rsid w:val="009952F9"/>
    <w:rsid w:val="00995BBA"/>
    <w:rsid w:val="00995E3B"/>
    <w:rsid w:val="00996314"/>
    <w:rsid w:val="00996373"/>
    <w:rsid w:val="009965A0"/>
    <w:rsid w:val="009967A1"/>
    <w:rsid w:val="0099681E"/>
    <w:rsid w:val="0099684E"/>
    <w:rsid w:val="00996C26"/>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3"/>
    <w:rsid w:val="009A32EC"/>
    <w:rsid w:val="009A39F0"/>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6037"/>
    <w:rsid w:val="009B6434"/>
    <w:rsid w:val="009B666C"/>
    <w:rsid w:val="009B7150"/>
    <w:rsid w:val="009B7BAE"/>
    <w:rsid w:val="009B7C11"/>
    <w:rsid w:val="009C0007"/>
    <w:rsid w:val="009C0058"/>
    <w:rsid w:val="009C0569"/>
    <w:rsid w:val="009C08DA"/>
    <w:rsid w:val="009C0C71"/>
    <w:rsid w:val="009C0E09"/>
    <w:rsid w:val="009C1418"/>
    <w:rsid w:val="009C142F"/>
    <w:rsid w:val="009C1A4B"/>
    <w:rsid w:val="009C1F70"/>
    <w:rsid w:val="009C385B"/>
    <w:rsid w:val="009C424F"/>
    <w:rsid w:val="009C42DA"/>
    <w:rsid w:val="009C4549"/>
    <w:rsid w:val="009C45A7"/>
    <w:rsid w:val="009C45F2"/>
    <w:rsid w:val="009C475E"/>
    <w:rsid w:val="009C4BE9"/>
    <w:rsid w:val="009C5104"/>
    <w:rsid w:val="009C5869"/>
    <w:rsid w:val="009C58BA"/>
    <w:rsid w:val="009C58D5"/>
    <w:rsid w:val="009C5C02"/>
    <w:rsid w:val="009C5E9D"/>
    <w:rsid w:val="009C6059"/>
    <w:rsid w:val="009C63D4"/>
    <w:rsid w:val="009C6C00"/>
    <w:rsid w:val="009C739C"/>
    <w:rsid w:val="009C73D5"/>
    <w:rsid w:val="009C7A51"/>
    <w:rsid w:val="009C7E75"/>
    <w:rsid w:val="009C7E98"/>
    <w:rsid w:val="009D02DC"/>
    <w:rsid w:val="009D074E"/>
    <w:rsid w:val="009D0B17"/>
    <w:rsid w:val="009D0BCC"/>
    <w:rsid w:val="009D0F6A"/>
    <w:rsid w:val="009D1152"/>
    <w:rsid w:val="009D126B"/>
    <w:rsid w:val="009D1496"/>
    <w:rsid w:val="009D1929"/>
    <w:rsid w:val="009D1CA7"/>
    <w:rsid w:val="009D1E38"/>
    <w:rsid w:val="009D1F4B"/>
    <w:rsid w:val="009D2A21"/>
    <w:rsid w:val="009D2BBF"/>
    <w:rsid w:val="009D30A9"/>
    <w:rsid w:val="009D31AA"/>
    <w:rsid w:val="009D3329"/>
    <w:rsid w:val="009D3520"/>
    <w:rsid w:val="009D3721"/>
    <w:rsid w:val="009D3778"/>
    <w:rsid w:val="009D3931"/>
    <w:rsid w:val="009D3AC5"/>
    <w:rsid w:val="009D3EB5"/>
    <w:rsid w:val="009D5F08"/>
    <w:rsid w:val="009D6140"/>
    <w:rsid w:val="009D6449"/>
    <w:rsid w:val="009D646B"/>
    <w:rsid w:val="009D64DE"/>
    <w:rsid w:val="009D68C7"/>
    <w:rsid w:val="009D712D"/>
    <w:rsid w:val="009D73AB"/>
    <w:rsid w:val="009D7AF4"/>
    <w:rsid w:val="009D7DEC"/>
    <w:rsid w:val="009E003D"/>
    <w:rsid w:val="009E059E"/>
    <w:rsid w:val="009E063F"/>
    <w:rsid w:val="009E07C1"/>
    <w:rsid w:val="009E094A"/>
    <w:rsid w:val="009E0E2E"/>
    <w:rsid w:val="009E1DF6"/>
    <w:rsid w:val="009E2B57"/>
    <w:rsid w:val="009E2CB1"/>
    <w:rsid w:val="009E3141"/>
    <w:rsid w:val="009E32B4"/>
    <w:rsid w:val="009E375D"/>
    <w:rsid w:val="009E3CB7"/>
    <w:rsid w:val="009E3D6A"/>
    <w:rsid w:val="009E4425"/>
    <w:rsid w:val="009E4562"/>
    <w:rsid w:val="009E4BB0"/>
    <w:rsid w:val="009E4F1E"/>
    <w:rsid w:val="009E5780"/>
    <w:rsid w:val="009E5877"/>
    <w:rsid w:val="009E5896"/>
    <w:rsid w:val="009E58A5"/>
    <w:rsid w:val="009E6825"/>
    <w:rsid w:val="009E6BCE"/>
    <w:rsid w:val="009E6C97"/>
    <w:rsid w:val="009E6EAE"/>
    <w:rsid w:val="009E6EB1"/>
    <w:rsid w:val="009E77D7"/>
    <w:rsid w:val="009E7C95"/>
    <w:rsid w:val="009E7FF0"/>
    <w:rsid w:val="009F1197"/>
    <w:rsid w:val="009F2306"/>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65DA"/>
    <w:rsid w:val="009F66C7"/>
    <w:rsid w:val="009F67A2"/>
    <w:rsid w:val="009F6F3E"/>
    <w:rsid w:val="009F70C6"/>
    <w:rsid w:val="009F70E3"/>
    <w:rsid w:val="009F7955"/>
    <w:rsid w:val="009F7C7F"/>
    <w:rsid w:val="009F7EB8"/>
    <w:rsid w:val="00A0040A"/>
    <w:rsid w:val="00A00D8A"/>
    <w:rsid w:val="00A00F8E"/>
    <w:rsid w:val="00A0120B"/>
    <w:rsid w:val="00A01467"/>
    <w:rsid w:val="00A02143"/>
    <w:rsid w:val="00A025BB"/>
    <w:rsid w:val="00A02713"/>
    <w:rsid w:val="00A02B72"/>
    <w:rsid w:val="00A02CF0"/>
    <w:rsid w:val="00A02F90"/>
    <w:rsid w:val="00A0378E"/>
    <w:rsid w:val="00A03D91"/>
    <w:rsid w:val="00A03E79"/>
    <w:rsid w:val="00A03FEE"/>
    <w:rsid w:val="00A04D38"/>
    <w:rsid w:val="00A053D4"/>
    <w:rsid w:val="00A05435"/>
    <w:rsid w:val="00A05461"/>
    <w:rsid w:val="00A05577"/>
    <w:rsid w:val="00A055E8"/>
    <w:rsid w:val="00A055F5"/>
    <w:rsid w:val="00A064A0"/>
    <w:rsid w:val="00A064C0"/>
    <w:rsid w:val="00A06891"/>
    <w:rsid w:val="00A06CBC"/>
    <w:rsid w:val="00A06D9B"/>
    <w:rsid w:val="00A07033"/>
    <w:rsid w:val="00A0730C"/>
    <w:rsid w:val="00A0765F"/>
    <w:rsid w:val="00A07846"/>
    <w:rsid w:val="00A07AD0"/>
    <w:rsid w:val="00A07B93"/>
    <w:rsid w:val="00A105A8"/>
    <w:rsid w:val="00A10710"/>
    <w:rsid w:val="00A10C6F"/>
    <w:rsid w:val="00A10D89"/>
    <w:rsid w:val="00A110F2"/>
    <w:rsid w:val="00A1203C"/>
    <w:rsid w:val="00A120A9"/>
    <w:rsid w:val="00A12646"/>
    <w:rsid w:val="00A12ADD"/>
    <w:rsid w:val="00A12F3F"/>
    <w:rsid w:val="00A1357B"/>
    <w:rsid w:val="00A13957"/>
    <w:rsid w:val="00A13A95"/>
    <w:rsid w:val="00A13CB8"/>
    <w:rsid w:val="00A142DD"/>
    <w:rsid w:val="00A146DF"/>
    <w:rsid w:val="00A14838"/>
    <w:rsid w:val="00A15771"/>
    <w:rsid w:val="00A158F6"/>
    <w:rsid w:val="00A15B58"/>
    <w:rsid w:val="00A15D92"/>
    <w:rsid w:val="00A161FE"/>
    <w:rsid w:val="00A16319"/>
    <w:rsid w:val="00A16C96"/>
    <w:rsid w:val="00A16EAD"/>
    <w:rsid w:val="00A17AA5"/>
    <w:rsid w:val="00A17FA1"/>
    <w:rsid w:val="00A201D8"/>
    <w:rsid w:val="00A204B9"/>
    <w:rsid w:val="00A20C4C"/>
    <w:rsid w:val="00A20DFC"/>
    <w:rsid w:val="00A20E84"/>
    <w:rsid w:val="00A211AB"/>
    <w:rsid w:val="00A214CC"/>
    <w:rsid w:val="00A2160D"/>
    <w:rsid w:val="00A21625"/>
    <w:rsid w:val="00A21A62"/>
    <w:rsid w:val="00A22717"/>
    <w:rsid w:val="00A22899"/>
    <w:rsid w:val="00A22A1B"/>
    <w:rsid w:val="00A22B2D"/>
    <w:rsid w:val="00A22B9D"/>
    <w:rsid w:val="00A22CB1"/>
    <w:rsid w:val="00A22CDC"/>
    <w:rsid w:val="00A22D9C"/>
    <w:rsid w:val="00A23500"/>
    <w:rsid w:val="00A23AB2"/>
    <w:rsid w:val="00A23CEB"/>
    <w:rsid w:val="00A244AB"/>
    <w:rsid w:val="00A2452F"/>
    <w:rsid w:val="00A24C38"/>
    <w:rsid w:val="00A251C5"/>
    <w:rsid w:val="00A256C8"/>
    <w:rsid w:val="00A25922"/>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27F46"/>
    <w:rsid w:val="00A30615"/>
    <w:rsid w:val="00A308E9"/>
    <w:rsid w:val="00A30C09"/>
    <w:rsid w:val="00A30D62"/>
    <w:rsid w:val="00A3157F"/>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287"/>
    <w:rsid w:val="00A35598"/>
    <w:rsid w:val="00A35707"/>
    <w:rsid w:val="00A35763"/>
    <w:rsid w:val="00A359A0"/>
    <w:rsid w:val="00A35BF8"/>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3315"/>
    <w:rsid w:val="00A43951"/>
    <w:rsid w:val="00A43B1E"/>
    <w:rsid w:val="00A43B3D"/>
    <w:rsid w:val="00A43D4C"/>
    <w:rsid w:val="00A441AC"/>
    <w:rsid w:val="00A44314"/>
    <w:rsid w:val="00A44A9F"/>
    <w:rsid w:val="00A44C3B"/>
    <w:rsid w:val="00A450C9"/>
    <w:rsid w:val="00A45143"/>
    <w:rsid w:val="00A455AD"/>
    <w:rsid w:val="00A463AC"/>
    <w:rsid w:val="00A4693F"/>
    <w:rsid w:val="00A46C59"/>
    <w:rsid w:val="00A46F98"/>
    <w:rsid w:val="00A4724B"/>
    <w:rsid w:val="00A4737E"/>
    <w:rsid w:val="00A4781B"/>
    <w:rsid w:val="00A478D4"/>
    <w:rsid w:val="00A479EA"/>
    <w:rsid w:val="00A47AEE"/>
    <w:rsid w:val="00A47B37"/>
    <w:rsid w:val="00A47D0D"/>
    <w:rsid w:val="00A47E8E"/>
    <w:rsid w:val="00A50A2D"/>
    <w:rsid w:val="00A50AAB"/>
    <w:rsid w:val="00A50E64"/>
    <w:rsid w:val="00A512F6"/>
    <w:rsid w:val="00A515BE"/>
    <w:rsid w:val="00A51F27"/>
    <w:rsid w:val="00A523ED"/>
    <w:rsid w:val="00A52643"/>
    <w:rsid w:val="00A52F2C"/>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57"/>
    <w:rsid w:val="00A55BBA"/>
    <w:rsid w:val="00A55D72"/>
    <w:rsid w:val="00A55E89"/>
    <w:rsid w:val="00A55EC1"/>
    <w:rsid w:val="00A56242"/>
    <w:rsid w:val="00A56500"/>
    <w:rsid w:val="00A56690"/>
    <w:rsid w:val="00A56698"/>
    <w:rsid w:val="00A56A48"/>
    <w:rsid w:val="00A56B4C"/>
    <w:rsid w:val="00A56F56"/>
    <w:rsid w:val="00A57A2C"/>
    <w:rsid w:val="00A57CB5"/>
    <w:rsid w:val="00A57EAE"/>
    <w:rsid w:val="00A60240"/>
    <w:rsid w:val="00A60FF9"/>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5820"/>
    <w:rsid w:val="00A65964"/>
    <w:rsid w:val="00A65DA2"/>
    <w:rsid w:val="00A65EF7"/>
    <w:rsid w:val="00A6605E"/>
    <w:rsid w:val="00A6618D"/>
    <w:rsid w:val="00A66372"/>
    <w:rsid w:val="00A66376"/>
    <w:rsid w:val="00A6647C"/>
    <w:rsid w:val="00A66803"/>
    <w:rsid w:val="00A66D9B"/>
    <w:rsid w:val="00A67215"/>
    <w:rsid w:val="00A67395"/>
    <w:rsid w:val="00A673C7"/>
    <w:rsid w:val="00A678A3"/>
    <w:rsid w:val="00A67DA4"/>
    <w:rsid w:val="00A704E4"/>
    <w:rsid w:val="00A705D3"/>
    <w:rsid w:val="00A7088C"/>
    <w:rsid w:val="00A708E4"/>
    <w:rsid w:val="00A70B55"/>
    <w:rsid w:val="00A716C9"/>
    <w:rsid w:val="00A71E3A"/>
    <w:rsid w:val="00A722A0"/>
    <w:rsid w:val="00A722EE"/>
    <w:rsid w:val="00A72767"/>
    <w:rsid w:val="00A72A08"/>
    <w:rsid w:val="00A72AE5"/>
    <w:rsid w:val="00A72DFF"/>
    <w:rsid w:val="00A72FD7"/>
    <w:rsid w:val="00A734FF"/>
    <w:rsid w:val="00A73565"/>
    <w:rsid w:val="00A738D9"/>
    <w:rsid w:val="00A73981"/>
    <w:rsid w:val="00A7428F"/>
    <w:rsid w:val="00A74E13"/>
    <w:rsid w:val="00A75191"/>
    <w:rsid w:val="00A752B2"/>
    <w:rsid w:val="00A753A3"/>
    <w:rsid w:val="00A75503"/>
    <w:rsid w:val="00A7578E"/>
    <w:rsid w:val="00A75A6C"/>
    <w:rsid w:val="00A76A59"/>
    <w:rsid w:val="00A7768A"/>
    <w:rsid w:val="00A77A9B"/>
    <w:rsid w:val="00A80056"/>
    <w:rsid w:val="00A800BF"/>
    <w:rsid w:val="00A8071A"/>
    <w:rsid w:val="00A80BD3"/>
    <w:rsid w:val="00A81149"/>
    <w:rsid w:val="00A8137A"/>
    <w:rsid w:val="00A81574"/>
    <w:rsid w:val="00A817F3"/>
    <w:rsid w:val="00A81C40"/>
    <w:rsid w:val="00A82113"/>
    <w:rsid w:val="00A82136"/>
    <w:rsid w:val="00A82304"/>
    <w:rsid w:val="00A82785"/>
    <w:rsid w:val="00A82C7A"/>
    <w:rsid w:val="00A83128"/>
    <w:rsid w:val="00A83383"/>
    <w:rsid w:val="00A84D82"/>
    <w:rsid w:val="00A84E96"/>
    <w:rsid w:val="00A855E3"/>
    <w:rsid w:val="00A857F8"/>
    <w:rsid w:val="00A858FD"/>
    <w:rsid w:val="00A86688"/>
    <w:rsid w:val="00A86974"/>
    <w:rsid w:val="00A86EE7"/>
    <w:rsid w:val="00A87C10"/>
    <w:rsid w:val="00A907A4"/>
    <w:rsid w:val="00A91337"/>
    <w:rsid w:val="00A91467"/>
    <w:rsid w:val="00A91717"/>
    <w:rsid w:val="00A91773"/>
    <w:rsid w:val="00A919A2"/>
    <w:rsid w:val="00A91DB1"/>
    <w:rsid w:val="00A91E59"/>
    <w:rsid w:val="00A92D51"/>
    <w:rsid w:val="00A93C68"/>
    <w:rsid w:val="00A93C8E"/>
    <w:rsid w:val="00A93D3E"/>
    <w:rsid w:val="00A93F28"/>
    <w:rsid w:val="00A94D6A"/>
    <w:rsid w:val="00A95A73"/>
    <w:rsid w:val="00A95F28"/>
    <w:rsid w:val="00A96B9F"/>
    <w:rsid w:val="00A96C14"/>
    <w:rsid w:val="00A96EFC"/>
    <w:rsid w:val="00A970D8"/>
    <w:rsid w:val="00A975BC"/>
    <w:rsid w:val="00A97A1C"/>
    <w:rsid w:val="00A97F21"/>
    <w:rsid w:val="00AA0195"/>
    <w:rsid w:val="00AA03A0"/>
    <w:rsid w:val="00AA0DCF"/>
    <w:rsid w:val="00AA18CA"/>
    <w:rsid w:val="00AA18F6"/>
    <w:rsid w:val="00AA194D"/>
    <w:rsid w:val="00AA1D51"/>
    <w:rsid w:val="00AA2083"/>
    <w:rsid w:val="00AA3107"/>
    <w:rsid w:val="00AA3484"/>
    <w:rsid w:val="00AA3A0C"/>
    <w:rsid w:val="00AA3A48"/>
    <w:rsid w:val="00AA3C05"/>
    <w:rsid w:val="00AA3C3A"/>
    <w:rsid w:val="00AA3D41"/>
    <w:rsid w:val="00AA44B8"/>
    <w:rsid w:val="00AA462A"/>
    <w:rsid w:val="00AA486F"/>
    <w:rsid w:val="00AA54B6"/>
    <w:rsid w:val="00AA55BA"/>
    <w:rsid w:val="00AA5DE9"/>
    <w:rsid w:val="00AA60E5"/>
    <w:rsid w:val="00AA6193"/>
    <w:rsid w:val="00AA6EA0"/>
    <w:rsid w:val="00AA734B"/>
    <w:rsid w:val="00AA7374"/>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B4B"/>
    <w:rsid w:val="00AB4C89"/>
    <w:rsid w:val="00AB4FE1"/>
    <w:rsid w:val="00AB5516"/>
    <w:rsid w:val="00AB604B"/>
    <w:rsid w:val="00AB62ED"/>
    <w:rsid w:val="00AB6769"/>
    <w:rsid w:val="00AB67BF"/>
    <w:rsid w:val="00AB689A"/>
    <w:rsid w:val="00AB71D6"/>
    <w:rsid w:val="00AB7538"/>
    <w:rsid w:val="00AB7AB1"/>
    <w:rsid w:val="00AB7EE7"/>
    <w:rsid w:val="00AB7F17"/>
    <w:rsid w:val="00AC0161"/>
    <w:rsid w:val="00AC01B4"/>
    <w:rsid w:val="00AC0239"/>
    <w:rsid w:val="00AC0923"/>
    <w:rsid w:val="00AC093D"/>
    <w:rsid w:val="00AC09C7"/>
    <w:rsid w:val="00AC1005"/>
    <w:rsid w:val="00AC123B"/>
    <w:rsid w:val="00AC1413"/>
    <w:rsid w:val="00AC165A"/>
    <w:rsid w:val="00AC1CCC"/>
    <w:rsid w:val="00AC1F0E"/>
    <w:rsid w:val="00AC21BF"/>
    <w:rsid w:val="00AC222F"/>
    <w:rsid w:val="00AC26A1"/>
    <w:rsid w:val="00AC2765"/>
    <w:rsid w:val="00AC3205"/>
    <w:rsid w:val="00AC33A1"/>
    <w:rsid w:val="00AC344C"/>
    <w:rsid w:val="00AC3978"/>
    <w:rsid w:val="00AC3A42"/>
    <w:rsid w:val="00AC3FE7"/>
    <w:rsid w:val="00AC4855"/>
    <w:rsid w:val="00AC536F"/>
    <w:rsid w:val="00AC57BE"/>
    <w:rsid w:val="00AC5893"/>
    <w:rsid w:val="00AC59DE"/>
    <w:rsid w:val="00AC5AEB"/>
    <w:rsid w:val="00AC5B06"/>
    <w:rsid w:val="00AC5DD1"/>
    <w:rsid w:val="00AC68E5"/>
    <w:rsid w:val="00AC6B44"/>
    <w:rsid w:val="00AC7545"/>
    <w:rsid w:val="00AC7943"/>
    <w:rsid w:val="00AC7E78"/>
    <w:rsid w:val="00AD07C9"/>
    <w:rsid w:val="00AD0BBD"/>
    <w:rsid w:val="00AD1CA3"/>
    <w:rsid w:val="00AD1DE7"/>
    <w:rsid w:val="00AD23B9"/>
    <w:rsid w:val="00AD243C"/>
    <w:rsid w:val="00AD2668"/>
    <w:rsid w:val="00AD26CF"/>
    <w:rsid w:val="00AD2965"/>
    <w:rsid w:val="00AD2B23"/>
    <w:rsid w:val="00AD2B27"/>
    <w:rsid w:val="00AD34A8"/>
    <w:rsid w:val="00AD379D"/>
    <w:rsid w:val="00AD38C4"/>
    <w:rsid w:val="00AD3A4B"/>
    <w:rsid w:val="00AD3C01"/>
    <w:rsid w:val="00AD3C0B"/>
    <w:rsid w:val="00AD41D5"/>
    <w:rsid w:val="00AD48B3"/>
    <w:rsid w:val="00AD491B"/>
    <w:rsid w:val="00AD4983"/>
    <w:rsid w:val="00AD4B6D"/>
    <w:rsid w:val="00AD4B9C"/>
    <w:rsid w:val="00AD4EFE"/>
    <w:rsid w:val="00AD536A"/>
    <w:rsid w:val="00AD578B"/>
    <w:rsid w:val="00AD5E1F"/>
    <w:rsid w:val="00AD694D"/>
    <w:rsid w:val="00AD6E9E"/>
    <w:rsid w:val="00AD6FD0"/>
    <w:rsid w:val="00AD7289"/>
    <w:rsid w:val="00AD7516"/>
    <w:rsid w:val="00AD79AF"/>
    <w:rsid w:val="00AD7F84"/>
    <w:rsid w:val="00AE05FE"/>
    <w:rsid w:val="00AE08BA"/>
    <w:rsid w:val="00AE0B42"/>
    <w:rsid w:val="00AE0B53"/>
    <w:rsid w:val="00AE0E25"/>
    <w:rsid w:val="00AE10F2"/>
    <w:rsid w:val="00AE112B"/>
    <w:rsid w:val="00AE13B0"/>
    <w:rsid w:val="00AE142F"/>
    <w:rsid w:val="00AE1738"/>
    <w:rsid w:val="00AE1A6D"/>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5133"/>
    <w:rsid w:val="00AE5241"/>
    <w:rsid w:val="00AE52A5"/>
    <w:rsid w:val="00AE581D"/>
    <w:rsid w:val="00AE598E"/>
    <w:rsid w:val="00AE6429"/>
    <w:rsid w:val="00AE66B6"/>
    <w:rsid w:val="00AE67FD"/>
    <w:rsid w:val="00AE6864"/>
    <w:rsid w:val="00AE68EF"/>
    <w:rsid w:val="00AE6A13"/>
    <w:rsid w:val="00AE6BB7"/>
    <w:rsid w:val="00AE74D9"/>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5E2"/>
    <w:rsid w:val="00AF4656"/>
    <w:rsid w:val="00AF4DF4"/>
    <w:rsid w:val="00AF6123"/>
    <w:rsid w:val="00AF6565"/>
    <w:rsid w:val="00AF67D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5F9"/>
    <w:rsid w:val="00B0390E"/>
    <w:rsid w:val="00B046E9"/>
    <w:rsid w:val="00B05012"/>
    <w:rsid w:val="00B051B0"/>
    <w:rsid w:val="00B05265"/>
    <w:rsid w:val="00B052EA"/>
    <w:rsid w:val="00B0648E"/>
    <w:rsid w:val="00B06854"/>
    <w:rsid w:val="00B069C0"/>
    <w:rsid w:val="00B069E1"/>
    <w:rsid w:val="00B072D4"/>
    <w:rsid w:val="00B0747E"/>
    <w:rsid w:val="00B076C6"/>
    <w:rsid w:val="00B07AD0"/>
    <w:rsid w:val="00B1003E"/>
    <w:rsid w:val="00B104BA"/>
    <w:rsid w:val="00B10E64"/>
    <w:rsid w:val="00B113DD"/>
    <w:rsid w:val="00B113E8"/>
    <w:rsid w:val="00B1166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8B9"/>
    <w:rsid w:val="00B1697B"/>
    <w:rsid w:val="00B17267"/>
    <w:rsid w:val="00B17990"/>
    <w:rsid w:val="00B17B3D"/>
    <w:rsid w:val="00B17B64"/>
    <w:rsid w:val="00B17BF7"/>
    <w:rsid w:val="00B17F98"/>
    <w:rsid w:val="00B20696"/>
    <w:rsid w:val="00B2082C"/>
    <w:rsid w:val="00B20983"/>
    <w:rsid w:val="00B20E48"/>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0C0"/>
    <w:rsid w:val="00B271C0"/>
    <w:rsid w:val="00B273ED"/>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C73"/>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E00"/>
    <w:rsid w:val="00B40EC0"/>
    <w:rsid w:val="00B4131A"/>
    <w:rsid w:val="00B41502"/>
    <w:rsid w:val="00B4151C"/>
    <w:rsid w:val="00B415C4"/>
    <w:rsid w:val="00B41643"/>
    <w:rsid w:val="00B41666"/>
    <w:rsid w:val="00B41A17"/>
    <w:rsid w:val="00B41DE5"/>
    <w:rsid w:val="00B41EE8"/>
    <w:rsid w:val="00B426AA"/>
    <w:rsid w:val="00B4280F"/>
    <w:rsid w:val="00B42879"/>
    <w:rsid w:val="00B42BE3"/>
    <w:rsid w:val="00B43091"/>
    <w:rsid w:val="00B43648"/>
    <w:rsid w:val="00B44ADF"/>
    <w:rsid w:val="00B45871"/>
    <w:rsid w:val="00B4594C"/>
    <w:rsid w:val="00B4602F"/>
    <w:rsid w:val="00B461DC"/>
    <w:rsid w:val="00B4621C"/>
    <w:rsid w:val="00B46815"/>
    <w:rsid w:val="00B46A3D"/>
    <w:rsid w:val="00B46C2E"/>
    <w:rsid w:val="00B46FF7"/>
    <w:rsid w:val="00B470FF"/>
    <w:rsid w:val="00B47184"/>
    <w:rsid w:val="00B472A2"/>
    <w:rsid w:val="00B4771B"/>
    <w:rsid w:val="00B47A34"/>
    <w:rsid w:val="00B47AC4"/>
    <w:rsid w:val="00B47F3E"/>
    <w:rsid w:val="00B5072A"/>
    <w:rsid w:val="00B50CFE"/>
    <w:rsid w:val="00B50E79"/>
    <w:rsid w:val="00B51052"/>
    <w:rsid w:val="00B5173C"/>
    <w:rsid w:val="00B518CF"/>
    <w:rsid w:val="00B51A72"/>
    <w:rsid w:val="00B52146"/>
    <w:rsid w:val="00B52BA4"/>
    <w:rsid w:val="00B52F88"/>
    <w:rsid w:val="00B5302D"/>
    <w:rsid w:val="00B5324D"/>
    <w:rsid w:val="00B53452"/>
    <w:rsid w:val="00B53525"/>
    <w:rsid w:val="00B53A55"/>
    <w:rsid w:val="00B53EB7"/>
    <w:rsid w:val="00B54232"/>
    <w:rsid w:val="00B54EC9"/>
    <w:rsid w:val="00B552FA"/>
    <w:rsid w:val="00B5536D"/>
    <w:rsid w:val="00B55616"/>
    <w:rsid w:val="00B5596F"/>
    <w:rsid w:val="00B55AAD"/>
    <w:rsid w:val="00B5611F"/>
    <w:rsid w:val="00B573FE"/>
    <w:rsid w:val="00B57671"/>
    <w:rsid w:val="00B57E7D"/>
    <w:rsid w:val="00B57FB6"/>
    <w:rsid w:val="00B601EF"/>
    <w:rsid w:val="00B611B8"/>
    <w:rsid w:val="00B614E3"/>
    <w:rsid w:val="00B61C09"/>
    <w:rsid w:val="00B61C73"/>
    <w:rsid w:val="00B61D26"/>
    <w:rsid w:val="00B61D27"/>
    <w:rsid w:val="00B62150"/>
    <w:rsid w:val="00B62203"/>
    <w:rsid w:val="00B6258E"/>
    <w:rsid w:val="00B62A17"/>
    <w:rsid w:val="00B6304C"/>
    <w:rsid w:val="00B64090"/>
    <w:rsid w:val="00B64578"/>
    <w:rsid w:val="00B64E9B"/>
    <w:rsid w:val="00B651DB"/>
    <w:rsid w:val="00B657C6"/>
    <w:rsid w:val="00B6671B"/>
    <w:rsid w:val="00B66AC2"/>
    <w:rsid w:val="00B67340"/>
    <w:rsid w:val="00B702BD"/>
    <w:rsid w:val="00B70422"/>
    <w:rsid w:val="00B707DE"/>
    <w:rsid w:val="00B70928"/>
    <w:rsid w:val="00B70A3A"/>
    <w:rsid w:val="00B71684"/>
    <w:rsid w:val="00B717E8"/>
    <w:rsid w:val="00B71F68"/>
    <w:rsid w:val="00B722B0"/>
    <w:rsid w:val="00B722DA"/>
    <w:rsid w:val="00B7265D"/>
    <w:rsid w:val="00B72C56"/>
    <w:rsid w:val="00B72D71"/>
    <w:rsid w:val="00B7383E"/>
    <w:rsid w:val="00B73C7C"/>
    <w:rsid w:val="00B742AF"/>
    <w:rsid w:val="00B7435E"/>
    <w:rsid w:val="00B7448D"/>
    <w:rsid w:val="00B747BC"/>
    <w:rsid w:val="00B747C7"/>
    <w:rsid w:val="00B74928"/>
    <w:rsid w:val="00B74A9A"/>
    <w:rsid w:val="00B74DA1"/>
    <w:rsid w:val="00B7511E"/>
    <w:rsid w:val="00B7534A"/>
    <w:rsid w:val="00B75750"/>
    <w:rsid w:val="00B75B39"/>
    <w:rsid w:val="00B75C3D"/>
    <w:rsid w:val="00B7616B"/>
    <w:rsid w:val="00B76394"/>
    <w:rsid w:val="00B77BE7"/>
    <w:rsid w:val="00B77D47"/>
    <w:rsid w:val="00B77FCE"/>
    <w:rsid w:val="00B80677"/>
    <w:rsid w:val="00B812C8"/>
    <w:rsid w:val="00B813E0"/>
    <w:rsid w:val="00B81452"/>
    <w:rsid w:val="00B81F35"/>
    <w:rsid w:val="00B82161"/>
    <w:rsid w:val="00B824FE"/>
    <w:rsid w:val="00B8265E"/>
    <w:rsid w:val="00B84166"/>
    <w:rsid w:val="00B84304"/>
    <w:rsid w:val="00B8433C"/>
    <w:rsid w:val="00B845DC"/>
    <w:rsid w:val="00B846B4"/>
    <w:rsid w:val="00B84847"/>
    <w:rsid w:val="00B84BA0"/>
    <w:rsid w:val="00B84BA1"/>
    <w:rsid w:val="00B84CBC"/>
    <w:rsid w:val="00B850C9"/>
    <w:rsid w:val="00B852B4"/>
    <w:rsid w:val="00B85819"/>
    <w:rsid w:val="00B85B1D"/>
    <w:rsid w:val="00B85FDF"/>
    <w:rsid w:val="00B868A3"/>
    <w:rsid w:val="00B86DDE"/>
    <w:rsid w:val="00B87213"/>
    <w:rsid w:val="00B87640"/>
    <w:rsid w:val="00B87A98"/>
    <w:rsid w:val="00B9030A"/>
    <w:rsid w:val="00B90B06"/>
    <w:rsid w:val="00B91BFA"/>
    <w:rsid w:val="00B921FF"/>
    <w:rsid w:val="00B926F9"/>
    <w:rsid w:val="00B9270E"/>
    <w:rsid w:val="00B92D03"/>
    <w:rsid w:val="00B93278"/>
    <w:rsid w:val="00B936FD"/>
    <w:rsid w:val="00B941CA"/>
    <w:rsid w:val="00B94292"/>
    <w:rsid w:val="00B94293"/>
    <w:rsid w:val="00B94555"/>
    <w:rsid w:val="00B94C0A"/>
    <w:rsid w:val="00B9509A"/>
    <w:rsid w:val="00B953DF"/>
    <w:rsid w:val="00B95471"/>
    <w:rsid w:val="00B95476"/>
    <w:rsid w:val="00B9554D"/>
    <w:rsid w:val="00B95604"/>
    <w:rsid w:val="00B957CF"/>
    <w:rsid w:val="00B9604B"/>
    <w:rsid w:val="00B960B8"/>
    <w:rsid w:val="00B96256"/>
    <w:rsid w:val="00B9632C"/>
    <w:rsid w:val="00B96878"/>
    <w:rsid w:val="00B96B2B"/>
    <w:rsid w:val="00BA01AE"/>
    <w:rsid w:val="00BA01EB"/>
    <w:rsid w:val="00BA04D4"/>
    <w:rsid w:val="00BA08C5"/>
    <w:rsid w:val="00BA0BCE"/>
    <w:rsid w:val="00BA1199"/>
    <w:rsid w:val="00BA1427"/>
    <w:rsid w:val="00BA1667"/>
    <w:rsid w:val="00BA17EA"/>
    <w:rsid w:val="00BA1A12"/>
    <w:rsid w:val="00BA1BF2"/>
    <w:rsid w:val="00BA2278"/>
    <w:rsid w:val="00BA22C2"/>
    <w:rsid w:val="00BA291E"/>
    <w:rsid w:val="00BA2943"/>
    <w:rsid w:val="00BA2AF1"/>
    <w:rsid w:val="00BA2F69"/>
    <w:rsid w:val="00BA3011"/>
    <w:rsid w:val="00BA31BF"/>
    <w:rsid w:val="00BA3816"/>
    <w:rsid w:val="00BA3CFA"/>
    <w:rsid w:val="00BA42A2"/>
    <w:rsid w:val="00BA484F"/>
    <w:rsid w:val="00BA50B2"/>
    <w:rsid w:val="00BA51F1"/>
    <w:rsid w:val="00BA5773"/>
    <w:rsid w:val="00BA59A1"/>
    <w:rsid w:val="00BA6213"/>
    <w:rsid w:val="00BA65DB"/>
    <w:rsid w:val="00BA69F5"/>
    <w:rsid w:val="00BA6C0F"/>
    <w:rsid w:val="00BA793E"/>
    <w:rsid w:val="00BA7F73"/>
    <w:rsid w:val="00BB005A"/>
    <w:rsid w:val="00BB00E4"/>
    <w:rsid w:val="00BB063A"/>
    <w:rsid w:val="00BB0913"/>
    <w:rsid w:val="00BB18BD"/>
    <w:rsid w:val="00BB1BB5"/>
    <w:rsid w:val="00BB1BB8"/>
    <w:rsid w:val="00BB1BC5"/>
    <w:rsid w:val="00BB1D9F"/>
    <w:rsid w:val="00BB200C"/>
    <w:rsid w:val="00BB2325"/>
    <w:rsid w:val="00BB296D"/>
    <w:rsid w:val="00BB2CB4"/>
    <w:rsid w:val="00BB39B3"/>
    <w:rsid w:val="00BB43D4"/>
    <w:rsid w:val="00BB4848"/>
    <w:rsid w:val="00BB531B"/>
    <w:rsid w:val="00BB550B"/>
    <w:rsid w:val="00BB5601"/>
    <w:rsid w:val="00BB57D6"/>
    <w:rsid w:val="00BB589C"/>
    <w:rsid w:val="00BB6479"/>
    <w:rsid w:val="00BB6716"/>
    <w:rsid w:val="00BB689F"/>
    <w:rsid w:val="00BB6C0B"/>
    <w:rsid w:val="00BB6C65"/>
    <w:rsid w:val="00BB6C87"/>
    <w:rsid w:val="00BB6CD5"/>
    <w:rsid w:val="00BB6FCD"/>
    <w:rsid w:val="00BB73DF"/>
    <w:rsid w:val="00BB76DC"/>
    <w:rsid w:val="00BB780F"/>
    <w:rsid w:val="00BB7840"/>
    <w:rsid w:val="00BB7915"/>
    <w:rsid w:val="00BB7B4F"/>
    <w:rsid w:val="00BC01D9"/>
    <w:rsid w:val="00BC08D7"/>
    <w:rsid w:val="00BC0A85"/>
    <w:rsid w:val="00BC146A"/>
    <w:rsid w:val="00BC1C0C"/>
    <w:rsid w:val="00BC1D65"/>
    <w:rsid w:val="00BC1F7C"/>
    <w:rsid w:val="00BC24B1"/>
    <w:rsid w:val="00BC258F"/>
    <w:rsid w:val="00BC2809"/>
    <w:rsid w:val="00BC2951"/>
    <w:rsid w:val="00BC3347"/>
    <w:rsid w:val="00BC349B"/>
    <w:rsid w:val="00BC367F"/>
    <w:rsid w:val="00BC3C3A"/>
    <w:rsid w:val="00BC3CB5"/>
    <w:rsid w:val="00BC44EE"/>
    <w:rsid w:val="00BC48BE"/>
    <w:rsid w:val="00BC48C4"/>
    <w:rsid w:val="00BC4B49"/>
    <w:rsid w:val="00BC5244"/>
    <w:rsid w:val="00BC5A3B"/>
    <w:rsid w:val="00BC5A4B"/>
    <w:rsid w:val="00BC5B13"/>
    <w:rsid w:val="00BC5CBC"/>
    <w:rsid w:val="00BC6034"/>
    <w:rsid w:val="00BC617D"/>
    <w:rsid w:val="00BC66AF"/>
    <w:rsid w:val="00BC7803"/>
    <w:rsid w:val="00BD00D5"/>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4D34"/>
    <w:rsid w:val="00BD4F62"/>
    <w:rsid w:val="00BD5DA3"/>
    <w:rsid w:val="00BD659A"/>
    <w:rsid w:val="00BD65DA"/>
    <w:rsid w:val="00BD65FD"/>
    <w:rsid w:val="00BD68C8"/>
    <w:rsid w:val="00BD6A8A"/>
    <w:rsid w:val="00BD6DDA"/>
    <w:rsid w:val="00BD6E42"/>
    <w:rsid w:val="00BD7117"/>
    <w:rsid w:val="00BD7252"/>
    <w:rsid w:val="00BD7A92"/>
    <w:rsid w:val="00BD7E29"/>
    <w:rsid w:val="00BE020B"/>
    <w:rsid w:val="00BE02FC"/>
    <w:rsid w:val="00BE0747"/>
    <w:rsid w:val="00BE188C"/>
    <w:rsid w:val="00BE1C48"/>
    <w:rsid w:val="00BE233A"/>
    <w:rsid w:val="00BE2BBB"/>
    <w:rsid w:val="00BE3A46"/>
    <w:rsid w:val="00BE3C51"/>
    <w:rsid w:val="00BE41F4"/>
    <w:rsid w:val="00BE47A2"/>
    <w:rsid w:val="00BE4B76"/>
    <w:rsid w:val="00BE525C"/>
    <w:rsid w:val="00BE529C"/>
    <w:rsid w:val="00BE5A13"/>
    <w:rsid w:val="00BE5E77"/>
    <w:rsid w:val="00BE5F1E"/>
    <w:rsid w:val="00BE6667"/>
    <w:rsid w:val="00BE6B3B"/>
    <w:rsid w:val="00BE6D91"/>
    <w:rsid w:val="00BE75DA"/>
    <w:rsid w:val="00BE79F4"/>
    <w:rsid w:val="00BF0695"/>
    <w:rsid w:val="00BF1640"/>
    <w:rsid w:val="00BF183B"/>
    <w:rsid w:val="00BF19EB"/>
    <w:rsid w:val="00BF1D08"/>
    <w:rsid w:val="00BF22B1"/>
    <w:rsid w:val="00BF22BD"/>
    <w:rsid w:val="00BF24D4"/>
    <w:rsid w:val="00BF27AA"/>
    <w:rsid w:val="00BF2A9D"/>
    <w:rsid w:val="00BF2B94"/>
    <w:rsid w:val="00BF2EC5"/>
    <w:rsid w:val="00BF3030"/>
    <w:rsid w:val="00BF35DC"/>
    <w:rsid w:val="00BF3622"/>
    <w:rsid w:val="00BF4057"/>
    <w:rsid w:val="00BF4AAB"/>
    <w:rsid w:val="00BF54D9"/>
    <w:rsid w:val="00BF59E3"/>
    <w:rsid w:val="00BF5C6E"/>
    <w:rsid w:val="00BF5D02"/>
    <w:rsid w:val="00BF6C09"/>
    <w:rsid w:val="00BF7237"/>
    <w:rsid w:val="00BF777D"/>
    <w:rsid w:val="00BF789F"/>
    <w:rsid w:val="00BF797F"/>
    <w:rsid w:val="00BF7DAD"/>
    <w:rsid w:val="00C00A5D"/>
    <w:rsid w:val="00C00ED2"/>
    <w:rsid w:val="00C013F1"/>
    <w:rsid w:val="00C01453"/>
    <w:rsid w:val="00C0196B"/>
    <w:rsid w:val="00C01BD1"/>
    <w:rsid w:val="00C01EE5"/>
    <w:rsid w:val="00C020BF"/>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20C"/>
    <w:rsid w:val="00C0750C"/>
    <w:rsid w:val="00C07A97"/>
    <w:rsid w:val="00C07C5E"/>
    <w:rsid w:val="00C07CF4"/>
    <w:rsid w:val="00C07D81"/>
    <w:rsid w:val="00C10C94"/>
    <w:rsid w:val="00C11017"/>
    <w:rsid w:val="00C1132B"/>
    <w:rsid w:val="00C1174E"/>
    <w:rsid w:val="00C119B7"/>
    <w:rsid w:val="00C11C30"/>
    <w:rsid w:val="00C11FE3"/>
    <w:rsid w:val="00C120B4"/>
    <w:rsid w:val="00C12354"/>
    <w:rsid w:val="00C12BBA"/>
    <w:rsid w:val="00C132FD"/>
    <w:rsid w:val="00C13381"/>
    <w:rsid w:val="00C13728"/>
    <w:rsid w:val="00C13DD1"/>
    <w:rsid w:val="00C1418E"/>
    <w:rsid w:val="00C14BBC"/>
    <w:rsid w:val="00C14C99"/>
    <w:rsid w:val="00C14E33"/>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A1A"/>
    <w:rsid w:val="00C21E9C"/>
    <w:rsid w:val="00C2229F"/>
    <w:rsid w:val="00C224CA"/>
    <w:rsid w:val="00C22BB7"/>
    <w:rsid w:val="00C22DA2"/>
    <w:rsid w:val="00C22FF7"/>
    <w:rsid w:val="00C23541"/>
    <w:rsid w:val="00C239E4"/>
    <w:rsid w:val="00C23A18"/>
    <w:rsid w:val="00C24178"/>
    <w:rsid w:val="00C24D60"/>
    <w:rsid w:val="00C24DDD"/>
    <w:rsid w:val="00C24F11"/>
    <w:rsid w:val="00C25453"/>
    <w:rsid w:val="00C2548F"/>
    <w:rsid w:val="00C255D6"/>
    <w:rsid w:val="00C25F27"/>
    <w:rsid w:val="00C26052"/>
    <w:rsid w:val="00C262F8"/>
    <w:rsid w:val="00C26555"/>
    <w:rsid w:val="00C2655E"/>
    <w:rsid w:val="00C26864"/>
    <w:rsid w:val="00C269AB"/>
    <w:rsid w:val="00C269DD"/>
    <w:rsid w:val="00C26E94"/>
    <w:rsid w:val="00C2717E"/>
    <w:rsid w:val="00C278E7"/>
    <w:rsid w:val="00C2798E"/>
    <w:rsid w:val="00C27A71"/>
    <w:rsid w:val="00C27A87"/>
    <w:rsid w:val="00C27C61"/>
    <w:rsid w:val="00C303B8"/>
    <w:rsid w:val="00C30584"/>
    <w:rsid w:val="00C30956"/>
    <w:rsid w:val="00C30CE9"/>
    <w:rsid w:val="00C30F6B"/>
    <w:rsid w:val="00C312BF"/>
    <w:rsid w:val="00C315F1"/>
    <w:rsid w:val="00C3185A"/>
    <w:rsid w:val="00C318E2"/>
    <w:rsid w:val="00C31E8E"/>
    <w:rsid w:val="00C31F61"/>
    <w:rsid w:val="00C325FE"/>
    <w:rsid w:val="00C32A59"/>
    <w:rsid w:val="00C32C1C"/>
    <w:rsid w:val="00C33487"/>
    <w:rsid w:val="00C3352C"/>
    <w:rsid w:val="00C33694"/>
    <w:rsid w:val="00C339AE"/>
    <w:rsid w:val="00C33BCD"/>
    <w:rsid w:val="00C33BD2"/>
    <w:rsid w:val="00C33DF0"/>
    <w:rsid w:val="00C33F47"/>
    <w:rsid w:val="00C3415B"/>
    <w:rsid w:val="00C344AA"/>
    <w:rsid w:val="00C348FB"/>
    <w:rsid w:val="00C34B54"/>
    <w:rsid w:val="00C354D9"/>
    <w:rsid w:val="00C355F6"/>
    <w:rsid w:val="00C35726"/>
    <w:rsid w:val="00C36704"/>
    <w:rsid w:val="00C367AC"/>
    <w:rsid w:val="00C36971"/>
    <w:rsid w:val="00C369F7"/>
    <w:rsid w:val="00C36AD6"/>
    <w:rsid w:val="00C36C85"/>
    <w:rsid w:val="00C3728D"/>
    <w:rsid w:val="00C372EF"/>
    <w:rsid w:val="00C374C2"/>
    <w:rsid w:val="00C4045B"/>
    <w:rsid w:val="00C40991"/>
    <w:rsid w:val="00C40B07"/>
    <w:rsid w:val="00C413E1"/>
    <w:rsid w:val="00C41D18"/>
    <w:rsid w:val="00C41E8B"/>
    <w:rsid w:val="00C423F6"/>
    <w:rsid w:val="00C4266B"/>
    <w:rsid w:val="00C42A87"/>
    <w:rsid w:val="00C432A0"/>
    <w:rsid w:val="00C433AE"/>
    <w:rsid w:val="00C435AF"/>
    <w:rsid w:val="00C43ACB"/>
    <w:rsid w:val="00C43B0B"/>
    <w:rsid w:val="00C44070"/>
    <w:rsid w:val="00C44404"/>
    <w:rsid w:val="00C4479F"/>
    <w:rsid w:val="00C44B99"/>
    <w:rsid w:val="00C45437"/>
    <w:rsid w:val="00C45602"/>
    <w:rsid w:val="00C45642"/>
    <w:rsid w:val="00C4570F"/>
    <w:rsid w:val="00C463EA"/>
    <w:rsid w:val="00C46A41"/>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8F"/>
    <w:rsid w:val="00C5369D"/>
    <w:rsid w:val="00C538F5"/>
    <w:rsid w:val="00C53FE4"/>
    <w:rsid w:val="00C552E8"/>
    <w:rsid w:val="00C56E2F"/>
    <w:rsid w:val="00C56E9A"/>
    <w:rsid w:val="00C5702E"/>
    <w:rsid w:val="00C57660"/>
    <w:rsid w:val="00C57885"/>
    <w:rsid w:val="00C579BC"/>
    <w:rsid w:val="00C57A32"/>
    <w:rsid w:val="00C57BEE"/>
    <w:rsid w:val="00C57C61"/>
    <w:rsid w:val="00C57FB6"/>
    <w:rsid w:val="00C60350"/>
    <w:rsid w:val="00C60618"/>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076"/>
    <w:rsid w:val="00C706C6"/>
    <w:rsid w:val="00C70F87"/>
    <w:rsid w:val="00C7130F"/>
    <w:rsid w:val="00C716DE"/>
    <w:rsid w:val="00C71E97"/>
    <w:rsid w:val="00C722B3"/>
    <w:rsid w:val="00C72DA6"/>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497"/>
    <w:rsid w:val="00C81CD3"/>
    <w:rsid w:val="00C81ED9"/>
    <w:rsid w:val="00C82098"/>
    <w:rsid w:val="00C823CA"/>
    <w:rsid w:val="00C8245D"/>
    <w:rsid w:val="00C825B7"/>
    <w:rsid w:val="00C82774"/>
    <w:rsid w:val="00C82A17"/>
    <w:rsid w:val="00C82D1A"/>
    <w:rsid w:val="00C82ED6"/>
    <w:rsid w:val="00C83073"/>
    <w:rsid w:val="00C83587"/>
    <w:rsid w:val="00C83936"/>
    <w:rsid w:val="00C84579"/>
    <w:rsid w:val="00C845F7"/>
    <w:rsid w:val="00C848FF"/>
    <w:rsid w:val="00C85086"/>
    <w:rsid w:val="00C85422"/>
    <w:rsid w:val="00C857BA"/>
    <w:rsid w:val="00C857EB"/>
    <w:rsid w:val="00C859AE"/>
    <w:rsid w:val="00C8664A"/>
    <w:rsid w:val="00C86DA7"/>
    <w:rsid w:val="00C87497"/>
    <w:rsid w:val="00C875F8"/>
    <w:rsid w:val="00C875FB"/>
    <w:rsid w:val="00C87D55"/>
    <w:rsid w:val="00C90091"/>
    <w:rsid w:val="00C90263"/>
    <w:rsid w:val="00C90700"/>
    <w:rsid w:val="00C911E6"/>
    <w:rsid w:val="00C913A2"/>
    <w:rsid w:val="00C91F21"/>
    <w:rsid w:val="00C92058"/>
    <w:rsid w:val="00C923E7"/>
    <w:rsid w:val="00C92496"/>
    <w:rsid w:val="00C9264F"/>
    <w:rsid w:val="00C9284D"/>
    <w:rsid w:val="00C92A8A"/>
    <w:rsid w:val="00C92F41"/>
    <w:rsid w:val="00C93447"/>
    <w:rsid w:val="00C9386A"/>
    <w:rsid w:val="00C93C1D"/>
    <w:rsid w:val="00C93D00"/>
    <w:rsid w:val="00C94188"/>
    <w:rsid w:val="00C944C3"/>
    <w:rsid w:val="00C94840"/>
    <w:rsid w:val="00C94980"/>
    <w:rsid w:val="00C94989"/>
    <w:rsid w:val="00C94CE7"/>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3C7"/>
    <w:rsid w:val="00CA3417"/>
    <w:rsid w:val="00CA351D"/>
    <w:rsid w:val="00CA3630"/>
    <w:rsid w:val="00CA40D3"/>
    <w:rsid w:val="00CA4465"/>
    <w:rsid w:val="00CA4FE8"/>
    <w:rsid w:val="00CA50FE"/>
    <w:rsid w:val="00CA5138"/>
    <w:rsid w:val="00CA558C"/>
    <w:rsid w:val="00CA572F"/>
    <w:rsid w:val="00CA58C6"/>
    <w:rsid w:val="00CA5BC4"/>
    <w:rsid w:val="00CA5E0C"/>
    <w:rsid w:val="00CA613C"/>
    <w:rsid w:val="00CA67CE"/>
    <w:rsid w:val="00CA6873"/>
    <w:rsid w:val="00CA68C5"/>
    <w:rsid w:val="00CA6932"/>
    <w:rsid w:val="00CA6ACE"/>
    <w:rsid w:val="00CA6B1B"/>
    <w:rsid w:val="00CA6BA8"/>
    <w:rsid w:val="00CA6C23"/>
    <w:rsid w:val="00CA6FAE"/>
    <w:rsid w:val="00CA70CB"/>
    <w:rsid w:val="00CA7552"/>
    <w:rsid w:val="00CA755D"/>
    <w:rsid w:val="00CA77E7"/>
    <w:rsid w:val="00CB0871"/>
    <w:rsid w:val="00CB178F"/>
    <w:rsid w:val="00CB2AEF"/>
    <w:rsid w:val="00CB2EB0"/>
    <w:rsid w:val="00CB2F2E"/>
    <w:rsid w:val="00CB35CC"/>
    <w:rsid w:val="00CB3B84"/>
    <w:rsid w:val="00CB4548"/>
    <w:rsid w:val="00CB4B55"/>
    <w:rsid w:val="00CB56BA"/>
    <w:rsid w:val="00CB6161"/>
    <w:rsid w:val="00CB635F"/>
    <w:rsid w:val="00CB639C"/>
    <w:rsid w:val="00CB7282"/>
    <w:rsid w:val="00CB766B"/>
    <w:rsid w:val="00CB7957"/>
    <w:rsid w:val="00CB7A74"/>
    <w:rsid w:val="00CB7C75"/>
    <w:rsid w:val="00CB7D58"/>
    <w:rsid w:val="00CB7DDF"/>
    <w:rsid w:val="00CC01E0"/>
    <w:rsid w:val="00CC0466"/>
    <w:rsid w:val="00CC0AB4"/>
    <w:rsid w:val="00CC15D8"/>
    <w:rsid w:val="00CC18A2"/>
    <w:rsid w:val="00CC1F5C"/>
    <w:rsid w:val="00CC20B0"/>
    <w:rsid w:val="00CC2203"/>
    <w:rsid w:val="00CC2B3A"/>
    <w:rsid w:val="00CC2D63"/>
    <w:rsid w:val="00CC2F55"/>
    <w:rsid w:val="00CC3149"/>
    <w:rsid w:val="00CC37D1"/>
    <w:rsid w:val="00CC3935"/>
    <w:rsid w:val="00CC3AEC"/>
    <w:rsid w:val="00CC3B02"/>
    <w:rsid w:val="00CC3BFC"/>
    <w:rsid w:val="00CC3E4B"/>
    <w:rsid w:val="00CC4523"/>
    <w:rsid w:val="00CC4576"/>
    <w:rsid w:val="00CC4AFF"/>
    <w:rsid w:val="00CC4B2B"/>
    <w:rsid w:val="00CC511D"/>
    <w:rsid w:val="00CC545B"/>
    <w:rsid w:val="00CC5765"/>
    <w:rsid w:val="00CC5A9D"/>
    <w:rsid w:val="00CC5AA9"/>
    <w:rsid w:val="00CC6428"/>
    <w:rsid w:val="00CC6A46"/>
    <w:rsid w:val="00CC6B8E"/>
    <w:rsid w:val="00CC6BB7"/>
    <w:rsid w:val="00CC6C06"/>
    <w:rsid w:val="00CC6F34"/>
    <w:rsid w:val="00CC70C4"/>
    <w:rsid w:val="00CC7105"/>
    <w:rsid w:val="00CC751D"/>
    <w:rsid w:val="00CC79C6"/>
    <w:rsid w:val="00CC7B93"/>
    <w:rsid w:val="00CD0635"/>
    <w:rsid w:val="00CD067D"/>
    <w:rsid w:val="00CD082C"/>
    <w:rsid w:val="00CD0F6C"/>
    <w:rsid w:val="00CD1684"/>
    <w:rsid w:val="00CD16F0"/>
    <w:rsid w:val="00CD196D"/>
    <w:rsid w:val="00CD2867"/>
    <w:rsid w:val="00CD2B33"/>
    <w:rsid w:val="00CD2F4C"/>
    <w:rsid w:val="00CD37C4"/>
    <w:rsid w:val="00CD3F8F"/>
    <w:rsid w:val="00CD4760"/>
    <w:rsid w:val="00CD47FE"/>
    <w:rsid w:val="00CD4D06"/>
    <w:rsid w:val="00CD4DDF"/>
    <w:rsid w:val="00CD4ECD"/>
    <w:rsid w:val="00CD4F92"/>
    <w:rsid w:val="00CD5961"/>
    <w:rsid w:val="00CD5B76"/>
    <w:rsid w:val="00CD6156"/>
    <w:rsid w:val="00CD644F"/>
    <w:rsid w:val="00CD6549"/>
    <w:rsid w:val="00CD699A"/>
    <w:rsid w:val="00CD69B6"/>
    <w:rsid w:val="00CD6E3F"/>
    <w:rsid w:val="00CD6EEC"/>
    <w:rsid w:val="00CD6FF6"/>
    <w:rsid w:val="00CD70C2"/>
    <w:rsid w:val="00CD74D6"/>
    <w:rsid w:val="00CD7672"/>
    <w:rsid w:val="00CD77D4"/>
    <w:rsid w:val="00CD79E6"/>
    <w:rsid w:val="00CE0F23"/>
    <w:rsid w:val="00CE1F91"/>
    <w:rsid w:val="00CE203B"/>
    <w:rsid w:val="00CE282C"/>
    <w:rsid w:val="00CE2996"/>
    <w:rsid w:val="00CE2BA0"/>
    <w:rsid w:val="00CE2C19"/>
    <w:rsid w:val="00CE306B"/>
    <w:rsid w:val="00CE30D5"/>
    <w:rsid w:val="00CE33E2"/>
    <w:rsid w:val="00CE395D"/>
    <w:rsid w:val="00CE3A32"/>
    <w:rsid w:val="00CE3B7C"/>
    <w:rsid w:val="00CE4644"/>
    <w:rsid w:val="00CE50E1"/>
    <w:rsid w:val="00CE5139"/>
    <w:rsid w:val="00CE53DF"/>
    <w:rsid w:val="00CE5706"/>
    <w:rsid w:val="00CE58AB"/>
    <w:rsid w:val="00CE6072"/>
    <w:rsid w:val="00CE62A0"/>
    <w:rsid w:val="00CE68B5"/>
    <w:rsid w:val="00CE6B93"/>
    <w:rsid w:val="00CE7023"/>
    <w:rsid w:val="00CE75F5"/>
    <w:rsid w:val="00CE778C"/>
    <w:rsid w:val="00CE78DB"/>
    <w:rsid w:val="00CE7951"/>
    <w:rsid w:val="00CF0424"/>
    <w:rsid w:val="00CF0F28"/>
    <w:rsid w:val="00CF1962"/>
    <w:rsid w:val="00CF19EC"/>
    <w:rsid w:val="00CF1D1F"/>
    <w:rsid w:val="00CF21CE"/>
    <w:rsid w:val="00CF2395"/>
    <w:rsid w:val="00CF26FE"/>
    <w:rsid w:val="00CF2792"/>
    <w:rsid w:val="00CF283E"/>
    <w:rsid w:val="00CF3157"/>
    <w:rsid w:val="00CF3193"/>
    <w:rsid w:val="00CF36FC"/>
    <w:rsid w:val="00CF3C53"/>
    <w:rsid w:val="00CF3DBD"/>
    <w:rsid w:val="00CF5031"/>
    <w:rsid w:val="00CF5270"/>
    <w:rsid w:val="00CF5867"/>
    <w:rsid w:val="00CF5AE5"/>
    <w:rsid w:val="00CF5F77"/>
    <w:rsid w:val="00CF67F3"/>
    <w:rsid w:val="00CF6E88"/>
    <w:rsid w:val="00CF71C4"/>
    <w:rsid w:val="00CF73B5"/>
    <w:rsid w:val="00CF7767"/>
    <w:rsid w:val="00CF7DC4"/>
    <w:rsid w:val="00CF7FE9"/>
    <w:rsid w:val="00D00131"/>
    <w:rsid w:val="00D0029F"/>
    <w:rsid w:val="00D009F9"/>
    <w:rsid w:val="00D01019"/>
    <w:rsid w:val="00D023E7"/>
    <w:rsid w:val="00D02B76"/>
    <w:rsid w:val="00D02B8E"/>
    <w:rsid w:val="00D031C8"/>
    <w:rsid w:val="00D036E9"/>
    <w:rsid w:val="00D03B9C"/>
    <w:rsid w:val="00D03D47"/>
    <w:rsid w:val="00D042C0"/>
    <w:rsid w:val="00D04745"/>
    <w:rsid w:val="00D0509E"/>
    <w:rsid w:val="00D0539D"/>
    <w:rsid w:val="00D055DF"/>
    <w:rsid w:val="00D056D5"/>
    <w:rsid w:val="00D05C48"/>
    <w:rsid w:val="00D05D13"/>
    <w:rsid w:val="00D05DCA"/>
    <w:rsid w:val="00D05E01"/>
    <w:rsid w:val="00D05FC5"/>
    <w:rsid w:val="00D0609F"/>
    <w:rsid w:val="00D0686B"/>
    <w:rsid w:val="00D06B60"/>
    <w:rsid w:val="00D06D61"/>
    <w:rsid w:val="00D07308"/>
    <w:rsid w:val="00D07E9F"/>
    <w:rsid w:val="00D10982"/>
    <w:rsid w:val="00D109B8"/>
    <w:rsid w:val="00D10C9F"/>
    <w:rsid w:val="00D110FD"/>
    <w:rsid w:val="00D11BD3"/>
    <w:rsid w:val="00D12158"/>
    <w:rsid w:val="00D13359"/>
    <w:rsid w:val="00D13804"/>
    <w:rsid w:val="00D13D0D"/>
    <w:rsid w:val="00D13FCE"/>
    <w:rsid w:val="00D1476A"/>
    <w:rsid w:val="00D149B0"/>
    <w:rsid w:val="00D155F6"/>
    <w:rsid w:val="00D15781"/>
    <w:rsid w:val="00D15DCB"/>
    <w:rsid w:val="00D15E1D"/>
    <w:rsid w:val="00D16137"/>
    <w:rsid w:val="00D16565"/>
    <w:rsid w:val="00D16674"/>
    <w:rsid w:val="00D16CBF"/>
    <w:rsid w:val="00D16DC7"/>
    <w:rsid w:val="00D1703E"/>
    <w:rsid w:val="00D173C2"/>
    <w:rsid w:val="00D17EA8"/>
    <w:rsid w:val="00D20082"/>
    <w:rsid w:val="00D204CD"/>
    <w:rsid w:val="00D205F2"/>
    <w:rsid w:val="00D21691"/>
    <w:rsid w:val="00D21901"/>
    <w:rsid w:val="00D21AB4"/>
    <w:rsid w:val="00D21C5A"/>
    <w:rsid w:val="00D21D89"/>
    <w:rsid w:val="00D220FE"/>
    <w:rsid w:val="00D223BF"/>
    <w:rsid w:val="00D23506"/>
    <w:rsid w:val="00D23546"/>
    <w:rsid w:val="00D2386A"/>
    <w:rsid w:val="00D23AAA"/>
    <w:rsid w:val="00D23ADE"/>
    <w:rsid w:val="00D2430B"/>
    <w:rsid w:val="00D2467B"/>
    <w:rsid w:val="00D247A8"/>
    <w:rsid w:val="00D24BA2"/>
    <w:rsid w:val="00D24D07"/>
    <w:rsid w:val="00D25C5A"/>
    <w:rsid w:val="00D26018"/>
    <w:rsid w:val="00D26039"/>
    <w:rsid w:val="00D266E6"/>
    <w:rsid w:val="00D267AA"/>
    <w:rsid w:val="00D26CB3"/>
    <w:rsid w:val="00D26F2A"/>
    <w:rsid w:val="00D26FDA"/>
    <w:rsid w:val="00D272F8"/>
    <w:rsid w:val="00D27767"/>
    <w:rsid w:val="00D30055"/>
    <w:rsid w:val="00D308FC"/>
    <w:rsid w:val="00D30A18"/>
    <w:rsid w:val="00D310C5"/>
    <w:rsid w:val="00D312DA"/>
    <w:rsid w:val="00D319DB"/>
    <w:rsid w:val="00D31A37"/>
    <w:rsid w:val="00D31F4E"/>
    <w:rsid w:val="00D32BC6"/>
    <w:rsid w:val="00D32E69"/>
    <w:rsid w:val="00D336CB"/>
    <w:rsid w:val="00D33F57"/>
    <w:rsid w:val="00D340A5"/>
    <w:rsid w:val="00D346E3"/>
    <w:rsid w:val="00D3474E"/>
    <w:rsid w:val="00D3476B"/>
    <w:rsid w:val="00D34B2C"/>
    <w:rsid w:val="00D3503F"/>
    <w:rsid w:val="00D35255"/>
    <w:rsid w:val="00D35839"/>
    <w:rsid w:val="00D35C62"/>
    <w:rsid w:val="00D35DF7"/>
    <w:rsid w:val="00D35FC5"/>
    <w:rsid w:val="00D3646A"/>
    <w:rsid w:val="00D3695B"/>
    <w:rsid w:val="00D37555"/>
    <w:rsid w:val="00D37B32"/>
    <w:rsid w:val="00D37CCB"/>
    <w:rsid w:val="00D37E44"/>
    <w:rsid w:val="00D40305"/>
    <w:rsid w:val="00D41213"/>
    <w:rsid w:val="00D42090"/>
    <w:rsid w:val="00D42092"/>
    <w:rsid w:val="00D42839"/>
    <w:rsid w:val="00D42EC4"/>
    <w:rsid w:val="00D4373D"/>
    <w:rsid w:val="00D43755"/>
    <w:rsid w:val="00D44C9F"/>
    <w:rsid w:val="00D4589C"/>
    <w:rsid w:val="00D45A7C"/>
    <w:rsid w:val="00D45C95"/>
    <w:rsid w:val="00D45E8A"/>
    <w:rsid w:val="00D461F9"/>
    <w:rsid w:val="00D46510"/>
    <w:rsid w:val="00D46E6F"/>
    <w:rsid w:val="00D46F21"/>
    <w:rsid w:val="00D47002"/>
    <w:rsid w:val="00D474DB"/>
    <w:rsid w:val="00D50514"/>
    <w:rsid w:val="00D50697"/>
    <w:rsid w:val="00D50A4A"/>
    <w:rsid w:val="00D50D5C"/>
    <w:rsid w:val="00D513F7"/>
    <w:rsid w:val="00D51AD1"/>
    <w:rsid w:val="00D51CC5"/>
    <w:rsid w:val="00D52480"/>
    <w:rsid w:val="00D5266F"/>
    <w:rsid w:val="00D53166"/>
    <w:rsid w:val="00D53590"/>
    <w:rsid w:val="00D53603"/>
    <w:rsid w:val="00D53C59"/>
    <w:rsid w:val="00D53F22"/>
    <w:rsid w:val="00D540F4"/>
    <w:rsid w:val="00D54169"/>
    <w:rsid w:val="00D54849"/>
    <w:rsid w:val="00D552FA"/>
    <w:rsid w:val="00D55A5B"/>
    <w:rsid w:val="00D55AAE"/>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C32"/>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075"/>
    <w:rsid w:val="00D71504"/>
    <w:rsid w:val="00D721C1"/>
    <w:rsid w:val="00D72890"/>
    <w:rsid w:val="00D72DA3"/>
    <w:rsid w:val="00D731F0"/>
    <w:rsid w:val="00D73CDA"/>
    <w:rsid w:val="00D75CA4"/>
    <w:rsid w:val="00D75D18"/>
    <w:rsid w:val="00D75D3E"/>
    <w:rsid w:val="00D75F53"/>
    <w:rsid w:val="00D7634E"/>
    <w:rsid w:val="00D76C42"/>
    <w:rsid w:val="00D76DF8"/>
    <w:rsid w:val="00D7785E"/>
    <w:rsid w:val="00D7791C"/>
    <w:rsid w:val="00D8030B"/>
    <w:rsid w:val="00D806CD"/>
    <w:rsid w:val="00D807E1"/>
    <w:rsid w:val="00D80ADB"/>
    <w:rsid w:val="00D80C4F"/>
    <w:rsid w:val="00D80D2C"/>
    <w:rsid w:val="00D80DA6"/>
    <w:rsid w:val="00D81323"/>
    <w:rsid w:val="00D81824"/>
    <w:rsid w:val="00D82066"/>
    <w:rsid w:val="00D82246"/>
    <w:rsid w:val="00D82309"/>
    <w:rsid w:val="00D83A3E"/>
    <w:rsid w:val="00D83A44"/>
    <w:rsid w:val="00D84182"/>
    <w:rsid w:val="00D841D2"/>
    <w:rsid w:val="00D84BE5"/>
    <w:rsid w:val="00D84FCD"/>
    <w:rsid w:val="00D852B7"/>
    <w:rsid w:val="00D85CAF"/>
    <w:rsid w:val="00D85FF4"/>
    <w:rsid w:val="00D86F2C"/>
    <w:rsid w:val="00D87016"/>
    <w:rsid w:val="00D87044"/>
    <w:rsid w:val="00D873C4"/>
    <w:rsid w:val="00D87673"/>
    <w:rsid w:val="00D87F0D"/>
    <w:rsid w:val="00D9005A"/>
    <w:rsid w:val="00D90345"/>
    <w:rsid w:val="00D90513"/>
    <w:rsid w:val="00D907BE"/>
    <w:rsid w:val="00D90AB3"/>
    <w:rsid w:val="00D90AC9"/>
    <w:rsid w:val="00D90C9B"/>
    <w:rsid w:val="00D917F6"/>
    <w:rsid w:val="00D91AB2"/>
    <w:rsid w:val="00D9260D"/>
    <w:rsid w:val="00D9298D"/>
    <w:rsid w:val="00D92A70"/>
    <w:rsid w:val="00D92BB7"/>
    <w:rsid w:val="00D931A6"/>
    <w:rsid w:val="00D9338C"/>
    <w:rsid w:val="00D935B7"/>
    <w:rsid w:val="00D942EF"/>
    <w:rsid w:val="00D94A82"/>
    <w:rsid w:val="00D94D14"/>
    <w:rsid w:val="00D94F60"/>
    <w:rsid w:val="00D955CB"/>
    <w:rsid w:val="00D9640D"/>
    <w:rsid w:val="00D96B6D"/>
    <w:rsid w:val="00D97030"/>
    <w:rsid w:val="00D97A3E"/>
    <w:rsid w:val="00D97D88"/>
    <w:rsid w:val="00D97FB5"/>
    <w:rsid w:val="00DA0061"/>
    <w:rsid w:val="00DA099B"/>
    <w:rsid w:val="00DA115C"/>
    <w:rsid w:val="00DA15D2"/>
    <w:rsid w:val="00DA1A88"/>
    <w:rsid w:val="00DA1ABA"/>
    <w:rsid w:val="00DA1D37"/>
    <w:rsid w:val="00DA2133"/>
    <w:rsid w:val="00DA28F8"/>
    <w:rsid w:val="00DA3373"/>
    <w:rsid w:val="00DA3500"/>
    <w:rsid w:val="00DA3732"/>
    <w:rsid w:val="00DA3874"/>
    <w:rsid w:val="00DA3912"/>
    <w:rsid w:val="00DA391C"/>
    <w:rsid w:val="00DA3934"/>
    <w:rsid w:val="00DA42A7"/>
    <w:rsid w:val="00DA44D6"/>
    <w:rsid w:val="00DA50B5"/>
    <w:rsid w:val="00DA50C6"/>
    <w:rsid w:val="00DA557A"/>
    <w:rsid w:val="00DA5D22"/>
    <w:rsid w:val="00DA5DC5"/>
    <w:rsid w:val="00DA6424"/>
    <w:rsid w:val="00DA65CA"/>
    <w:rsid w:val="00DA71D8"/>
    <w:rsid w:val="00DA7D06"/>
    <w:rsid w:val="00DB00D0"/>
    <w:rsid w:val="00DB0273"/>
    <w:rsid w:val="00DB051B"/>
    <w:rsid w:val="00DB0729"/>
    <w:rsid w:val="00DB0816"/>
    <w:rsid w:val="00DB10F8"/>
    <w:rsid w:val="00DB1147"/>
    <w:rsid w:val="00DB1A31"/>
    <w:rsid w:val="00DB1C1B"/>
    <w:rsid w:val="00DB21E9"/>
    <w:rsid w:val="00DB23DC"/>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2A1"/>
    <w:rsid w:val="00DB7B0E"/>
    <w:rsid w:val="00DB7EFA"/>
    <w:rsid w:val="00DC00B3"/>
    <w:rsid w:val="00DC03B4"/>
    <w:rsid w:val="00DC0517"/>
    <w:rsid w:val="00DC0698"/>
    <w:rsid w:val="00DC0E1C"/>
    <w:rsid w:val="00DC1108"/>
    <w:rsid w:val="00DC1405"/>
    <w:rsid w:val="00DC144E"/>
    <w:rsid w:val="00DC2793"/>
    <w:rsid w:val="00DC288E"/>
    <w:rsid w:val="00DC29A6"/>
    <w:rsid w:val="00DC2C4A"/>
    <w:rsid w:val="00DC2E88"/>
    <w:rsid w:val="00DC331F"/>
    <w:rsid w:val="00DC36E8"/>
    <w:rsid w:val="00DC3F37"/>
    <w:rsid w:val="00DC4453"/>
    <w:rsid w:val="00DC474D"/>
    <w:rsid w:val="00DC4890"/>
    <w:rsid w:val="00DC4BCF"/>
    <w:rsid w:val="00DC4FDA"/>
    <w:rsid w:val="00DC5567"/>
    <w:rsid w:val="00DC5CFE"/>
    <w:rsid w:val="00DC5DDA"/>
    <w:rsid w:val="00DC6CD9"/>
    <w:rsid w:val="00DC6E34"/>
    <w:rsid w:val="00DC6F93"/>
    <w:rsid w:val="00DC7501"/>
    <w:rsid w:val="00DC75D6"/>
    <w:rsid w:val="00DD009A"/>
    <w:rsid w:val="00DD04DE"/>
    <w:rsid w:val="00DD14AD"/>
    <w:rsid w:val="00DD14EE"/>
    <w:rsid w:val="00DD1A10"/>
    <w:rsid w:val="00DD2106"/>
    <w:rsid w:val="00DD22EF"/>
    <w:rsid w:val="00DD2819"/>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110F"/>
    <w:rsid w:val="00DE127A"/>
    <w:rsid w:val="00DE13D7"/>
    <w:rsid w:val="00DE19DE"/>
    <w:rsid w:val="00DE1D3E"/>
    <w:rsid w:val="00DE20EE"/>
    <w:rsid w:val="00DE253F"/>
    <w:rsid w:val="00DE2CB4"/>
    <w:rsid w:val="00DE2D46"/>
    <w:rsid w:val="00DE2DA7"/>
    <w:rsid w:val="00DE2E97"/>
    <w:rsid w:val="00DE332F"/>
    <w:rsid w:val="00DE3350"/>
    <w:rsid w:val="00DE36E5"/>
    <w:rsid w:val="00DE3834"/>
    <w:rsid w:val="00DE39F9"/>
    <w:rsid w:val="00DE3B24"/>
    <w:rsid w:val="00DE42CC"/>
    <w:rsid w:val="00DE546F"/>
    <w:rsid w:val="00DE54B1"/>
    <w:rsid w:val="00DE5898"/>
    <w:rsid w:val="00DE5909"/>
    <w:rsid w:val="00DE60EC"/>
    <w:rsid w:val="00DE6642"/>
    <w:rsid w:val="00DE6C00"/>
    <w:rsid w:val="00DE75C1"/>
    <w:rsid w:val="00DE75D7"/>
    <w:rsid w:val="00DE78DA"/>
    <w:rsid w:val="00DE7D59"/>
    <w:rsid w:val="00DF02F1"/>
    <w:rsid w:val="00DF0946"/>
    <w:rsid w:val="00DF158F"/>
    <w:rsid w:val="00DF1648"/>
    <w:rsid w:val="00DF1866"/>
    <w:rsid w:val="00DF1A34"/>
    <w:rsid w:val="00DF2217"/>
    <w:rsid w:val="00DF2259"/>
    <w:rsid w:val="00DF2418"/>
    <w:rsid w:val="00DF263C"/>
    <w:rsid w:val="00DF3AB1"/>
    <w:rsid w:val="00DF3EA6"/>
    <w:rsid w:val="00DF4208"/>
    <w:rsid w:val="00DF446B"/>
    <w:rsid w:val="00DF4586"/>
    <w:rsid w:val="00DF487B"/>
    <w:rsid w:val="00DF4A6C"/>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8A8"/>
    <w:rsid w:val="00E01EFB"/>
    <w:rsid w:val="00E0253F"/>
    <w:rsid w:val="00E025BC"/>
    <w:rsid w:val="00E027DB"/>
    <w:rsid w:val="00E0295B"/>
    <w:rsid w:val="00E02B22"/>
    <w:rsid w:val="00E03724"/>
    <w:rsid w:val="00E03E6C"/>
    <w:rsid w:val="00E04CDA"/>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1026"/>
    <w:rsid w:val="00E111E6"/>
    <w:rsid w:val="00E11377"/>
    <w:rsid w:val="00E11380"/>
    <w:rsid w:val="00E113C5"/>
    <w:rsid w:val="00E11673"/>
    <w:rsid w:val="00E1173F"/>
    <w:rsid w:val="00E11994"/>
    <w:rsid w:val="00E11F4C"/>
    <w:rsid w:val="00E122FA"/>
    <w:rsid w:val="00E13524"/>
    <w:rsid w:val="00E136F3"/>
    <w:rsid w:val="00E1385F"/>
    <w:rsid w:val="00E13A1B"/>
    <w:rsid w:val="00E13E47"/>
    <w:rsid w:val="00E13E4B"/>
    <w:rsid w:val="00E1407A"/>
    <w:rsid w:val="00E141FA"/>
    <w:rsid w:val="00E14494"/>
    <w:rsid w:val="00E1468E"/>
    <w:rsid w:val="00E14DAB"/>
    <w:rsid w:val="00E15796"/>
    <w:rsid w:val="00E15CA4"/>
    <w:rsid w:val="00E15EB4"/>
    <w:rsid w:val="00E15FA0"/>
    <w:rsid w:val="00E160C4"/>
    <w:rsid w:val="00E16215"/>
    <w:rsid w:val="00E1622F"/>
    <w:rsid w:val="00E163CD"/>
    <w:rsid w:val="00E1663A"/>
    <w:rsid w:val="00E17052"/>
    <w:rsid w:val="00E171E4"/>
    <w:rsid w:val="00E1720A"/>
    <w:rsid w:val="00E17273"/>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8DD"/>
    <w:rsid w:val="00E27A1B"/>
    <w:rsid w:val="00E301F1"/>
    <w:rsid w:val="00E30235"/>
    <w:rsid w:val="00E30460"/>
    <w:rsid w:val="00E304EA"/>
    <w:rsid w:val="00E3071D"/>
    <w:rsid w:val="00E30866"/>
    <w:rsid w:val="00E30935"/>
    <w:rsid w:val="00E30967"/>
    <w:rsid w:val="00E3141B"/>
    <w:rsid w:val="00E31495"/>
    <w:rsid w:val="00E31510"/>
    <w:rsid w:val="00E316CA"/>
    <w:rsid w:val="00E319A9"/>
    <w:rsid w:val="00E31A07"/>
    <w:rsid w:val="00E31BC3"/>
    <w:rsid w:val="00E31F71"/>
    <w:rsid w:val="00E32393"/>
    <w:rsid w:val="00E33001"/>
    <w:rsid w:val="00E3318C"/>
    <w:rsid w:val="00E332A2"/>
    <w:rsid w:val="00E33A3E"/>
    <w:rsid w:val="00E33FC7"/>
    <w:rsid w:val="00E341A0"/>
    <w:rsid w:val="00E343A2"/>
    <w:rsid w:val="00E348BC"/>
    <w:rsid w:val="00E34E7E"/>
    <w:rsid w:val="00E35E8D"/>
    <w:rsid w:val="00E36495"/>
    <w:rsid w:val="00E36511"/>
    <w:rsid w:val="00E365F5"/>
    <w:rsid w:val="00E366C9"/>
    <w:rsid w:val="00E36886"/>
    <w:rsid w:val="00E368E5"/>
    <w:rsid w:val="00E36B48"/>
    <w:rsid w:val="00E36D54"/>
    <w:rsid w:val="00E37BC5"/>
    <w:rsid w:val="00E37F50"/>
    <w:rsid w:val="00E40480"/>
    <w:rsid w:val="00E4090B"/>
    <w:rsid w:val="00E40A4B"/>
    <w:rsid w:val="00E40DCB"/>
    <w:rsid w:val="00E40FAA"/>
    <w:rsid w:val="00E41350"/>
    <w:rsid w:val="00E4146C"/>
    <w:rsid w:val="00E41755"/>
    <w:rsid w:val="00E41AE9"/>
    <w:rsid w:val="00E4213C"/>
    <w:rsid w:val="00E423E7"/>
    <w:rsid w:val="00E42510"/>
    <w:rsid w:val="00E43100"/>
    <w:rsid w:val="00E43A55"/>
    <w:rsid w:val="00E43B57"/>
    <w:rsid w:val="00E43CE7"/>
    <w:rsid w:val="00E446B3"/>
    <w:rsid w:val="00E44D3E"/>
    <w:rsid w:val="00E44EA6"/>
    <w:rsid w:val="00E44EBB"/>
    <w:rsid w:val="00E4573E"/>
    <w:rsid w:val="00E457EC"/>
    <w:rsid w:val="00E45CC9"/>
    <w:rsid w:val="00E461D4"/>
    <w:rsid w:val="00E46906"/>
    <w:rsid w:val="00E47015"/>
    <w:rsid w:val="00E4708B"/>
    <w:rsid w:val="00E470B2"/>
    <w:rsid w:val="00E47810"/>
    <w:rsid w:val="00E479D2"/>
    <w:rsid w:val="00E47B41"/>
    <w:rsid w:val="00E47D66"/>
    <w:rsid w:val="00E47D6C"/>
    <w:rsid w:val="00E50252"/>
    <w:rsid w:val="00E502FB"/>
    <w:rsid w:val="00E51843"/>
    <w:rsid w:val="00E523BE"/>
    <w:rsid w:val="00E5273E"/>
    <w:rsid w:val="00E52864"/>
    <w:rsid w:val="00E52B78"/>
    <w:rsid w:val="00E52D27"/>
    <w:rsid w:val="00E52F3A"/>
    <w:rsid w:val="00E53135"/>
    <w:rsid w:val="00E53148"/>
    <w:rsid w:val="00E537E4"/>
    <w:rsid w:val="00E53C32"/>
    <w:rsid w:val="00E53E98"/>
    <w:rsid w:val="00E548D9"/>
    <w:rsid w:val="00E54A1D"/>
    <w:rsid w:val="00E54B91"/>
    <w:rsid w:val="00E55A1B"/>
    <w:rsid w:val="00E55AE2"/>
    <w:rsid w:val="00E564CC"/>
    <w:rsid w:val="00E56558"/>
    <w:rsid w:val="00E56699"/>
    <w:rsid w:val="00E56922"/>
    <w:rsid w:val="00E56931"/>
    <w:rsid w:val="00E56DA9"/>
    <w:rsid w:val="00E56F72"/>
    <w:rsid w:val="00E5731F"/>
    <w:rsid w:val="00E574C2"/>
    <w:rsid w:val="00E575E6"/>
    <w:rsid w:val="00E601F1"/>
    <w:rsid w:val="00E60245"/>
    <w:rsid w:val="00E605D3"/>
    <w:rsid w:val="00E608E3"/>
    <w:rsid w:val="00E609F4"/>
    <w:rsid w:val="00E60D67"/>
    <w:rsid w:val="00E610AC"/>
    <w:rsid w:val="00E61267"/>
    <w:rsid w:val="00E6162B"/>
    <w:rsid w:val="00E61705"/>
    <w:rsid w:val="00E617A5"/>
    <w:rsid w:val="00E61D9C"/>
    <w:rsid w:val="00E62122"/>
    <w:rsid w:val="00E6314B"/>
    <w:rsid w:val="00E631DA"/>
    <w:rsid w:val="00E63354"/>
    <w:rsid w:val="00E63483"/>
    <w:rsid w:val="00E63A79"/>
    <w:rsid w:val="00E63ABE"/>
    <w:rsid w:val="00E63BC7"/>
    <w:rsid w:val="00E63DC8"/>
    <w:rsid w:val="00E642D9"/>
    <w:rsid w:val="00E64D33"/>
    <w:rsid w:val="00E6520F"/>
    <w:rsid w:val="00E65630"/>
    <w:rsid w:val="00E65CAE"/>
    <w:rsid w:val="00E66063"/>
    <w:rsid w:val="00E66253"/>
    <w:rsid w:val="00E6651E"/>
    <w:rsid w:val="00E66C1C"/>
    <w:rsid w:val="00E66C77"/>
    <w:rsid w:val="00E66F17"/>
    <w:rsid w:val="00E66FE6"/>
    <w:rsid w:val="00E670E6"/>
    <w:rsid w:val="00E670FA"/>
    <w:rsid w:val="00E67143"/>
    <w:rsid w:val="00E67388"/>
    <w:rsid w:val="00E67617"/>
    <w:rsid w:val="00E677D5"/>
    <w:rsid w:val="00E67928"/>
    <w:rsid w:val="00E67934"/>
    <w:rsid w:val="00E6796A"/>
    <w:rsid w:val="00E67E7C"/>
    <w:rsid w:val="00E7015A"/>
    <w:rsid w:val="00E701F4"/>
    <w:rsid w:val="00E70440"/>
    <w:rsid w:val="00E705CC"/>
    <w:rsid w:val="00E70638"/>
    <w:rsid w:val="00E70B77"/>
    <w:rsid w:val="00E713F9"/>
    <w:rsid w:val="00E714F3"/>
    <w:rsid w:val="00E71813"/>
    <w:rsid w:val="00E71AA8"/>
    <w:rsid w:val="00E71FD5"/>
    <w:rsid w:val="00E7235F"/>
    <w:rsid w:val="00E728A9"/>
    <w:rsid w:val="00E7343D"/>
    <w:rsid w:val="00E737A0"/>
    <w:rsid w:val="00E743C0"/>
    <w:rsid w:val="00E74891"/>
    <w:rsid w:val="00E75A0D"/>
    <w:rsid w:val="00E75C45"/>
    <w:rsid w:val="00E75D44"/>
    <w:rsid w:val="00E75DC6"/>
    <w:rsid w:val="00E761AD"/>
    <w:rsid w:val="00E76790"/>
    <w:rsid w:val="00E76B8D"/>
    <w:rsid w:val="00E76C76"/>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217C"/>
    <w:rsid w:val="00E8235F"/>
    <w:rsid w:val="00E828B4"/>
    <w:rsid w:val="00E828D2"/>
    <w:rsid w:val="00E828F2"/>
    <w:rsid w:val="00E828F3"/>
    <w:rsid w:val="00E829AB"/>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5875"/>
    <w:rsid w:val="00E86283"/>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3A11"/>
    <w:rsid w:val="00E93E7D"/>
    <w:rsid w:val="00E9480E"/>
    <w:rsid w:val="00E948E4"/>
    <w:rsid w:val="00E94D06"/>
    <w:rsid w:val="00E94E6D"/>
    <w:rsid w:val="00E95087"/>
    <w:rsid w:val="00E95AD1"/>
    <w:rsid w:val="00E95C8C"/>
    <w:rsid w:val="00E95E25"/>
    <w:rsid w:val="00E96275"/>
    <w:rsid w:val="00E96346"/>
    <w:rsid w:val="00E9678D"/>
    <w:rsid w:val="00E96D42"/>
    <w:rsid w:val="00E96E4E"/>
    <w:rsid w:val="00E975C2"/>
    <w:rsid w:val="00EA0C6A"/>
    <w:rsid w:val="00EA0D38"/>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0FD"/>
    <w:rsid w:val="00EA7364"/>
    <w:rsid w:val="00EA7AF6"/>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2D46"/>
    <w:rsid w:val="00EB32A5"/>
    <w:rsid w:val="00EB3885"/>
    <w:rsid w:val="00EB3AB3"/>
    <w:rsid w:val="00EB3E34"/>
    <w:rsid w:val="00EB3FB7"/>
    <w:rsid w:val="00EB43C6"/>
    <w:rsid w:val="00EB4558"/>
    <w:rsid w:val="00EB456E"/>
    <w:rsid w:val="00EB4680"/>
    <w:rsid w:val="00EB4856"/>
    <w:rsid w:val="00EB4895"/>
    <w:rsid w:val="00EB4DD3"/>
    <w:rsid w:val="00EB4E93"/>
    <w:rsid w:val="00EB560F"/>
    <w:rsid w:val="00EB565D"/>
    <w:rsid w:val="00EB6011"/>
    <w:rsid w:val="00EB682D"/>
    <w:rsid w:val="00EB6DA1"/>
    <w:rsid w:val="00EB6E26"/>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AEB"/>
    <w:rsid w:val="00EC5B95"/>
    <w:rsid w:val="00EC5D29"/>
    <w:rsid w:val="00EC5D62"/>
    <w:rsid w:val="00EC6883"/>
    <w:rsid w:val="00EC6A3E"/>
    <w:rsid w:val="00EC6F1E"/>
    <w:rsid w:val="00EC710F"/>
    <w:rsid w:val="00EC72C4"/>
    <w:rsid w:val="00EC7595"/>
    <w:rsid w:val="00EC75F2"/>
    <w:rsid w:val="00EC764C"/>
    <w:rsid w:val="00EC7B3C"/>
    <w:rsid w:val="00ED08D7"/>
    <w:rsid w:val="00ED0AA1"/>
    <w:rsid w:val="00ED0D2E"/>
    <w:rsid w:val="00ED1133"/>
    <w:rsid w:val="00ED13D4"/>
    <w:rsid w:val="00ED1576"/>
    <w:rsid w:val="00ED1A63"/>
    <w:rsid w:val="00ED1BC9"/>
    <w:rsid w:val="00ED1F26"/>
    <w:rsid w:val="00ED266A"/>
    <w:rsid w:val="00ED26A8"/>
    <w:rsid w:val="00ED2880"/>
    <w:rsid w:val="00ED2AC0"/>
    <w:rsid w:val="00ED3B62"/>
    <w:rsid w:val="00ED3BB5"/>
    <w:rsid w:val="00ED3E55"/>
    <w:rsid w:val="00ED3F63"/>
    <w:rsid w:val="00ED4A03"/>
    <w:rsid w:val="00ED52A4"/>
    <w:rsid w:val="00ED543D"/>
    <w:rsid w:val="00ED5518"/>
    <w:rsid w:val="00ED5AF3"/>
    <w:rsid w:val="00ED6A5F"/>
    <w:rsid w:val="00ED7595"/>
    <w:rsid w:val="00ED75A8"/>
    <w:rsid w:val="00ED7C30"/>
    <w:rsid w:val="00ED7E0C"/>
    <w:rsid w:val="00EE037A"/>
    <w:rsid w:val="00EE075B"/>
    <w:rsid w:val="00EE10E5"/>
    <w:rsid w:val="00EE13BC"/>
    <w:rsid w:val="00EE17B3"/>
    <w:rsid w:val="00EE1CDC"/>
    <w:rsid w:val="00EE1FAA"/>
    <w:rsid w:val="00EE219C"/>
    <w:rsid w:val="00EE366B"/>
    <w:rsid w:val="00EE4352"/>
    <w:rsid w:val="00EE43B9"/>
    <w:rsid w:val="00EE4A07"/>
    <w:rsid w:val="00EE50EB"/>
    <w:rsid w:val="00EE52A0"/>
    <w:rsid w:val="00EE552A"/>
    <w:rsid w:val="00EE703E"/>
    <w:rsid w:val="00EE7416"/>
    <w:rsid w:val="00EE748A"/>
    <w:rsid w:val="00EE770C"/>
    <w:rsid w:val="00EE7D7E"/>
    <w:rsid w:val="00EE7DB2"/>
    <w:rsid w:val="00EF0237"/>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4746"/>
    <w:rsid w:val="00EF4765"/>
    <w:rsid w:val="00EF554B"/>
    <w:rsid w:val="00EF5666"/>
    <w:rsid w:val="00EF5A22"/>
    <w:rsid w:val="00EF5E52"/>
    <w:rsid w:val="00EF5FF2"/>
    <w:rsid w:val="00EF6168"/>
    <w:rsid w:val="00EF671A"/>
    <w:rsid w:val="00EF6B29"/>
    <w:rsid w:val="00EF6E86"/>
    <w:rsid w:val="00EF74D8"/>
    <w:rsid w:val="00F0061A"/>
    <w:rsid w:val="00F00634"/>
    <w:rsid w:val="00F00B4F"/>
    <w:rsid w:val="00F016F0"/>
    <w:rsid w:val="00F01A3A"/>
    <w:rsid w:val="00F01B62"/>
    <w:rsid w:val="00F020D2"/>
    <w:rsid w:val="00F038BE"/>
    <w:rsid w:val="00F03B30"/>
    <w:rsid w:val="00F040CA"/>
    <w:rsid w:val="00F0493B"/>
    <w:rsid w:val="00F04B0C"/>
    <w:rsid w:val="00F04BA3"/>
    <w:rsid w:val="00F04CC7"/>
    <w:rsid w:val="00F04E94"/>
    <w:rsid w:val="00F05335"/>
    <w:rsid w:val="00F05782"/>
    <w:rsid w:val="00F05914"/>
    <w:rsid w:val="00F05C49"/>
    <w:rsid w:val="00F05D76"/>
    <w:rsid w:val="00F05F52"/>
    <w:rsid w:val="00F06F14"/>
    <w:rsid w:val="00F075A1"/>
    <w:rsid w:val="00F10101"/>
    <w:rsid w:val="00F10136"/>
    <w:rsid w:val="00F109EA"/>
    <w:rsid w:val="00F113F1"/>
    <w:rsid w:val="00F116C2"/>
    <w:rsid w:val="00F116CC"/>
    <w:rsid w:val="00F12867"/>
    <w:rsid w:val="00F1293E"/>
    <w:rsid w:val="00F1295C"/>
    <w:rsid w:val="00F13197"/>
    <w:rsid w:val="00F1370A"/>
    <w:rsid w:val="00F137CB"/>
    <w:rsid w:val="00F1391F"/>
    <w:rsid w:val="00F1392A"/>
    <w:rsid w:val="00F13AA6"/>
    <w:rsid w:val="00F143D4"/>
    <w:rsid w:val="00F14534"/>
    <w:rsid w:val="00F145C2"/>
    <w:rsid w:val="00F14883"/>
    <w:rsid w:val="00F14916"/>
    <w:rsid w:val="00F14AA3"/>
    <w:rsid w:val="00F14B2D"/>
    <w:rsid w:val="00F14DCB"/>
    <w:rsid w:val="00F15104"/>
    <w:rsid w:val="00F153EC"/>
    <w:rsid w:val="00F1550F"/>
    <w:rsid w:val="00F15AD2"/>
    <w:rsid w:val="00F15B7E"/>
    <w:rsid w:val="00F16074"/>
    <w:rsid w:val="00F1634B"/>
    <w:rsid w:val="00F163A6"/>
    <w:rsid w:val="00F16475"/>
    <w:rsid w:val="00F164C6"/>
    <w:rsid w:val="00F168DB"/>
    <w:rsid w:val="00F16FE5"/>
    <w:rsid w:val="00F1745E"/>
    <w:rsid w:val="00F17F61"/>
    <w:rsid w:val="00F20956"/>
    <w:rsid w:val="00F20ADC"/>
    <w:rsid w:val="00F210DD"/>
    <w:rsid w:val="00F214E9"/>
    <w:rsid w:val="00F2159C"/>
    <w:rsid w:val="00F21714"/>
    <w:rsid w:val="00F2181E"/>
    <w:rsid w:val="00F21A2A"/>
    <w:rsid w:val="00F222B7"/>
    <w:rsid w:val="00F22650"/>
    <w:rsid w:val="00F22B6F"/>
    <w:rsid w:val="00F22FF7"/>
    <w:rsid w:val="00F23459"/>
    <w:rsid w:val="00F2345D"/>
    <w:rsid w:val="00F234E0"/>
    <w:rsid w:val="00F237CE"/>
    <w:rsid w:val="00F23DB2"/>
    <w:rsid w:val="00F23ED9"/>
    <w:rsid w:val="00F2401F"/>
    <w:rsid w:val="00F245E2"/>
    <w:rsid w:val="00F24739"/>
    <w:rsid w:val="00F25775"/>
    <w:rsid w:val="00F25968"/>
    <w:rsid w:val="00F2602F"/>
    <w:rsid w:val="00F26B56"/>
    <w:rsid w:val="00F26C40"/>
    <w:rsid w:val="00F27353"/>
    <w:rsid w:val="00F27981"/>
    <w:rsid w:val="00F27B84"/>
    <w:rsid w:val="00F300B0"/>
    <w:rsid w:val="00F303DA"/>
    <w:rsid w:val="00F304C8"/>
    <w:rsid w:val="00F305D3"/>
    <w:rsid w:val="00F30902"/>
    <w:rsid w:val="00F30B06"/>
    <w:rsid w:val="00F313A2"/>
    <w:rsid w:val="00F31A3A"/>
    <w:rsid w:val="00F31AE7"/>
    <w:rsid w:val="00F3200E"/>
    <w:rsid w:val="00F32483"/>
    <w:rsid w:val="00F3265E"/>
    <w:rsid w:val="00F335A5"/>
    <w:rsid w:val="00F336DE"/>
    <w:rsid w:val="00F339C4"/>
    <w:rsid w:val="00F33AF8"/>
    <w:rsid w:val="00F33DDE"/>
    <w:rsid w:val="00F33EE6"/>
    <w:rsid w:val="00F33F40"/>
    <w:rsid w:val="00F344A8"/>
    <w:rsid w:val="00F34881"/>
    <w:rsid w:val="00F34CA2"/>
    <w:rsid w:val="00F34E9C"/>
    <w:rsid w:val="00F34EA3"/>
    <w:rsid w:val="00F34F43"/>
    <w:rsid w:val="00F352EC"/>
    <w:rsid w:val="00F35CF1"/>
    <w:rsid w:val="00F35DED"/>
    <w:rsid w:val="00F3624C"/>
    <w:rsid w:val="00F365BD"/>
    <w:rsid w:val="00F367CE"/>
    <w:rsid w:val="00F3706F"/>
    <w:rsid w:val="00F37188"/>
    <w:rsid w:val="00F374BA"/>
    <w:rsid w:val="00F37B4D"/>
    <w:rsid w:val="00F37B77"/>
    <w:rsid w:val="00F37C30"/>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434"/>
    <w:rsid w:val="00F42772"/>
    <w:rsid w:val="00F429B3"/>
    <w:rsid w:val="00F4321F"/>
    <w:rsid w:val="00F436AA"/>
    <w:rsid w:val="00F43BE0"/>
    <w:rsid w:val="00F43C37"/>
    <w:rsid w:val="00F43CE4"/>
    <w:rsid w:val="00F44056"/>
    <w:rsid w:val="00F444A2"/>
    <w:rsid w:val="00F44688"/>
    <w:rsid w:val="00F4488B"/>
    <w:rsid w:val="00F44C53"/>
    <w:rsid w:val="00F4512B"/>
    <w:rsid w:val="00F4542B"/>
    <w:rsid w:val="00F45554"/>
    <w:rsid w:val="00F460D6"/>
    <w:rsid w:val="00F4623F"/>
    <w:rsid w:val="00F47158"/>
    <w:rsid w:val="00F471EA"/>
    <w:rsid w:val="00F474FD"/>
    <w:rsid w:val="00F4754B"/>
    <w:rsid w:val="00F476FC"/>
    <w:rsid w:val="00F47A4B"/>
    <w:rsid w:val="00F47AFF"/>
    <w:rsid w:val="00F5005F"/>
    <w:rsid w:val="00F501C2"/>
    <w:rsid w:val="00F50529"/>
    <w:rsid w:val="00F50635"/>
    <w:rsid w:val="00F50E45"/>
    <w:rsid w:val="00F513BF"/>
    <w:rsid w:val="00F51831"/>
    <w:rsid w:val="00F5197E"/>
    <w:rsid w:val="00F51C19"/>
    <w:rsid w:val="00F51EA3"/>
    <w:rsid w:val="00F520BF"/>
    <w:rsid w:val="00F525E5"/>
    <w:rsid w:val="00F5321A"/>
    <w:rsid w:val="00F53D59"/>
    <w:rsid w:val="00F53EE9"/>
    <w:rsid w:val="00F54146"/>
    <w:rsid w:val="00F54441"/>
    <w:rsid w:val="00F5453C"/>
    <w:rsid w:val="00F54725"/>
    <w:rsid w:val="00F558A3"/>
    <w:rsid w:val="00F5615F"/>
    <w:rsid w:val="00F5643D"/>
    <w:rsid w:val="00F56465"/>
    <w:rsid w:val="00F56638"/>
    <w:rsid w:val="00F56938"/>
    <w:rsid w:val="00F56973"/>
    <w:rsid w:val="00F57003"/>
    <w:rsid w:val="00F5710C"/>
    <w:rsid w:val="00F577AE"/>
    <w:rsid w:val="00F57F2E"/>
    <w:rsid w:val="00F60035"/>
    <w:rsid w:val="00F601C0"/>
    <w:rsid w:val="00F6098A"/>
    <w:rsid w:val="00F61130"/>
    <w:rsid w:val="00F6113B"/>
    <w:rsid w:val="00F6143E"/>
    <w:rsid w:val="00F6165F"/>
    <w:rsid w:val="00F61A8E"/>
    <w:rsid w:val="00F621A4"/>
    <w:rsid w:val="00F625B8"/>
    <w:rsid w:val="00F62AA1"/>
    <w:rsid w:val="00F6317F"/>
    <w:rsid w:val="00F637DA"/>
    <w:rsid w:val="00F63C28"/>
    <w:rsid w:val="00F645DE"/>
    <w:rsid w:val="00F64A7C"/>
    <w:rsid w:val="00F64C41"/>
    <w:rsid w:val="00F64E5B"/>
    <w:rsid w:val="00F651B3"/>
    <w:rsid w:val="00F65858"/>
    <w:rsid w:val="00F65C77"/>
    <w:rsid w:val="00F65CFA"/>
    <w:rsid w:val="00F66118"/>
    <w:rsid w:val="00F666C3"/>
    <w:rsid w:val="00F66827"/>
    <w:rsid w:val="00F669E6"/>
    <w:rsid w:val="00F66C69"/>
    <w:rsid w:val="00F66E84"/>
    <w:rsid w:val="00F66EC3"/>
    <w:rsid w:val="00F670CC"/>
    <w:rsid w:val="00F67106"/>
    <w:rsid w:val="00F671D8"/>
    <w:rsid w:val="00F67ACF"/>
    <w:rsid w:val="00F70533"/>
    <w:rsid w:val="00F7070D"/>
    <w:rsid w:val="00F70AD0"/>
    <w:rsid w:val="00F70D28"/>
    <w:rsid w:val="00F70D32"/>
    <w:rsid w:val="00F70DFE"/>
    <w:rsid w:val="00F70F96"/>
    <w:rsid w:val="00F7110F"/>
    <w:rsid w:val="00F712B4"/>
    <w:rsid w:val="00F717B2"/>
    <w:rsid w:val="00F71B84"/>
    <w:rsid w:val="00F71C5D"/>
    <w:rsid w:val="00F720BF"/>
    <w:rsid w:val="00F72186"/>
    <w:rsid w:val="00F7266F"/>
    <w:rsid w:val="00F729FA"/>
    <w:rsid w:val="00F73838"/>
    <w:rsid w:val="00F7412C"/>
    <w:rsid w:val="00F74CBB"/>
    <w:rsid w:val="00F74E3E"/>
    <w:rsid w:val="00F75300"/>
    <w:rsid w:val="00F754C8"/>
    <w:rsid w:val="00F75540"/>
    <w:rsid w:val="00F75690"/>
    <w:rsid w:val="00F75C50"/>
    <w:rsid w:val="00F76296"/>
    <w:rsid w:val="00F76474"/>
    <w:rsid w:val="00F76BC3"/>
    <w:rsid w:val="00F76F98"/>
    <w:rsid w:val="00F77819"/>
    <w:rsid w:val="00F8004A"/>
    <w:rsid w:val="00F80218"/>
    <w:rsid w:val="00F803E8"/>
    <w:rsid w:val="00F805F8"/>
    <w:rsid w:val="00F80E20"/>
    <w:rsid w:val="00F81477"/>
    <w:rsid w:val="00F814C1"/>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FDF"/>
    <w:rsid w:val="00F8602E"/>
    <w:rsid w:val="00F86067"/>
    <w:rsid w:val="00F8643D"/>
    <w:rsid w:val="00F86686"/>
    <w:rsid w:val="00F86A46"/>
    <w:rsid w:val="00F8703D"/>
    <w:rsid w:val="00F8709D"/>
    <w:rsid w:val="00F87686"/>
    <w:rsid w:val="00F877DA"/>
    <w:rsid w:val="00F878B7"/>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5DA9"/>
    <w:rsid w:val="00F961A7"/>
    <w:rsid w:val="00F96713"/>
    <w:rsid w:val="00F96D77"/>
    <w:rsid w:val="00F96FB5"/>
    <w:rsid w:val="00F972AA"/>
    <w:rsid w:val="00F978C5"/>
    <w:rsid w:val="00F97AB7"/>
    <w:rsid w:val="00FA0218"/>
    <w:rsid w:val="00FA07EF"/>
    <w:rsid w:val="00FA085D"/>
    <w:rsid w:val="00FA0D79"/>
    <w:rsid w:val="00FA1470"/>
    <w:rsid w:val="00FA16D9"/>
    <w:rsid w:val="00FA1E36"/>
    <w:rsid w:val="00FA233A"/>
    <w:rsid w:val="00FA2620"/>
    <w:rsid w:val="00FA2FAE"/>
    <w:rsid w:val="00FA311F"/>
    <w:rsid w:val="00FA33DE"/>
    <w:rsid w:val="00FA3A8E"/>
    <w:rsid w:val="00FA442C"/>
    <w:rsid w:val="00FA4462"/>
    <w:rsid w:val="00FA4823"/>
    <w:rsid w:val="00FA4BB8"/>
    <w:rsid w:val="00FA4E90"/>
    <w:rsid w:val="00FA4ED4"/>
    <w:rsid w:val="00FA5CED"/>
    <w:rsid w:val="00FA6085"/>
    <w:rsid w:val="00FA64A7"/>
    <w:rsid w:val="00FA6555"/>
    <w:rsid w:val="00FA65EB"/>
    <w:rsid w:val="00FA6662"/>
    <w:rsid w:val="00FA7C58"/>
    <w:rsid w:val="00FA7D2B"/>
    <w:rsid w:val="00FB0718"/>
    <w:rsid w:val="00FB0CB2"/>
    <w:rsid w:val="00FB0EF3"/>
    <w:rsid w:val="00FB12D6"/>
    <w:rsid w:val="00FB16FD"/>
    <w:rsid w:val="00FB17D9"/>
    <w:rsid w:val="00FB1D31"/>
    <w:rsid w:val="00FB2298"/>
    <w:rsid w:val="00FB2781"/>
    <w:rsid w:val="00FB2837"/>
    <w:rsid w:val="00FB2D77"/>
    <w:rsid w:val="00FB2EEE"/>
    <w:rsid w:val="00FB3246"/>
    <w:rsid w:val="00FB4044"/>
    <w:rsid w:val="00FB42B0"/>
    <w:rsid w:val="00FB441B"/>
    <w:rsid w:val="00FB4714"/>
    <w:rsid w:val="00FB47EC"/>
    <w:rsid w:val="00FB49B6"/>
    <w:rsid w:val="00FB4A64"/>
    <w:rsid w:val="00FB4AFE"/>
    <w:rsid w:val="00FB4B76"/>
    <w:rsid w:val="00FB4E54"/>
    <w:rsid w:val="00FB62B7"/>
    <w:rsid w:val="00FB6849"/>
    <w:rsid w:val="00FB689C"/>
    <w:rsid w:val="00FB6DC9"/>
    <w:rsid w:val="00FB6FA2"/>
    <w:rsid w:val="00FB71DA"/>
    <w:rsid w:val="00FB7469"/>
    <w:rsid w:val="00FB75B3"/>
    <w:rsid w:val="00FB7650"/>
    <w:rsid w:val="00FB7804"/>
    <w:rsid w:val="00FB7C5E"/>
    <w:rsid w:val="00FB7D8D"/>
    <w:rsid w:val="00FC0010"/>
    <w:rsid w:val="00FC06C9"/>
    <w:rsid w:val="00FC0A02"/>
    <w:rsid w:val="00FC0A2C"/>
    <w:rsid w:val="00FC0BE1"/>
    <w:rsid w:val="00FC101B"/>
    <w:rsid w:val="00FC1740"/>
    <w:rsid w:val="00FC17EE"/>
    <w:rsid w:val="00FC1894"/>
    <w:rsid w:val="00FC1970"/>
    <w:rsid w:val="00FC27A0"/>
    <w:rsid w:val="00FC2EDD"/>
    <w:rsid w:val="00FC3483"/>
    <w:rsid w:val="00FC36F4"/>
    <w:rsid w:val="00FC4920"/>
    <w:rsid w:val="00FC4BF9"/>
    <w:rsid w:val="00FC4DB4"/>
    <w:rsid w:val="00FC60FB"/>
    <w:rsid w:val="00FC6116"/>
    <w:rsid w:val="00FC6120"/>
    <w:rsid w:val="00FC68C0"/>
    <w:rsid w:val="00FC70B4"/>
    <w:rsid w:val="00FC70C9"/>
    <w:rsid w:val="00FC76D2"/>
    <w:rsid w:val="00FC788E"/>
    <w:rsid w:val="00FC7D34"/>
    <w:rsid w:val="00FD0594"/>
    <w:rsid w:val="00FD0A93"/>
    <w:rsid w:val="00FD0D4F"/>
    <w:rsid w:val="00FD0E65"/>
    <w:rsid w:val="00FD1225"/>
    <w:rsid w:val="00FD1323"/>
    <w:rsid w:val="00FD1352"/>
    <w:rsid w:val="00FD1B18"/>
    <w:rsid w:val="00FD1DA7"/>
    <w:rsid w:val="00FD333D"/>
    <w:rsid w:val="00FD37F7"/>
    <w:rsid w:val="00FD40A5"/>
    <w:rsid w:val="00FD4E04"/>
    <w:rsid w:val="00FD6482"/>
    <w:rsid w:val="00FD667B"/>
    <w:rsid w:val="00FD675F"/>
    <w:rsid w:val="00FD6A06"/>
    <w:rsid w:val="00FD70A4"/>
    <w:rsid w:val="00FD7276"/>
    <w:rsid w:val="00FD763D"/>
    <w:rsid w:val="00FD7702"/>
    <w:rsid w:val="00FD77DE"/>
    <w:rsid w:val="00FD7AB3"/>
    <w:rsid w:val="00FD7AD5"/>
    <w:rsid w:val="00FD7B71"/>
    <w:rsid w:val="00FE0066"/>
    <w:rsid w:val="00FE01BF"/>
    <w:rsid w:val="00FE02A0"/>
    <w:rsid w:val="00FE0757"/>
    <w:rsid w:val="00FE07BC"/>
    <w:rsid w:val="00FE0AD0"/>
    <w:rsid w:val="00FE11D5"/>
    <w:rsid w:val="00FE138C"/>
    <w:rsid w:val="00FE1B03"/>
    <w:rsid w:val="00FE1D55"/>
    <w:rsid w:val="00FE1DDA"/>
    <w:rsid w:val="00FE2B15"/>
    <w:rsid w:val="00FE2C35"/>
    <w:rsid w:val="00FE2F12"/>
    <w:rsid w:val="00FE3B63"/>
    <w:rsid w:val="00FE3C9C"/>
    <w:rsid w:val="00FE3EF7"/>
    <w:rsid w:val="00FE45FC"/>
    <w:rsid w:val="00FE4B88"/>
    <w:rsid w:val="00FE4D7E"/>
    <w:rsid w:val="00FE4DEE"/>
    <w:rsid w:val="00FE5211"/>
    <w:rsid w:val="00FE523E"/>
    <w:rsid w:val="00FE555D"/>
    <w:rsid w:val="00FE5A37"/>
    <w:rsid w:val="00FE6205"/>
    <w:rsid w:val="00FE6BD2"/>
    <w:rsid w:val="00FE71EC"/>
    <w:rsid w:val="00FE722E"/>
    <w:rsid w:val="00FE75D2"/>
    <w:rsid w:val="00FE7E48"/>
    <w:rsid w:val="00FF0599"/>
    <w:rsid w:val="00FF0E15"/>
    <w:rsid w:val="00FF0E71"/>
    <w:rsid w:val="00FF0FA7"/>
    <w:rsid w:val="00FF1662"/>
    <w:rsid w:val="00FF1BD1"/>
    <w:rsid w:val="00FF1D2E"/>
    <w:rsid w:val="00FF2773"/>
    <w:rsid w:val="00FF2855"/>
    <w:rsid w:val="00FF2A2F"/>
    <w:rsid w:val="00FF35E5"/>
    <w:rsid w:val="00FF399F"/>
    <w:rsid w:val="00FF41E1"/>
    <w:rsid w:val="00FF4D96"/>
    <w:rsid w:val="00FF4DE3"/>
    <w:rsid w:val="00FF5464"/>
    <w:rsid w:val="00FF5627"/>
    <w:rsid w:val="00FF6133"/>
    <w:rsid w:val="00FF627D"/>
    <w:rsid w:val="00FF6499"/>
    <w:rsid w:val="00FF6787"/>
    <w:rsid w:val="00FF69D7"/>
    <w:rsid w:val="00FF6B1E"/>
    <w:rsid w:val="00FF6E5F"/>
    <w:rsid w:val="00FF7344"/>
    <w:rsid w:val="00FF7864"/>
    <w:rsid w:val="00FF7CB1"/>
    <w:rsid w:val="0194C86C"/>
    <w:rsid w:val="04263465"/>
    <w:rsid w:val="05A42352"/>
    <w:rsid w:val="07323371"/>
    <w:rsid w:val="07F42E72"/>
    <w:rsid w:val="08587BEC"/>
    <w:rsid w:val="0D40CBE8"/>
    <w:rsid w:val="0E5AC4D6"/>
    <w:rsid w:val="0EC0D99E"/>
    <w:rsid w:val="0EC29A11"/>
    <w:rsid w:val="0FB5FD57"/>
    <w:rsid w:val="12AE007B"/>
    <w:rsid w:val="1464BD30"/>
    <w:rsid w:val="159203AC"/>
    <w:rsid w:val="16AF716D"/>
    <w:rsid w:val="16CBEB83"/>
    <w:rsid w:val="178E3BA8"/>
    <w:rsid w:val="18710A30"/>
    <w:rsid w:val="1A0CDA91"/>
    <w:rsid w:val="1CBD66D5"/>
    <w:rsid w:val="1FD40EA7"/>
    <w:rsid w:val="29477982"/>
    <w:rsid w:val="2BB58E5C"/>
    <w:rsid w:val="2C7691A8"/>
    <w:rsid w:val="2DDFFA99"/>
    <w:rsid w:val="2FF51EEC"/>
    <w:rsid w:val="30BD53F4"/>
    <w:rsid w:val="346DB4BB"/>
    <w:rsid w:val="3882C8A1"/>
    <w:rsid w:val="390AAC7E"/>
    <w:rsid w:val="39924E3F"/>
    <w:rsid w:val="3ABEE87A"/>
    <w:rsid w:val="3BC3B7AF"/>
    <w:rsid w:val="3DE0ED44"/>
    <w:rsid w:val="3E534B03"/>
    <w:rsid w:val="42031032"/>
    <w:rsid w:val="42B719A0"/>
    <w:rsid w:val="463BE63F"/>
    <w:rsid w:val="473109F8"/>
    <w:rsid w:val="47EA0BD1"/>
    <w:rsid w:val="4B31CE0B"/>
    <w:rsid w:val="4B40714D"/>
    <w:rsid w:val="507417BC"/>
    <w:rsid w:val="51CD6103"/>
    <w:rsid w:val="52E20E49"/>
    <w:rsid w:val="562F425C"/>
    <w:rsid w:val="5B7D7DF2"/>
    <w:rsid w:val="5C5F70AD"/>
    <w:rsid w:val="5E650974"/>
    <w:rsid w:val="619CAA36"/>
    <w:rsid w:val="62F9AAC6"/>
    <w:rsid w:val="63387A97"/>
    <w:rsid w:val="66AA12C6"/>
    <w:rsid w:val="680BEBBA"/>
    <w:rsid w:val="6B88FD16"/>
    <w:rsid w:val="6C02B5A9"/>
    <w:rsid w:val="6F2A667F"/>
    <w:rsid w:val="7064C240"/>
    <w:rsid w:val="72FF2EFF"/>
    <w:rsid w:val="73828C4F"/>
    <w:rsid w:val="77D01F46"/>
    <w:rsid w:val="77E01885"/>
    <w:rsid w:val="79B92520"/>
    <w:rsid w:val="7C93D586"/>
    <w:rsid w:val="7D345B10"/>
    <w:rsid w:val="7E2DD4E7"/>
    <w:rsid w:val="7F34C8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CHI@mass.gov" TargetMode="External"/><Relationship Id="rId18" Type="http://schemas.openxmlformats.org/officeDocument/2006/relationships/hyperlink" Target="https://www.cancer.gov/about-cancer/treatment/types/radiation-therapy/external-bea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opkinsmedicine.org/health/treatment-tests-and-therapies/stereotactic-radiosurgery" TargetMode="External"/><Relationship Id="rId7" Type="http://schemas.openxmlformats.org/officeDocument/2006/relationships/settings" Target="settings.xml"/><Relationship Id="rId12" Type="http://schemas.openxmlformats.org/officeDocument/2006/relationships/hyperlink" Target="mailto:dongrants@hria.org" TargetMode="External"/><Relationship Id="rId17" Type="http://schemas.openxmlformats.org/officeDocument/2006/relationships/hyperlink" Target="https://www.acr.org/-/media/ACR/Files/Practice-Parameters/imrt-ro.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cr.org/-/media/ACR/Files/Practice-Parameters/imrt-ro.pdf" TargetMode="External"/><Relationship Id="rId20" Type="http://schemas.openxmlformats.org/officeDocument/2006/relationships/hyperlink" Target="https://www.hopkinsmedicine.org/health/treatment-tests-and-therapies/stereotactic-radiosurge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cer.gov/about-cancer/treatment/types/radiation-therapy" TargetMode="External"/><Relationship Id="rId23" Type="http://schemas.openxmlformats.org/officeDocument/2006/relationships/hyperlink" Target="https://www.mayoclinic.org/tests-procedures/stereotactic-radiosurgery/about/pac-2038452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ncer.gov/about-cancer/treatment/types/radiation-therapy/external-b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gov/about-cancer/treatment/types/radiation-therapy" TargetMode="External"/><Relationship Id="rId22" Type="http://schemas.openxmlformats.org/officeDocument/2006/relationships/hyperlink" Target="https://www.mayoclinic.org/tests-procedures/stereotactic-radiosurgery/about/pac-20384526." TargetMode="External"/><Relationship Id="rId27"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cdc.gov/cancer/dcpc/prevention/older-adulthood.htm" TargetMode="External"/><Relationship Id="rId13" Type="http://schemas.openxmlformats.org/officeDocument/2006/relationships/hyperlink" Target="https://www.advisory.com/topics/oncology/2019/05/oncology-market-estimator" TargetMode="External"/><Relationship Id="rId18" Type="http://schemas.openxmlformats.org/officeDocument/2006/relationships/hyperlink" Target="https://training.seer.cancer.gov/treatment/radiation/types.html" TargetMode="External"/><Relationship Id="rId3" Type="http://schemas.openxmlformats.org/officeDocument/2006/relationships/hyperlink" Target="https://www.chiamass.gov/assets/docs/r/hospital-profiles/2020/hospital-health-systems/Beth-Israel-Lahey.pdf" TargetMode="External"/><Relationship Id="rId21" Type="http://schemas.openxmlformats.org/officeDocument/2006/relationships/hyperlink" Target="https://www.healthit.gov/topic/health-it-and-health-information-exchange-basics/improve-care-coordination" TargetMode="External"/><Relationship Id="rId7" Type="http://schemas.openxmlformats.org/officeDocument/2006/relationships/hyperlink" Target="https://www.cdc.gov/cancer/dcpc/prevention/older-adulthood.htm" TargetMode="External"/><Relationship Id="rId12" Type="http://schemas.openxmlformats.org/officeDocument/2006/relationships/hyperlink" Target="https://www.advisory.com/topics/oncology/2020/06/cancer-incidence-estimator" TargetMode="External"/><Relationship Id="rId17" Type="http://schemas.openxmlformats.org/officeDocument/2006/relationships/hyperlink" Target="https://training.seer.cancer.gov/treatment/radiation/types.html" TargetMode="External"/><Relationship Id="rId25" Type="http://schemas.openxmlformats.org/officeDocument/2006/relationships/hyperlink" Target="https://www.healthit.gov/topic/health-it-and-health-information-exchange-basics/improved-diagnostics-patient-outcomes" TargetMode="External"/><Relationship Id="rId2" Type="http://schemas.openxmlformats.org/officeDocument/2006/relationships/hyperlink" Target="https://www.chiamass.gov/assets/docs/r/hospital-profiles/2021/FY21-Massachusetts-Hospital-Profiles-Technical-Appendix.pdf" TargetMode="External"/><Relationship Id="rId16" Type="http://schemas.openxmlformats.org/officeDocument/2006/relationships/hyperlink" Target="https://accreditationsupport.acr.org/support/solutions/articles/11000049781-personnel-radiation-oncology-revised-8-2-2022-" TargetMode="External"/><Relationship Id="rId20" Type="http://schemas.openxmlformats.org/officeDocument/2006/relationships/hyperlink" Target="https://www.ugpti.org/resources/reports/downloads/dp-236.pdf" TargetMode="External"/><Relationship Id="rId1" Type="http://schemas.openxmlformats.org/officeDocument/2006/relationships/hyperlink" Target="https://www.chiamass.gov/assets/docs/r/hospital-profiles/2019/FY19-Massachusetts-Hospital-Profiles-Technical-" TargetMode="External"/><Relationship Id="rId6" Type="http://schemas.openxmlformats.org/officeDocument/2006/relationships/hyperlink" Target="https://www.census.gov/quickfacts/plymouthcountymassachusetts" TargetMode="External"/><Relationship Id="rId11" Type="http://schemas.openxmlformats.org/officeDocument/2006/relationships/hyperlink" Target="https://www.advisory.com/topics/oncology/2020/06/cancer-incidence-estimator" TargetMode="External"/><Relationship Id="rId24" Type="http://schemas.openxmlformats.org/officeDocument/2006/relationships/hyperlink" Target="https://www.tandfonline.com/doi/abs/10.1080/07421222.2017.1334477" TargetMode="External"/><Relationship Id="rId5" Type="http://schemas.openxmlformats.org/officeDocument/2006/relationships/hyperlink" Target="https://www.census.gov/quickfacts/plymouthcountymassachusetts" TargetMode="External"/><Relationship Id="rId15" Type="http://schemas.openxmlformats.org/officeDocument/2006/relationships/hyperlink" Target="https://accreditationsupport.acr.org/support/solutions/articles/11000049781-personnel-radiation-oncology-revised-8-2-2022" TargetMode="External"/><Relationship Id="rId23" Type="http://schemas.openxmlformats.org/officeDocument/2006/relationships/hyperlink" Target="https://www.tandfonline.com/doi/abs/10.1080/07421222.2017.1334477" TargetMode="External"/><Relationship Id="rId10" Type="http://schemas.openxmlformats.org/officeDocument/2006/relationships/hyperlink" Target="http://www.pep.donahue-institute.org/" TargetMode="External"/><Relationship Id="rId19" Type="http://schemas.openxmlformats.org/officeDocument/2006/relationships/hyperlink" Target="https://www.ugpti.org/resources/reports/downloads/dp-236.pdf" TargetMode="External"/><Relationship Id="rId4" Type="http://schemas.openxmlformats.org/officeDocument/2006/relationships/hyperlink" Target="https://www.chiamass.gov/assets/docs/r/hospital-profiles/2021/hospital-health-systems/Beth-Israel-Lahey.pdf" TargetMode="External"/><Relationship Id="rId9" Type="http://schemas.openxmlformats.org/officeDocument/2006/relationships/hyperlink" Target="http://www.pep.donahue-institute.org/" TargetMode="External"/><Relationship Id="rId14" Type="http://schemas.openxmlformats.org/officeDocument/2006/relationships/hyperlink" Target="https://www.advisory.com/topics/oncology/2019/05/oncology-market-estimator" TargetMode="External"/><Relationship Id="rId22" Type="http://schemas.openxmlformats.org/officeDocument/2006/relationships/hyperlink" Target="https://www.healthit.gov/topic/health-it-and-health-information-exchange-basics/improve-care-coordin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doc/community-engagement-guidelines-for-community-health-planning-pdf/download"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211b142-546f-41d5-b2e1-e5c6bfd5f51d">
      <UserInfo>
        <DisplayName>Jacques-Curewitz, Jocelyn (DPH)</DisplayName>
        <AccountId>44</AccountId>
        <AccountType/>
      </UserInfo>
      <UserInfo>
        <DisplayName>Catulle, Fabiola (DPH)</DisplayName>
        <AccountId>52</AccountId>
        <AccountType/>
      </UserInfo>
    </SharedWithUsers>
    <_activity xmlns="8826b762-7599-4a5c-9892-1efe1e78b7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005AEE4EE824B4487C37CC9DC0A0764" ma:contentTypeVersion="7" ma:contentTypeDescription="Create a new document." ma:contentTypeScope="" ma:versionID="097ed71e8d4bbb99525c0e392acd80c2">
  <xsd:schema xmlns:xsd="http://www.w3.org/2001/XMLSchema" xmlns:xs="http://www.w3.org/2001/XMLSchema" xmlns:p="http://schemas.microsoft.com/office/2006/metadata/properties" xmlns:ns3="8826b762-7599-4a5c-9892-1efe1e78b7c8" xmlns:ns4="1211b142-546f-41d5-b2e1-e5c6bfd5f51d" targetNamespace="http://schemas.microsoft.com/office/2006/metadata/properties" ma:root="true" ma:fieldsID="3b67b1933eef1d63cc2cfd58117f861e" ns3:_="" ns4:_="">
    <xsd:import namespace="8826b762-7599-4a5c-9892-1efe1e78b7c8"/>
    <xsd:import namespace="1211b142-546f-41d5-b2e1-e5c6bfd5f51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6b762-7599-4a5c-9892-1efe1e78b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1b142-546f-41d5-b2e1-e5c6bfd5f5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1211b142-546f-41d5-b2e1-e5c6bfd5f51d"/>
    <ds:schemaRef ds:uri="8826b762-7599-4a5c-9892-1efe1e78b7c8"/>
  </ds:schemaRefs>
</ds:datastoreItem>
</file>

<file path=customXml/itemProps2.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3.xml><?xml version="1.0" encoding="utf-8"?>
<ds:datastoreItem xmlns:ds="http://schemas.openxmlformats.org/officeDocument/2006/customXml" ds:itemID="{EC0B451A-443D-4C37-A0AF-7C4FE74F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6b762-7599-4a5c-9892-1efe1e78b7c8"/>
    <ds:schemaRef ds:uri="1211b142-546f-41d5-b2e1-e5c6bfd5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BAB72-1F4A-4E9A-9930-5AD8E4C28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6771</Words>
  <Characters>38599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16</cp:revision>
  <cp:lastPrinted>2020-12-13T15:58:00Z</cp:lastPrinted>
  <dcterms:created xsi:type="dcterms:W3CDTF">2024-01-11T19:12:00Z</dcterms:created>
  <dcterms:modified xsi:type="dcterms:W3CDTF">2024-01-17T16:46:00Z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0x0101008005AEE4EE824B4487C37CC9DC0A0764</vt:lpwstr>
  </property>
</Properties>
</file>