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5"/>
        <w:gridCol w:w="5005"/>
      </w:tblGrid>
      <w:tr w:rsidR="001A3D32" w:rsidRPr="00AC3A42" w14:paraId="489E41A6" w14:textId="77777777" w:rsidTr="00B96045">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D5FBFF"/>
            <w:vAlign w:val="center"/>
          </w:tcPr>
          <w:p w14:paraId="61C473E0" w14:textId="4132B5CD" w:rsidR="001A3D32" w:rsidRPr="00191CCA" w:rsidRDefault="00C94989" w:rsidP="00B96045">
            <w:pPr>
              <w:pStyle w:val="Header"/>
              <w:ind w:right="540"/>
              <w:contextualSpacing/>
              <w:jc w:val="center"/>
              <w:rPr>
                <w:rFonts w:cstheme="minorHAnsi"/>
                <w:b/>
              </w:rPr>
            </w:pPr>
            <w:r w:rsidRPr="00191CCA">
              <w:rPr>
                <w:b/>
                <w:bCs/>
                <w:sz w:val="24"/>
                <w:szCs w:val="24"/>
              </w:rPr>
              <w:t xml:space="preserve">STAFF REPORT TO THE COMMISSIONER </w:t>
            </w:r>
            <w:r w:rsidRPr="00191CCA">
              <w:rPr>
                <w:b/>
                <w:bCs/>
              </w:rPr>
              <w:t>FOR A DETERMINATION OF NEED</w:t>
            </w:r>
          </w:p>
        </w:tc>
      </w:tr>
      <w:tr w:rsidR="00311857" w:rsidRPr="00AC3A42" w14:paraId="773CB884" w14:textId="77777777" w:rsidTr="00B96045">
        <w:trPr>
          <w:trHeight w:val="454"/>
        </w:trPr>
        <w:tc>
          <w:tcPr>
            <w:tcW w:w="2274" w:type="pct"/>
            <w:tcBorders>
              <w:top w:val="single" w:sz="6" w:space="0" w:color="auto"/>
            </w:tcBorders>
            <w:shd w:val="clear" w:color="auto" w:fill="auto"/>
            <w:vAlign w:val="center"/>
          </w:tcPr>
          <w:p w14:paraId="7A495F02" w14:textId="73FB1D12"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6BCECA88" w14:textId="77777777"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Beth Israel</w:t>
            </w:r>
            <w:r w:rsidRPr="00191CCA">
              <w:rPr>
                <w:rFonts w:asciiTheme="minorHAnsi" w:hAnsiTheme="minorHAnsi" w:cstheme="minorHAnsi"/>
                <w:spacing w:val="-4"/>
              </w:rPr>
              <w:t xml:space="preserve"> </w:t>
            </w:r>
            <w:r w:rsidRPr="00191CCA">
              <w:rPr>
                <w:rFonts w:asciiTheme="minorHAnsi" w:hAnsiTheme="minorHAnsi" w:cstheme="minorHAnsi"/>
              </w:rPr>
              <w:t>Lahey</w:t>
            </w:r>
            <w:r w:rsidRPr="00191CCA">
              <w:rPr>
                <w:rFonts w:asciiTheme="minorHAnsi" w:hAnsiTheme="minorHAnsi" w:cstheme="minorHAnsi"/>
                <w:spacing w:val="-2"/>
              </w:rPr>
              <w:t xml:space="preserve"> </w:t>
            </w:r>
            <w:r w:rsidRPr="00191CCA">
              <w:rPr>
                <w:rFonts w:asciiTheme="minorHAnsi" w:hAnsiTheme="minorHAnsi" w:cstheme="minorHAnsi"/>
              </w:rPr>
              <w:t>Health,</w:t>
            </w:r>
            <w:r w:rsidRPr="00191CCA">
              <w:rPr>
                <w:rFonts w:asciiTheme="minorHAnsi" w:hAnsiTheme="minorHAnsi" w:cstheme="minorHAnsi"/>
                <w:spacing w:val="-3"/>
              </w:rPr>
              <w:t xml:space="preserve"> </w:t>
            </w:r>
            <w:r w:rsidRPr="00191CCA">
              <w:rPr>
                <w:rFonts w:asciiTheme="minorHAnsi" w:hAnsiTheme="minorHAnsi" w:cstheme="minorHAnsi"/>
                <w:spacing w:val="-4"/>
              </w:rPr>
              <w:t>Inc.</w:t>
            </w:r>
          </w:p>
        </w:tc>
      </w:tr>
      <w:tr w:rsidR="00311857" w:rsidRPr="00AC3A42" w14:paraId="32EDD97A" w14:textId="77777777" w:rsidTr="00B96045">
        <w:trPr>
          <w:trHeight w:val="306"/>
        </w:trPr>
        <w:tc>
          <w:tcPr>
            <w:tcW w:w="2274" w:type="pct"/>
            <w:shd w:val="clear" w:color="auto" w:fill="auto"/>
            <w:vAlign w:val="center"/>
          </w:tcPr>
          <w:p w14:paraId="6F7F9C8E" w14:textId="5D208B14"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 xml:space="preserve">Applicant Address </w:t>
            </w:r>
          </w:p>
        </w:tc>
        <w:tc>
          <w:tcPr>
            <w:tcW w:w="2726" w:type="pct"/>
            <w:shd w:val="clear" w:color="auto" w:fill="auto"/>
            <w:vAlign w:val="center"/>
          </w:tcPr>
          <w:p w14:paraId="0DA5F67D" w14:textId="77777777"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20 University Road, Suite 700, Cambridge, MA 02138</w:t>
            </w:r>
          </w:p>
        </w:tc>
      </w:tr>
      <w:tr w:rsidR="00311857" w:rsidRPr="00AC3A42" w14:paraId="4A113619" w14:textId="77777777" w:rsidTr="00B96045">
        <w:trPr>
          <w:trHeight w:val="323"/>
        </w:trPr>
        <w:tc>
          <w:tcPr>
            <w:tcW w:w="2274" w:type="pct"/>
            <w:shd w:val="clear" w:color="auto" w:fill="auto"/>
            <w:vAlign w:val="center"/>
          </w:tcPr>
          <w:p w14:paraId="69BCDC68" w14:textId="29173D3A"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Filing Date</w:t>
            </w:r>
          </w:p>
        </w:tc>
        <w:tc>
          <w:tcPr>
            <w:tcW w:w="2726" w:type="pct"/>
            <w:shd w:val="clear" w:color="auto" w:fill="auto"/>
            <w:vAlign w:val="center"/>
          </w:tcPr>
          <w:p w14:paraId="0D607FBD" w14:textId="49A42588" w:rsidR="00311857" w:rsidRPr="00191CCA" w:rsidRDefault="00311857" w:rsidP="00311857">
            <w:pPr>
              <w:ind w:right="540"/>
              <w:contextualSpacing/>
              <w:rPr>
                <w:rFonts w:asciiTheme="minorHAnsi" w:hAnsiTheme="minorHAnsi" w:cstheme="minorHAnsi"/>
                <w:highlight w:val="yellow"/>
              </w:rPr>
            </w:pPr>
            <w:r w:rsidRPr="00C36C85">
              <w:rPr>
                <w:rFonts w:asciiTheme="minorHAnsi" w:hAnsiTheme="minorHAnsi" w:cstheme="minorHAnsi"/>
              </w:rPr>
              <w:t xml:space="preserve">July </w:t>
            </w:r>
            <w:r w:rsidR="00C36C85" w:rsidRPr="00C36C85">
              <w:rPr>
                <w:rFonts w:asciiTheme="minorHAnsi" w:hAnsiTheme="minorHAnsi" w:cstheme="minorHAnsi"/>
              </w:rPr>
              <w:t>2</w:t>
            </w:r>
            <w:r w:rsidRPr="00C36C85">
              <w:rPr>
                <w:rFonts w:asciiTheme="minorHAnsi" w:hAnsiTheme="minorHAnsi" w:cstheme="minorHAnsi"/>
              </w:rPr>
              <w:t>7, 2023</w:t>
            </w:r>
          </w:p>
        </w:tc>
      </w:tr>
      <w:tr w:rsidR="003E134D" w:rsidRPr="00AC3A42" w14:paraId="7711945C" w14:textId="77777777" w:rsidTr="00B96045">
        <w:trPr>
          <w:trHeight w:val="300"/>
        </w:trPr>
        <w:tc>
          <w:tcPr>
            <w:tcW w:w="2274" w:type="pct"/>
            <w:shd w:val="clear" w:color="auto" w:fill="auto"/>
            <w:vAlign w:val="center"/>
          </w:tcPr>
          <w:p w14:paraId="11553F04" w14:textId="0E855456" w:rsidR="003E134D" w:rsidRPr="00191CCA" w:rsidRDefault="003E134D" w:rsidP="003E134D">
            <w:pPr>
              <w:ind w:right="540"/>
              <w:contextualSpacing/>
              <w:rPr>
                <w:rFonts w:asciiTheme="minorHAnsi" w:hAnsiTheme="minorHAnsi" w:cstheme="minorHAnsi"/>
              </w:rPr>
            </w:pPr>
            <w:r w:rsidRPr="00191CCA">
              <w:rPr>
                <w:rFonts w:asciiTheme="minorHAnsi" w:hAnsiTheme="minorHAnsi" w:cstheme="minorHAnsi"/>
              </w:rPr>
              <w:t>Type of DoN Application</w:t>
            </w:r>
          </w:p>
        </w:tc>
        <w:tc>
          <w:tcPr>
            <w:tcW w:w="2726" w:type="pct"/>
            <w:shd w:val="clear" w:color="auto" w:fill="auto"/>
            <w:vAlign w:val="center"/>
          </w:tcPr>
          <w:p w14:paraId="0E5F3F71" w14:textId="40283D2D" w:rsidR="003E134D" w:rsidRPr="00191CCA" w:rsidRDefault="003E134D" w:rsidP="003E134D">
            <w:pPr>
              <w:ind w:right="540"/>
              <w:contextualSpacing/>
              <w:rPr>
                <w:rFonts w:asciiTheme="minorHAnsi" w:hAnsiTheme="minorHAnsi" w:cstheme="minorHAnsi"/>
                <w:highlight w:val="yellow"/>
              </w:rPr>
            </w:pPr>
            <w:r w:rsidRPr="00415044">
              <w:rPr>
                <w:rFonts w:asciiTheme="minorHAnsi" w:hAnsiTheme="minorHAnsi" w:cstheme="minorHAnsi"/>
              </w:rPr>
              <w:t>DoN Required Equipment</w:t>
            </w:r>
            <w:r>
              <w:rPr>
                <w:rFonts w:asciiTheme="minorHAnsi" w:hAnsiTheme="minorHAnsi" w:cstheme="minorHAnsi"/>
              </w:rPr>
              <w:t xml:space="preserve"> </w:t>
            </w:r>
          </w:p>
        </w:tc>
      </w:tr>
      <w:tr w:rsidR="003E134D" w:rsidRPr="00AC3A42" w14:paraId="49215776" w14:textId="77777777" w:rsidTr="00B96045">
        <w:trPr>
          <w:trHeight w:val="300"/>
        </w:trPr>
        <w:tc>
          <w:tcPr>
            <w:tcW w:w="2274" w:type="pct"/>
            <w:shd w:val="clear" w:color="auto" w:fill="auto"/>
            <w:vAlign w:val="center"/>
          </w:tcPr>
          <w:p w14:paraId="7875841B" w14:textId="3FB5EA2C" w:rsidR="003E134D" w:rsidRPr="00191CCA" w:rsidRDefault="003E134D" w:rsidP="003E134D">
            <w:pPr>
              <w:ind w:right="540"/>
              <w:contextualSpacing/>
              <w:rPr>
                <w:rFonts w:asciiTheme="minorHAnsi" w:hAnsiTheme="minorHAnsi" w:cstheme="minorHAnsi"/>
              </w:rPr>
            </w:pPr>
            <w:r w:rsidRPr="00191CCA">
              <w:rPr>
                <w:rFonts w:asciiTheme="minorHAnsi" w:hAnsiTheme="minorHAnsi" w:cstheme="minorHAnsi"/>
              </w:rPr>
              <w:t>Total Value</w:t>
            </w:r>
          </w:p>
        </w:tc>
        <w:tc>
          <w:tcPr>
            <w:tcW w:w="2726" w:type="pct"/>
            <w:shd w:val="clear" w:color="auto" w:fill="auto"/>
            <w:vAlign w:val="center"/>
          </w:tcPr>
          <w:p w14:paraId="4F59F538" w14:textId="7135222D" w:rsidR="003E134D" w:rsidRPr="00191CCA" w:rsidRDefault="003E134D" w:rsidP="003E134D">
            <w:pPr>
              <w:ind w:right="540"/>
              <w:contextualSpacing/>
              <w:rPr>
                <w:rFonts w:asciiTheme="minorHAnsi" w:hAnsiTheme="minorHAnsi" w:cstheme="minorHAnsi"/>
                <w:highlight w:val="yellow"/>
              </w:rPr>
            </w:pPr>
            <w:r>
              <w:rPr>
                <w:rFonts w:asciiTheme="minorHAnsi" w:hAnsiTheme="minorHAnsi" w:cstheme="minorHAnsi"/>
              </w:rPr>
              <w:t>$2,100,496.00</w:t>
            </w:r>
          </w:p>
        </w:tc>
      </w:tr>
      <w:tr w:rsidR="003E134D" w:rsidRPr="00AC3A42" w14:paraId="3182B137" w14:textId="77777777" w:rsidTr="00B96045">
        <w:trPr>
          <w:trHeight w:val="300"/>
        </w:trPr>
        <w:tc>
          <w:tcPr>
            <w:tcW w:w="2274" w:type="pct"/>
            <w:shd w:val="clear" w:color="auto" w:fill="auto"/>
            <w:vAlign w:val="center"/>
          </w:tcPr>
          <w:p w14:paraId="1F2515D9" w14:textId="3F6AE260" w:rsidR="003E134D" w:rsidRPr="00191CCA" w:rsidRDefault="003E134D" w:rsidP="003E134D">
            <w:pPr>
              <w:ind w:right="540"/>
              <w:contextualSpacing/>
              <w:rPr>
                <w:rFonts w:asciiTheme="minorHAnsi" w:hAnsiTheme="minorHAnsi" w:cstheme="minorHAnsi"/>
              </w:rPr>
            </w:pPr>
            <w:r w:rsidRPr="00191CCA">
              <w:rPr>
                <w:rFonts w:asciiTheme="minorHAnsi" w:hAnsiTheme="minorHAnsi" w:cstheme="minorHAnsi"/>
              </w:rPr>
              <w:t>Project Number</w:t>
            </w:r>
          </w:p>
        </w:tc>
        <w:tc>
          <w:tcPr>
            <w:tcW w:w="2726" w:type="pct"/>
            <w:shd w:val="clear" w:color="auto" w:fill="auto"/>
            <w:vAlign w:val="center"/>
          </w:tcPr>
          <w:p w14:paraId="6CC3E059" w14:textId="58A47E5E" w:rsidR="003E134D" w:rsidRPr="00191CCA" w:rsidRDefault="003E134D" w:rsidP="003E134D">
            <w:pPr>
              <w:ind w:right="540"/>
              <w:contextualSpacing/>
              <w:rPr>
                <w:rFonts w:asciiTheme="minorHAnsi" w:hAnsiTheme="minorHAnsi" w:cstheme="minorHAnsi"/>
                <w:highlight w:val="yellow"/>
              </w:rPr>
            </w:pPr>
            <w:r w:rsidRPr="00415044">
              <w:rPr>
                <w:rFonts w:asciiTheme="minorHAnsi" w:hAnsiTheme="minorHAnsi" w:cstheme="minorHAnsi"/>
                <w:bCs/>
                <w:spacing w:val="-2"/>
              </w:rPr>
              <w:t>#23050911</w:t>
            </w:r>
          </w:p>
        </w:tc>
      </w:tr>
      <w:tr w:rsidR="003E134D" w:rsidRPr="00AC3A42" w14:paraId="61169607" w14:textId="77777777" w:rsidTr="00B96045">
        <w:trPr>
          <w:trHeight w:val="300"/>
        </w:trPr>
        <w:tc>
          <w:tcPr>
            <w:tcW w:w="2274" w:type="pct"/>
            <w:shd w:val="clear" w:color="auto" w:fill="auto"/>
            <w:vAlign w:val="center"/>
          </w:tcPr>
          <w:p w14:paraId="7DD5609F" w14:textId="4E591792" w:rsidR="003E134D" w:rsidRPr="00191CCA" w:rsidRDefault="003E134D" w:rsidP="003E134D">
            <w:pPr>
              <w:ind w:right="540"/>
              <w:contextualSpacing/>
              <w:rPr>
                <w:rFonts w:asciiTheme="minorHAnsi" w:hAnsiTheme="minorHAnsi" w:cstheme="minorHAnsi"/>
              </w:rPr>
            </w:pPr>
            <w:r w:rsidRPr="00191CCA">
              <w:rPr>
                <w:rFonts w:asciiTheme="minorHAnsi" w:hAnsiTheme="minorHAnsi" w:cstheme="minorHAnsi"/>
              </w:rPr>
              <w:t>Ten Taxpayer Groups (TTG)</w:t>
            </w:r>
          </w:p>
        </w:tc>
        <w:tc>
          <w:tcPr>
            <w:tcW w:w="2726" w:type="pct"/>
            <w:shd w:val="clear" w:color="auto" w:fill="auto"/>
            <w:vAlign w:val="center"/>
          </w:tcPr>
          <w:p w14:paraId="7DE8A533" w14:textId="014349D5" w:rsidR="003E134D" w:rsidRPr="00191CCA" w:rsidRDefault="003E134D" w:rsidP="003E134D">
            <w:pPr>
              <w:ind w:right="540"/>
              <w:contextualSpacing/>
              <w:rPr>
                <w:rFonts w:asciiTheme="minorHAnsi" w:hAnsiTheme="minorHAnsi" w:cstheme="minorHAnsi"/>
                <w:highlight w:val="yellow"/>
              </w:rPr>
            </w:pPr>
            <w:r w:rsidRPr="004F100B">
              <w:rPr>
                <w:rFonts w:asciiTheme="minorHAnsi" w:hAnsiTheme="minorHAnsi" w:cstheme="minorHAnsi"/>
              </w:rPr>
              <w:t>None</w:t>
            </w:r>
          </w:p>
        </w:tc>
      </w:tr>
      <w:tr w:rsidR="003E134D" w:rsidRPr="00AC3A42" w14:paraId="0930EAF5" w14:textId="77777777" w:rsidTr="00B96045">
        <w:trPr>
          <w:trHeight w:val="300"/>
        </w:trPr>
        <w:tc>
          <w:tcPr>
            <w:tcW w:w="2274" w:type="pct"/>
            <w:shd w:val="clear" w:color="auto" w:fill="auto"/>
            <w:vAlign w:val="center"/>
          </w:tcPr>
          <w:p w14:paraId="3A86782A" w14:textId="0FF79132" w:rsidR="003E134D" w:rsidRPr="00191CCA" w:rsidRDefault="003E134D" w:rsidP="003E134D">
            <w:pPr>
              <w:ind w:right="540"/>
              <w:contextualSpacing/>
              <w:rPr>
                <w:rFonts w:asciiTheme="minorHAnsi" w:hAnsiTheme="minorHAnsi" w:cstheme="minorHAnsi"/>
              </w:rPr>
            </w:pPr>
            <w:r w:rsidRPr="00191CCA">
              <w:rPr>
                <w:rFonts w:asciiTheme="minorHAnsi" w:hAnsiTheme="minorHAnsi" w:cstheme="minorHAnsi"/>
              </w:rPr>
              <w:t>Community Health Initiative (CHI)</w:t>
            </w:r>
            <w:r w:rsidRPr="00191CCA" w:rsidDel="00FB532E">
              <w:rPr>
                <w:rFonts w:asciiTheme="minorHAnsi" w:hAnsiTheme="minorHAnsi" w:cstheme="minorHAnsi"/>
              </w:rPr>
              <w:t xml:space="preserve"> </w:t>
            </w:r>
          </w:p>
        </w:tc>
        <w:tc>
          <w:tcPr>
            <w:tcW w:w="2726" w:type="pct"/>
            <w:shd w:val="clear" w:color="auto" w:fill="auto"/>
            <w:vAlign w:val="center"/>
          </w:tcPr>
          <w:p w14:paraId="53BCB321" w14:textId="3DEEDEF2" w:rsidR="003E134D" w:rsidRPr="00191CCA" w:rsidRDefault="003E134D" w:rsidP="003E134D">
            <w:pPr>
              <w:ind w:right="540"/>
              <w:contextualSpacing/>
              <w:rPr>
                <w:rFonts w:asciiTheme="minorHAnsi" w:hAnsiTheme="minorHAnsi" w:cstheme="minorHAnsi"/>
                <w:highlight w:val="yellow"/>
              </w:rPr>
            </w:pPr>
            <w:r>
              <w:rPr>
                <w:rFonts w:asciiTheme="minorHAnsi" w:hAnsiTheme="minorHAnsi" w:cstheme="minorHAnsi"/>
              </w:rPr>
              <w:t>$105,024.80</w:t>
            </w:r>
          </w:p>
        </w:tc>
      </w:tr>
      <w:tr w:rsidR="00311857" w:rsidRPr="00AC3A42" w14:paraId="038FDB09" w14:textId="77777777" w:rsidTr="00B96045">
        <w:trPr>
          <w:trHeight w:val="300"/>
        </w:trPr>
        <w:tc>
          <w:tcPr>
            <w:tcW w:w="2274" w:type="pct"/>
            <w:shd w:val="clear" w:color="auto" w:fill="auto"/>
            <w:vAlign w:val="center"/>
          </w:tcPr>
          <w:p w14:paraId="34B2770C" w14:textId="6E5D34B0"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Staff Recommendation</w:t>
            </w:r>
          </w:p>
        </w:tc>
        <w:tc>
          <w:tcPr>
            <w:tcW w:w="2726" w:type="pct"/>
            <w:shd w:val="clear" w:color="auto" w:fill="auto"/>
            <w:vAlign w:val="center"/>
          </w:tcPr>
          <w:p w14:paraId="3D8DCA1F" w14:textId="77777777"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Approval</w:t>
            </w:r>
          </w:p>
        </w:tc>
      </w:tr>
      <w:tr w:rsidR="00311857" w:rsidRPr="00AC3A42" w14:paraId="052190B0" w14:textId="77777777" w:rsidTr="00B96045">
        <w:trPr>
          <w:trHeight w:val="300"/>
        </w:trPr>
        <w:tc>
          <w:tcPr>
            <w:tcW w:w="2274" w:type="pct"/>
            <w:shd w:val="clear" w:color="auto" w:fill="auto"/>
            <w:vAlign w:val="center"/>
          </w:tcPr>
          <w:p w14:paraId="40D29E98" w14:textId="1237D601" w:rsidR="00311857" w:rsidRPr="00191CCA" w:rsidRDefault="00311857" w:rsidP="00311857">
            <w:pPr>
              <w:ind w:right="540"/>
              <w:contextualSpacing/>
              <w:rPr>
                <w:rFonts w:asciiTheme="minorHAnsi" w:hAnsiTheme="minorHAnsi" w:cstheme="minorHAnsi"/>
              </w:rPr>
            </w:pPr>
            <w:r w:rsidRPr="00191CCA">
              <w:rPr>
                <w:rFonts w:asciiTheme="minorHAnsi" w:hAnsiTheme="minorHAnsi" w:cstheme="minorHAnsi"/>
              </w:rPr>
              <w:t>Delegated Review</w:t>
            </w:r>
          </w:p>
        </w:tc>
        <w:tc>
          <w:tcPr>
            <w:tcW w:w="2726" w:type="pct"/>
            <w:shd w:val="clear" w:color="auto" w:fill="auto"/>
            <w:vAlign w:val="center"/>
          </w:tcPr>
          <w:p w14:paraId="6B1AFB24" w14:textId="7B8C049B" w:rsidR="00311857" w:rsidRPr="00191CCA" w:rsidRDefault="00191CCA" w:rsidP="00311857">
            <w:pPr>
              <w:ind w:right="540"/>
              <w:contextualSpacing/>
              <w:rPr>
                <w:rFonts w:asciiTheme="minorHAnsi" w:hAnsiTheme="minorHAnsi" w:cstheme="minorHAnsi"/>
              </w:rPr>
            </w:pPr>
            <w:r w:rsidRPr="00191CCA">
              <w:rPr>
                <w:rFonts w:asciiTheme="minorHAnsi" w:hAnsiTheme="minorHAnsi" w:cstheme="minorHAnsi"/>
              </w:rPr>
              <w:t>Commissioner Approval</w:t>
            </w:r>
          </w:p>
        </w:tc>
      </w:tr>
      <w:tr w:rsidR="001A3D32" w:rsidRPr="00AC3A42" w14:paraId="27483B4E" w14:textId="77777777" w:rsidTr="00B96045">
        <w:tblPrEx>
          <w:tblLook w:val="0000" w:firstRow="0" w:lastRow="0" w:firstColumn="0" w:lastColumn="0" w:noHBand="0" w:noVBand="0"/>
        </w:tblPrEx>
        <w:trPr>
          <w:trHeight w:val="3509"/>
        </w:trPr>
        <w:tc>
          <w:tcPr>
            <w:tcW w:w="5000" w:type="pct"/>
            <w:gridSpan w:val="2"/>
          </w:tcPr>
          <w:p w14:paraId="73B8661C" w14:textId="77777777" w:rsidR="001A3D32" w:rsidRPr="00273DFC" w:rsidRDefault="001A3D32" w:rsidP="00B96045">
            <w:pPr>
              <w:spacing w:before="240" w:after="200"/>
              <w:ind w:left="108"/>
              <w:jc w:val="center"/>
              <w:rPr>
                <w:rFonts w:asciiTheme="minorHAnsi" w:eastAsia="Calibri" w:hAnsiTheme="minorHAnsi" w:cstheme="minorHAnsi"/>
                <w:b/>
              </w:rPr>
            </w:pPr>
            <w:r w:rsidRPr="00273DFC">
              <w:rPr>
                <w:rFonts w:asciiTheme="minorHAnsi" w:eastAsia="Calibri" w:hAnsiTheme="minorHAnsi" w:cstheme="minorHAnsi"/>
                <w:b/>
                <w:u w:val="single"/>
              </w:rPr>
              <w:t>Project Summary and Regulatory Review</w:t>
            </w:r>
          </w:p>
          <w:p w14:paraId="3612355C" w14:textId="77777777" w:rsidR="007839B1" w:rsidRPr="00A34B5E" w:rsidRDefault="007839B1" w:rsidP="007839B1">
            <w:pPr>
              <w:pStyle w:val="NoSpacing"/>
              <w:contextualSpacing/>
              <w:rPr>
                <w:rFonts w:cstheme="minorHAnsi"/>
                <w:sz w:val="24"/>
                <w:szCs w:val="24"/>
                <w:highlight w:val="yellow"/>
              </w:rPr>
            </w:pPr>
            <w:r w:rsidRPr="00A34B5E">
              <w:rPr>
                <w:rFonts w:eastAsia="Calibri" w:cstheme="minorHAnsi"/>
                <w:sz w:val="24"/>
                <w:szCs w:val="24"/>
              </w:rPr>
              <w:t xml:space="preserve">Beth Israel Lahey Health, Inc., with a principal place of business at 20 University Road, Suite 700, Cambridge, MA 02138, </w:t>
            </w:r>
            <w:r w:rsidRPr="00A34B5E">
              <w:rPr>
                <w:rFonts w:cstheme="minorHAnsi"/>
                <w:sz w:val="24"/>
                <w:szCs w:val="24"/>
              </w:rPr>
              <w:t xml:space="preserve">filed a Notice of Determination of Need with the Massachusetts Department of Public Health to acquire a second computed tomography (CT) unit for operation at Anna Jaques Hospital (AJH or Hospital), located at 25 Highland Avenue, Newburyport, MA 01950 (Proposed Project). </w:t>
            </w:r>
          </w:p>
          <w:p w14:paraId="7395D14D" w14:textId="77777777" w:rsidR="007839B1" w:rsidRPr="00C25892" w:rsidRDefault="007839B1" w:rsidP="007839B1">
            <w:pPr>
              <w:ind w:left="108"/>
              <w:rPr>
                <w:rFonts w:asciiTheme="minorHAnsi" w:eastAsia="Calibri" w:hAnsiTheme="minorHAnsi" w:cstheme="minorHAnsi"/>
                <w:highlight w:val="yellow"/>
              </w:rPr>
            </w:pPr>
          </w:p>
          <w:p w14:paraId="558B70BB" w14:textId="77777777" w:rsidR="007839B1" w:rsidRDefault="007839B1" w:rsidP="007839B1">
            <w:pPr>
              <w:rPr>
                <w:rFonts w:asciiTheme="minorHAnsi" w:eastAsia="Calibri" w:hAnsiTheme="minorHAnsi" w:cstheme="minorHAnsi"/>
              </w:rPr>
            </w:pPr>
            <w:r w:rsidRPr="00665315">
              <w:rPr>
                <w:rFonts w:asciiTheme="minorHAnsi" w:eastAsia="Calibri" w:hAnsiTheme="minorHAnsi" w:cstheme="minorHAnsi"/>
              </w:rPr>
              <w:t>This DoN application falls within the definition of DoN-Required Equipment and Services, which is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059103B7" w14:textId="77777777" w:rsidR="001A3D32" w:rsidRPr="00AC3A42" w:rsidRDefault="001A3D32" w:rsidP="00B96045">
            <w:pPr>
              <w:spacing w:after="200"/>
              <w:rPr>
                <w:rFonts w:asciiTheme="minorHAnsi" w:eastAsia="Calibri" w:hAnsiTheme="minorHAnsi" w:cstheme="minorHAnsi"/>
                <w:highlight w:val="yellow"/>
              </w:rPr>
            </w:pPr>
          </w:p>
        </w:tc>
      </w:tr>
    </w:tbl>
    <w:p w14:paraId="413EE2C9" w14:textId="77777777" w:rsidR="00333EA3" w:rsidRPr="00AC3A42" w:rsidRDefault="00333EA3" w:rsidP="007A57C4">
      <w:pPr>
        <w:contextualSpacing/>
        <w:rPr>
          <w:rFonts w:asciiTheme="minorHAnsi" w:hAnsiTheme="minorHAnsi" w:cstheme="minorHAnsi"/>
          <w:highlight w:val="yellow"/>
        </w:rPr>
      </w:pPr>
    </w:p>
    <w:p w14:paraId="23623837" w14:textId="0F1C1A78" w:rsidR="00C4570F" w:rsidRPr="00AC3A42" w:rsidRDefault="00C4570F">
      <w:pPr>
        <w:spacing w:after="200" w:line="276" w:lineRule="auto"/>
        <w:rPr>
          <w:rFonts w:asciiTheme="minorHAnsi" w:hAnsiTheme="minorHAnsi" w:cstheme="minorHAnsi"/>
          <w:highlight w:val="yellow"/>
        </w:rPr>
      </w:pPr>
      <w:r w:rsidRPr="00AC3A42">
        <w:rPr>
          <w:rFonts w:asciiTheme="minorHAnsi" w:hAnsiTheme="minorHAnsi" w:cstheme="minorHAnsi"/>
          <w:highlight w:val="yellow"/>
        </w:rPr>
        <w:br w:type="page"/>
      </w:r>
    </w:p>
    <w:p w14:paraId="0EA9B51B" w14:textId="1F957738" w:rsidR="005D4009" w:rsidRPr="00AC3A42" w:rsidRDefault="005D4009" w:rsidP="007A57C4">
      <w:pPr>
        <w:contextualSpacing/>
        <w:rPr>
          <w:rFonts w:asciiTheme="minorHAnsi" w:hAnsiTheme="minorHAnsi" w:cstheme="minorHAnsi"/>
          <w:highlight w:val="yellow"/>
        </w:rPr>
      </w:pPr>
    </w:p>
    <w:bookmarkStart w:id="0" w:name="_Toc18922391" w:displacedByCustomXml="next"/>
    <w:sdt>
      <w:sdtPr>
        <w:rPr>
          <w:rFonts w:asciiTheme="minorHAnsi" w:eastAsiaTheme="minorHAnsi" w:hAnsiTheme="minorHAnsi" w:cstheme="minorHAnsi"/>
          <w:color w:val="auto"/>
          <w:sz w:val="24"/>
          <w:szCs w:val="24"/>
          <w:highlight w:val="yellow"/>
        </w:rPr>
        <w:id w:val="1525591903"/>
        <w:docPartObj>
          <w:docPartGallery w:val="Table of Contents"/>
          <w:docPartUnique/>
        </w:docPartObj>
      </w:sdtPr>
      <w:sdtEndPr>
        <w:rPr>
          <w:rFonts w:eastAsia="Times New Roman"/>
          <w:b/>
          <w:bCs/>
          <w:noProof/>
        </w:rPr>
      </w:sdtEndPr>
      <w:sdtContent>
        <w:p w14:paraId="166D7125" w14:textId="74A0A038" w:rsidR="00E8532F" w:rsidRPr="002D07A7" w:rsidRDefault="00E8532F" w:rsidP="007A57C4">
          <w:pPr>
            <w:pStyle w:val="TOCHeading"/>
            <w:spacing w:line="240" w:lineRule="auto"/>
            <w:ind w:right="90"/>
            <w:rPr>
              <w:rFonts w:asciiTheme="minorHAnsi" w:hAnsiTheme="minorHAnsi" w:cstheme="minorHAnsi"/>
              <w:b/>
              <w:bCs/>
              <w:sz w:val="28"/>
              <w:szCs w:val="28"/>
            </w:rPr>
          </w:pPr>
          <w:r w:rsidRPr="002D07A7">
            <w:rPr>
              <w:rFonts w:asciiTheme="minorHAnsi" w:hAnsiTheme="minorHAnsi" w:cstheme="minorHAnsi"/>
              <w:b/>
              <w:bCs/>
              <w:sz w:val="28"/>
              <w:szCs w:val="28"/>
            </w:rPr>
            <w:t>Table of Contents</w:t>
          </w:r>
          <w:r w:rsidR="00B5536D" w:rsidRPr="002D07A7">
            <w:rPr>
              <w:rFonts w:asciiTheme="minorHAnsi" w:hAnsiTheme="minorHAnsi" w:cstheme="minorHAnsi"/>
              <w:b/>
              <w:bCs/>
              <w:sz w:val="28"/>
              <w:szCs w:val="28"/>
            </w:rPr>
            <w:t xml:space="preserve"> </w:t>
          </w:r>
        </w:p>
        <w:p w14:paraId="77521E39" w14:textId="521B0912" w:rsidR="002D07A7" w:rsidRPr="002D07A7" w:rsidRDefault="00E8532F">
          <w:pPr>
            <w:pStyle w:val="TOC1"/>
            <w:rPr>
              <w:rFonts w:asciiTheme="minorHAnsi" w:eastAsiaTheme="minorEastAsia" w:hAnsiTheme="minorHAnsi" w:cstheme="minorHAnsi"/>
            </w:rPr>
          </w:pPr>
          <w:r w:rsidRPr="002D07A7">
            <w:rPr>
              <w:rFonts w:asciiTheme="minorHAnsi" w:eastAsia="Times New Roman" w:hAnsiTheme="minorHAnsi" w:cstheme="minorHAnsi"/>
              <w:noProof w:val="0"/>
              <w:highlight w:val="yellow"/>
            </w:rPr>
            <w:fldChar w:fldCharType="begin"/>
          </w:r>
          <w:r w:rsidRPr="002D07A7">
            <w:rPr>
              <w:rFonts w:asciiTheme="minorHAnsi" w:hAnsiTheme="minorHAnsi" w:cstheme="minorHAnsi"/>
              <w:highlight w:val="yellow"/>
            </w:rPr>
            <w:instrText xml:space="preserve"> TOC \o "1-3" \h \z \u </w:instrText>
          </w:r>
          <w:r w:rsidRPr="002D07A7">
            <w:rPr>
              <w:rFonts w:asciiTheme="minorHAnsi" w:eastAsia="Times New Roman" w:hAnsiTheme="minorHAnsi" w:cstheme="minorHAnsi"/>
              <w:noProof w:val="0"/>
              <w:highlight w:val="yellow"/>
            </w:rPr>
            <w:fldChar w:fldCharType="separate"/>
          </w:r>
          <w:hyperlink w:anchor="_Toc145424484" w:history="1">
            <w:r w:rsidR="002D07A7" w:rsidRPr="002D07A7">
              <w:rPr>
                <w:rStyle w:val="Hyperlink"/>
                <w:rFonts w:asciiTheme="minorHAnsi" w:hAnsiTheme="minorHAnsi" w:cstheme="minorHAnsi"/>
              </w:rPr>
              <w:t>Applicant Background and Application Overview</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_Toc145424484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3</w:t>
            </w:r>
            <w:r w:rsidR="002D07A7" w:rsidRPr="002D07A7">
              <w:rPr>
                <w:rFonts w:asciiTheme="minorHAnsi" w:hAnsiTheme="minorHAnsi" w:cstheme="minorHAnsi"/>
                <w:webHidden/>
              </w:rPr>
              <w:fldChar w:fldCharType="end"/>
            </w:r>
          </w:hyperlink>
        </w:p>
        <w:p w14:paraId="245E6D04" w14:textId="189E9FAF" w:rsidR="002D07A7" w:rsidRPr="002D07A7" w:rsidRDefault="00305105">
          <w:pPr>
            <w:pStyle w:val="TOC1"/>
            <w:rPr>
              <w:rFonts w:asciiTheme="minorHAnsi" w:eastAsiaTheme="minorEastAsia" w:hAnsiTheme="minorHAnsi" w:cstheme="minorHAnsi"/>
            </w:rPr>
          </w:pPr>
          <w:hyperlink w:anchor="_Toc145424485" w:history="1">
            <w:r w:rsidR="002D07A7" w:rsidRPr="002D07A7">
              <w:rPr>
                <w:rStyle w:val="Hyperlink"/>
                <w:rFonts w:asciiTheme="minorHAnsi" w:hAnsiTheme="minorHAnsi" w:cstheme="minorHAnsi"/>
              </w:rPr>
              <w:t>Factor 1</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_Toc145424485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4</w:t>
            </w:r>
            <w:r w:rsidR="002D07A7" w:rsidRPr="002D07A7">
              <w:rPr>
                <w:rFonts w:asciiTheme="minorHAnsi" w:hAnsiTheme="minorHAnsi" w:cstheme="minorHAnsi"/>
                <w:webHidden/>
              </w:rPr>
              <w:fldChar w:fldCharType="end"/>
            </w:r>
          </w:hyperlink>
        </w:p>
        <w:p w14:paraId="5588F31E" w14:textId="78041C2C" w:rsidR="002D07A7" w:rsidRPr="002D07A7" w:rsidRDefault="00305105">
          <w:pPr>
            <w:pStyle w:val="TOC1"/>
            <w:rPr>
              <w:rFonts w:asciiTheme="minorHAnsi" w:eastAsiaTheme="minorEastAsia" w:hAnsiTheme="minorHAnsi" w:cstheme="minorHAnsi"/>
            </w:rPr>
          </w:pPr>
          <w:hyperlink w:anchor="_Toc145424486" w:history="1">
            <w:r w:rsidR="002D07A7" w:rsidRPr="002D07A7">
              <w:rPr>
                <w:rStyle w:val="Hyperlink"/>
                <w:rFonts w:asciiTheme="minorHAnsi" w:hAnsiTheme="minorHAnsi" w:cstheme="minorHAnsi"/>
              </w:rPr>
              <w:t>Patient Panel</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_Toc145424486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4</w:t>
            </w:r>
            <w:r w:rsidR="002D07A7" w:rsidRPr="002D07A7">
              <w:rPr>
                <w:rFonts w:asciiTheme="minorHAnsi" w:hAnsiTheme="minorHAnsi" w:cstheme="minorHAnsi"/>
                <w:webHidden/>
              </w:rPr>
              <w:fldChar w:fldCharType="end"/>
            </w:r>
          </w:hyperlink>
        </w:p>
        <w:p w14:paraId="01E39660" w14:textId="4A81C39A" w:rsidR="002D07A7" w:rsidRPr="002D07A7" w:rsidRDefault="00305105">
          <w:pPr>
            <w:pStyle w:val="TOC1"/>
            <w:rPr>
              <w:rFonts w:asciiTheme="minorHAnsi" w:eastAsiaTheme="minorEastAsia" w:hAnsiTheme="minorHAnsi" w:cstheme="minorHAnsi"/>
            </w:rPr>
          </w:pPr>
          <w:hyperlink w:anchor="_Toc145424487" w:history="1">
            <w:r w:rsidR="002D07A7" w:rsidRPr="002D07A7">
              <w:rPr>
                <w:rStyle w:val="Hyperlink"/>
                <w:rFonts w:asciiTheme="minorHAnsi" w:eastAsia="Calibri" w:hAnsiTheme="minorHAnsi" w:cstheme="minorHAnsi"/>
              </w:rPr>
              <w:t>Factor 1: a) Patient Panel Need</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_Toc145424487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7</w:t>
            </w:r>
            <w:r w:rsidR="002D07A7" w:rsidRPr="002D07A7">
              <w:rPr>
                <w:rFonts w:asciiTheme="minorHAnsi" w:hAnsiTheme="minorHAnsi" w:cstheme="minorHAnsi"/>
                <w:webHidden/>
              </w:rPr>
              <w:fldChar w:fldCharType="end"/>
            </w:r>
          </w:hyperlink>
        </w:p>
        <w:p w14:paraId="130C9780" w14:textId="114FB225" w:rsidR="002D07A7" w:rsidRPr="002D07A7" w:rsidRDefault="00305105">
          <w:pPr>
            <w:pStyle w:val="TOC1"/>
            <w:rPr>
              <w:rFonts w:asciiTheme="minorHAnsi" w:eastAsiaTheme="minorEastAsia" w:hAnsiTheme="minorHAnsi" w:cstheme="minorHAnsi"/>
            </w:rPr>
          </w:pPr>
          <w:hyperlink w:anchor="_Toc145424488" w:history="1">
            <w:r w:rsidR="002D07A7" w:rsidRPr="002D07A7">
              <w:rPr>
                <w:rStyle w:val="Hyperlink"/>
                <w:rFonts w:asciiTheme="minorHAnsi" w:hAnsiTheme="minorHAnsi" w:cstheme="minorHAnsi"/>
              </w:rPr>
              <w:t>Factor 1: b) Public Health Value, Improved Health Outcomes and Quality of Life; Assurances of Health Equity</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_Toc145424488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10</w:t>
            </w:r>
            <w:r w:rsidR="002D07A7" w:rsidRPr="002D07A7">
              <w:rPr>
                <w:rFonts w:asciiTheme="minorHAnsi" w:hAnsiTheme="minorHAnsi" w:cstheme="minorHAnsi"/>
                <w:webHidden/>
              </w:rPr>
              <w:fldChar w:fldCharType="end"/>
            </w:r>
          </w:hyperlink>
        </w:p>
        <w:p w14:paraId="651CCCF0" w14:textId="5D76AA24" w:rsidR="002D07A7" w:rsidRPr="002D07A7" w:rsidRDefault="00305105">
          <w:pPr>
            <w:pStyle w:val="TOC1"/>
            <w:rPr>
              <w:rFonts w:asciiTheme="minorHAnsi" w:eastAsiaTheme="minorEastAsia" w:hAnsiTheme="minorHAnsi" w:cstheme="minorHAnsi"/>
            </w:rPr>
          </w:pPr>
          <w:hyperlink w:anchor="_Toc145424489" w:history="1">
            <w:r w:rsidR="002D07A7" w:rsidRPr="002D07A7">
              <w:rPr>
                <w:rStyle w:val="Hyperlink"/>
                <w:rFonts w:asciiTheme="minorHAnsi" w:hAnsiTheme="minorHAnsi" w:cstheme="minorHAnsi"/>
              </w:rPr>
              <w:t>Factor 1: c) Efficiency, Continuity of Care, Coordination of Care</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_Toc145424489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12</w:t>
            </w:r>
            <w:r w:rsidR="002D07A7" w:rsidRPr="002D07A7">
              <w:rPr>
                <w:rFonts w:asciiTheme="minorHAnsi" w:hAnsiTheme="minorHAnsi" w:cstheme="minorHAnsi"/>
                <w:webHidden/>
              </w:rPr>
              <w:fldChar w:fldCharType="end"/>
            </w:r>
          </w:hyperlink>
        </w:p>
        <w:p w14:paraId="1CEEEFF4" w14:textId="720E3B22" w:rsidR="002D07A7" w:rsidRPr="002D07A7" w:rsidRDefault="00305105">
          <w:pPr>
            <w:pStyle w:val="TOC1"/>
            <w:rPr>
              <w:rFonts w:asciiTheme="minorHAnsi" w:eastAsiaTheme="minorEastAsia" w:hAnsiTheme="minorHAnsi" w:cstheme="minorHAnsi"/>
            </w:rPr>
          </w:pPr>
          <w:hyperlink w:anchor="_Toc145424490" w:history="1">
            <w:r w:rsidR="002D07A7" w:rsidRPr="002D07A7">
              <w:rPr>
                <w:rStyle w:val="Hyperlink"/>
                <w:rFonts w:asciiTheme="minorHAnsi" w:hAnsiTheme="minorHAnsi" w:cstheme="minorHAnsi"/>
              </w:rPr>
              <w:t>Factor 1: d) Consultation</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_Toc145424490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13</w:t>
            </w:r>
            <w:r w:rsidR="002D07A7" w:rsidRPr="002D07A7">
              <w:rPr>
                <w:rFonts w:asciiTheme="minorHAnsi" w:hAnsiTheme="minorHAnsi" w:cstheme="minorHAnsi"/>
                <w:webHidden/>
              </w:rPr>
              <w:fldChar w:fldCharType="end"/>
            </w:r>
          </w:hyperlink>
        </w:p>
        <w:p w14:paraId="1578122D" w14:textId="59E6E4FB" w:rsidR="002D07A7" w:rsidRPr="002D07A7" w:rsidRDefault="00305105">
          <w:pPr>
            <w:pStyle w:val="TOC1"/>
            <w:rPr>
              <w:rFonts w:asciiTheme="minorHAnsi" w:eastAsiaTheme="minorEastAsia" w:hAnsiTheme="minorHAnsi" w:cstheme="minorHAnsi"/>
            </w:rPr>
          </w:pPr>
          <w:hyperlink w:anchor="_Toc145424491" w:history="1">
            <w:r w:rsidR="002D07A7" w:rsidRPr="002D07A7">
              <w:rPr>
                <w:rStyle w:val="Hyperlink"/>
                <w:rFonts w:asciiTheme="minorHAnsi" w:hAnsiTheme="minorHAnsi" w:cstheme="minorHAnsi"/>
              </w:rPr>
              <w:t>Factor 1: e) Evidence of Sound Community Engagement through the Patient Panel</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_Toc145424491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14</w:t>
            </w:r>
            <w:r w:rsidR="002D07A7" w:rsidRPr="002D07A7">
              <w:rPr>
                <w:rFonts w:asciiTheme="minorHAnsi" w:hAnsiTheme="minorHAnsi" w:cstheme="minorHAnsi"/>
                <w:webHidden/>
              </w:rPr>
              <w:fldChar w:fldCharType="end"/>
            </w:r>
          </w:hyperlink>
        </w:p>
        <w:p w14:paraId="3A5DF41B" w14:textId="407D5F88" w:rsidR="002D07A7" w:rsidRPr="002D07A7" w:rsidRDefault="00305105">
          <w:pPr>
            <w:pStyle w:val="TOC1"/>
            <w:rPr>
              <w:rFonts w:asciiTheme="minorHAnsi" w:eastAsiaTheme="minorEastAsia" w:hAnsiTheme="minorHAnsi" w:cstheme="minorHAnsi"/>
            </w:rPr>
          </w:pPr>
          <w:hyperlink w:anchor="_Toc145424492" w:history="1">
            <w:r w:rsidR="002D07A7" w:rsidRPr="002D07A7">
              <w:rPr>
                <w:rStyle w:val="Hyperlink"/>
                <w:rFonts w:asciiTheme="minorHAnsi" w:hAnsiTheme="minorHAnsi" w:cstheme="minorHAnsi"/>
              </w:rPr>
              <w:t>Factor 1: f) Competition on price, total medical expenses (TME), costs and other measures of health care spending</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_Toc145424492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15</w:t>
            </w:r>
            <w:r w:rsidR="002D07A7" w:rsidRPr="002D07A7">
              <w:rPr>
                <w:rFonts w:asciiTheme="minorHAnsi" w:hAnsiTheme="minorHAnsi" w:cstheme="minorHAnsi"/>
                <w:webHidden/>
              </w:rPr>
              <w:fldChar w:fldCharType="end"/>
            </w:r>
          </w:hyperlink>
        </w:p>
        <w:p w14:paraId="416A8CA5" w14:textId="3DAA4A26" w:rsidR="002D07A7" w:rsidRPr="002D07A7" w:rsidRDefault="00305105">
          <w:pPr>
            <w:pStyle w:val="TOC2"/>
            <w:rPr>
              <w:rFonts w:asciiTheme="minorHAnsi" w:eastAsiaTheme="minorEastAsia" w:hAnsiTheme="minorHAnsi" w:cstheme="minorHAnsi"/>
              <w:color w:val="auto"/>
            </w:rPr>
          </w:pPr>
          <w:hyperlink w:anchor="_Toc145424493" w:history="1">
            <w:r w:rsidR="002D07A7" w:rsidRPr="002D07A7">
              <w:rPr>
                <w:rStyle w:val="Hyperlink"/>
                <w:rFonts w:asciiTheme="minorHAnsi" w:hAnsiTheme="minorHAnsi" w:cstheme="minorHAnsi"/>
              </w:rPr>
              <w:t>Summary, FACTOR 1</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_Toc145424493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15</w:t>
            </w:r>
            <w:r w:rsidR="002D07A7" w:rsidRPr="002D07A7">
              <w:rPr>
                <w:rFonts w:asciiTheme="minorHAnsi" w:hAnsiTheme="minorHAnsi" w:cstheme="minorHAnsi"/>
                <w:webHidden/>
              </w:rPr>
              <w:fldChar w:fldCharType="end"/>
            </w:r>
          </w:hyperlink>
        </w:p>
        <w:p w14:paraId="2FA271CE" w14:textId="6C44B689" w:rsidR="002D07A7" w:rsidRPr="002D07A7" w:rsidRDefault="00305105">
          <w:pPr>
            <w:pStyle w:val="TOC1"/>
            <w:rPr>
              <w:rFonts w:asciiTheme="minorHAnsi" w:eastAsiaTheme="minorEastAsia" w:hAnsiTheme="minorHAnsi" w:cstheme="minorHAnsi"/>
            </w:rPr>
          </w:pPr>
          <w:hyperlink w:anchor="_Toc145424494" w:history="1">
            <w:r w:rsidR="002D07A7" w:rsidRPr="002D07A7">
              <w:rPr>
                <w:rStyle w:val="Hyperlink"/>
                <w:rFonts w:asciiTheme="minorHAnsi" w:hAnsiTheme="minorHAnsi" w:cstheme="minorHAnsi"/>
              </w:rPr>
              <w:t>Factor 2: Cost containment, Improved Public Health Outcomes and Delivery System Transformation</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_Toc145424494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15</w:t>
            </w:r>
            <w:r w:rsidR="002D07A7" w:rsidRPr="002D07A7">
              <w:rPr>
                <w:rFonts w:asciiTheme="minorHAnsi" w:hAnsiTheme="minorHAnsi" w:cstheme="minorHAnsi"/>
                <w:webHidden/>
              </w:rPr>
              <w:fldChar w:fldCharType="end"/>
            </w:r>
          </w:hyperlink>
        </w:p>
        <w:p w14:paraId="05F4B9D7" w14:textId="098FE0A5" w:rsidR="002D07A7" w:rsidRPr="002D07A7" w:rsidRDefault="00305105">
          <w:pPr>
            <w:pStyle w:val="TOC1"/>
            <w:rPr>
              <w:rFonts w:asciiTheme="minorHAnsi" w:eastAsiaTheme="minorEastAsia" w:hAnsiTheme="minorHAnsi" w:cstheme="minorHAnsi"/>
            </w:rPr>
          </w:pPr>
          <w:hyperlink w:anchor="_Toc145424495" w:history="1">
            <w:r w:rsidR="002D07A7" w:rsidRPr="002D07A7">
              <w:rPr>
                <w:rStyle w:val="Hyperlink"/>
                <w:rFonts w:asciiTheme="minorHAnsi" w:hAnsiTheme="minorHAnsi" w:cstheme="minorHAnsi"/>
              </w:rPr>
              <w:t>Summary, FACTOR 2</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_Toc145424495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17</w:t>
            </w:r>
            <w:r w:rsidR="002D07A7" w:rsidRPr="002D07A7">
              <w:rPr>
                <w:rFonts w:asciiTheme="minorHAnsi" w:hAnsiTheme="minorHAnsi" w:cstheme="minorHAnsi"/>
                <w:webHidden/>
              </w:rPr>
              <w:fldChar w:fldCharType="end"/>
            </w:r>
          </w:hyperlink>
        </w:p>
        <w:p w14:paraId="188A23F5" w14:textId="0097DA79" w:rsidR="002D07A7" w:rsidRPr="002D07A7" w:rsidRDefault="00305105">
          <w:pPr>
            <w:pStyle w:val="TOC1"/>
            <w:rPr>
              <w:rFonts w:asciiTheme="minorHAnsi" w:eastAsiaTheme="minorEastAsia" w:hAnsiTheme="minorHAnsi" w:cstheme="minorHAnsi"/>
            </w:rPr>
          </w:pPr>
          <w:hyperlink w:anchor="_Toc145424496" w:history="1">
            <w:r w:rsidR="002D07A7" w:rsidRPr="002D07A7">
              <w:rPr>
                <w:rStyle w:val="Hyperlink"/>
                <w:rFonts w:asciiTheme="minorHAnsi" w:hAnsiTheme="minorHAnsi" w:cstheme="minorHAnsi"/>
              </w:rPr>
              <w:t>Factor 3: Relevant Licensure/Oversight Compliance</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_Toc145424496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17</w:t>
            </w:r>
            <w:r w:rsidR="002D07A7" w:rsidRPr="002D07A7">
              <w:rPr>
                <w:rFonts w:asciiTheme="minorHAnsi" w:hAnsiTheme="minorHAnsi" w:cstheme="minorHAnsi"/>
                <w:webHidden/>
              </w:rPr>
              <w:fldChar w:fldCharType="end"/>
            </w:r>
          </w:hyperlink>
        </w:p>
        <w:p w14:paraId="06921FFC" w14:textId="6939252F" w:rsidR="002D07A7" w:rsidRPr="002D07A7" w:rsidRDefault="00305105">
          <w:pPr>
            <w:pStyle w:val="TOC1"/>
            <w:rPr>
              <w:rFonts w:asciiTheme="minorHAnsi" w:eastAsiaTheme="minorEastAsia" w:hAnsiTheme="minorHAnsi" w:cstheme="minorHAnsi"/>
            </w:rPr>
          </w:pPr>
          <w:hyperlink w:anchor="_Toc145424497" w:history="1">
            <w:r w:rsidR="002D07A7" w:rsidRPr="002D07A7">
              <w:rPr>
                <w:rStyle w:val="Hyperlink"/>
                <w:rFonts w:asciiTheme="minorHAnsi" w:hAnsiTheme="minorHAnsi" w:cstheme="minorHAnsi"/>
              </w:rPr>
              <w:t>Factor 4: Demonstration of Sufficient Funds as Supported by an Independent CPA Analysis</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_Toc145424497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17</w:t>
            </w:r>
            <w:r w:rsidR="002D07A7" w:rsidRPr="002D07A7">
              <w:rPr>
                <w:rFonts w:asciiTheme="minorHAnsi" w:hAnsiTheme="minorHAnsi" w:cstheme="minorHAnsi"/>
                <w:webHidden/>
              </w:rPr>
              <w:fldChar w:fldCharType="end"/>
            </w:r>
          </w:hyperlink>
        </w:p>
        <w:p w14:paraId="2EE1BFF1" w14:textId="392EB567" w:rsidR="002D07A7" w:rsidRPr="002D07A7" w:rsidRDefault="00305105">
          <w:pPr>
            <w:pStyle w:val="TOC1"/>
            <w:rPr>
              <w:rFonts w:asciiTheme="minorHAnsi" w:eastAsiaTheme="minorEastAsia" w:hAnsiTheme="minorHAnsi" w:cstheme="minorHAnsi"/>
            </w:rPr>
          </w:pPr>
          <w:hyperlink w:anchor="_Toc145424498" w:history="1">
            <w:r w:rsidR="002D07A7" w:rsidRPr="002D07A7">
              <w:rPr>
                <w:rStyle w:val="Hyperlink"/>
                <w:rFonts w:asciiTheme="minorHAnsi" w:hAnsiTheme="minorHAnsi" w:cstheme="minorHAnsi"/>
              </w:rPr>
              <w:t>Factor 5: Assessment of the Proposed Project’s Relative Merit</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_Toc145424498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18</w:t>
            </w:r>
            <w:r w:rsidR="002D07A7" w:rsidRPr="002D07A7">
              <w:rPr>
                <w:rFonts w:asciiTheme="minorHAnsi" w:hAnsiTheme="minorHAnsi" w:cstheme="minorHAnsi"/>
                <w:webHidden/>
              </w:rPr>
              <w:fldChar w:fldCharType="end"/>
            </w:r>
          </w:hyperlink>
        </w:p>
        <w:p w14:paraId="258D5FA3" w14:textId="0CF1F28F" w:rsidR="002D07A7" w:rsidRPr="002D07A7" w:rsidRDefault="00305105">
          <w:pPr>
            <w:pStyle w:val="TOC1"/>
            <w:rPr>
              <w:rFonts w:asciiTheme="minorHAnsi" w:eastAsiaTheme="minorEastAsia" w:hAnsiTheme="minorHAnsi" w:cstheme="minorHAnsi"/>
            </w:rPr>
          </w:pPr>
          <w:hyperlink w:anchor="_Toc145424499" w:history="1">
            <w:r w:rsidR="002D07A7" w:rsidRPr="002D07A7">
              <w:rPr>
                <w:rStyle w:val="Hyperlink"/>
                <w:rFonts w:asciiTheme="minorHAnsi" w:eastAsia="Times New Roman" w:hAnsiTheme="minorHAnsi" w:cstheme="minorHAnsi"/>
              </w:rPr>
              <w:t>Factor 6: Fulfillment of DPH Community-based Health Initiatives Guideline</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_Toc145424499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19</w:t>
            </w:r>
            <w:r w:rsidR="002D07A7" w:rsidRPr="002D07A7">
              <w:rPr>
                <w:rFonts w:asciiTheme="minorHAnsi" w:hAnsiTheme="minorHAnsi" w:cstheme="minorHAnsi"/>
                <w:webHidden/>
              </w:rPr>
              <w:fldChar w:fldCharType="end"/>
            </w:r>
          </w:hyperlink>
        </w:p>
        <w:p w14:paraId="3B9AB6F3" w14:textId="3D8BCFEF" w:rsidR="002D07A7" w:rsidRPr="002D07A7" w:rsidRDefault="00305105">
          <w:pPr>
            <w:pStyle w:val="TOC1"/>
            <w:rPr>
              <w:rFonts w:asciiTheme="minorHAnsi" w:eastAsiaTheme="minorEastAsia" w:hAnsiTheme="minorHAnsi" w:cstheme="minorHAnsi"/>
            </w:rPr>
          </w:pPr>
          <w:hyperlink w:anchor="_Toc145424500" w:history="1">
            <w:r w:rsidR="002D07A7" w:rsidRPr="002D07A7">
              <w:rPr>
                <w:rStyle w:val="Hyperlink"/>
                <w:rFonts w:asciiTheme="minorHAnsi" w:hAnsiTheme="minorHAnsi" w:cstheme="minorHAnsi"/>
              </w:rPr>
              <w:t>Findings and Recommendations</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_Toc145424500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20</w:t>
            </w:r>
            <w:r w:rsidR="002D07A7" w:rsidRPr="002D07A7">
              <w:rPr>
                <w:rFonts w:asciiTheme="minorHAnsi" w:hAnsiTheme="minorHAnsi" w:cstheme="minorHAnsi"/>
                <w:webHidden/>
              </w:rPr>
              <w:fldChar w:fldCharType="end"/>
            </w:r>
          </w:hyperlink>
        </w:p>
        <w:p w14:paraId="39694DBD" w14:textId="24A84FD4" w:rsidR="002D07A7" w:rsidRPr="002D07A7" w:rsidRDefault="00305105">
          <w:pPr>
            <w:pStyle w:val="TOC1"/>
            <w:rPr>
              <w:rFonts w:asciiTheme="minorHAnsi" w:eastAsiaTheme="minorEastAsia" w:hAnsiTheme="minorHAnsi" w:cstheme="minorHAnsi"/>
            </w:rPr>
          </w:pPr>
          <w:hyperlink w:anchor="_Toc145424501" w:history="1">
            <w:r w:rsidR="002D07A7" w:rsidRPr="002D07A7">
              <w:rPr>
                <w:rStyle w:val="Hyperlink"/>
                <w:rFonts w:asciiTheme="minorHAnsi" w:eastAsia="Times New Roman" w:hAnsiTheme="minorHAnsi" w:cstheme="minorHAnsi"/>
              </w:rPr>
              <w:t>Other Conditions</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_Toc145424501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20</w:t>
            </w:r>
            <w:r w:rsidR="002D07A7" w:rsidRPr="002D07A7">
              <w:rPr>
                <w:rFonts w:asciiTheme="minorHAnsi" w:hAnsiTheme="minorHAnsi" w:cstheme="minorHAnsi"/>
                <w:webHidden/>
              </w:rPr>
              <w:fldChar w:fldCharType="end"/>
            </w:r>
          </w:hyperlink>
        </w:p>
        <w:p w14:paraId="17D80DC0" w14:textId="1716878B" w:rsidR="002D07A7" w:rsidRPr="002D07A7" w:rsidRDefault="00305105">
          <w:pPr>
            <w:pStyle w:val="TOC1"/>
            <w:rPr>
              <w:rFonts w:asciiTheme="minorHAnsi" w:eastAsiaTheme="minorEastAsia" w:hAnsiTheme="minorHAnsi" w:cstheme="minorHAnsi"/>
            </w:rPr>
          </w:pPr>
          <w:hyperlink w:anchor="_Toc145424502" w:history="1">
            <w:r w:rsidR="002D07A7" w:rsidRPr="002D07A7">
              <w:rPr>
                <w:rStyle w:val="Hyperlink"/>
                <w:rFonts w:asciiTheme="minorHAnsi" w:hAnsiTheme="minorHAnsi" w:cstheme="minorHAnsi"/>
              </w:rPr>
              <w:t>Appendix I: Measures for Annual Reporting</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_Toc145424502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21</w:t>
            </w:r>
            <w:r w:rsidR="002D07A7" w:rsidRPr="002D07A7">
              <w:rPr>
                <w:rFonts w:asciiTheme="minorHAnsi" w:hAnsiTheme="minorHAnsi" w:cstheme="minorHAnsi"/>
                <w:webHidden/>
              </w:rPr>
              <w:fldChar w:fldCharType="end"/>
            </w:r>
          </w:hyperlink>
        </w:p>
        <w:p w14:paraId="56943A2B" w14:textId="4B5F5BD7" w:rsidR="002D07A7" w:rsidRPr="002D07A7" w:rsidRDefault="00305105">
          <w:pPr>
            <w:pStyle w:val="TOC1"/>
            <w:rPr>
              <w:rFonts w:asciiTheme="minorHAnsi" w:eastAsiaTheme="minorEastAsia" w:hAnsiTheme="minorHAnsi" w:cstheme="minorHAnsi"/>
            </w:rPr>
          </w:pPr>
          <w:hyperlink w:anchor="_Toc145424503" w:history="1">
            <w:r w:rsidR="002D07A7" w:rsidRPr="002D07A7">
              <w:rPr>
                <w:rStyle w:val="Hyperlink"/>
                <w:rFonts w:asciiTheme="minorHAnsi" w:hAnsiTheme="minorHAnsi" w:cstheme="minorHAnsi"/>
                <w:iCs/>
              </w:rPr>
              <w:t>REFERENCES</w:t>
            </w:r>
            <w:r w:rsidR="002D07A7" w:rsidRPr="002D07A7">
              <w:rPr>
                <w:rFonts w:asciiTheme="minorHAnsi" w:hAnsiTheme="minorHAnsi" w:cstheme="minorHAnsi"/>
                <w:webHidden/>
              </w:rPr>
              <w:tab/>
            </w:r>
            <w:r w:rsidR="002D07A7" w:rsidRPr="002D07A7">
              <w:rPr>
                <w:rFonts w:asciiTheme="minorHAnsi" w:hAnsiTheme="minorHAnsi" w:cstheme="minorHAnsi"/>
                <w:webHidden/>
              </w:rPr>
              <w:fldChar w:fldCharType="begin"/>
            </w:r>
            <w:r w:rsidR="002D07A7" w:rsidRPr="002D07A7">
              <w:rPr>
                <w:rFonts w:asciiTheme="minorHAnsi" w:hAnsiTheme="minorHAnsi" w:cstheme="minorHAnsi"/>
                <w:webHidden/>
              </w:rPr>
              <w:instrText xml:space="preserve"> PAGEREF _Toc145424503 \h </w:instrText>
            </w:r>
            <w:r w:rsidR="002D07A7" w:rsidRPr="002D07A7">
              <w:rPr>
                <w:rFonts w:asciiTheme="minorHAnsi" w:hAnsiTheme="minorHAnsi" w:cstheme="minorHAnsi"/>
                <w:webHidden/>
              </w:rPr>
            </w:r>
            <w:r w:rsidR="002D07A7" w:rsidRPr="002D07A7">
              <w:rPr>
                <w:rFonts w:asciiTheme="minorHAnsi" w:hAnsiTheme="minorHAnsi" w:cstheme="minorHAnsi"/>
                <w:webHidden/>
              </w:rPr>
              <w:fldChar w:fldCharType="separate"/>
            </w:r>
            <w:r w:rsidR="002D07A7" w:rsidRPr="002D07A7">
              <w:rPr>
                <w:rFonts w:asciiTheme="minorHAnsi" w:hAnsiTheme="minorHAnsi" w:cstheme="minorHAnsi"/>
                <w:webHidden/>
              </w:rPr>
              <w:t>21</w:t>
            </w:r>
            <w:r w:rsidR="002D07A7" w:rsidRPr="002D07A7">
              <w:rPr>
                <w:rFonts w:asciiTheme="minorHAnsi" w:hAnsiTheme="minorHAnsi" w:cstheme="minorHAnsi"/>
                <w:webHidden/>
              </w:rPr>
              <w:fldChar w:fldCharType="end"/>
            </w:r>
          </w:hyperlink>
        </w:p>
        <w:p w14:paraId="0CA65F95" w14:textId="0F885F09" w:rsidR="00E8532F" w:rsidRPr="00AC3A42" w:rsidRDefault="00E8532F" w:rsidP="007A57C4">
          <w:pPr>
            <w:ind w:right="90"/>
            <w:rPr>
              <w:rFonts w:asciiTheme="minorHAnsi" w:hAnsiTheme="minorHAnsi" w:cstheme="minorHAnsi"/>
              <w:highlight w:val="yellow"/>
            </w:rPr>
          </w:pPr>
          <w:r w:rsidRPr="002D07A7">
            <w:rPr>
              <w:rFonts w:asciiTheme="minorHAnsi" w:hAnsiTheme="minorHAnsi" w:cstheme="minorHAnsi"/>
              <w:bCs/>
              <w:noProof/>
              <w:sz w:val="22"/>
              <w:szCs w:val="22"/>
              <w:highlight w:val="yellow"/>
            </w:rPr>
            <w:fldChar w:fldCharType="end"/>
          </w:r>
        </w:p>
      </w:sdtContent>
    </w:sdt>
    <w:p w14:paraId="65AD7C71" w14:textId="667F85A1" w:rsidR="00AC5DD1" w:rsidRPr="002D07A7" w:rsidRDefault="00F336DE" w:rsidP="00F336DE">
      <w:pPr>
        <w:pStyle w:val="Heading1"/>
        <w:tabs>
          <w:tab w:val="left" w:pos="8055"/>
        </w:tabs>
        <w:spacing w:line="240" w:lineRule="auto"/>
        <w:rPr>
          <w:rFonts w:asciiTheme="minorHAnsi" w:hAnsiTheme="minorHAnsi" w:cstheme="minorHAnsi"/>
          <w:sz w:val="24"/>
          <w:szCs w:val="24"/>
        </w:rPr>
      </w:pPr>
      <w:r w:rsidRPr="002D07A7">
        <w:rPr>
          <w:rFonts w:asciiTheme="minorHAnsi" w:hAnsiTheme="minorHAnsi" w:cstheme="minorHAnsi"/>
          <w:sz w:val="24"/>
          <w:szCs w:val="24"/>
        </w:rPr>
        <w:tab/>
      </w:r>
      <w:r w:rsidR="006020C2" w:rsidRPr="002D07A7">
        <w:rPr>
          <w:rFonts w:asciiTheme="minorHAnsi" w:hAnsiTheme="minorHAnsi" w:cstheme="minorHAnsi"/>
          <w:sz w:val="24"/>
          <w:szCs w:val="24"/>
        </w:rPr>
        <w:t xml:space="preserve"> </w:t>
      </w:r>
    </w:p>
    <w:p w14:paraId="4B8BE66C" w14:textId="77777777" w:rsidR="00AC5DD1" w:rsidRPr="00AC3A42" w:rsidRDefault="00AC5DD1" w:rsidP="007A57C4">
      <w:pPr>
        <w:pStyle w:val="Heading1"/>
        <w:spacing w:line="240" w:lineRule="auto"/>
        <w:rPr>
          <w:rFonts w:asciiTheme="minorHAnsi" w:hAnsiTheme="minorHAnsi" w:cstheme="minorHAnsi"/>
          <w:sz w:val="24"/>
          <w:szCs w:val="24"/>
          <w:highlight w:val="yellow"/>
        </w:rPr>
      </w:pPr>
    </w:p>
    <w:p w14:paraId="5113A23D" w14:textId="77777777" w:rsidR="00C173D5" w:rsidRPr="00AC3A42" w:rsidRDefault="00C173D5" w:rsidP="007A57C4">
      <w:pPr>
        <w:rPr>
          <w:rFonts w:asciiTheme="minorHAnsi" w:hAnsiTheme="minorHAnsi" w:cstheme="minorHAnsi"/>
          <w:highlight w:val="yellow"/>
        </w:rPr>
      </w:pPr>
    </w:p>
    <w:p w14:paraId="7943D24D" w14:textId="77777777" w:rsidR="00C173D5" w:rsidRPr="00AC3A42" w:rsidRDefault="00C173D5" w:rsidP="007A57C4">
      <w:pPr>
        <w:rPr>
          <w:rFonts w:asciiTheme="minorHAnsi" w:hAnsiTheme="minorHAnsi" w:cstheme="minorHAnsi"/>
          <w:highlight w:val="yellow"/>
        </w:rPr>
      </w:pPr>
    </w:p>
    <w:p w14:paraId="39E7D380" w14:textId="77777777" w:rsidR="00C173D5" w:rsidRPr="00AC3A42" w:rsidRDefault="00C173D5" w:rsidP="007A57C4">
      <w:pPr>
        <w:rPr>
          <w:rFonts w:asciiTheme="minorHAnsi" w:hAnsiTheme="minorHAnsi" w:cstheme="minorHAnsi"/>
          <w:highlight w:val="yellow"/>
        </w:rPr>
      </w:pPr>
    </w:p>
    <w:p w14:paraId="0DA9B556" w14:textId="77777777" w:rsidR="00F109EA" w:rsidRPr="00AC3A42" w:rsidRDefault="00F109EA" w:rsidP="007B6BF9">
      <w:pPr>
        <w:rPr>
          <w:rFonts w:asciiTheme="minorHAnsi" w:hAnsiTheme="minorHAnsi" w:cstheme="minorHAnsi"/>
          <w:highlight w:val="yellow"/>
        </w:rPr>
      </w:pPr>
      <w:r w:rsidRPr="00AC3A42">
        <w:rPr>
          <w:rFonts w:asciiTheme="minorHAnsi" w:hAnsiTheme="minorHAnsi" w:cstheme="minorHAnsi"/>
          <w:highlight w:val="yellow"/>
        </w:rPr>
        <w:br w:type="page"/>
      </w:r>
    </w:p>
    <w:p w14:paraId="6682667E" w14:textId="77777777" w:rsidR="002344DA" w:rsidRPr="00080085" w:rsidRDefault="002344DA" w:rsidP="001478F1">
      <w:pPr>
        <w:pStyle w:val="Heading1"/>
        <w:spacing w:line="240" w:lineRule="auto"/>
        <w:rPr>
          <w:rFonts w:asciiTheme="minorHAnsi" w:hAnsiTheme="minorHAnsi" w:cstheme="minorHAnsi"/>
        </w:rPr>
      </w:pPr>
      <w:bookmarkStart w:id="1" w:name="_Toc145424484"/>
      <w:bookmarkStart w:id="2" w:name="_Toc17474921"/>
      <w:bookmarkStart w:id="3" w:name="_Toc17151135"/>
      <w:bookmarkStart w:id="4" w:name="_Toc17731308"/>
      <w:bookmarkStart w:id="5" w:name="_Toc18420176"/>
      <w:bookmarkStart w:id="6" w:name="_Toc18922397"/>
      <w:bookmarkStart w:id="7" w:name="_Toc27567690"/>
      <w:bookmarkStart w:id="8" w:name="_Toc17151137"/>
      <w:bookmarkEnd w:id="0"/>
      <w:r w:rsidRPr="00080085">
        <w:rPr>
          <w:rFonts w:asciiTheme="minorHAnsi" w:hAnsiTheme="minorHAnsi" w:cstheme="minorHAnsi"/>
        </w:rPr>
        <w:lastRenderedPageBreak/>
        <w:t>Applicant Background and Application Overview</w:t>
      </w:r>
      <w:bookmarkEnd w:id="1"/>
    </w:p>
    <w:p w14:paraId="5942436C" w14:textId="77777777" w:rsidR="00080085" w:rsidRPr="00F75993" w:rsidRDefault="00080085" w:rsidP="00080085">
      <w:pPr>
        <w:pStyle w:val="BodyText"/>
        <w:spacing w:after="0"/>
        <w:ind w:right="133"/>
        <w:rPr>
          <w:b/>
          <w:bCs/>
        </w:rPr>
      </w:pPr>
      <w:bookmarkStart w:id="9" w:name="_Toc99993051"/>
      <w:bookmarkStart w:id="10" w:name="_Toc18922409"/>
      <w:bookmarkStart w:id="11" w:name="_Toc17151150"/>
      <w:bookmarkStart w:id="12" w:name="_Toc17322394"/>
      <w:bookmarkEnd w:id="2"/>
      <w:bookmarkEnd w:id="3"/>
      <w:bookmarkEnd w:id="4"/>
      <w:bookmarkEnd w:id="5"/>
      <w:bookmarkEnd w:id="6"/>
      <w:bookmarkEnd w:id="7"/>
      <w:bookmarkEnd w:id="8"/>
      <w:r w:rsidRPr="00F75993">
        <w:rPr>
          <w:b/>
          <w:bCs/>
        </w:rPr>
        <w:t>Beth Israel Lahey Health</w:t>
      </w:r>
      <w:r>
        <w:rPr>
          <w:b/>
          <w:bCs/>
        </w:rPr>
        <w:t>, Inc.</w:t>
      </w:r>
    </w:p>
    <w:p w14:paraId="5E216CF6" w14:textId="77777777" w:rsidR="00080085" w:rsidRDefault="00080085" w:rsidP="00080085">
      <w:pPr>
        <w:pStyle w:val="BodyText"/>
        <w:spacing w:after="0"/>
        <w:ind w:right="133"/>
      </w:pPr>
      <w:r w:rsidRPr="00A54B19">
        <w:rPr>
          <w:sz w:val="24"/>
          <w:szCs w:val="24"/>
        </w:rPr>
        <w:t xml:space="preserve">The </w:t>
      </w:r>
      <w:r>
        <w:rPr>
          <w:sz w:val="24"/>
          <w:szCs w:val="24"/>
        </w:rPr>
        <w:t>Beth Israel Lahey Health, Inc (BILH or Applicant)</w:t>
      </w:r>
      <w:r w:rsidRPr="00A54B19">
        <w:rPr>
          <w:sz w:val="24"/>
          <w:szCs w:val="24"/>
        </w:rPr>
        <w:t>, is a Massachusetts, non-profit, tax-exempt corporation that oversees an integrated health care delivery system comprised of teaching and community hospitals, physician groups, behavioral health providers, post-acute care providers and other caregivers serving</w:t>
      </w:r>
      <w:r w:rsidRPr="00A54B19">
        <w:rPr>
          <w:spacing w:val="-3"/>
          <w:sz w:val="24"/>
          <w:szCs w:val="24"/>
        </w:rPr>
        <w:t xml:space="preserve"> </w:t>
      </w:r>
      <w:r w:rsidRPr="00A54B19">
        <w:rPr>
          <w:sz w:val="24"/>
          <w:szCs w:val="24"/>
        </w:rPr>
        <w:t>patients</w:t>
      </w:r>
      <w:r w:rsidRPr="00A54B19">
        <w:rPr>
          <w:spacing w:val="-5"/>
          <w:sz w:val="24"/>
          <w:szCs w:val="24"/>
        </w:rPr>
        <w:t xml:space="preserve"> </w:t>
      </w:r>
      <w:r w:rsidRPr="00A54B19">
        <w:rPr>
          <w:sz w:val="24"/>
          <w:szCs w:val="24"/>
        </w:rPr>
        <w:t>in</w:t>
      </w:r>
      <w:r w:rsidRPr="00A54B19">
        <w:rPr>
          <w:spacing w:val="-2"/>
          <w:sz w:val="24"/>
          <w:szCs w:val="24"/>
        </w:rPr>
        <w:t xml:space="preserve"> </w:t>
      </w:r>
      <w:r w:rsidRPr="00A54B19">
        <w:rPr>
          <w:sz w:val="24"/>
          <w:szCs w:val="24"/>
        </w:rPr>
        <w:t>Greater</w:t>
      </w:r>
      <w:r w:rsidRPr="00A54B19">
        <w:rPr>
          <w:spacing w:val="-2"/>
          <w:sz w:val="24"/>
          <w:szCs w:val="24"/>
        </w:rPr>
        <w:t xml:space="preserve"> </w:t>
      </w:r>
      <w:r w:rsidRPr="00A54B19">
        <w:rPr>
          <w:sz w:val="24"/>
          <w:szCs w:val="24"/>
        </w:rPr>
        <w:t>Boston</w:t>
      </w:r>
      <w:r w:rsidRPr="00A54B19">
        <w:rPr>
          <w:spacing w:val="-2"/>
          <w:sz w:val="24"/>
          <w:szCs w:val="24"/>
        </w:rPr>
        <w:t xml:space="preserve"> </w:t>
      </w:r>
      <w:r w:rsidRPr="00A54B19">
        <w:rPr>
          <w:sz w:val="24"/>
          <w:szCs w:val="24"/>
        </w:rPr>
        <w:t>and</w:t>
      </w:r>
      <w:r w:rsidRPr="00A54B19">
        <w:rPr>
          <w:spacing w:val="-4"/>
          <w:sz w:val="24"/>
          <w:szCs w:val="24"/>
        </w:rPr>
        <w:t xml:space="preserve"> </w:t>
      </w:r>
      <w:r w:rsidRPr="00A54B19">
        <w:rPr>
          <w:sz w:val="24"/>
          <w:szCs w:val="24"/>
        </w:rPr>
        <w:t>the</w:t>
      </w:r>
      <w:r w:rsidRPr="00A54B19">
        <w:rPr>
          <w:spacing w:val="-2"/>
          <w:sz w:val="24"/>
          <w:szCs w:val="24"/>
        </w:rPr>
        <w:t xml:space="preserve"> </w:t>
      </w:r>
      <w:r w:rsidRPr="00A54B19">
        <w:rPr>
          <w:sz w:val="24"/>
          <w:szCs w:val="24"/>
        </w:rPr>
        <w:t>surrounding</w:t>
      </w:r>
      <w:r w:rsidRPr="00A54B19">
        <w:rPr>
          <w:spacing w:val="-5"/>
          <w:sz w:val="24"/>
          <w:szCs w:val="24"/>
        </w:rPr>
        <w:t xml:space="preserve"> </w:t>
      </w:r>
      <w:r w:rsidRPr="00A54B19">
        <w:rPr>
          <w:sz w:val="24"/>
          <w:szCs w:val="24"/>
        </w:rPr>
        <w:t>communities</w:t>
      </w:r>
      <w:r w:rsidRPr="00A54B19">
        <w:rPr>
          <w:spacing w:val="-3"/>
          <w:sz w:val="24"/>
          <w:szCs w:val="24"/>
        </w:rPr>
        <w:t xml:space="preserve"> </w:t>
      </w:r>
      <w:r w:rsidRPr="00A54B19">
        <w:rPr>
          <w:sz w:val="24"/>
          <w:szCs w:val="24"/>
        </w:rPr>
        <w:t>in</w:t>
      </w:r>
      <w:r w:rsidRPr="00A54B19">
        <w:rPr>
          <w:spacing w:val="-4"/>
          <w:sz w:val="24"/>
          <w:szCs w:val="24"/>
        </w:rPr>
        <w:t xml:space="preserve"> </w:t>
      </w:r>
      <w:r w:rsidRPr="00A54B19">
        <w:rPr>
          <w:sz w:val="24"/>
          <w:szCs w:val="24"/>
        </w:rPr>
        <w:t>Eastern</w:t>
      </w:r>
      <w:r w:rsidRPr="00A54B19">
        <w:rPr>
          <w:spacing w:val="-4"/>
          <w:sz w:val="24"/>
          <w:szCs w:val="24"/>
        </w:rPr>
        <w:t xml:space="preserve"> </w:t>
      </w:r>
      <w:r w:rsidRPr="00A54B19">
        <w:rPr>
          <w:sz w:val="24"/>
          <w:szCs w:val="24"/>
        </w:rPr>
        <w:t>Massachusetts and South Eastern New Hampshire</w:t>
      </w:r>
      <w:r>
        <w:t>.</w:t>
      </w:r>
      <w:r>
        <w:rPr>
          <w:rStyle w:val="FootnoteReference"/>
        </w:rPr>
        <w:footnoteReference w:id="1"/>
      </w:r>
      <w:r>
        <w:t xml:space="preserve"> </w:t>
      </w:r>
    </w:p>
    <w:p w14:paraId="435DF455" w14:textId="77777777" w:rsidR="00080085" w:rsidRDefault="00080085" w:rsidP="00080085">
      <w:pPr>
        <w:pStyle w:val="BodyText"/>
        <w:spacing w:before="1"/>
      </w:pPr>
    </w:p>
    <w:p w14:paraId="067327FD" w14:textId="77777777" w:rsidR="00080085" w:rsidRPr="00A54B19" w:rsidRDefault="00080085" w:rsidP="00080085">
      <w:pPr>
        <w:pStyle w:val="BodyText"/>
        <w:rPr>
          <w:sz w:val="24"/>
          <w:szCs w:val="24"/>
        </w:rPr>
      </w:pPr>
      <w:r w:rsidRPr="00DC509D">
        <w:rPr>
          <w:sz w:val="24"/>
          <w:szCs w:val="24"/>
        </w:rPr>
        <w:t>Collectively</w:t>
      </w:r>
      <w:r w:rsidRPr="00DC509D">
        <w:rPr>
          <w:spacing w:val="-4"/>
          <w:sz w:val="24"/>
          <w:szCs w:val="24"/>
        </w:rPr>
        <w:t xml:space="preserve"> </w:t>
      </w:r>
      <w:r w:rsidRPr="00DC509D">
        <w:rPr>
          <w:sz w:val="24"/>
          <w:szCs w:val="24"/>
        </w:rPr>
        <w:t>known as</w:t>
      </w:r>
      <w:r w:rsidRPr="00DC509D">
        <w:rPr>
          <w:spacing w:val="-3"/>
          <w:sz w:val="24"/>
          <w:szCs w:val="24"/>
        </w:rPr>
        <w:t xml:space="preserve"> </w:t>
      </w:r>
      <w:r w:rsidRPr="00DC509D">
        <w:rPr>
          <w:sz w:val="24"/>
          <w:szCs w:val="24"/>
        </w:rPr>
        <w:t>“BILH</w:t>
      </w:r>
      <w:r w:rsidRPr="00DC509D">
        <w:rPr>
          <w:spacing w:val="-2"/>
          <w:sz w:val="24"/>
          <w:szCs w:val="24"/>
        </w:rPr>
        <w:t xml:space="preserve"> </w:t>
      </w:r>
      <w:r w:rsidRPr="00DC509D">
        <w:rPr>
          <w:sz w:val="24"/>
          <w:szCs w:val="24"/>
        </w:rPr>
        <w:t>Hospitals,”</w:t>
      </w:r>
      <w:r w:rsidRPr="00DC509D">
        <w:rPr>
          <w:spacing w:val="-3"/>
          <w:sz w:val="24"/>
          <w:szCs w:val="24"/>
        </w:rPr>
        <w:t xml:space="preserve"> </w:t>
      </w:r>
      <w:r w:rsidRPr="00DC509D">
        <w:rPr>
          <w:sz w:val="24"/>
          <w:szCs w:val="24"/>
        </w:rPr>
        <w:t>BILH’s</w:t>
      </w:r>
      <w:r w:rsidRPr="00DC509D">
        <w:rPr>
          <w:spacing w:val="-2"/>
          <w:sz w:val="24"/>
          <w:szCs w:val="24"/>
        </w:rPr>
        <w:t xml:space="preserve"> </w:t>
      </w:r>
      <w:r w:rsidRPr="00DC509D">
        <w:rPr>
          <w:sz w:val="24"/>
          <w:szCs w:val="24"/>
        </w:rPr>
        <w:t>member</w:t>
      </w:r>
      <w:r w:rsidRPr="00DC509D">
        <w:rPr>
          <w:spacing w:val="-3"/>
          <w:sz w:val="24"/>
          <w:szCs w:val="24"/>
        </w:rPr>
        <w:t xml:space="preserve"> </w:t>
      </w:r>
      <w:r w:rsidRPr="00DC509D">
        <w:rPr>
          <w:sz w:val="24"/>
          <w:szCs w:val="24"/>
        </w:rPr>
        <w:t>hospitals</w:t>
      </w:r>
      <w:r w:rsidRPr="00DC509D">
        <w:rPr>
          <w:spacing w:val="-1"/>
          <w:sz w:val="24"/>
          <w:szCs w:val="24"/>
        </w:rPr>
        <w:t xml:space="preserve"> </w:t>
      </w:r>
      <w:r w:rsidRPr="00DC509D">
        <w:rPr>
          <w:spacing w:val="-2"/>
          <w:sz w:val="24"/>
          <w:szCs w:val="24"/>
        </w:rPr>
        <w:t>include:</w:t>
      </w:r>
    </w:p>
    <w:p w14:paraId="0AD1D6DA" w14:textId="77777777" w:rsidR="00080085" w:rsidRDefault="00080085" w:rsidP="00080085">
      <w:pPr>
        <w:pStyle w:val="BodyText"/>
        <w:spacing w:after="1"/>
      </w:pPr>
    </w:p>
    <w:tbl>
      <w:tblPr>
        <w:tblStyle w:val="TableGrid"/>
        <w:tblW w:w="0" w:type="auto"/>
        <w:tblLayout w:type="fixed"/>
        <w:tblLook w:val="01E0" w:firstRow="1" w:lastRow="1" w:firstColumn="1" w:lastColumn="1" w:noHBand="0" w:noVBand="0"/>
      </w:tblPr>
      <w:tblGrid>
        <w:gridCol w:w="4675"/>
        <w:gridCol w:w="4675"/>
      </w:tblGrid>
      <w:tr w:rsidR="00080085" w14:paraId="3AF4F4AB" w14:textId="77777777" w:rsidTr="00800AB1">
        <w:trPr>
          <w:cantSplit/>
          <w:trHeight w:val="292"/>
          <w:tblHeader/>
        </w:trPr>
        <w:tc>
          <w:tcPr>
            <w:tcW w:w="4675" w:type="dxa"/>
          </w:tcPr>
          <w:p w14:paraId="2F2C16AE" w14:textId="77777777" w:rsidR="00080085" w:rsidRPr="00742009" w:rsidRDefault="00080085" w:rsidP="00490047">
            <w:pPr>
              <w:pStyle w:val="TableParagraph"/>
              <w:spacing w:line="272" w:lineRule="exact"/>
              <w:ind w:left="1562"/>
              <w:rPr>
                <w:rFonts w:asciiTheme="minorHAnsi" w:hAnsiTheme="minorHAnsi" w:cstheme="minorHAnsi"/>
                <w:b/>
                <w:sz w:val="24"/>
              </w:rPr>
            </w:pPr>
            <w:r w:rsidRPr="00742009">
              <w:rPr>
                <w:rFonts w:asciiTheme="minorHAnsi" w:hAnsiTheme="minorHAnsi" w:cstheme="minorHAnsi"/>
                <w:b/>
                <w:sz w:val="24"/>
              </w:rPr>
              <w:t xml:space="preserve">Acute </w:t>
            </w:r>
            <w:r w:rsidRPr="00742009">
              <w:rPr>
                <w:rFonts w:asciiTheme="minorHAnsi" w:hAnsiTheme="minorHAnsi" w:cstheme="minorHAnsi"/>
                <w:b/>
                <w:spacing w:val="-2"/>
                <w:sz w:val="24"/>
              </w:rPr>
              <w:t>Hospital</w:t>
            </w:r>
            <w:r w:rsidRPr="00742009">
              <w:rPr>
                <w:rStyle w:val="FootnoteReference"/>
                <w:rFonts w:asciiTheme="minorHAnsi" w:hAnsiTheme="minorHAnsi" w:cstheme="minorHAnsi"/>
                <w:b/>
                <w:spacing w:val="-2"/>
                <w:sz w:val="24"/>
              </w:rPr>
              <w:footnoteReference w:id="2"/>
            </w:r>
          </w:p>
        </w:tc>
        <w:tc>
          <w:tcPr>
            <w:tcW w:w="4675" w:type="dxa"/>
          </w:tcPr>
          <w:p w14:paraId="496ECE81" w14:textId="77777777" w:rsidR="00080085" w:rsidRPr="00742009" w:rsidRDefault="00080085" w:rsidP="00490047">
            <w:pPr>
              <w:pStyle w:val="TableParagraph"/>
              <w:spacing w:line="272" w:lineRule="exact"/>
              <w:ind w:left="996"/>
              <w:rPr>
                <w:rFonts w:asciiTheme="minorHAnsi" w:hAnsiTheme="minorHAnsi" w:cstheme="minorHAnsi"/>
                <w:b/>
                <w:sz w:val="24"/>
              </w:rPr>
            </w:pPr>
            <w:r w:rsidRPr="00742009">
              <w:rPr>
                <w:rFonts w:asciiTheme="minorHAnsi" w:hAnsiTheme="minorHAnsi" w:cstheme="minorHAnsi"/>
                <w:b/>
                <w:sz w:val="24"/>
              </w:rPr>
              <w:t>Type</w:t>
            </w:r>
            <w:r w:rsidRPr="00742009">
              <w:rPr>
                <w:rFonts w:asciiTheme="minorHAnsi" w:hAnsiTheme="minorHAnsi" w:cstheme="minorHAnsi"/>
                <w:b/>
                <w:spacing w:val="-2"/>
                <w:sz w:val="24"/>
              </w:rPr>
              <w:t xml:space="preserve"> </w:t>
            </w:r>
            <w:r w:rsidRPr="00742009">
              <w:rPr>
                <w:rFonts w:asciiTheme="minorHAnsi" w:hAnsiTheme="minorHAnsi" w:cstheme="minorHAnsi"/>
                <w:b/>
                <w:sz w:val="24"/>
              </w:rPr>
              <w:t>(Per</w:t>
            </w:r>
            <w:r w:rsidRPr="00742009">
              <w:rPr>
                <w:rFonts w:asciiTheme="minorHAnsi" w:hAnsiTheme="minorHAnsi" w:cstheme="minorHAnsi"/>
                <w:b/>
                <w:spacing w:val="1"/>
                <w:sz w:val="24"/>
              </w:rPr>
              <w:t xml:space="preserve"> </w:t>
            </w:r>
            <w:r w:rsidRPr="00742009">
              <w:rPr>
                <w:rFonts w:asciiTheme="minorHAnsi" w:hAnsiTheme="minorHAnsi" w:cstheme="minorHAnsi"/>
                <w:b/>
                <w:sz w:val="24"/>
              </w:rPr>
              <w:t>CHIA</w:t>
            </w:r>
            <w:r w:rsidRPr="00742009">
              <w:rPr>
                <w:rFonts w:asciiTheme="minorHAnsi" w:hAnsiTheme="minorHAnsi" w:cstheme="minorHAnsi"/>
                <w:b/>
                <w:spacing w:val="-2"/>
                <w:sz w:val="24"/>
              </w:rPr>
              <w:t xml:space="preserve"> Category </w:t>
            </w:r>
            <w:r w:rsidRPr="00742009">
              <w:rPr>
                <w:rStyle w:val="EndnoteReference"/>
                <w:rFonts w:asciiTheme="minorHAnsi" w:hAnsiTheme="minorHAnsi" w:cstheme="minorHAnsi"/>
                <w:b/>
                <w:spacing w:val="-2"/>
                <w:sz w:val="24"/>
              </w:rPr>
              <w:endnoteReference w:id="1"/>
            </w:r>
            <w:r w:rsidRPr="00742009">
              <w:rPr>
                <w:rStyle w:val="EndnoteReference"/>
                <w:rFonts w:asciiTheme="minorHAnsi" w:hAnsiTheme="minorHAnsi" w:cstheme="minorHAnsi"/>
                <w:sz w:val="24"/>
              </w:rPr>
              <w:t xml:space="preserve">, </w:t>
            </w:r>
            <w:r w:rsidRPr="00742009">
              <w:rPr>
                <w:rStyle w:val="EndnoteReference"/>
                <w:rFonts w:asciiTheme="minorHAnsi" w:hAnsiTheme="minorHAnsi" w:cstheme="minorHAnsi"/>
                <w:b/>
                <w:spacing w:val="-2"/>
                <w:sz w:val="24"/>
              </w:rPr>
              <w:endnoteReference w:id="2"/>
            </w:r>
            <w:r w:rsidRPr="00742009">
              <w:rPr>
                <w:rFonts w:asciiTheme="minorHAnsi" w:hAnsiTheme="minorHAnsi" w:cstheme="minorHAnsi"/>
                <w:b/>
                <w:sz w:val="24"/>
              </w:rPr>
              <w:t>)</w:t>
            </w:r>
          </w:p>
        </w:tc>
      </w:tr>
      <w:tr w:rsidR="00080085" w14:paraId="7733E7B9" w14:textId="77777777" w:rsidTr="00800AB1">
        <w:trPr>
          <w:cantSplit/>
          <w:trHeight w:val="294"/>
        </w:trPr>
        <w:tc>
          <w:tcPr>
            <w:tcW w:w="4675" w:type="dxa"/>
          </w:tcPr>
          <w:p w14:paraId="625B1ABD" w14:textId="77777777" w:rsidR="00080085" w:rsidRPr="00742009" w:rsidRDefault="00080085" w:rsidP="00490047">
            <w:pPr>
              <w:pStyle w:val="TableParagraph"/>
              <w:spacing w:line="275" w:lineRule="exact"/>
              <w:ind w:left="107"/>
              <w:rPr>
                <w:rFonts w:asciiTheme="minorHAnsi" w:hAnsiTheme="minorHAnsi" w:cstheme="minorHAnsi"/>
                <w:sz w:val="24"/>
              </w:rPr>
            </w:pPr>
            <w:r w:rsidRPr="00742009">
              <w:rPr>
                <w:rFonts w:asciiTheme="minorHAnsi" w:hAnsiTheme="minorHAnsi" w:cstheme="minorHAnsi"/>
                <w:sz w:val="24"/>
              </w:rPr>
              <w:t>Anna</w:t>
            </w:r>
            <w:r w:rsidRPr="00742009">
              <w:rPr>
                <w:rFonts w:asciiTheme="minorHAnsi" w:hAnsiTheme="minorHAnsi" w:cstheme="minorHAnsi"/>
                <w:spacing w:val="-2"/>
                <w:sz w:val="24"/>
              </w:rPr>
              <w:t xml:space="preserve"> </w:t>
            </w:r>
            <w:r w:rsidRPr="00742009">
              <w:rPr>
                <w:rFonts w:asciiTheme="minorHAnsi" w:hAnsiTheme="minorHAnsi" w:cstheme="minorHAnsi"/>
                <w:sz w:val="24"/>
              </w:rPr>
              <w:t>Jaques</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c>
          <w:tcPr>
            <w:tcW w:w="4675" w:type="dxa"/>
          </w:tcPr>
          <w:p w14:paraId="5C1D9D99" w14:textId="77777777" w:rsidR="00080085" w:rsidRPr="00742009" w:rsidRDefault="00080085" w:rsidP="00490047">
            <w:pPr>
              <w:pStyle w:val="TableParagraph"/>
              <w:spacing w:line="275" w:lineRule="exact"/>
              <w:ind w:left="107"/>
              <w:rPr>
                <w:rFonts w:asciiTheme="minorHAnsi" w:hAnsiTheme="minorHAnsi" w:cstheme="minorHAnsi"/>
                <w:sz w:val="24"/>
              </w:rPr>
            </w:pPr>
            <w:r w:rsidRPr="00742009">
              <w:rPr>
                <w:rFonts w:asciiTheme="minorHAnsi" w:hAnsiTheme="minorHAnsi" w:cstheme="minorHAnsi"/>
                <w:sz w:val="24"/>
              </w:rPr>
              <w:t>Community</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r w:rsidR="00080085" w14:paraId="7FC0FCA3" w14:textId="77777777" w:rsidTr="00800AB1">
        <w:trPr>
          <w:cantSplit/>
          <w:trHeight w:val="292"/>
        </w:trPr>
        <w:tc>
          <w:tcPr>
            <w:tcW w:w="4675" w:type="dxa"/>
          </w:tcPr>
          <w:p w14:paraId="1D4D88B0"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Beth Israel</w:t>
            </w:r>
            <w:r w:rsidRPr="00742009">
              <w:rPr>
                <w:rFonts w:asciiTheme="minorHAnsi" w:hAnsiTheme="minorHAnsi" w:cstheme="minorHAnsi"/>
                <w:spacing w:val="-4"/>
                <w:sz w:val="24"/>
              </w:rPr>
              <w:t xml:space="preserve"> </w:t>
            </w:r>
            <w:r w:rsidRPr="00742009">
              <w:rPr>
                <w:rFonts w:asciiTheme="minorHAnsi" w:hAnsiTheme="minorHAnsi" w:cstheme="minorHAnsi"/>
                <w:sz w:val="24"/>
              </w:rPr>
              <w:t>Deaconess</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Hospital–Milton</w:t>
            </w:r>
          </w:p>
        </w:tc>
        <w:tc>
          <w:tcPr>
            <w:tcW w:w="4675" w:type="dxa"/>
          </w:tcPr>
          <w:p w14:paraId="428191BE"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Community</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r w:rsidR="00080085" w14:paraId="4E2F4A11" w14:textId="77777777" w:rsidTr="00800AB1">
        <w:trPr>
          <w:cantSplit/>
          <w:trHeight w:val="292"/>
        </w:trPr>
        <w:tc>
          <w:tcPr>
            <w:tcW w:w="4675" w:type="dxa"/>
          </w:tcPr>
          <w:p w14:paraId="29A8F885"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Beth Israel</w:t>
            </w:r>
            <w:r w:rsidRPr="00742009">
              <w:rPr>
                <w:rFonts w:asciiTheme="minorHAnsi" w:hAnsiTheme="minorHAnsi" w:cstheme="minorHAnsi"/>
                <w:spacing w:val="-4"/>
                <w:sz w:val="24"/>
              </w:rPr>
              <w:t xml:space="preserve"> </w:t>
            </w:r>
            <w:r w:rsidRPr="00742009">
              <w:rPr>
                <w:rFonts w:asciiTheme="minorHAnsi" w:hAnsiTheme="minorHAnsi" w:cstheme="minorHAnsi"/>
                <w:sz w:val="24"/>
              </w:rPr>
              <w:t>Deaconess</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Hospital–Needham</w:t>
            </w:r>
          </w:p>
        </w:tc>
        <w:tc>
          <w:tcPr>
            <w:tcW w:w="4675" w:type="dxa"/>
          </w:tcPr>
          <w:p w14:paraId="5252D12B"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Community</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r w:rsidR="00080085" w14:paraId="5985258E" w14:textId="77777777" w:rsidTr="00800AB1">
        <w:trPr>
          <w:cantSplit/>
          <w:trHeight w:val="292"/>
        </w:trPr>
        <w:tc>
          <w:tcPr>
            <w:tcW w:w="4675" w:type="dxa"/>
          </w:tcPr>
          <w:p w14:paraId="07395A27"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Beth Israel</w:t>
            </w:r>
            <w:r w:rsidRPr="00742009">
              <w:rPr>
                <w:rFonts w:asciiTheme="minorHAnsi" w:hAnsiTheme="minorHAnsi" w:cstheme="minorHAnsi"/>
                <w:spacing w:val="-4"/>
                <w:sz w:val="24"/>
              </w:rPr>
              <w:t xml:space="preserve"> </w:t>
            </w:r>
            <w:r w:rsidRPr="00742009">
              <w:rPr>
                <w:rFonts w:asciiTheme="minorHAnsi" w:hAnsiTheme="minorHAnsi" w:cstheme="minorHAnsi"/>
                <w:sz w:val="24"/>
              </w:rPr>
              <w:t>Deaconess</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Hospital–Plymouth</w:t>
            </w:r>
          </w:p>
        </w:tc>
        <w:tc>
          <w:tcPr>
            <w:tcW w:w="4675" w:type="dxa"/>
          </w:tcPr>
          <w:p w14:paraId="3E4433D4"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Community-High</w:t>
            </w:r>
            <w:r w:rsidRPr="00742009">
              <w:rPr>
                <w:rFonts w:asciiTheme="minorHAnsi" w:hAnsiTheme="minorHAnsi" w:cstheme="minorHAnsi"/>
                <w:spacing w:val="-3"/>
                <w:sz w:val="24"/>
              </w:rPr>
              <w:t xml:space="preserve"> </w:t>
            </w:r>
            <w:r w:rsidRPr="00742009">
              <w:rPr>
                <w:rFonts w:asciiTheme="minorHAnsi" w:hAnsiTheme="minorHAnsi" w:cstheme="minorHAnsi"/>
                <w:sz w:val="24"/>
              </w:rPr>
              <w:t>Public</w:t>
            </w:r>
            <w:r w:rsidRPr="00742009">
              <w:rPr>
                <w:rFonts w:asciiTheme="minorHAnsi" w:hAnsiTheme="minorHAnsi" w:cstheme="minorHAnsi"/>
                <w:spacing w:val="-5"/>
                <w:sz w:val="24"/>
              </w:rPr>
              <w:t xml:space="preserve"> </w:t>
            </w:r>
            <w:r w:rsidRPr="00742009">
              <w:rPr>
                <w:rFonts w:asciiTheme="minorHAnsi" w:hAnsiTheme="minorHAnsi" w:cstheme="minorHAnsi"/>
                <w:sz w:val="24"/>
              </w:rPr>
              <w:t>Payer</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r w:rsidR="00080085" w14:paraId="05A9D012" w14:textId="77777777" w:rsidTr="00800AB1">
        <w:trPr>
          <w:cantSplit/>
          <w:trHeight w:val="292"/>
        </w:trPr>
        <w:tc>
          <w:tcPr>
            <w:tcW w:w="4675" w:type="dxa"/>
          </w:tcPr>
          <w:p w14:paraId="63FE94BF"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Beth Israel</w:t>
            </w:r>
            <w:r w:rsidRPr="00742009">
              <w:rPr>
                <w:rFonts w:asciiTheme="minorHAnsi" w:hAnsiTheme="minorHAnsi" w:cstheme="minorHAnsi"/>
                <w:spacing w:val="-4"/>
                <w:sz w:val="24"/>
              </w:rPr>
              <w:t xml:space="preserve"> </w:t>
            </w:r>
            <w:r w:rsidRPr="00742009">
              <w:rPr>
                <w:rFonts w:asciiTheme="minorHAnsi" w:hAnsiTheme="minorHAnsi" w:cstheme="minorHAnsi"/>
                <w:sz w:val="24"/>
              </w:rPr>
              <w:t>Deaconess</w:t>
            </w:r>
            <w:r w:rsidRPr="00742009">
              <w:rPr>
                <w:rFonts w:asciiTheme="minorHAnsi" w:hAnsiTheme="minorHAnsi" w:cstheme="minorHAnsi"/>
                <w:spacing w:val="-4"/>
                <w:sz w:val="24"/>
              </w:rPr>
              <w:t xml:space="preserve"> </w:t>
            </w:r>
            <w:r w:rsidRPr="00742009">
              <w:rPr>
                <w:rFonts w:asciiTheme="minorHAnsi" w:hAnsiTheme="minorHAnsi" w:cstheme="minorHAnsi"/>
                <w:sz w:val="24"/>
              </w:rPr>
              <w:t xml:space="preserve">Medical </w:t>
            </w:r>
            <w:r w:rsidRPr="00742009">
              <w:rPr>
                <w:rFonts w:asciiTheme="minorHAnsi" w:hAnsiTheme="minorHAnsi" w:cstheme="minorHAnsi"/>
                <w:spacing w:val="-2"/>
                <w:sz w:val="24"/>
              </w:rPr>
              <w:t>Center</w:t>
            </w:r>
          </w:p>
        </w:tc>
        <w:tc>
          <w:tcPr>
            <w:tcW w:w="4675" w:type="dxa"/>
          </w:tcPr>
          <w:p w14:paraId="389D4D43"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Academic</w:t>
            </w:r>
            <w:r w:rsidRPr="00742009">
              <w:rPr>
                <w:rFonts w:asciiTheme="minorHAnsi" w:hAnsiTheme="minorHAnsi" w:cstheme="minorHAnsi"/>
                <w:spacing w:val="-1"/>
                <w:sz w:val="24"/>
              </w:rPr>
              <w:t xml:space="preserve"> </w:t>
            </w:r>
            <w:r w:rsidRPr="00742009">
              <w:rPr>
                <w:rFonts w:asciiTheme="minorHAnsi" w:hAnsiTheme="minorHAnsi" w:cstheme="minorHAnsi"/>
                <w:sz w:val="24"/>
              </w:rPr>
              <w:t xml:space="preserve">Medical </w:t>
            </w:r>
            <w:r w:rsidRPr="00742009">
              <w:rPr>
                <w:rFonts w:asciiTheme="minorHAnsi" w:hAnsiTheme="minorHAnsi" w:cstheme="minorHAnsi"/>
                <w:spacing w:val="-2"/>
                <w:sz w:val="24"/>
              </w:rPr>
              <w:t>Center</w:t>
            </w:r>
          </w:p>
        </w:tc>
      </w:tr>
      <w:tr w:rsidR="00080085" w14:paraId="5B09AA03" w14:textId="77777777" w:rsidTr="00800AB1">
        <w:trPr>
          <w:cantSplit/>
          <w:trHeight w:val="294"/>
        </w:trPr>
        <w:tc>
          <w:tcPr>
            <w:tcW w:w="4675" w:type="dxa"/>
          </w:tcPr>
          <w:p w14:paraId="5E9FF603" w14:textId="77777777" w:rsidR="00080085" w:rsidRPr="00742009" w:rsidRDefault="00080085" w:rsidP="00490047">
            <w:pPr>
              <w:pStyle w:val="TableParagraph"/>
              <w:spacing w:before="1" w:line="273" w:lineRule="exact"/>
              <w:ind w:left="107"/>
              <w:rPr>
                <w:rFonts w:asciiTheme="minorHAnsi" w:hAnsiTheme="minorHAnsi" w:cstheme="minorHAnsi"/>
                <w:sz w:val="24"/>
              </w:rPr>
            </w:pPr>
            <w:r w:rsidRPr="00742009">
              <w:rPr>
                <w:rFonts w:asciiTheme="minorHAnsi" w:hAnsiTheme="minorHAnsi" w:cstheme="minorHAnsi"/>
                <w:sz w:val="24"/>
              </w:rPr>
              <w:t>Lahey</w:t>
            </w:r>
            <w:r w:rsidRPr="00742009">
              <w:rPr>
                <w:rFonts w:asciiTheme="minorHAnsi" w:hAnsiTheme="minorHAnsi" w:cstheme="minorHAnsi"/>
                <w:spacing w:val="-1"/>
                <w:sz w:val="24"/>
              </w:rPr>
              <w:t xml:space="preserve"> </w:t>
            </w:r>
            <w:r w:rsidRPr="00742009">
              <w:rPr>
                <w:rFonts w:asciiTheme="minorHAnsi" w:hAnsiTheme="minorHAnsi" w:cstheme="minorHAnsi"/>
                <w:sz w:val="24"/>
              </w:rPr>
              <w:t>Hospital</w:t>
            </w:r>
            <w:r w:rsidRPr="00742009">
              <w:rPr>
                <w:rFonts w:asciiTheme="minorHAnsi" w:hAnsiTheme="minorHAnsi" w:cstheme="minorHAnsi"/>
                <w:spacing w:val="-1"/>
                <w:sz w:val="24"/>
              </w:rPr>
              <w:t xml:space="preserve"> </w:t>
            </w:r>
            <w:r w:rsidRPr="00742009">
              <w:rPr>
                <w:rFonts w:asciiTheme="minorHAnsi" w:hAnsiTheme="minorHAnsi" w:cstheme="minorHAnsi"/>
                <w:sz w:val="24"/>
              </w:rPr>
              <w:t>&amp;</w:t>
            </w:r>
            <w:r w:rsidRPr="00742009">
              <w:rPr>
                <w:rFonts w:asciiTheme="minorHAnsi" w:hAnsiTheme="minorHAnsi" w:cstheme="minorHAnsi"/>
                <w:spacing w:val="-2"/>
                <w:sz w:val="24"/>
              </w:rPr>
              <w:t xml:space="preserve"> </w:t>
            </w:r>
            <w:r w:rsidRPr="00742009">
              <w:rPr>
                <w:rFonts w:asciiTheme="minorHAnsi" w:hAnsiTheme="minorHAnsi" w:cstheme="minorHAnsi"/>
                <w:sz w:val="24"/>
              </w:rPr>
              <w:t xml:space="preserve">Medical </w:t>
            </w:r>
            <w:r w:rsidRPr="00742009">
              <w:rPr>
                <w:rFonts w:asciiTheme="minorHAnsi" w:hAnsiTheme="minorHAnsi" w:cstheme="minorHAnsi"/>
                <w:spacing w:val="-2"/>
                <w:sz w:val="24"/>
              </w:rPr>
              <w:t>Center</w:t>
            </w:r>
          </w:p>
        </w:tc>
        <w:tc>
          <w:tcPr>
            <w:tcW w:w="4675" w:type="dxa"/>
          </w:tcPr>
          <w:p w14:paraId="39ADC920" w14:textId="77777777" w:rsidR="00080085" w:rsidRPr="00742009" w:rsidRDefault="00080085" w:rsidP="00490047">
            <w:pPr>
              <w:pStyle w:val="TableParagraph"/>
              <w:spacing w:before="1" w:line="273" w:lineRule="exact"/>
              <w:ind w:left="107"/>
              <w:rPr>
                <w:rFonts w:asciiTheme="minorHAnsi" w:hAnsiTheme="minorHAnsi" w:cstheme="minorHAnsi"/>
                <w:sz w:val="24"/>
              </w:rPr>
            </w:pPr>
            <w:r w:rsidRPr="00742009">
              <w:rPr>
                <w:rFonts w:asciiTheme="minorHAnsi" w:hAnsiTheme="minorHAnsi" w:cstheme="minorHAnsi"/>
                <w:sz w:val="24"/>
              </w:rPr>
              <w:t>Teaching</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r w:rsidR="00080085" w14:paraId="2AD5A6B6" w14:textId="77777777" w:rsidTr="00800AB1">
        <w:trPr>
          <w:cantSplit/>
          <w:trHeight w:val="292"/>
        </w:trPr>
        <w:tc>
          <w:tcPr>
            <w:tcW w:w="4675" w:type="dxa"/>
          </w:tcPr>
          <w:p w14:paraId="1CCC29AE"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Mount</w:t>
            </w:r>
            <w:r w:rsidRPr="00742009">
              <w:rPr>
                <w:rFonts w:asciiTheme="minorHAnsi" w:hAnsiTheme="minorHAnsi" w:cstheme="minorHAnsi"/>
                <w:spacing w:val="-3"/>
                <w:sz w:val="24"/>
              </w:rPr>
              <w:t xml:space="preserve"> </w:t>
            </w:r>
            <w:r w:rsidRPr="00742009">
              <w:rPr>
                <w:rFonts w:asciiTheme="minorHAnsi" w:hAnsiTheme="minorHAnsi" w:cstheme="minorHAnsi"/>
                <w:sz w:val="24"/>
              </w:rPr>
              <w:t>Auburn</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c>
          <w:tcPr>
            <w:tcW w:w="4675" w:type="dxa"/>
          </w:tcPr>
          <w:p w14:paraId="5F67C3F6"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Teaching</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r w:rsidR="00080085" w14:paraId="6B9BDCF0" w14:textId="77777777" w:rsidTr="00800AB1">
        <w:trPr>
          <w:cantSplit/>
          <w:trHeight w:val="292"/>
        </w:trPr>
        <w:tc>
          <w:tcPr>
            <w:tcW w:w="4675" w:type="dxa"/>
          </w:tcPr>
          <w:p w14:paraId="61694EA2"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New</w:t>
            </w:r>
            <w:r w:rsidRPr="00742009">
              <w:rPr>
                <w:rFonts w:asciiTheme="minorHAnsi" w:hAnsiTheme="minorHAnsi" w:cstheme="minorHAnsi"/>
                <w:spacing w:val="-2"/>
                <w:sz w:val="24"/>
              </w:rPr>
              <w:t xml:space="preserve"> </w:t>
            </w:r>
            <w:r w:rsidRPr="00742009">
              <w:rPr>
                <w:rFonts w:asciiTheme="minorHAnsi" w:hAnsiTheme="minorHAnsi" w:cstheme="minorHAnsi"/>
                <w:sz w:val="24"/>
              </w:rPr>
              <w:t>England</w:t>
            </w:r>
            <w:r w:rsidRPr="00742009">
              <w:rPr>
                <w:rFonts w:asciiTheme="minorHAnsi" w:hAnsiTheme="minorHAnsi" w:cstheme="minorHAnsi"/>
                <w:spacing w:val="-2"/>
                <w:sz w:val="24"/>
              </w:rPr>
              <w:t xml:space="preserve"> </w:t>
            </w:r>
            <w:r w:rsidRPr="00742009">
              <w:rPr>
                <w:rFonts w:asciiTheme="minorHAnsi" w:hAnsiTheme="minorHAnsi" w:cstheme="minorHAnsi"/>
                <w:sz w:val="24"/>
              </w:rPr>
              <w:t>Baptist</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c>
          <w:tcPr>
            <w:tcW w:w="4675" w:type="dxa"/>
          </w:tcPr>
          <w:p w14:paraId="1FFA97BC"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Specialty</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r w:rsidR="00080085" w14:paraId="33492DAC" w14:textId="77777777" w:rsidTr="00800AB1">
        <w:trPr>
          <w:cantSplit/>
          <w:trHeight w:val="292"/>
        </w:trPr>
        <w:tc>
          <w:tcPr>
            <w:tcW w:w="4675" w:type="dxa"/>
          </w:tcPr>
          <w:p w14:paraId="5577D4A1"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Northeast</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c>
          <w:tcPr>
            <w:tcW w:w="4675" w:type="dxa"/>
          </w:tcPr>
          <w:p w14:paraId="7124FEA0" w14:textId="77777777" w:rsidR="00080085" w:rsidRPr="00742009" w:rsidRDefault="00080085" w:rsidP="00490047">
            <w:pPr>
              <w:pStyle w:val="TableParagraph"/>
              <w:spacing w:line="272" w:lineRule="exact"/>
              <w:ind w:left="107"/>
              <w:rPr>
                <w:rFonts w:asciiTheme="minorHAnsi" w:hAnsiTheme="minorHAnsi" w:cstheme="minorHAnsi"/>
                <w:sz w:val="24"/>
              </w:rPr>
            </w:pPr>
            <w:r w:rsidRPr="00742009">
              <w:rPr>
                <w:rFonts w:asciiTheme="minorHAnsi" w:hAnsiTheme="minorHAnsi" w:cstheme="minorHAnsi"/>
                <w:sz w:val="24"/>
              </w:rPr>
              <w:t>Community-High</w:t>
            </w:r>
            <w:r w:rsidRPr="00742009">
              <w:rPr>
                <w:rFonts w:asciiTheme="minorHAnsi" w:hAnsiTheme="minorHAnsi" w:cstheme="minorHAnsi"/>
                <w:spacing w:val="-4"/>
                <w:sz w:val="24"/>
              </w:rPr>
              <w:t xml:space="preserve"> </w:t>
            </w:r>
            <w:r w:rsidRPr="00742009">
              <w:rPr>
                <w:rFonts w:asciiTheme="minorHAnsi" w:hAnsiTheme="minorHAnsi" w:cstheme="minorHAnsi"/>
                <w:sz w:val="24"/>
              </w:rPr>
              <w:t>Public</w:t>
            </w:r>
            <w:r w:rsidRPr="00742009">
              <w:rPr>
                <w:rFonts w:asciiTheme="minorHAnsi" w:hAnsiTheme="minorHAnsi" w:cstheme="minorHAnsi"/>
                <w:spacing w:val="-5"/>
                <w:sz w:val="24"/>
              </w:rPr>
              <w:t xml:space="preserve"> </w:t>
            </w:r>
            <w:r w:rsidRPr="00742009">
              <w:rPr>
                <w:rFonts w:asciiTheme="minorHAnsi" w:hAnsiTheme="minorHAnsi" w:cstheme="minorHAnsi"/>
                <w:spacing w:val="-2"/>
                <w:sz w:val="24"/>
              </w:rPr>
              <w:t>Payer</w:t>
            </w:r>
          </w:p>
        </w:tc>
      </w:tr>
      <w:tr w:rsidR="00080085" w14:paraId="2D6BEE89" w14:textId="77777777" w:rsidTr="00800AB1">
        <w:trPr>
          <w:cantSplit/>
          <w:trHeight w:val="294"/>
        </w:trPr>
        <w:tc>
          <w:tcPr>
            <w:tcW w:w="4675" w:type="dxa"/>
          </w:tcPr>
          <w:p w14:paraId="1969E88B" w14:textId="77777777" w:rsidR="00080085" w:rsidRPr="00742009" w:rsidRDefault="00080085" w:rsidP="00490047">
            <w:pPr>
              <w:pStyle w:val="TableParagraph"/>
              <w:spacing w:before="1" w:line="273" w:lineRule="exact"/>
              <w:ind w:left="107"/>
              <w:rPr>
                <w:rFonts w:asciiTheme="minorHAnsi" w:hAnsiTheme="minorHAnsi" w:cstheme="minorHAnsi"/>
                <w:sz w:val="24"/>
              </w:rPr>
            </w:pPr>
            <w:r w:rsidRPr="00742009">
              <w:rPr>
                <w:rFonts w:asciiTheme="minorHAnsi" w:hAnsiTheme="minorHAnsi" w:cstheme="minorHAnsi"/>
                <w:sz w:val="24"/>
              </w:rPr>
              <w:t>Winchester</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c>
          <w:tcPr>
            <w:tcW w:w="4675" w:type="dxa"/>
          </w:tcPr>
          <w:p w14:paraId="0F0AD3CC" w14:textId="77777777" w:rsidR="00080085" w:rsidRPr="00742009" w:rsidRDefault="00080085" w:rsidP="00490047">
            <w:pPr>
              <w:pStyle w:val="TableParagraph"/>
              <w:spacing w:before="1" w:line="273" w:lineRule="exact"/>
              <w:ind w:left="107"/>
              <w:rPr>
                <w:rFonts w:asciiTheme="minorHAnsi" w:hAnsiTheme="minorHAnsi" w:cstheme="minorHAnsi"/>
                <w:sz w:val="24"/>
              </w:rPr>
            </w:pPr>
            <w:r w:rsidRPr="00742009">
              <w:rPr>
                <w:rFonts w:asciiTheme="minorHAnsi" w:hAnsiTheme="minorHAnsi" w:cstheme="minorHAnsi"/>
                <w:sz w:val="24"/>
              </w:rPr>
              <w:t>Community</w:t>
            </w:r>
            <w:r w:rsidRPr="00742009">
              <w:rPr>
                <w:rFonts w:asciiTheme="minorHAnsi" w:hAnsiTheme="minorHAnsi" w:cstheme="minorHAnsi"/>
                <w:spacing w:val="-1"/>
                <w:sz w:val="24"/>
              </w:rPr>
              <w:t xml:space="preserve"> </w:t>
            </w:r>
            <w:r w:rsidRPr="00742009">
              <w:rPr>
                <w:rFonts w:asciiTheme="minorHAnsi" w:hAnsiTheme="minorHAnsi" w:cstheme="minorHAnsi"/>
                <w:spacing w:val="-2"/>
                <w:sz w:val="24"/>
              </w:rPr>
              <w:t>Hospital</w:t>
            </w:r>
          </w:p>
        </w:tc>
      </w:tr>
    </w:tbl>
    <w:p w14:paraId="20AAC4CE" w14:textId="77777777" w:rsidR="00080085" w:rsidRDefault="00080085" w:rsidP="00080085">
      <w:pPr>
        <w:pStyle w:val="BodyText"/>
        <w:spacing w:before="4"/>
      </w:pPr>
    </w:p>
    <w:p w14:paraId="524CCDCE" w14:textId="77777777" w:rsidR="00080085" w:rsidRPr="00A54B19" w:rsidRDefault="00080085" w:rsidP="00080085">
      <w:pPr>
        <w:pStyle w:val="BodyText"/>
        <w:ind w:right="133"/>
        <w:rPr>
          <w:sz w:val="24"/>
          <w:szCs w:val="24"/>
        </w:rPr>
      </w:pPr>
      <w:r w:rsidRPr="00A54B19">
        <w:rPr>
          <w:sz w:val="24"/>
          <w:szCs w:val="24"/>
        </w:rPr>
        <w:t>BILH operates Beth Israel Lahey Health Performance Network, LLC (BILHPN), a Massachusetts Health Policy Commission (HPC) certified Accountable Care Organization (ACO), which the Applicant states is a value-based physician and hospital network whose goal is to partner with other</w:t>
      </w:r>
      <w:r w:rsidRPr="00A54B19">
        <w:rPr>
          <w:spacing w:val="-3"/>
          <w:sz w:val="24"/>
          <w:szCs w:val="24"/>
        </w:rPr>
        <w:t xml:space="preserve"> </w:t>
      </w:r>
      <w:r w:rsidRPr="00A54B19">
        <w:rPr>
          <w:sz w:val="24"/>
          <w:szCs w:val="24"/>
        </w:rPr>
        <w:t>community</w:t>
      </w:r>
      <w:r w:rsidRPr="00A54B19">
        <w:rPr>
          <w:spacing w:val="-3"/>
          <w:sz w:val="24"/>
          <w:szCs w:val="24"/>
        </w:rPr>
        <w:t xml:space="preserve"> </w:t>
      </w:r>
      <w:r w:rsidRPr="00A54B19">
        <w:rPr>
          <w:sz w:val="24"/>
          <w:szCs w:val="24"/>
        </w:rPr>
        <w:t>hospitals</w:t>
      </w:r>
      <w:r w:rsidRPr="00A54B19">
        <w:rPr>
          <w:spacing w:val="-3"/>
          <w:sz w:val="24"/>
          <w:szCs w:val="24"/>
        </w:rPr>
        <w:t xml:space="preserve"> </w:t>
      </w:r>
      <w:r w:rsidRPr="00A54B19">
        <w:rPr>
          <w:sz w:val="24"/>
          <w:szCs w:val="24"/>
        </w:rPr>
        <w:t>and</w:t>
      </w:r>
      <w:r w:rsidRPr="00A54B19">
        <w:rPr>
          <w:spacing w:val="-4"/>
          <w:sz w:val="24"/>
          <w:szCs w:val="24"/>
        </w:rPr>
        <w:t xml:space="preserve"> </w:t>
      </w:r>
      <w:r w:rsidRPr="00A54B19">
        <w:rPr>
          <w:sz w:val="24"/>
          <w:szCs w:val="24"/>
        </w:rPr>
        <w:t>providers</w:t>
      </w:r>
      <w:r w:rsidRPr="00A54B19">
        <w:rPr>
          <w:spacing w:val="-5"/>
          <w:sz w:val="24"/>
          <w:szCs w:val="24"/>
        </w:rPr>
        <w:t xml:space="preserve"> </w:t>
      </w:r>
      <w:r w:rsidRPr="00A54B19">
        <w:rPr>
          <w:sz w:val="24"/>
          <w:szCs w:val="24"/>
        </w:rPr>
        <w:t>throughout</w:t>
      </w:r>
      <w:r w:rsidRPr="00A54B19">
        <w:rPr>
          <w:spacing w:val="-2"/>
          <w:sz w:val="24"/>
          <w:szCs w:val="24"/>
        </w:rPr>
        <w:t xml:space="preserve"> </w:t>
      </w:r>
      <w:r w:rsidRPr="00A54B19">
        <w:rPr>
          <w:sz w:val="24"/>
          <w:szCs w:val="24"/>
        </w:rPr>
        <w:t>Eastern</w:t>
      </w:r>
      <w:r w:rsidRPr="00A54B19">
        <w:rPr>
          <w:spacing w:val="-3"/>
          <w:sz w:val="24"/>
          <w:szCs w:val="24"/>
        </w:rPr>
        <w:t xml:space="preserve"> </w:t>
      </w:r>
      <w:r w:rsidRPr="00A54B19">
        <w:rPr>
          <w:sz w:val="24"/>
          <w:szCs w:val="24"/>
        </w:rPr>
        <w:t>Massachusetts</w:t>
      </w:r>
      <w:r w:rsidRPr="00A54B19">
        <w:rPr>
          <w:spacing w:val="-4"/>
          <w:sz w:val="24"/>
          <w:szCs w:val="24"/>
        </w:rPr>
        <w:t xml:space="preserve"> </w:t>
      </w:r>
      <w:r w:rsidRPr="00A54B19">
        <w:rPr>
          <w:sz w:val="24"/>
          <w:szCs w:val="24"/>
        </w:rPr>
        <w:t>to</w:t>
      </w:r>
      <w:r w:rsidRPr="00A54B19">
        <w:rPr>
          <w:spacing w:val="-4"/>
          <w:sz w:val="24"/>
          <w:szCs w:val="24"/>
        </w:rPr>
        <w:t xml:space="preserve"> </w:t>
      </w:r>
      <w:r w:rsidRPr="00A54B19">
        <w:rPr>
          <w:sz w:val="24"/>
          <w:szCs w:val="24"/>
        </w:rPr>
        <w:t>improve</w:t>
      </w:r>
      <w:r w:rsidRPr="00A54B19">
        <w:rPr>
          <w:spacing w:val="-4"/>
          <w:sz w:val="24"/>
          <w:szCs w:val="24"/>
        </w:rPr>
        <w:t xml:space="preserve"> </w:t>
      </w:r>
      <w:r w:rsidRPr="00A54B19">
        <w:rPr>
          <w:sz w:val="24"/>
          <w:szCs w:val="24"/>
        </w:rPr>
        <w:t>quality of care while managing medical costs.</w:t>
      </w:r>
    </w:p>
    <w:p w14:paraId="67802FCD" w14:textId="77777777" w:rsidR="00080085" w:rsidRPr="008B60AB" w:rsidRDefault="00080085" w:rsidP="00080085">
      <w:pPr>
        <w:pStyle w:val="BodyText"/>
        <w:spacing w:after="0"/>
        <w:ind w:right="133"/>
        <w:rPr>
          <w:b/>
          <w:bCs/>
        </w:rPr>
      </w:pPr>
      <w:r w:rsidRPr="008B60AB">
        <w:rPr>
          <w:b/>
          <w:bCs/>
        </w:rPr>
        <w:t xml:space="preserve"> </w:t>
      </w:r>
    </w:p>
    <w:p w14:paraId="3BB6AEC1" w14:textId="77777777" w:rsidR="00080085" w:rsidRPr="008B60AB" w:rsidRDefault="00080085" w:rsidP="00080085">
      <w:pPr>
        <w:pStyle w:val="BodyText"/>
        <w:spacing w:after="0"/>
        <w:ind w:right="133"/>
        <w:rPr>
          <w:b/>
          <w:bCs/>
        </w:rPr>
      </w:pPr>
      <w:r w:rsidRPr="008B60AB">
        <w:rPr>
          <w:b/>
          <w:bCs/>
        </w:rPr>
        <w:t>Anna Jaques Hospital</w:t>
      </w:r>
    </w:p>
    <w:p w14:paraId="3DA086E9" w14:textId="3AE4E365" w:rsidR="00080085" w:rsidRDefault="0093750B" w:rsidP="00B20E48">
      <w:pPr>
        <w:pStyle w:val="BodyText"/>
        <w:ind w:right="90"/>
        <w:rPr>
          <w:sz w:val="24"/>
          <w:szCs w:val="24"/>
        </w:rPr>
      </w:pPr>
      <w:r w:rsidRPr="00CD3533">
        <w:rPr>
          <w:rFonts w:cstheme="minorHAnsi"/>
          <w:sz w:val="24"/>
          <w:szCs w:val="24"/>
        </w:rPr>
        <w:t>Anna Jaques Hospital (AJH or the Hospital)</w:t>
      </w:r>
      <w:r w:rsidR="00080085" w:rsidRPr="00CD3533">
        <w:rPr>
          <w:rFonts w:eastAsia="Times New Roman" w:cstheme="minorHAnsi"/>
          <w:color w:val="000000" w:themeColor="text1"/>
          <w:kern w:val="2"/>
          <w:sz w:val="24"/>
          <w:szCs w:val="24"/>
        </w:rPr>
        <w:t xml:space="preserve"> is a 119-bed community hospital. AJH offers cancer care, emergency medicine, hyperbaric medicine, inpatient behavioral health, interventional pulmonology, orthopedics, pain management, radiation oncology, a</w:t>
      </w:r>
      <w:r w:rsidR="006115E2">
        <w:rPr>
          <w:rFonts w:eastAsia="Times New Roman" w:cstheme="minorHAnsi"/>
          <w:color w:val="000000" w:themeColor="text1"/>
          <w:kern w:val="2"/>
          <w:sz w:val="24"/>
          <w:szCs w:val="24"/>
        </w:rPr>
        <w:t>s well as</w:t>
      </w:r>
      <w:r w:rsidR="00080085" w:rsidRPr="00CD3533">
        <w:rPr>
          <w:rFonts w:eastAsia="Times New Roman" w:cstheme="minorHAnsi"/>
          <w:color w:val="000000" w:themeColor="text1"/>
          <w:kern w:val="2"/>
          <w:sz w:val="24"/>
          <w:szCs w:val="24"/>
        </w:rPr>
        <w:t xml:space="preserve"> Women’s Health and OB/GYN care. Its service area includes cities and towns in the Merrimack Valley and North Shore, regions of Massachusetts, as well as Southern New Hampshire.</w:t>
      </w:r>
      <w:r w:rsidR="00080085" w:rsidRPr="00877922">
        <w:rPr>
          <w:sz w:val="24"/>
          <w:szCs w:val="24"/>
        </w:rPr>
        <w:t xml:space="preserve"> </w:t>
      </w:r>
      <w:r w:rsidR="00080085" w:rsidRPr="00311427">
        <w:rPr>
          <w:sz w:val="24"/>
          <w:szCs w:val="24"/>
        </w:rPr>
        <w:t xml:space="preserve">The Hospital is a DPH-designated Primary Stroke </w:t>
      </w:r>
      <w:r w:rsidR="00080085" w:rsidRPr="00311427">
        <w:rPr>
          <w:sz w:val="24"/>
          <w:szCs w:val="24"/>
        </w:rPr>
        <w:lastRenderedPageBreak/>
        <w:t>Service, providing 24 hours a day, 7 days a week care to patients experiencing stroke and stroke symptoms.</w:t>
      </w:r>
    </w:p>
    <w:p w14:paraId="0B3A949C" w14:textId="77777777" w:rsidR="00B20E48" w:rsidRPr="00B20E48" w:rsidRDefault="00B20E48" w:rsidP="00B20E48">
      <w:pPr>
        <w:pStyle w:val="BodyText"/>
        <w:ind w:right="90"/>
        <w:rPr>
          <w:sz w:val="24"/>
          <w:szCs w:val="24"/>
        </w:rPr>
      </w:pPr>
    </w:p>
    <w:p w14:paraId="52646FB6" w14:textId="77777777" w:rsidR="00080085" w:rsidRPr="00877922" w:rsidRDefault="00080085" w:rsidP="00080085">
      <w:pPr>
        <w:pStyle w:val="NoSpacing"/>
        <w:ind w:right="540"/>
        <w:contextualSpacing/>
        <w:rPr>
          <w:rFonts w:cstheme="minorHAnsi"/>
          <w:b/>
          <w:bCs/>
          <w:sz w:val="24"/>
          <w:szCs w:val="24"/>
        </w:rPr>
      </w:pPr>
      <w:r w:rsidRPr="00877922">
        <w:rPr>
          <w:rFonts w:cstheme="minorHAnsi"/>
          <w:b/>
          <w:bCs/>
          <w:sz w:val="24"/>
          <w:szCs w:val="24"/>
        </w:rPr>
        <w:t>Proposed Project</w:t>
      </w:r>
    </w:p>
    <w:p w14:paraId="721E7580" w14:textId="77777777" w:rsidR="00080085" w:rsidRPr="00C25892" w:rsidRDefault="00080085" w:rsidP="00080085">
      <w:pPr>
        <w:pStyle w:val="BodyText"/>
        <w:ind w:right="90"/>
        <w:rPr>
          <w:sz w:val="24"/>
          <w:szCs w:val="24"/>
          <w:highlight w:val="yellow"/>
        </w:rPr>
      </w:pPr>
      <w:r w:rsidRPr="00877922">
        <w:rPr>
          <w:sz w:val="24"/>
          <w:szCs w:val="24"/>
        </w:rPr>
        <w:t>The Proposed Project would add a second CT unit to AJH in order to meet the needs of current and future patients by providing timely access to CT imaging. As a Primary Stroke Service, it is essential for AJH to ensure expedient access to CT for all Emergency Department patients in the service area. The Hospital’s existing CT operation is nearing capacity and increased instances of downtime delay diagnosis and treatment.</w:t>
      </w:r>
    </w:p>
    <w:p w14:paraId="6103F1D0" w14:textId="77777777" w:rsidR="00E828B4" w:rsidRPr="00913780" w:rsidRDefault="00E828B4" w:rsidP="00E828B4">
      <w:pPr>
        <w:pStyle w:val="Heading1"/>
        <w:spacing w:line="240" w:lineRule="auto"/>
        <w:rPr>
          <w:rFonts w:asciiTheme="minorHAnsi" w:hAnsiTheme="minorHAnsi" w:cstheme="minorHAnsi"/>
        </w:rPr>
      </w:pPr>
      <w:bookmarkStart w:id="13" w:name="_Toc145424485"/>
      <w:r w:rsidRPr="00913780">
        <w:rPr>
          <w:rFonts w:asciiTheme="minorHAnsi" w:hAnsiTheme="minorHAnsi" w:cstheme="minorHAnsi"/>
        </w:rPr>
        <w:t>Factor 1</w:t>
      </w:r>
      <w:bookmarkEnd w:id="13"/>
      <w:r w:rsidRPr="00913780">
        <w:rPr>
          <w:rFonts w:asciiTheme="minorHAnsi" w:hAnsiTheme="minorHAnsi" w:cstheme="minorHAnsi"/>
        </w:rPr>
        <w:t xml:space="preserve"> </w:t>
      </w:r>
    </w:p>
    <w:p w14:paraId="15237B7E" w14:textId="238D3001" w:rsidR="00913780" w:rsidRDefault="00913780" w:rsidP="00913780">
      <w:pPr>
        <w:pStyle w:val="NoSpacing"/>
        <w:contextualSpacing/>
        <w:rPr>
          <w:rFonts w:cstheme="minorHAnsi"/>
          <w:sz w:val="24"/>
          <w:szCs w:val="24"/>
        </w:rPr>
      </w:pPr>
      <w:r w:rsidRPr="00913780">
        <w:rPr>
          <w:rFonts w:cstheme="minorHAnsi"/>
          <w:sz w:val="24"/>
          <w:szCs w:val="24"/>
        </w:rPr>
        <w:t xml:space="preserve">In this section, we assess if the Applicant has sufficiently addressed Patient Panel need, public health value, competitiveness and cost containment, and community engagement for this </w:t>
      </w:r>
      <w:r w:rsidR="00E7015A">
        <w:rPr>
          <w:rFonts w:cstheme="minorHAnsi"/>
          <w:sz w:val="24"/>
          <w:szCs w:val="24"/>
        </w:rPr>
        <w:t>Proposed Project</w:t>
      </w:r>
      <w:r w:rsidRPr="00913780">
        <w:rPr>
          <w:rFonts w:cstheme="minorHAnsi"/>
          <w:sz w:val="24"/>
          <w:szCs w:val="24"/>
        </w:rPr>
        <w:t>.</w:t>
      </w:r>
    </w:p>
    <w:p w14:paraId="681C5CBC" w14:textId="77777777" w:rsidR="00E828B4" w:rsidRPr="00AC3A42" w:rsidRDefault="00E828B4" w:rsidP="00E828B4">
      <w:pPr>
        <w:pStyle w:val="NoSpacing"/>
        <w:contextualSpacing/>
        <w:rPr>
          <w:rFonts w:cstheme="minorHAnsi"/>
          <w:sz w:val="24"/>
          <w:szCs w:val="24"/>
          <w:highlight w:val="yellow"/>
        </w:rPr>
      </w:pPr>
    </w:p>
    <w:p w14:paraId="231E74B0" w14:textId="77777777" w:rsidR="00E828B4" w:rsidRPr="00913780" w:rsidRDefault="00E828B4" w:rsidP="00E828B4">
      <w:pPr>
        <w:pStyle w:val="Heading1"/>
        <w:spacing w:before="0" w:line="240" w:lineRule="auto"/>
        <w:rPr>
          <w:rFonts w:asciiTheme="minorHAnsi" w:hAnsiTheme="minorHAnsi" w:cstheme="minorHAnsi"/>
        </w:rPr>
      </w:pPr>
      <w:bookmarkStart w:id="14" w:name="_Toc145424486"/>
      <w:r w:rsidRPr="00913780">
        <w:rPr>
          <w:rFonts w:asciiTheme="minorHAnsi" w:hAnsiTheme="minorHAnsi" w:cstheme="minorHAnsi"/>
        </w:rPr>
        <w:t>Patient Panel</w:t>
      </w:r>
      <w:r w:rsidRPr="00913780">
        <w:rPr>
          <w:rFonts w:asciiTheme="minorHAnsi" w:hAnsiTheme="minorHAnsi" w:cstheme="minorHAnsi"/>
          <w:b w:val="0"/>
          <w:vertAlign w:val="superscript"/>
        </w:rPr>
        <w:footnoteReference w:id="3"/>
      </w:r>
      <w:bookmarkEnd w:id="9"/>
      <w:bookmarkEnd w:id="14"/>
    </w:p>
    <w:p w14:paraId="660C7164" w14:textId="77777777" w:rsidR="00D9640D" w:rsidRPr="000539A2" w:rsidRDefault="00D9640D" w:rsidP="00D9640D">
      <w:pPr>
        <w:rPr>
          <w:rFonts w:asciiTheme="minorHAnsi" w:eastAsia="Verdana" w:hAnsiTheme="minorHAnsi" w:cstheme="minorHAnsi"/>
          <w:sz w:val="20"/>
        </w:rPr>
      </w:pPr>
      <w:r w:rsidRPr="009449AF">
        <w:rPr>
          <w:rFonts w:asciiTheme="minorHAnsi" w:eastAsia="Verdana" w:hAnsiTheme="minorHAnsi" w:cstheme="minorHAnsi"/>
        </w:rPr>
        <w:t>As shown in Table 1, the BILH Patient Panel consisted of 1,</w:t>
      </w:r>
      <w:r>
        <w:rPr>
          <w:rFonts w:asciiTheme="minorHAnsi" w:eastAsia="Verdana" w:hAnsiTheme="minorHAnsi" w:cstheme="minorHAnsi"/>
        </w:rPr>
        <w:t>324,649</w:t>
      </w:r>
      <w:r w:rsidRPr="009449AF">
        <w:rPr>
          <w:rFonts w:asciiTheme="minorHAnsi" w:eastAsia="Verdana" w:hAnsiTheme="minorHAnsi" w:cstheme="minorHAnsi"/>
        </w:rPr>
        <w:t xml:space="preserve"> patients in </w:t>
      </w:r>
      <w:r>
        <w:rPr>
          <w:rFonts w:asciiTheme="minorHAnsi" w:eastAsia="Verdana" w:hAnsiTheme="minorHAnsi" w:cstheme="minorHAnsi"/>
        </w:rPr>
        <w:t>F</w:t>
      </w:r>
      <w:r w:rsidRPr="009449AF">
        <w:rPr>
          <w:rFonts w:asciiTheme="minorHAnsi" w:eastAsia="Verdana" w:hAnsiTheme="minorHAnsi" w:cstheme="minorHAnsi"/>
        </w:rPr>
        <w:t xml:space="preserve">iscal </w:t>
      </w:r>
      <w:r>
        <w:rPr>
          <w:rFonts w:asciiTheme="minorHAnsi" w:eastAsia="Verdana" w:hAnsiTheme="minorHAnsi" w:cstheme="minorHAnsi"/>
        </w:rPr>
        <w:t>Y</w:t>
      </w:r>
      <w:r w:rsidRPr="009449AF">
        <w:rPr>
          <w:rFonts w:asciiTheme="minorHAnsi" w:eastAsia="Verdana" w:hAnsiTheme="minorHAnsi" w:cstheme="minorHAnsi"/>
        </w:rPr>
        <w:t>ear</w:t>
      </w:r>
      <w:r>
        <w:rPr>
          <w:rFonts w:asciiTheme="minorHAnsi" w:eastAsia="Verdana" w:hAnsiTheme="minorHAnsi" w:cstheme="minorHAnsi"/>
        </w:rPr>
        <w:t xml:space="preserve"> (FY)</w:t>
      </w:r>
      <w:r w:rsidRPr="009449AF">
        <w:rPr>
          <w:rFonts w:asciiTheme="minorHAnsi" w:eastAsia="Verdana" w:hAnsiTheme="minorHAnsi" w:cstheme="minorHAnsi"/>
        </w:rPr>
        <w:t xml:space="preserve"> 202</w:t>
      </w:r>
      <w:r>
        <w:rPr>
          <w:rFonts w:asciiTheme="minorHAnsi" w:eastAsia="Verdana" w:hAnsiTheme="minorHAnsi" w:cstheme="minorHAnsi"/>
        </w:rPr>
        <w:t>3</w:t>
      </w:r>
      <w:r w:rsidRPr="009449AF">
        <w:rPr>
          <w:rStyle w:val="FootnoteReference"/>
          <w:rFonts w:asciiTheme="minorHAnsi" w:eastAsia="Verdana" w:hAnsiTheme="minorHAnsi" w:cstheme="minorHAnsi"/>
          <w:sz w:val="20"/>
        </w:rPr>
        <w:footnoteReference w:id="4"/>
      </w:r>
      <w:r w:rsidRPr="009449AF">
        <w:rPr>
          <w:rFonts w:asciiTheme="minorHAnsi" w:eastAsia="Verdana" w:hAnsiTheme="minorHAnsi" w:cstheme="minorHAnsi"/>
        </w:rPr>
        <w:t xml:space="preserve">. </w:t>
      </w:r>
      <w:r w:rsidRPr="00D82940">
        <w:rPr>
          <w:rFonts w:asciiTheme="minorHAnsi" w:eastAsia="Verdana" w:hAnsiTheme="minorHAnsi" w:cstheme="minorHAnsi"/>
        </w:rPr>
        <w:t xml:space="preserve">The Applicant notes that </w:t>
      </w:r>
      <w:r>
        <w:rPr>
          <w:rFonts w:asciiTheme="minorHAnsi" w:eastAsia="Verdana" w:hAnsiTheme="minorHAnsi" w:cstheme="minorHAnsi"/>
        </w:rPr>
        <w:t>a</w:t>
      </w:r>
      <w:r w:rsidRPr="00D82940">
        <w:rPr>
          <w:rFonts w:asciiTheme="minorHAnsi" w:eastAsia="Verdana" w:hAnsiTheme="minorHAnsi" w:cstheme="minorHAnsi"/>
        </w:rPr>
        <w:t xml:space="preserve"> drop in COVID testing and immunizations between 2022 and 2023</w:t>
      </w:r>
      <w:r>
        <w:rPr>
          <w:rFonts w:asciiTheme="minorHAnsi" w:eastAsia="Verdana" w:hAnsiTheme="minorHAnsi" w:cstheme="minorHAnsi"/>
        </w:rPr>
        <w:t xml:space="preserve"> resulted in a lower number of total unique patients in FY2023</w:t>
      </w:r>
      <w:r w:rsidRPr="00D82940">
        <w:rPr>
          <w:rFonts w:asciiTheme="minorHAnsi" w:eastAsia="Verdana" w:hAnsiTheme="minorHAnsi" w:cstheme="minorHAnsi"/>
        </w:rPr>
        <w:t>.</w:t>
      </w:r>
      <w:r w:rsidRPr="00614136">
        <w:rPr>
          <w:rFonts w:asciiTheme="minorHAnsi" w:hAnsiTheme="minorHAnsi" w:cstheme="minorBidi"/>
          <w:color w:val="000000" w:themeColor="text1"/>
        </w:rPr>
        <w:t xml:space="preserve"> </w:t>
      </w:r>
    </w:p>
    <w:p w14:paraId="75EC752D" w14:textId="77777777" w:rsidR="00E828B4" w:rsidRPr="00FB17D9" w:rsidRDefault="00E828B4" w:rsidP="00FB17D9">
      <w:pPr>
        <w:autoSpaceDE w:val="0"/>
        <w:autoSpaceDN w:val="0"/>
        <w:adjustRightInd w:val="0"/>
        <w:rPr>
          <w:rFonts w:asciiTheme="minorHAnsi" w:eastAsiaTheme="minorHAnsi" w:hAnsiTheme="minorHAnsi" w:cstheme="minorHAnsi"/>
          <w:color w:val="191919"/>
        </w:rPr>
      </w:pPr>
    </w:p>
    <w:p w14:paraId="0B582CD2" w14:textId="77777777" w:rsidR="00E828B4" w:rsidRPr="00FB17D9" w:rsidRDefault="00E828B4" w:rsidP="00E828B4">
      <w:pPr>
        <w:pStyle w:val="Caption"/>
        <w:spacing w:after="0"/>
        <w:contextualSpacing/>
        <w:jc w:val="center"/>
        <w:rPr>
          <w:rFonts w:cstheme="minorHAnsi"/>
          <w:color w:val="42558C" w:themeColor="accent1" w:themeShade="BF"/>
          <w:sz w:val="24"/>
          <w:szCs w:val="24"/>
        </w:rPr>
      </w:pPr>
      <w:r w:rsidRPr="00FB17D9">
        <w:rPr>
          <w:rFonts w:cstheme="minorHAnsi"/>
          <w:color w:val="42558C" w:themeColor="accent1" w:themeShade="BF"/>
          <w:sz w:val="24"/>
          <w:szCs w:val="24"/>
          <w:u w:val="single"/>
        </w:rPr>
        <w:t>Table 1:</w:t>
      </w:r>
      <w:r w:rsidRPr="00FB17D9">
        <w:rPr>
          <w:rFonts w:cstheme="minorHAnsi"/>
          <w:color w:val="42558C" w:themeColor="accent1" w:themeShade="BF"/>
          <w:sz w:val="24"/>
          <w:szCs w:val="24"/>
        </w:rPr>
        <w:t xml:space="preserve"> Overview of BILH Patient Panel</w:t>
      </w:r>
    </w:p>
    <w:tbl>
      <w:tblPr>
        <w:tblStyle w:val="TableGrid"/>
        <w:tblW w:w="7974" w:type="dxa"/>
        <w:jc w:val="center"/>
        <w:tblLook w:val="04A0" w:firstRow="1" w:lastRow="0" w:firstColumn="1" w:lastColumn="0" w:noHBand="0" w:noVBand="1"/>
      </w:tblPr>
      <w:tblGrid>
        <w:gridCol w:w="2970"/>
        <w:gridCol w:w="1192"/>
        <w:gridCol w:w="1192"/>
        <w:gridCol w:w="1192"/>
        <w:gridCol w:w="1428"/>
      </w:tblGrid>
      <w:tr w:rsidR="00E828B4" w:rsidRPr="00FB17D9" w14:paraId="7177694E" w14:textId="77777777" w:rsidTr="00B96045">
        <w:trPr>
          <w:trHeight w:val="300"/>
          <w:jc w:val="center"/>
        </w:trPr>
        <w:tc>
          <w:tcPr>
            <w:tcW w:w="2970" w:type="dxa"/>
            <w:shd w:val="clear" w:color="auto" w:fill="E5FFFF"/>
            <w:noWrap/>
            <w:hideMark/>
          </w:tcPr>
          <w:p w14:paraId="50BC364D" w14:textId="77777777" w:rsidR="00E828B4" w:rsidRPr="00FB17D9" w:rsidRDefault="00E828B4" w:rsidP="00B96045">
            <w:pPr>
              <w:rPr>
                <w:rFonts w:asciiTheme="minorHAnsi" w:hAnsiTheme="minorHAnsi" w:cstheme="minorHAnsi"/>
              </w:rPr>
            </w:pPr>
          </w:p>
        </w:tc>
        <w:tc>
          <w:tcPr>
            <w:tcW w:w="1192" w:type="dxa"/>
            <w:shd w:val="clear" w:color="auto" w:fill="E5FFFF"/>
            <w:hideMark/>
          </w:tcPr>
          <w:p w14:paraId="5F7C02C9"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FY2020</w:t>
            </w:r>
          </w:p>
        </w:tc>
        <w:tc>
          <w:tcPr>
            <w:tcW w:w="1192" w:type="dxa"/>
            <w:shd w:val="clear" w:color="auto" w:fill="E5FFFF"/>
            <w:hideMark/>
          </w:tcPr>
          <w:p w14:paraId="3383B88E"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FY2021</w:t>
            </w:r>
          </w:p>
        </w:tc>
        <w:tc>
          <w:tcPr>
            <w:tcW w:w="1192" w:type="dxa"/>
            <w:shd w:val="clear" w:color="auto" w:fill="E5FFFF"/>
            <w:hideMark/>
          </w:tcPr>
          <w:p w14:paraId="5F4BE9C3"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FY2022</w:t>
            </w:r>
          </w:p>
        </w:tc>
        <w:tc>
          <w:tcPr>
            <w:tcW w:w="1428" w:type="dxa"/>
            <w:shd w:val="clear" w:color="auto" w:fill="E5FFFF"/>
          </w:tcPr>
          <w:p w14:paraId="7E53D74C"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FY2023</w:t>
            </w:r>
          </w:p>
        </w:tc>
      </w:tr>
      <w:tr w:rsidR="00E828B4" w:rsidRPr="00AC3A42" w14:paraId="03F7B579" w14:textId="77777777" w:rsidTr="00B96045">
        <w:trPr>
          <w:trHeight w:val="386"/>
          <w:jc w:val="center"/>
        </w:trPr>
        <w:tc>
          <w:tcPr>
            <w:tcW w:w="2970" w:type="dxa"/>
            <w:hideMark/>
          </w:tcPr>
          <w:p w14:paraId="0D0FC85B" w14:textId="77777777" w:rsidR="00E828B4" w:rsidRPr="00FB17D9" w:rsidRDefault="00E828B4" w:rsidP="00B96045">
            <w:pPr>
              <w:rPr>
                <w:rFonts w:asciiTheme="minorHAnsi" w:hAnsiTheme="minorHAnsi" w:cstheme="minorHAnsi"/>
                <w:b/>
                <w:bCs/>
                <w:color w:val="000000"/>
              </w:rPr>
            </w:pPr>
            <w:r w:rsidRPr="00FB17D9">
              <w:rPr>
                <w:rFonts w:asciiTheme="minorHAnsi" w:hAnsiTheme="minorHAnsi" w:cstheme="minorHAnsi"/>
                <w:b/>
                <w:bCs/>
                <w:color w:val="000000"/>
              </w:rPr>
              <w:t>BILH Total Unique Patients</w:t>
            </w:r>
          </w:p>
        </w:tc>
        <w:tc>
          <w:tcPr>
            <w:tcW w:w="1192" w:type="dxa"/>
            <w:hideMark/>
          </w:tcPr>
          <w:p w14:paraId="3185F7A4"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1,219,718</w:t>
            </w:r>
          </w:p>
        </w:tc>
        <w:tc>
          <w:tcPr>
            <w:tcW w:w="1192" w:type="dxa"/>
            <w:hideMark/>
          </w:tcPr>
          <w:p w14:paraId="7B7A2B56"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1,427,711</w:t>
            </w:r>
          </w:p>
        </w:tc>
        <w:tc>
          <w:tcPr>
            <w:tcW w:w="1192" w:type="dxa"/>
            <w:hideMark/>
          </w:tcPr>
          <w:p w14:paraId="18DD7D80"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1,633,109</w:t>
            </w:r>
          </w:p>
        </w:tc>
        <w:tc>
          <w:tcPr>
            <w:tcW w:w="1428" w:type="dxa"/>
          </w:tcPr>
          <w:p w14:paraId="042469B3" w14:textId="77777777" w:rsidR="00E828B4" w:rsidRPr="00FB17D9" w:rsidRDefault="00E828B4" w:rsidP="00B96045">
            <w:pPr>
              <w:jc w:val="center"/>
              <w:rPr>
                <w:rFonts w:asciiTheme="minorHAnsi" w:hAnsiTheme="minorHAnsi" w:cstheme="minorHAnsi"/>
                <w:b/>
                <w:bCs/>
                <w:color w:val="000000"/>
              </w:rPr>
            </w:pPr>
            <w:r w:rsidRPr="00FB17D9">
              <w:rPr>
                <w:rFonts w:asciiTheme="minorHAnsi" w:hAnsiTheme="minorHAnsi" w:cstheme="minorHAnsi"/>
                <w:b/>
                <w:bCs/>
                <w:color w:val="000000"/>
              </w:rPr>
              <w:t>1,324,649</w:t>
            </w:r>
          </w:p>
        </w:tc>
      </w:tr>
    </w:tbl>
    <w:p w14:paraId="50F99456" w14:textId="77777777" w:rsidR="00E828B4" w:rsidRPr="00AC3A42" w:rsidRDefault="00E828B4" w:rsidP="00E828B4">
      <w:pPr>
        <w:rPr>
          <w:rFonts w:asciiTheme="minorHAnsi" w:hAnsiTheme="minorHAnsi" w:cstheme="minorHAnsi"/>
          <w:highlight w:val="yellow"/>
        </w:rPr>
      </w:pPr>
    </w:p>
    <w:p w14:paraId="1C22018B" w14:textId="34CFED37" w:rsidR="0087719F" w:rsidRPr="00F94315" w:rsidRDefault="0087719F" w:rsidP="0087719F">
      <w:pPr>
        <w:rPr>
          <w:rFonts w:asciiTheme="minorHAnsi" w:eastAsiaTheme="minorHAnsi" w:hAnsiTheme="minorHAnsi" w:cstheme="minorHAnsi"/>
          <w:color w:val="191919"/>
        </w:rPr>
      </w:pPr>
      <w:r>
        <w:rPr>
          <w:rFonts w:asciiTheme="minorHAnsi" w:eastAsiaTheme="minorHAnsi" w:hAnsiTheme="minorHAnsi" w:cstheme="minorHAnsi"/>
          <w:color w:val="191919"/>
        </w:rPr>
        <w:t>The Applicant provided data showing that the top 15 patient origins of their Patient Panel included Plymouth, Woburn, Beverly, Peabody, Gloucester, Quincy, Boston, Cambridge, Billerica, Burlington, Dorchester, Arlington, Danvers, Medford, and Wilmington</w:t>
      </w:r>
      <w:r>
        <w:rPr>
          <w:rStyle w:val="FootnoteReference"/>
          <w:rFonts w:asciiTheme="minorHAnsi" w:eastAsiaTheme="minorHAnsi" w:hAnsiTheme="minorHAnsi" w:cstheme="minorHAnsi"/>
          <w:color w:val="191919"/>
        </w:rPr>
        <w:footnoteReference w:id="5"/>
      </w:r>
      <w:r>
        <w:rPr>
          <w:rFonts w:asciiTheme="minorHAnsi" w:eastAsiaTheme="minorHAnsi" w:hAnsiTheme="minorHAnsi" w:cstheme="minorHAnsi"/>
          <w:color w:val="191919"/>
        </w:rPr>
        <w:t xml:space="preserve">. </w:t>
      </w:r>
      <w:r w:rsidRPr="00F94315">
        <w:rPr>
          <w:rFonts w:asciiTheme="minorHAnsi" w:eastAsiaTheme="minorHAnsi" w:hAnsiTheme="minorHAnsi" w:cstheme="minorHAnsi"/>
          <w:color w:val="191919"/>
        </w:rPr>
        <w:t xml:space="preserve">The Applicant </w:t>
      </w:r>
      <w:r>
        <w:rPr>
          <w:rFonts w:asciiTheme="minorHAnsi" w:eastAsiaTheme="minorHAnsi" w:hAnsiTheme="minorHAnsi" w:cstheme="minorHAnsi"/>
          <w:color w:val="191919"/>
        </w:rPr>
        <w:t xml:space="preserve">also </w:t>
      </w:r>
      <w:r w:rsidRPr="00F94315">
        <w:rPr>
          <w:rFonts w:asciiTheme="minorHAnsi" w:eastAsiaTheme="minorHAnsi" w:hAnsiTheme="minorHAnsi" w:cstheme="minorHAnsi"/>
          <w:color w:val="191919"/>
        </w:rPr>
        <w:t xml:space="preserve">provided demographic data for </w:t>
      </w:r>
      <w:r>
        <w:rPr>
          <w:rFonts w:asciiTheme="minorHAnsi" w:eastAsiaTheme="minorHAnsi" w:hAnsiTheme="minorHAnsi" w:cstheme="minorHAnsi"/>
          <w:color w:val="191919"/>
        </w:rPr>
        <w:t>BILH’s</w:t>
      </w:r>
      <w:r w:rsidRPr="00F94315">
        <w:rPr>
          <w:rFonts w:asciiTheme="minorHAnsi" w:eastAsiaTheme="minorHAnsi" w:hAnsiTheme="minorHAnsi" w:cstheme="minorHAnsi"/>
          <w:color w:val="191919"/>
        </w:rPr>
        <w:t xml:space="preserve"> Patient Panel, which is presented in Table 2. Staff notes the following observations about the </w:t>
      </w:r>
      <w:r>
        <w:rPr>
          <w:rFonts w:asciiTheme="minorHAnsi" w:eastAsiaTheme="minorHAnsi" w:hAnsiTheme="minorHAnsi" w:cstheme="minorHAnsi"/>
          <w:color w:val="191919"/>
        </w:rPr>
        <w:t xml:space="preserve">two fiscal years of </w:t>
      </w:r>
      <w:r w:rsidRPr="00F94315">
        <w:rPr>
          <w:rFonts w:asciiTheme="minorHAnsi" w:eastAsiaTheme="minorHAnsi" w:hAnsiTheme="minorHAnsi" w:cstheme="minorHAnsi"/>
          <w:color w:val="191919"/>
        </w:rPr>
        <w:t>data below:</w:t>
      </w:r>
    </w:p>
    <w:p w14:paraId="5FA1F23C" w14:textId="77777777" w:rsidR="0087719F" w:rsidRPr="0085670E" w:rsidRDefault="0087719F" w:rsidP="0087719F">
      <w:pPr>
        <w:pStyle w:val="ListParagraph"/>
        <w:numPr>
          <w:ilvl w:val="0"/>
          <w:numId w:val="1"/>
        </w:numPr>
        <w:rPr>
          <w:rFonts w:cstheme="minorHAnsi"/>
          <w:color w:val="191919"/>
          <w:sz w:val="24"/>
          <w:szCs w:val="24"/>
        </w:rPr>
      </w:pPr>
      <w:r w:rsidRPr="0085670E">
        <w:rPr>
          <w:rFonts w:cstheme="minorHAnsi"/>
          <w:b/>
          <w:bCs/>
          <w:color w:val="191919"/>
          <w:sz w:val="24"/>
          <w:szCs w:val="24"/>
        </w:rPr>
        <w:t>Age:</w:t>
      </w:r>
      <w:r w:rsidRPr="0085670E">
        <w:rPr>
          <w:rFonts w:cstheme="minorHAnsi"/>
          <w:color w:val="191919"/>
          <w:sz w:val="24"/>
          <w:szCs w:val="24"/>
        </w:rPr>
        <w:t xml:space="preserve"> </w:t>
      </w:r>
      <w:r w:rsidRPr="0085670E">
        <w:rPr>
          <w:sz w:val="24"/>
          <w:szCs w:val="24"/>
        </w:rPr>
        <w:t xml:space="preserve">The 18-64 age group </w:t>
      </w:r>
      <w:r>
        <w:rPr>
          <w:sz w:val="24"/>
          <w:szCs w:val="24"/>
        </w:rPr>
        <w:t>~</w:t>
      </w:r>
      <w:r w:rsidRPr="0085670E">
        <w:rPr>
          <w:sz w:val="24"/>
          <w:szCs w:val="24"/>
        </w:rPr>
        <w:t xml:space="preserve">60% of BILH’s Patient Panel, followed by the over 65 age group at </w:t>
      </w:r>
      <w:r>
        <w:rPr>
          <w:sz w:val="24"/>
          <w:szCs w:val="24"/>
        </w:rPr>
        <w:t>~30</w:t>
      </w:r>
      <w:r w:rsidRPr="0085670E">
        <w:rPr>
          <w:sz w:val="24"/>
          <w:szCs w:val="24"/>
        </w:rPr>
        <w:t>%</w:t>
      </w:r>
      <w:r>
        <w:rPr>
          <w:rFonts w:cstheme="minorHAnsi"/>
          <w:color w:val="191919"/>
        </w:rPr>
        <w:t>.</w:t>
      </w:r>
    </w:p>
    <w:p w14:paraId="62D6BF3D" w14:textId="77777777" w:rsidR="0087719F" w:rsidRPr="00C42178" w:rsidRDefault="0087719F" w:rsidP="0087719F">
      <w:pPr>
        <w:pStyle w:val="ListParagraph"/>
        <w:numPr>
          <w:ilvl w:val="0"/>
          <w:numId w:val="1"/>
        </w:numPr>
        <w:rPr>
          <w:rFonts w:cstheme="minorHAnsi"/>
          <w:b/>
          <w:bCs/>
          <w:color w:val="191919"/>
          <w:sz w:val="24"/>
          <w:szCs w:val="24"/>
        </w:rPr>
      </w:pPr>
      <w:r w:rsidRPr="0085670E">
        <w:rPr>
          <w:rFonts w:cstheme="minorHAnsi"/>
          <w:b/>
          <w:bCs/>
          <w:color w:val="191919"/>
          <w:sz w:val="24"/>
          <w:szCs w:val="24"/>
        </w:rPr>
        <w:t xml:space="preserve">Race: </w:t>
      </w:r>
      <w:r w:rsidRPr="0085670E">
        <w:rPr>
          <w:rFonts w:cstheme="minorHAnsi"/>
          <w:color w:val="191919"/>
          <w:sz w:val="24"/>
          <w:szCs w:val="24"/>
        </w:rPr>
        <w:t>T</w:t>
      </w:r>
      <w:r w:rsidRPr="0085670E">
        <w:rPr>
          <w:sz w:val="24"/>
          <w:szCs w:val="24"/>
        </w:rPr>
        <w:t>he</w:t>
      </w:r>
      <w:r w:rsidRPr="0085670E">
        <w:rPr>
          <w:spacing w:val="-7"/>
          <w:sz w:val="24"/>
          <w:szCs w:val="24"/>
        </w:rPr>
        <w:t xml:space="preserve"> </w:t>
      </w:r>
      <w:r w:rsidRPr="0085670E">
        <w:rPr>
          <w:sz w:val="24"/>
          <w:szCs w:val="24"/>
        </w:rPr>
        <w:t>majority</w:t>
      </w:r>
      <w:r w:rsidRPr="0085670E">
        <w:rPr>
          <w:spacing w:val="-7"/>
          <w:sz w:val="24"/>
          <w:szCs w:val="24"/>
        </w:rPr>
        <w:t xml:space="preserve"> </w:t>
      </w:r>
      <w:r w:rsidRPr="0085670E">
        <w:rPr>
          <w:sz w:val="24"/>
          <w:szCs w:val="24"/>
        </w:rPr>
        <w:t>of</w:t>
      </w:r>
      <w:r w:rsidRPr="0085670E">
        <w:rPr>
          <w:spacing w:val="-6"/>
          <w:sz w:val="24"/>
          <w:szCs w:val="24"/>
        </w:rPr>
        <w:t xml:space="preserve"> </w:t>
      </w:r>
      <w:r w:rsidRPr="0085670E">
        <w:rPr>
          <w:sz w:val="24"/>
          <w:szCs w:val="24"/>
        </w:rPr>
        <w:t>BILH’s patients self-identified as White (</w:t>
      </w:r>
      <w:r>
        <w:rPr>
          <w:sz w:val="24"/>
          <w:szCs w:val="24"/>
        </w:rPr>
        <w:t xml:space="preserve">over </w:t>
      </w:r>
      <w:r w:rsidRPr="0085670E">
        <w:rPr>
          <w:sz w:val="24"/>
          <w:szCs w:val="24"/>
        </w:rPr>
        <w:t>74%). Patients also self-identified as Black or African</w:t>
      </w:r>
      <w:r w:rsidRPr="0085670E">
        <w:rPr>
          <w:spacing w:val="-5"/>
          <w:sz w:val="24"/>
          <w:szCs w:val="24"/>
        </w:rPr>
        <w:t xml:space="preserve"> </w:t>
      </w:r>
      <w:r w:rsidRPr="0085670E">
        <w:rPr>
          <w:sz w:val="24"/>
          <w:szCs w:val="24"/>
        </w:rPr>
        <w:t>American</w:t>
      </w:r>
      <w:r w:rsidRPr="0085670E">
        <w:rPr>
          <w:spacing w:val="-7"/>
          <w:sz w:val="24"/>
          <w:szCs w:val="24"/>
        </w:rPr>
        <w:t xml:space="preserve"> </w:t>
      </w:r>
      <w:r w:rsidRPr="0085670E">
        <w:rPr>
          <w:sz w:val="24"/>
          <w:szCs w:val="24"/>
        </w:rPr>
        <w:t>(</w:t>
      </w:r>
      <w:r>
        <w:rPr>
          <w:sz w:val="24"/>
          <w:szCs w:val="24"/>
        </w:rPr>
        <w:t>~</w:t>
      </w:r>
      <w:r w:rsidRPr="0085670E">
        <w:rPr>
          <w:sz w:val="24"/>
          <w:szCs w:val="24"/>
        </w:rPr>
        <w:t>5%),</w:t>
      </w:r>
      <w:r w:rsidRPr="0085670E">
        <w:rPr>
          <w:spacing w:val="-5"/>
          <w:sz w:val="24"/>
          <w:szCs w:val="24"/>
        </w:rPr>
        <w:t xml:space="preserve"> </w:t>
      </w:r>
      <w:r w:rsidRPr="0085670E">
        <w:rPr>
          <w:sz w:val="24"/>
          <w:szCs w:val="24"/>
        </w:rPr>
        <w:t>and</w:t>
      </w:r>
      <w:r w:rsidRPr="0085670E">
        <w:rPr>
          <w:spacing w:val="-8"/>
          <w:sz w:val="24"/>
          <w:szCs w:val="24"/>
        </w:rPr>
        <w:t xml:space="preserve"> </w:t>
      </w:r>
      <w:r w:rsidRPr="0085670E">
        <w:rPr>
          <w:sz w:val="24"/>
          <w:szCs w:val="24"/>
        </w:rPr>
        <w:t>Asian</w:t>
      </w:r>
      <w:r w:rsidRPr="0085670E">
        <w:rPr>
          <w:spacing w:val="-7"/>
          <w:sz w:val="24"/>
          <w:szCs w:val="24"/>
        </w:rPr>
        <w:t xml:space="preserve"> </w:t>
      </w:r>
      <w:r w:rsidRPr="0085670E">
        <w:rPr>
          <w:sz w:val="24"/>
          <w:szCs w:val="24"/>
        </w:rPr>
        <w:t>(</w:t>
      </w:r>
      <w:r>
        <w:rPr>
          <w:sz w:val="24"/>
          <w:szCs w:val="24"/>
        </w:rPr>
        <w:t>~6</w:t>
      </w:r>
      <w:r w:rsidRPr="0085670E">
        <w:rPr>
          <w:sz w:val="24"/>
          <w:szCs w:val="24"/>
        </w:rPr>
        <w:t>%).</w:t>
      </w:r>
      <w:r w:rsidRPr="0085670E">
        <w:rPr>
          <w:spacing w:val="-7"/>
          <w:sz w:val="24"/>
          <w:szCs w:val="24"/>
        </w:rPr>
        <w:t xml:space="preserve"> </w:t>
      </w:r>
      <w:r w:rsidRPr="0085670E">
        <w:rPr>
          <w:sz w:val="24"/>
          <w:szCs w:val="24"/>
        </w:rPr>
        <w:t>Less</w:t>
      </w:r>
      <w:r w:rsidRPr="0085670E">
        <w:rPr>
          <w:spacing w:val="-6"/>
          <w:sz w:val="24"/>
          <w:szCs w:val="24"/>
        </w:rPr>
        <w:t xml:space="preserve"> </w:t>
      </w:r>
      <w:r w:rsidRPr="0085670E">
        <w:rPr>
          <w:sz w:val="24"/>
          <w:szCs w:val="24"/>
        </w:rPr>
        <w:t>than</w:t>
      </w:r>
      <w:r w:rsidRPr="0085670E">
        <w:rPr>
          <w:spacing w:val="-8"/>
          <w:sz w:val="24"/>
          <w:szCs w:val="24"/>
        </w:rPr>
        <w:t xml:space="preserve"> </w:t>
      </w:r>
      <w:r w:rsidRPr="0085670E">
        <w:rPr>
          <w:sz w:val="24"/>
          <w:szCs w:val="24"/>
        </w:rPr>
        <w:t>1%</w:t>
      </w:r>
      <w:r w:rsidRPr="0085670E">
        <w:rPr>
          <w:spacing w:val="-7"/>
          <w:sz w:val="24"/>
          <w:szCs w:val="24"/>
        </w:rPr>
        <w:t xml:space="preserve"> </w:t>
      </w:r>
      <w:r w:rsidRPr="0085670E">
        <w:rPr>
          <w:sz w:val="24"/>
          <w:szCs w:val="24"/>
        </w:rPr>
        <w:t>self-identified</w:t>
      </w:r>
      <w:r w:rsidRPr="0085670E">
        <w:rPr>
          <w:spacing w:val="-8"/>
          <w:sz w:val="24"/>
          <w:szCs w:val="24"/>
        </w:rPr>
        <w:t xml:space="preserve"> </w:t>
      </w:r>
      <w:r w:rsidRPr="0085670E">
        <w:rPr>
          <w:sz w:val="24"/>
          <w:szCs w:val="24"/>
        </w:rPr>
        <w:t>as</w:t>
      </w:r>
      <w:r w:rsidRPr="0085670E">
        <w:rPr>
          <w:spacing w:val="-6"/>
          <w:sz w:val="24"/>
          <w:szCs w:val="24"/>
        </w:rPr>
        <w:t xml:space="preserve"> </w:t>
      </w:r>
      <w:r w:rsidRPr="0085670E">
        <w:rPr>
          <w:sz w:val="24"/>
          <w:szCs w:val="24"/>
        </w:rPr>
        <w:t>American Indian</w:t>
      </w:r>
      <w:r w:rsidRPr="0085670E">
        <w:rPr>
          <w:spacing w:val="-7"/>
          <w:sz w:val="24"/>
          <w:szCs w:val="24"/>
        </w:rPr>
        <w:t xml:space="preserve"> </w:t>
      </w:r>
      <w:r w:rsidRPr="0085670E">
        <w:rPr>
          <w:sz w:val="24"/>
          <w:szCs w:val="24"/>
        </w:rPr>
        <w:t>or</w:t>
      </w:r>
      <w:r w:rsidRPr="0085670E">
        <w:rPr>
          <w:spacing w:val="-8"/>
          <w:sz w:val="24"/>
          <w:szCs w:val="24"/>
        </w:rPr>
        <w:t xml:space="preserve"> </w:t>
      </w:r>
      <w:r w:rsidRPr="0085670E">
        <w:rPr>
          <w:sz w:val="24"/>
          <w:szCs w:val="24"/>
        </w:rPr>
        <w:t>Alaska</w:t>
      </w:r>
      <w:r w:rsidRPr="0085670E">
        <w:rPr>
          <w:spacing w:val="-9"/>
          <w:sz w:val="24"/>
          <w:szCs w:val="24"/>
        </w:rPr>
        <w:t xml:space="preserve"> </w:t>
      </w:r>
      <w:r w:rsidRPr="0085670E">
        <w:rPr>
          <w:sz w:val="24"/>
          <w:szCs w:val="24"/>
        </w:rPr>
        <w:t>Native, Native</w:t>
      </w:r>
      <w:r w:rsidRPr="0085670E">
        <w:rPr>
          <w:spacing w:val="-7"/>
          <w:sz w:val="24"/>
          <w:szCs w:val="24"/>
        </w:rPr>
        <w:t xml:space="preserve"> </w:t>
      </w:r>
      <w:r w:rsidRPr="0085670E">
        <w:rPr>
          <w:sz w:val="24"/>
          <w:szCs w:val="24"/>
        </w:rPr>
        <w:t>Hawaiian</w:t>
      </w:r>
      <w:r w:rsidRPr="0085670E">
        <w:rPr>
          <w:spacing w:val="-7"/>
          <w:sz w:val="24"/>
          <w:szCs w:val="24"/>
        </w:rPr>
        <w:t xml:space="preserve"> </w:t>
      </w:r>
      <w:r w:rsidRPr="0085670E">
        <w:rPr>
          <w:sz w:val="24"/>
          <w:szCs w:val="24"/>
        </w:rPr>
        <w:t>or</w:t>
      </w:r>
      <w:r w:rsidRPr="0085670E">
        <w:rPr>
          <w:spacing w:val="-5"/>
          <w:sz w:val="24"/>
          <w:szCs w:val="24"/>
        </w:rPr>
        <w:t xml:space="preserve"> </w:t>
      </w:r>
      <w:r w:rsidRPr="0085670E">
        <w:rPr>
          <w:sz w:val="24"/>
          <w:szCs w:val="24"/>
        </w:rPr>
        <w:t>Other</w:t>
      </w:r>
      <w:r w:rsidRPr="0085670E">
        <w:rPr>
          <w:spacing w:val="-8"/>
          <w:sz w:val="24"/>
          <w:szCs w:val="24"/>
        </w:rPr>
        <w:t xml:space="preserve"> </w:t>
      </w:r>
      <w:r w:rsidRPr="0085670E">
        <w:rPr>
          <w:sz w:val="24"/>
          <w:szCs w:val="24"/>
        </w:rPr>
        <w:t>Pacific</w:t>
      </w:r>
      <w:r w:rsidRPr="0085670E">
        <w:rPr>
          <w:spacing w:val="-7"/>
          <w:sz w:val="24"/>
          <w:szCs w:val="24"/>
        </w:rPr>
        <w:t xml:space="preserve"> </w:t>
      </w:r>
      <w:r w:rsidRPr="0085670E">
        <w:rPr>
          <w:sz w:val="24"/>
          <w:szCs w:val="24"/>
        </w:rPr>
        <w:t>Islander.</w:t>
      </w:r>
    </w:p>
    <w:p w14:paraId="63736006" w14:textId="77777777" w:rsidR="0087719F" w:rsidRPr="00903C1E" w:rsidRDefault="0087719F" w:rsidP="0087719F">
      <w:pPr>
        <w:pStyle w:val="ListParagraph"/>
        <w:numPr>
          <w:ilvl w:val="0"/>
          <w:numId w:val="1"/>
        </w:numPr>
        <w:rPr>
          <w:rFonts w:cstheme="minorHAnsi"/>
          <w:b/>
          <w:bCs/>
          <w:color w:val="191919"/>
          <w:sz w:val="24"/>
          <w:szCs w:val="24"/>
        </w:rPr>
      </w:pPr>
      <w:r>
        <w:rPr>
          <w:rFonts w:cstheme="minorHAnsi"/>
          <w:b/>
          <w:bCs/>
          <w:color w:val="191919"/>
          <w:sz w:val="24"/>
          <w:szCs w:val="24"/>
        </w:rPr>
        <w:t xml:space="preserve">Ethnicity: </w:t>
      </w:r>
      <w:r w:rsidRPr="00903C1E">
        <w:rPr>
          <w:rFonts w:cstheme="minorHAnsi"/>
          <w:color w:val="191919"/>
          <w:sz w:val="24"/>
          <w:szCs w:val="24"/>
        </w:rPr>
        <w:t>Over 80% of patients identify as “Not Hispanic”.</w:t>
      </w:r>
    </w:p>
    <w:p w14:paraId="5C37B05A" w14:textId="5BE7AE96" w:rsidR="0087719F" w:rsidRPr="0085670E" w:rsidRDefault="0087719F" w:rsidP="0087719F">
      <w:pPr>
        <w:pStyle w:val="ListParagraph"/>
        <w:numPr>
          <w:ilvl w:val="0"/>
          <w:numId w:val="1"/>
        </w:numPr>
        <w:rPr>
          <w:rFonts w:cstheme="minorHAnsi"/>
          <w:sz w:val="24"/>
          <w:szCs w:val="24"/>
        </w:rPr>
      </w:pPr>
      <w:r w:rsidRPr="0085670E">
        <w:rPr>
          <w:rFonts w:cstheme="minorHAnsi"/>
          <w:b/>
          <w:bCs/>
          <w:color w:val="191919"/>
          <w:sz w:val="24"/>
          <w:szCs w:val="24"/>
        </w:rPr>
        <w:lastRenderedPageBreak/>
        <w:t>Payer Mix:</w:t>
      </w:r>
      <w:r w:rsidRPr="0085670E">
        <w:rPr>
          <w:rFonts w:cstheme="minorHAnsi"/>
          <w:color w:val="191919"/>
          <w:sz w:val="24"/>
          <w:szCs w:val="24"/>
        </w:rPr>
        <w:t xml:space="preserve"> </w:t>
      </w:r>
      <w:r>
        <w:rPr>
          <w:rFonts w:cstheme="minorHAnsi"/>
          <w:color w:val="191919"/>
          <w:sz w:val="24"/>
          <w:szCs w:val="24"/>
        </w:rPr>
        <w:t>Approximately 50</w:t>
      </w:r>
      <w:r w:rsidRPr="0085670E">
        <w:rPr>
          <w:rFonts w:cstheme="minorHAnsi"/>
          <w:color w:val="191919"/>
          <w:sz w:val="24"/>
          <w:szCs w:val="24"/>
        </w:rPr>
        <w:t>%</w:t>
      </w:r>
      <w:r>
        <w:rPr>
          <w:rFonts w:cstheme="minorHAnsi"/>
          <w:color w:val="191919"/>
          <w:sz w:val="24"/>
          <w:szCs w:val="24"/>
        </w:rPr>
        <w:t xml:space="preserve"> of patients</w:t>
      </w:r>
      <w:r w:rsidRPr="0085670E">
        <w:rPr>
          <w:rFonts w:cstheme="minorHAnsi"/>
          <w:color w:val="191919"/>
          <w:sz w:val="24"/>
          <w:szCs w:val="24"/>
        </w:rPr>
        <w:t xml:space="preserve"> were covered by Commercial insurance, followed by Medicare </w:t>
      </w:r>
      <w:r>
        <w:rPr>
          <w:rFonts w:cstheme="minorHAnsi"/>
          <w:color w:val="191919"/>
          <w:sz w:val="24"/>
          <w:szCs w:val="24"/>
        </w:rPr>
        <w:t xml:space="preserve">(~30%) </w:t>
      </w:r>
      <w:r w:rsidRPr="0085670E">
        <w:rPr>
          <w:rFonts w:cstheme="minorHAnsi"/>
          <w:color w:val="191919"/>
          <w:sz w:val="24"/>
          <w:szCs w:val="24"/>
        </w:rPr>
        <w:t>and Medicaid</w:t>
      </w:r>
      <w:r>
        <w:rPr>
          <w:rFonts w:cstheme="minorHAnsi"/>
          <w:color w:val="191919"/>
          <w:sz w:val="24"/>
          <w:szCs w:val="24"/>
        </w:rPr>
        <w:t xml:space="preserve"> (~9%)</w:t>
      </w:r>
      <w:r w:rsidRPr="0085670E">
        <w:rPr>
          <w:rFonts w:cstheme="minorHAnsi"/>
          <w:color w:val="191919"/>
          <w:sz w:val="24"/>
          <w:szCs w:val="24"/>
        </w:rPr>
        <w:t>.</w:t>
      </w:r>
    </w:p>
    <w:p w14:paraId="5F75554B" w14:textId="77777777" w:rsidR="0087719F" w:rsidRPr="00FA4ED8" w:rsidRDefault="0087719F" w:rsidP="0087719F">
      <w:pPr>
        <w:rPr>
          <w:rFonts w:cstheme="minorHAnsi"/>
          <w:highlight w:val="yellow"/>
        </w:rPr>
      </w:pPr>
    </w:p>
    <w:p w14:paraId="33560DF7" w14:textId="77777777" w:rsidR="0087719F" w:rsidRPr="007C017D" w:rsidRDefault="0087719F" w:rsidP="0087719F">
      <w:pPr>
        <w:pStyle w:val="Caption"/>
        <w:spacing w:after="0"/>
        <w:contextualSpacing/>
        <w:jc w:val="center"/>
        <w:rPr>
          <w:rFonts w:cstheme="minorHAnsi"/>
          <w:color w:val="42558C" w:themeColor="accent1" w:themeShade="BF"/>
          <w:sz w:val="24"/>
          <w:szCs w:val="24"/>
        </w:rPr>
      </w:pPr>
      <w:r w:rsidRPr="007C017D">
        <w:rPr>
          <w:rFonts w:cstheme="minorHAnsi"/>
          <w:color w:val="42558C" w:themeColor="accent1" w:themeShade="BF"/>
          <w:sz w:val="24"/>
          <w:szCs w:val="24"/>
          <w:u w:val="single"/>
        </w:rPr>
        <w:t>Table 2</w:t>
      </w:r>
      <w:r w:rsidRPr="007C017D">
        <w:rPr>
          <w:rFonts w:cstheme="minorHAnsi"/>
          <w:color w:val="42558C" w:themeColor="accent1" w:themeShade="BF"/>
          <w:sz w:val="24"/>
          <w:szCs w:val="24"/>
        </w:rPr>
        <w:t xml:space="preserve">: BILH Patient </w:t>
      </w:r>
      <w:r>
        <w:rPr>
          <w:rFonts w:cstheme="minorHAnsi"/>
          <w:color w:val="42558C" w:themeColor="accent1" w:themeShade="BF"/>
          <w:sz w:val="24"/>
          <w:szCs w:val="24"/>
        </w:rPr>
        <w:t xml:space="preserve">Panel </w:t>
      </w:r>
      <w:r w:rsidRPr="007C017D">
        <w:rPr>
          <w:rFonts w:cstheme="minorHAnsi"/>
          <w:color w:val="42558C" w:themeColor="accent1" w:themeShade="BF"/>
          <w:sz w:val="24"/>
          <w:szCs w:val="24"/>
        </w:rPr>
        <w:t>Demographic Profil</w:t>
      </w:r>
      <w:r>
        <w:rPr>
          <w:rFonts w:cstheme="minorHAnsi"/>
          <w:color w:val="42558C" w:themeColor="accent1" w:themeShade="BF"/>
          <w:sz w:val="24"/>
          <w:szCs w:val="24"/>
        </w:rPr>
        <w:t>e</w:t>
      </w:r>
    </w:p>
    <w:tbl>
      <w:tblPr>
        <w:tblStyle w:val="TableGrid"/>
        <w:tblW w:w="0" w:type="auto"/>
        <w:jc w:val="center"/>
        <w:tblLook w:val="04A0" w:firstRow="1" w:lastRow="0" w:firstColumn="1" w:lastColumn="0" w:noHBand="0" w:noVBand="1"/>
      </w:tblPr>
      <w:tblGrid>
        <w:gridCol w:w="5215"/>
        <w:gridCol w:w="1980"/>
        <w:gridCol w:w="1890"/>
      </w:tblGrid>
      <w:tr w:rsidR="0087719F" w:rsidRPr="00FA4ED8" w14:paraId="4D8A5A68" w14:textId="77777777" w:rsidTr="00490047">
        <w:trPr>
          <w:cantSplit/>
          <w:trHeight w:val="144"/>
          <w:tblHeader/>
          <w:jc w:val="center"/>
        </w:trPr>
        <w:tc>
          <w:tcPr>
            <w:tcW w:w="5215" w:type="dxa"/>
            <w:tcBorders>
              <w:bottom w:val="single" w:sz="4" w:space="0" w:color="auto"/>
            </w:tcBorders>
            <w:shd w:val="clear" w:color="auto" w:fill="DFE3F0" w:themeFill="accent1" w:themeFillTint="33"/>
          </w:tcPr>
          <w:p w14:paraId="07628FE8" w14:textId="77777777" w:rsidR="0087719F" w:rsidRPr="00FA4ED8" w:rsidRDefault="0087719F" w:rsidP="00490047">
            <w:pPr>
              <w:rPr>
                <w:rFonts w:asciiTheme="minorHAnsi" w:hAnsiTheme="minorHAnsi" w:cstheme="minorHAnsi"/>
                <w:highlight w:val="yellow"/>
              </w:rPr>
            </w:pPr>
          </w:p>
        </w:tc>
        <w:tc>
          <w:tcPr>
            <w:tcW w:w="1980" w:type="dxa"/>
            <w:tcBorders>
              <w:bottom w:val="single" w:sz="4" w:space="0" w:color="auto"/>
            </w:tcBorders>
            <w:shd w:val="clear" w:color="auto" w:fill="DFE3F0" w:themeFill="accent1" w:themeFillTint="33"/>
          </w:tcPr>
          <w:p w14:paraId="6B375C38" w14:textId="77777777" w:rsidR="0087719F" w:rsidRPr="00EA3646" w:rsidRDefault="0087719F" w:rsidP="00490047">
            <w:pPr>
              <w:jc w:val="center"/>
              <w:rPr>
                <w:rFonts w:asciiTheme="minorHAnsi" w:eastAsia="Calibri" w:hAnsiTheme="minorHAnsi" w:cstheme="minorHAnsi"/>
                <w:b/>
              </w:rPr>
            </w:pPr>
            <w:r w:rsidRPr="00EA3646">
              <w:rPr>
                <w:rFonts w:asciiTheme="minorHAnsi" w:eastAsia="Calibri" w:hAnsiTheme="minorHAnsi" w:cstheme="minorHAnsi"/>
                <w:b/>
              </w:rPr>
              <w:t>FY2022 Totals</w:t>
            </w:r>
          </w:p>
        </w:tc>
        <w:tc>
          <w:tcPr>
            <w:tcW w:w="1890" w:type="dxa"/>
            <w:tcBorders>
              <w:bottom w:val="single" w:sz="4" w:space="0" w:color="auto"/>
            </w:tcBorders>
            <w:shd w:val="clear" w:color="auto" w:fill="DFE3F0" w:themeFill="accent1" w:themeFillTint="33"/>
          </w:tcPr>
          <w:p w14:paraId="45D9BF3D" w14:textId="77777777" w:rsidR="0087719F" w:rsidRPr="00EA3646" w:rsidRDefault="0087719F" w:rsidP="00490047">
            <w:pPr>
              <w:jc w:val="center"/>
              <w:rPr>
                <w:rFonts w:asciiTheme="minorHAnsi" w:eastAsia="Calibri" w:hAnsiTheme="minorHAnsi" w:cstheme="minorHAnsi"/>
                <w:b/>
              </w:rPr>
            </w:pPr>
            <w:r w:rsidRPr="00EA3646">
              <w:rPr>
                <w:rFonts w:asciiTheme="minorHAnsi" w:eastAsia="Calibri" w:hAnsiTheme="minorHAnsi" w:cstheme="minorHAnsi"/>
                <w:b/>
              </w:rPr>
              <w:t>FY202</w:t>
            </w:r>
            <w:r>
              <w:rPr>
                <w:rFonts w:asciiTheme="minorHAnsi" w:eastAsia="Calibri" w:hAnsiTheme="minorHAnsi" w:cstheme="minorHAnsi"/>
                <w:b/>
              </w:rPr>
              <w:t>3</w:t>
            </w:r>
            <w:r w:rsidRPr="00EA3646">
              <w:rPr>
                <w:rFonts w:asciiTheme="minorHAnsi" w:eastAsia="Calibri" w:hAnsiTheme="minorHAnsi" w:cstheme="minorHAnsi"/>
                <w:b/>
              </w:rPr>
              <w:t xml:space="preserve"> Totals</w:t>
            </w:r>
          </w:p>
        </w:tc>
      </w:tr>
      <w:tr w:rsidR="0087719F" w:rsidRPr="00FA4ED8" w14:paraId="740A7739" w14:textId="77777777" w:rsidTr="00490047">
        <w:trPr>
          <w:cantSplit/>
          <w:trHeight w:val="144"/>
          <w:jc w:val="center"/>
        </w:trPr>
        <w:tc>
          <w:tcPr>
            <w:tcW w:w="5215" w:type="dxa"/>
            <w:tcBorders>
              <w:bottom w:val="single" w:sz="4" w:space="0" w:color="auto"/>
            </w:tcBorders>
          </w:tcPr>
          <w:p w14:paraId="4FBB1A0D" w14:textId="77777777" w:rsidR="0087719F" w:rsidRPr="00FA4ED8" w:rsidRDefault="0087719F" w:rsidP="00490047">
            <w:pPr>
              <w:rPr>
                <w:rFonts w:asciiTheme="minorHAnsi" w:hAnsiTheme="minorHAnsi" w:cstheme="minorHAnsi"/>
                <w:highlight w:val="yellow"/>
              </w:rPr>
            </w:pPr>
            <w:r w:rsidRPr="008F539D">
              <w:rPr>
                <w:rFonts w:asciiTheme="minorHAnsi" w:eastAsia="Calibri" w:hAnsiTheme="minorHAnsi" w:cstheme="minorHAnsi"/>
                <w:b/>
              </w:rPr>
              <w:t>Total Unique Patients</w:t>
            </w:r>
          </w:p>
        </w:tc>
        <w:tc>
          <w:tcPr>
            <w:tcW w:w="1980" w:type="dxa"/>
            <w:tcBorders>
              <w:bottom w:val="single" w:sz="4" w:space="0" w:color="auto"/>
            </w:tcBorders>
          </w:tcPr>
          <w:p w14:paraId="57E34F7F" w14:textId="77777777" w:rsidR="0087719F" w:rsidRPr="00FA4ED8" w:rsidRDefault="0087719F" w:rsidP="00490047">
            <w:pPr>
              <w:ind w:left="720" w:hanging="557"/>
              <w:contextualSpacing/>
              <w:jc w:val="right"/>
              <w:rPr>
                <w:rFonts w:asciiTheme="minorHAnsi" w:eastAsia="Calibri" w:hAnsiTheme="minorHAnsi" w:cstheme="minorHAnsi"/>
                <w:bCs/>
                <w:highlight w:val="yellow"/>
              </w:rPr>
            </w:pPr>
            <w:r w:rsidRPr="009D39A8">
              <w:rPr>
                <w:rFonts w:asciiTheme="minorHAnsi" w:hAnsiTheme="minorHAnsi" w:cstheme="minorHAnsi"/>
                <w:b/>
                <w:bCs/>
                <w:color w:val="000000"/>
              </w:rPr>
              <w:t>1,633,109</w:t>
            </w:r>
          </w:p>
        </w:tc>
        <w:tc>
          <w:tcPr>
            <w:tcW w:w="1890" w:type="dxa"/>
            <w:tcBorders>
              <w:bottom w:val="single" w:sz="4" w:space="0" w:color="auto"/>
            </w:tcBorders>
          </w:tcPr>
          <w:p w14:paraId="466D8EC2" w14:textId="77777777" w:rsidR="0087719F" w:rsidRPr="00C041A9" w:rsidRDefault="0087719F" w:rsidP="00490047">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b/>
                <w:bCs/>
                <w:color w:val="000000"/>
              </w:rPr>
              <w:t>1,324,649</w:t>
            </w:r>
          </w:p>
        </w:tc>
      </w:tr>
      <w:tr w:rsidR="0087719F" w:rsidRPr="00FA4ED8" w14:paraId="29879B00" w14:textId="77777777" w:rsidTr="00490047">
        <w:trPr>
          <w:cantSplit/>
          <w:trHeight w:val="144"/>
          <w:jc w:val="center"/>
        </w:trPr>
        <w:tc>
          <w:tcPr>
            <w:tcW w:w="5215" w:type="dxa"/>
            <w:tcBorders>
              <w:top w:val="single" w:sz="4" w:space="0" w:color="auto"/>
              <w:left w:val="single" w:sz="4" w:space="0" w:color="auto"/>
              <w:bottom w:val="nil"/>
              <w:right w:val="single" w:sz="4" w:space="0" w:color="auto"/>
            </w:tcBorders>
          </w:tcPr>
          <w:p w14:paraId="508CC23D" w14:textId="77777777" w:rsidR="0087719F" w:rsidRPr="00553838" w:rsidRDefault="0087719F" w:rsidP="00490047">
            <w:pPr>
              <w:contextualSpacing/>
              <w:rPr>
                <w:rFonts w:asciiTheme="minorHAnsi" w:eastAsia="Calibri" w:hAnsiTheme="minorHAnsi" w:cstheme="minorHAnsi"/>
                <w:bCs/>
              </w:rPr>
            </w:pPr>
            <w:r w:rsidRPr="00553838">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430473CE" w14:textId="77777777" w:rsidR="0087719F" w:rsidRPr="00553838" w:rsidRDefault="0087719F" w:rsidP="00490047">
            <w:pPr>
              <w:contextualSpacing/>
              <w:rPr>
                <w:rFonts w:asciiTheme="minorHAnsi" w:eastAsia="Calibri" w:hAnsiTheme="minorHAnsi" w:cstheme="minorHAnsi"/>
                <w:bCs/>
              </w:rPr>
            </w:pPr>
          </w:p>
        </w:tc>
        <w:tc>
          <w:tcPr>
            <w:tcW w:w="1890" w:type="dxa"/>
            <w:tcBorders>
              <w:top w:val="single" w:sz="4" w:space="0" w:color="auto"/>
              <w:left w:val="single" w:sz="4" w:space="0" w:color="auto"/>
              <w:bottom w:val="nil"/>
              <w:right w:val="single" w:sz="4" w:space="0" w:color="auto"/>
            </w:tcBorders>
          </w:tcPr>
          <w:p w14:paraId="1CDB70EB" w14:textId="77777777" w:rsidR="0087719F" w:rsidRPr="00C041A9" w:rsidRDefault="0087719F" w:rsidP="00490047">
            <w:pPr>
              <w:ind w:left="720" w:hanging="557"/>
              <w:contextualSpacing/>
              <w:jc w:val="right"/>
              <w:rPr>
                <w:rFonts w:asciiTheme="minorHAnsi" w:eastAsia="Calibri" w:hAnsiTheme="minorHAnsi" w:cstheme="minorHAnsi"/>
                <w:bCs/>
                <w:highlight w:val="yellow"/>
              </w:rPr>
            </w:pPr>
          </w:p>
        </w:tc>
      </w:tr>
      <w:tr w:rsidR="0087719F" w:rsidRPr="00FA4ED8" w14:paraId="4438B799" w14:textId="77777777" w:rsidTr="00490047">
        <w:trPr>
          <w:cantSplit/>
          <w:trHeight w:val="144"/>
          <w:jc w:val="center"/>
        </w:trPr>
        <w:tc>
          <w:tcPr>
            <w:tcW w:w="5215" w:type="dxa"/>
            <w:tcBorders>
              <w:top w:val="nil"/>
              <w:left w:val="single" w:sz="4" w:space="0" w:color="auto"/>
              <w:bottom w:val="nil"/>
              <w:right w:val="single" w:sz="4" w:space="0" w:color="auto"/>
            </w:tcBorders>
          </w:tcPr>
          <w:p w14:paraId="5252083F" w14:textId="77777777" w:rsidR="0087719F" w:rsidRPr="00553838" w:rsidRDefault="0087719F" w:rsidP="00490047">
            <w:pPr>
              <w:contextualSpacing/>
              <w:rPr>
                <w:rFonts w:asciiTheme="minorHAnsi" w:eastAsia="Calibri" w:hAnsiTheme="minorHAnsi" w:cstheme="minorHAnsi"/>
                <w:b/>
              </w:rPr>
            </w:pPr>
            <w:r w:rsidRPr="00553838">
              <w:rPr>
                <w:rFonts w:asciiTheme="minorHAnsi" w:eastAsia="Calibri" w:hAnsiTheme="minorHAnsi" w:cstheme="minorHAnsi"/>
                <w:bCs/>
              </w:rPr>
              <w:t xml:space="preserve">   Female</w:t>
            </w:r>
          </w:p>
        </w:tc>
        <w:tc>
          <w:tcPr>
            <w:tcW w:w="1980" w:type="dxa"/>
            <w:tcBorders>
              <w:top w:val="nil"/>
              <w:left w:val="single" w:sz="4" w:space="0" w:color="auto"/>
              <w:bottom w:val="nil"/>
              <w:right w:val="single" w:sz="4" w:space="0" w:color="auto"/>
            </w:tcBorders>
          </w:tcPr>
          <w:p w14:paraId="30132A09" w14:textId="77777777" w:rsidR="0087719F" w:rsidRPr="00553838" w:rsidRDefault="0087719F" w:rsidP="00490047">
            <w:pPr>
              <w:ind w:left="720" w:hanging="557"/>
              <w:contextualSpacing/>
              <w:jc w:val="right"/>
              <w:rPr>
                <w:rFonts w:asciiTheme="minorHAnsi" w:eastAsia="Calibri" w:hAnsiTheme="minorHAnsi" w:cstheme="minorHAnsi"/>
                <w:bCs/>
              </w:rPr>
            </w:pPr>
            <w:r w:rsidRPr="00553838">
              <w:rPr>
                <w:rFonts w:asciiTheme="minorHAnsi" w:hAnsiTheme="minorHAnsi" w:cstheme="minorHAnsi"/>
              </w:rPr>
              <w:t>60.23%</w:t>
            </w:r>
          </w:p>
        </w:tc>
        <w:tc>
          <w:tcPr>
            <w:tcW w:w="1890" w:type="dxa"/>
            <w:tcBorders>
              <w:top w:val="nil"/>
              <w:left w:val="single" w:sz="4" w:space="0" w:color="auto"/>
              <w:bottom w:val="nil"/>
              <w:right w:val="single" w:sz="4" w:space="0" w:color="auto"/>
            </w:tcBorders>
          </w:tcPr>
          <w:p w14:paraId="6A406A3E" w14:textId="77777777" w:rsidR="0087719F" w:rsidRPr="00C041A9" w:rsidRDefault="0087719F" w:rsidP="00490047">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58.50%</w:t>
            </w:r>
          </w:p>
        </w:tc>
      </w:tr>
      <w:tr w:rsidR="0087719F" w:rsidRPr="00FA4ED8" w14:paraId="44250A7E" w14:textId="77777777" w:rsidTr="00490047">
        <w:trPr>
          <w:cantSplit/>
          <w:trHeight w:val="144"/>
          <w:jc w:val="center"/>
        </w:trPr>
        <w:tc>
          <w:tcPr>
            <w:tcW w:w="5215" w:type="dxa"/>
            <w:tcBorders>
              <w:top w:val="nil"/>
              <w:left w:val="single" w:sz="4" w:space="0" w:color="auto"/>
              <w:bottom w:val="nil"/>
              <w:right w:val="single" w:sz="4" w:space="0" w:color="auto"/>
            </w:tcBorders>
          </w:tcPr>
          <w:p w14:paraId="4EE831B6" w14:textId="77777777" w:rsidR="0087719F" w:rsidRPr="00553838" w:rsidRDefault="0087719F" w:rsidP="00490047">
            <w:pPr>
              <w:ind w:left="720" w:hanging="557"/>
              <w:contextualSpacing/>
              <w:rPr>
                <w:rFonts w:asciiTheme="minorHAnsi" w:eastAsia="Calibri" w:hAnsiTheme="minorHAnsi" w:cstheme="minorHAnsi"/>
                <w:bCs/>
              </w:rPr>
            </w:pPr>
            <w:r w:rsidRPr="00553838">
              <w:rPr>
                <w:rFonts w:asciiTheme="minorHAnsi" w:eastAsia="Calibri" w:hAnsiTheme="minorHAnsi" w:cstheme="minorHAnsi"/>
                <w:bCs/>
              </w:rPr>
              <w:t>Male</w:t>
            </w:r>
          </w:p>
        </w:tc>
        <w:tc>
          <w:tcPr>
            <w:tcW w:w="1980" w:type="dxa"/>
            <w:tcBorders>
              <w:top w:val="nil"/>
              <w:left w:val="single" w:sz="4" w:space="0" w:color="auto"/>
              <w:bottom w:val="nil"/>
              <w:right w:val="single" w:sz="4" w:space="0" w:color="auto"/>
            </w:tcBorders>
          </w:tcPr>
          <w:p w14:paraId="3CC7F7BF" w14:textId="77777777" w:rsidR="0087719F" w:rsidRPr="00553838" w:rsidRDefault="0087719F" w:rsidP="00490047">
            <w:pPr>
              <w:ind w:left="720" w:hanging="557"/>
              <w:contextualSpacing/>
              <w:jc w:val="right"/>
              <w:rPr>
                <w:rFonts w:asciiTheme="minorHAnsi" w:eastAsia="Calibri" w:hAnsiTheme="minorHAnsi" w:cstheme="minorHAnsi"/>
                <w:bCs/>
              </w:rPr>
            </w:pPr>
            <w:r w:rsidRPr="00553838">
              <w:rPr>
                <w:rFonts w:asciiTheme="minorHAnsi" w:hAnsiTheme="minorHAnsi" w:cstheme="minorHAnsi"/>
              </w:rPr>
              <w:t>39.63%</w:t>
            </w:r>
          </w:p>
        </w:tc>
        <w:tc>
          <w:tcPr>
            <w:tcW w:w="1890" w:type="dxa"/>
            <w:tcBorders>
              <w:top w:val="nil"/>
              <w:left w:val="single" w:sz="4" w:space="0" w:color="auto"/>
              <w:bottom w:val="nil"/>
              <w:right w:val="single" w:sz="4" w:space="0" w:color="auto"/>
            </w:tcBorders>
          </w:tcPr>
          <w:p w14:paraId="5E78320D" w14:textId="77777777" w:rsidR="0087719F" w:rsidRPr="00C041A9" w:rsidRDefault="0087719F" w:rsidP="00490047">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41.35%</w:t>
            </w:r>
          </w:p>
        </w:tc>
      </w:tr>
      <w:tr w:rsidR="0087719F" w:rsidRPr="00FA4ED8" w14:paraId="1ED55291" w14:textId="77777777" w:rsidTr="00490047">
        <w:trPr>
          <w:cantSplit/>
          <w:trHeight w:val="144"/>
          <w:jc w:val="center"/>
        </w:trPr>
        <w:tc>
          <w:tcPr>
            <w:tcW w:w="5215" w:type="dxa"/>
            <w:tcBorders>
              <w:top w:val="nil"/>
              <w:left w:val="single" w:sz="4" w:space="0" w:color="auto"/>
              <w:bottom w:val="nil"/>
              <w:right w:val="single" w:sz="4" w:space="0" w:color="auto"/>
            </w:tcBorders>
          </w:tcPr>
          <w:p w14:paraId="5C106195" w14:textId="77777777" w:rsidR="0087719F" w:rsidRPr="00553838" w:rsidRDefault="0087719F" w:rsidP="00490047">
            <w:pPr>
              <w:contextualSpacing/>
              <w:rPr>
                <w:rFonts w:asciiTheme="minorHAnsi" w:eastAsia="Calibri" w:hAnsiTheme="minorHAnsi" w:cstheme="minorHAnsi"/>
                <w:bCs/>
              </w:rPr>
            </w:pPr>
            <w:r w:rsidRPr="00553838">
              <w:rPr>
                <w:rFonts w:asciiTheme="minorHAnsi" w:eastAsia="Calibri" w:hAnsiTheme="minorHAnsi" w:cstheme="minorHAnsi"/>
                <w:bCs/>
              </w:rPr>
              <w:t xml:space="preserve">   Other</w:t>
            </w:r>
            <w:r>
              <w:rPr>
                <w:rStyle w:val="FootnoteReference"/>
                <w:rFonts w:asciiTheme="minorHAnsi" w:eastAsia="Calibri" w:hAnsiTheme="minorHAnsi" w:cstheme="minorHAnsi"/>
                <w:bCs/>
              </w:rPr>
              <w:footnoteReference w:id="6"/>
            </w:r>
          </w:p>
        </w:tc>
        <w:tc>
          <w:tcPr>
            <w:tcW w:w="1980" w:type="dxa"/>
            <w:tcBorders>
              <w:top w:val="nil"/>
              <w:left w:val="single" w:sz="4" w:space="0" w:color="auto"/>
              <w:bottom w:val="nil"/>
              <w:right w:val="single" w:sz="4" w:space="0" w:color="auto"/>
            </w:tcBorders>
          </w:tcPr>
          <w:p w14:paraId="7B7C7AD9" w14:textId="77777777" w:rsidR="0087719F" w:rsidRPr="00553838" w:rsidRDefault="0087719F" w:rsidP="00490047">
            <w:pPr>
              <w:ind w:left="720" w:hanging="557"/>
              <w:contextualSpacing/>
              <w:jc w:val="right"/>
              <w:rPr>
                <w:rFonts w:asciiTheme="minorHAnsi" w:eastAsia="Calibri" w:hAnsiTheme="minorHAnsi" w:cstheme="minorHAnsi"/>
                <w:b/>
              </w:rPr>
            </w:pPr>
            <w:r w:rsidRPr="00553838">
              <w:rPr>
                <w:rFonts w:asciiTheme="minorHAnsi" w:hAnsiTheme="minorHAnsi" w:cstheme="minorHAnsi"/>
              </w:rPr>
              <w:t>0.14%</w:t>
            </w:r>
          </w:p>
        </w:tc>
        <w:tc>
          <w:tcPr>
            <w:tcW w:w="1890" w:type="dxa"/>
            <w:tcBorders>
              <w:top w:val="nil"/>
              <w:left w:val="single" w:sz="4" w:space="0" w:color="auto"/>
              <w:bottom w:val="nil"/>
              <w:right w:val="single" w:sz="4" w:space="0" w:color="auto"/>
            </w:tcBorders>
          </w:tcPr>
          <w:p w14:paraId="7181E259" w14:textId="77777777" w:rsidR="0087719F" w:rsidRPr="00C041A9" w:rsidRDefault="0087719F" w:rsidP="00490047">
            <w:pPr>
              <w:ind w:left="720" w:hanging="557"/>
              <w:contextualSpacing/>
              <w:jc w:val="right"/>
              <w:rPr>
                <w:rFonts w:asciiTheme="minorHAnsi" w:eastAsia="Calibri" w:hAnsiTheme="minorHAnsi" w:cstheme="minorHAnsi"/>
                <w:b/>
                <w:highlight w:val="yellow"/>
              </w:rPr>
            </w:pPr>
            <w:r w:rsidRPr="00C041A9">
              <w:rPr>
                <w:rFonts w:asciiTheme="minorHAnsi" w:hAnsiTheme="minorHAnsi" w:cstheme="minorHAnsi"/>
              </w:rPr>
              <w:t>0.15%</w:t>
            </w:r>
          </w:p>
        </w:tc>
      </w:tr>
      <w:tr w:rsidR="0087719F" w:rsidRPr="00FA4ED8" w14:paraId="027DD9F8" w14:textId="77777777" w:rsidTr="00490047">
        <w:trPr>
          <w:cantSplit/>
          <w:trHeight w:val="144"/>
          <w:jc w:val="center"/>
        </w:trPr>
        <w:tc>
          <w:tcPr>
            <w:tcW w:w="5215" w:type="dxa"/>
            <w:tcBorders>
              <w:top w:val="nil"/>
              <w:left w:val="single" w:sz="4" w:space="0" w:color="auto"/>
              <w:bottom w:val="single" w:sz="4" w:space="0" w:color="auto"/>
              <w:right w:val="single" w:sz="4" w:space="0" w:color="auto"/>
            </w:tcBorders>
          </w:tcPr>
          <w:p w14:paraId="78CD3D3E" w14:textId="77777777" w:rsidR="0087719F" w:rsidRPr="00553838" w:rsidRDefault="0087719F" w:rsidP="00490047">
            <w:pPr>
              <w:ind w:left="520" w:hanging="557"/>
              <w:contextualSpacing/>
              <w:rPr>
                <w:rFonts w:asciiTheme="minorHAnsi" w:eastAsia="Calibri" w:hAnsiTheme="minorHAnsi" w:cstheme="minorHAnsi"/>
                <w:b/>
              </w:rPr>
            </w:pPr>
            <w:r w:rsidRPr="00553838">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74B3790B" w14:textId="77777777" w:rsidR="0087719F" w:rsidRPr="00553838" w:rsidRDefault="0087719F" w:rsidP="00490047">
            <w:pPr>
              <w:ind w:left="520" w:hanging="557"/>
              <w:contextualSpacing/>
              <w:jc w:val="right"/>
              <w:rPr>
                <w:rFonts w:asciiTheme="minorHAnsi" w:eastAsia="Calibri" w:hAnsiTheme="minorHAnsi" w:cstheme="minorHAnsi"/>
                <w:b/>
              </w:rPr>
            </w:pPr>
            <w:r w:rsidRPr="00553838">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tcPr>
          <w:p w14:paraId="24378F36" w14:textId="77777777" w:rsidR="0087719F" w:rsidRPr="00CA0911" w:rsidRDefault="0087719F" w:rsidP="00490047">
            <w:pPr>
              <w:ind w:left="520" w:hanging="557"/>
              <w:contextualSpacing/>
              <w:jc w:val="right"/>
              <w:rPr>
                <w:rFonts w:asciiTheme="minorHAnsi" w:eastAsia="Calibri" w:hAnsiTheme="minorHAnsi" w:cstheme="minorHAnsi"/>
                <w:b/>
                <w:highlight w:val="yellow"/>
              </w:rPr>
            </w:pPr>
            <w:r w:rsidRPr="0086108E">
              <w:rPr>
                <w:rFonts w:asciiTheme="minorHAnsi" w:eastAsia="Calibri" w:hAnsiTheme="minorHAnsi" w:cstheme="minorHAnsi"/>
                <w:b/>
              </w:rPr>
              <w:t>100.00%</w:t>
            </w:r>
          </w:p>
        </w:tc>
      </w:tr>
      <w:tr w:rsidR="0087719F" w:rsidRPr="00FA4ED8" w14:paraId="74A395DA" w14:textId="77777777" w:rsidTr="00490047">
        <w:trPr>
          <w:cantSplit/>
          <w:trHeight w:val="144"/>
          <w:jc w:val="center"/>
        </w:trPr>
        <w:tc>
          <w:tcPr>
            <w:tcW w:w="5215" w:type="dxa"/>
            <w:tcBorders>
              <w:top w:val="single" w:sz="4" w:space="0" w:color="auto"/>
              <w:left w:val="single" w:sz="4" w:space="0" w:color="auto"/>
              <w:bottom w:val="nil"/>
              <w:right w:val="single" w:sz="4" w:space="0" w:color="auto"/>
            </w:tcBorders>
          </w:tcPr>
          <w:p w14:paraId="311FC048" w14:textId="77777777" w:rsidR="0087719F" w:rsidRPr="00A666FB" w:rsidRDefault="0087719F" w:rsidP="00490047">
            <w:pPr>
              <w:contextualSpacing/>
              <w:rPr>
                <w:rFonts w:asciiTheme="minorHAnsi" w:eastAsia="Calibri" w:hAnsiTheme="minorHAnsi" w:cstheme="minorHAnsi"/>
                <w:bCs/>
              </w:rPr>
            </w:pPr>
            <w:r w:rsidRPr="00A666FB">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2A20650C" w14:textId="77777777" w:rsidR="0087719F" w:rsidRPr="00FA4ED8" w:rsidRDefault="0087719F" w:rsidP="00490047">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37D15480" w14:textId="77777777" w:rsidR="0087719F" w:rsidRPr="00FA4ED8" w:rsidRDefault="0087719F" w:rsidP="00490047">
            <w:pPr>
              <w:ind w:left="720" w:hanging="557"/>
              <w:contextualSpacing/>
              <w:jc w:val="right"/>
              <w:rPr>
                <w:rFonts w:asciiTheme="minorHAnsi" w:eastAsia="Calibri" w:hAnsiTheme="minorHAnsi" w:cstheme="minorHAnsi"/>
                <w:bCs/>
                <w:highlight w:val="yellow"/>
              </w:rPr>
            </w:pPr>
          </w:p>
        </w:tc>
      </w:tr>
      <w:tr w:rsidR="0087719F" w:rsidRPr="00FA4ED8" w14:paraId="3DC2247B" w14:textId="77777777" w:rsidTr="00490047">
        <w:trPr>
          <w:cantSplit/>
          <w:trHeight w:val="144"/>
          <w:jc w:val="center"/>
        </w:trPr>
        <w:tc>
          <w:tcPr>
            <w:tcW w:w="5215" w:type="dxa"/>
            <w:tcBorders>
              <w:top w:val="nil"/>
              <w:left w:val="single" w:sz="4" w:space="0" w:color="auto"/>
              <w:bottom w:val="nil"/>
              <w:right w:val="single" w:sz="4" w:space="0" w:color="auto"/>
            </w:tcBorders>
          </w:tcPr>
          <w:p w14:paraId="42B8C6DA" w14:textId="77777777" w:rsidR="0087719F" w:rsidRPr="00A666FB" w:rsidRDefault="0087719F" w:rsidP="00490047">
            <w:pPr>
              <w:contextualSpacing/>
              <w:rPr>
                <w:rFonts w:asciiTheme="minorHAnsi" w:eastAsia="Calibri" w:hAnsiTheme="minorHAnsi" w:cstheme="minorHAnsi"/>
                <w:b/>
              </w:rPr>
            </w:pPr>
            <w:r w:rsidRPr="00A666FB">
              <w:rPr>
                <w:rFonts w:asciiTheme="minorHAnsi" w:eastAsia="Calibri" w:hAnsiTheme="minorHAnsi" w:cstheme="minorHAnsi"/>
                <w:bCs/>
              </w:rPr>
              <w:t xml:space="preserve">    0-17</w:t>
            </w:r>
          </w:p>
        </w:tc>
        <w:tc>
          <w:tcPr>
            <w:tcW w:w="1980" w:type="dxa"/>
            <w:tcBorders>
              <w:top w:val="nil"/>
              <w:left w:val="single" w:sz="4" w:space="0" w:color="auto"/>
              <w:bottom w:val="nil"/>
              <w:right w:val="single" w:sz="4" w:space="0" w:color="auto"/>
            </w:tcBorders>
          </w:tcPr>
          <w:p w14:paraId="45B1805F" w14:textId="77777777" w:rsidR="0087719F" w:rsidRPr="00720076" w:rsidRDefault="0087719F" w:rsidP="00490047">
            <w:pPr>
              <w:ind w:left="720" w:hanging="557"/>
              <w:contextualSpacing/>
              <w:jc w:val="right"/>
              <w:rPr>
                <w:rFonts w:asciiTheme="minorHAnsi" w:hAnsiTheme="minorHAnsi" w:cstheme="minorHAnsi"/>
              </w:rPr>
            </w:pPr>
            <w:r w:rsidRPr="00720076">
              <w:rPr>
                <w:rFonts w:asciiTheme="minorHAnsi" w:hAnsiTheme="minorHAnsi" w:cstheme="minorHAnsi"/>
              </w:rPr>
              <w:t>11.08%</w:t>
            </w:r>
          </w:p>
        </w:tc>
        <w:tc>
          <w:tcPr>
            <w:tcW w:w="1890" w:type="dxa"/>
            <w:tcBorders>
              <w:top w:val="nil"/>
              <w:left w:val="single" w:sz="4" w:space="0" w:color="auto"/>
              <w:bottom w:val="nil"/>
              <w:right w:val="single" w:sz="4" w:space="0" w:color="auto"/>
            </w:tcBorders>
          </w:tcPr>
          <w:p w14:paraId="45969AEC" w14:textId="77777777" w:rsidR="0087719F" w:rsidRPr="00C041A9" w:rsidRDefault="0087719F" w:rsidP="00490047">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6.82%</w:t>
            </w:r>
          </w:p>
        </w:tc>
      </w:tr>
      <w:tr w:rsidR="0087719F" w:rsidRPr="00FA4ED8" w14:paraId="2BB92F9F" w14:textId="77777777" w:rsidTr="00490047">
        <w:trPr>
          <w:cantSplit/>
          <w:trHeight w:val="144"/>
          <w:jc w:val="center"/>
        </w:trPr>
        <w:tc>
          <w:tcPr>
            <w:tcW w:w="5215" w:type="dxa"/>
            <w:tcBorders>
              <w:top w:val="nil"/>
              <w:left w:val="single" w:sz="4" w:space="0" w:color="auto"/>
              <w:bottom w:val="nil"/>
              <w:right w:val="single" w:sz="4" w:space="0" w:color="auto"/>
            </w:tcBorders>
          </w:tcPr>
          <w:p w14:paraId="5BFE46DE" w14:textId="77777777" w:rsidR="0087719F" w:rsidRPr="00A666FB" w:rsidRDefault="0087719F" w:rsidP="00490047">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t>18-64</w:t>
            </w:r>
          </w:p>
        </w:tc>
        <w:tc>
          <w:tcPr>
            <w:tcW w:w="1980" w:type="dxa"/>
            <w:tcBorders>
              <w:top w:val="nil"/>
              <w:left w:val="single" w:sz="4" w:space="0" w:color="auto"/>
              <w:bottom w:val="nil"/>
              <w:right w:val="single" w:sz="4" w:space="0" w:color="auto"/>
            </w:tcBorders>
          </w:tcPr>
          <w:p w14:paraId="44F197BA" w14:textId="77777777" w:rsidR="0087719F" w:rsidRPr="00720076" w:rsidRDefault="0087719F" w:rsidP="00490047">
            <w:pPr>
              <w:ind w:left="720" w:hanging="557"/>
              <w:contextualSpacing/>
              <w:jc w:val="right"/>
              <w:rPr>
                <w:rFonts w:asciiTheme="minorHAnsi" w:hAnsiTheme="minorHAnsi" w:cstheme="minorHAnsi"/>
              </w:rPr>
            </w:pPr>
            <w:r w:rsidRPr="00720076">
              <w:rPr>
                <w:rFonts w:asciiTheme="minorHAnsi" w:hAnsiTheme="minorHAnsi" w:cstheme="minorHAnsi"/>
              </w:rPr>
              <w:t>60.84%</w:t>
            </w:r>
          </w:p>
        </w:tc>
        <w:tc>
          <w:tcPr>
            <w:tcW w:w="1890" w:type="dxa"/>
            <w:tcBorders>
              <w:top w:val="nil"/>
              <w:left w:val="single" w:sz="4" w:space="0" w:color="auto"/>
              <w:bottom w:val="nil"/>
              <w:right w:val="single" w:sz="4" w:space="0" w:color="auto"/>
            </w:tcBorders>
          </w:tcPr>
          <w:p w14:paraId="035695B0" w14:textId="77777777" w:rsidR="0087719F" w:rsidRPr="00C041A9" w:rsidRDefault="0087719F" w:rsidP="00490047">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61.31%</w:t>
            </w:r>
          </w:p>
        </w:tc>
      </w:tr>
      <w:tr w:rsidR="0087719F" w:rsidRPr="00FA4ED8" w14:paraId="60ABC77E" w14:textId="77777777" w:rsidTr="00490047">
        <w:trPr>
          <w:cantSplit/>
          <w:trHeight w:val="144"/>
          <w:jc w:val="center"/>
        </w:trPr>
        <w:tc>
          <w:tcPr>
            <w:tcW w:w="5215" w:type="dxa"/>
            <w:tcBorders>
              <w:top w:val="nil"/>
              <w:left w:val="single" w:sz="4" w:space="0" w:color="auto"/>
              <w:bottom w:val="nil"/>
              <w:right w:val="single" w:sz="4" w:space="0" w:color="auto"/>
            </w:tcBorders>
          </w:tcPr>
          <w:p w14:paraId="7A64A074" w14:textId="77777777" w:rsidR="0087719F" w:rsidRPr="00A666FB" w:rsidRDefault="0087719F" w:rsidP="00490047">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tcPr>
          <w:p w14:paraId="016C7D1A" w14:textId="77777777" w:rsidR="0087719F" w:rsidRPr="00720076" w:rsidRDefault="0087719F" w:rsidP="00490047">
            <w:pPr>
              <w:ind w:left="720" w:hanging="557"/>
              <w:contextualSpacing/>
              <w:jc w:val="right"/>
              <w:rPr>
                <w:rFonts w:asciiTheme="minorHAnsi" w:hAnsiTheme="minorHAnsi" w:cstheme="minorHAnsi"/>
              </w:rPr>
            </w:pPr>
            <w:r w:rsidRPr="00720076">
              <w:rPr>
                <w:rFonts w:asciiTheme="minorHAnsi" w:hAnsiTheme="minorHAnsi" w:cstheme="minorHAnsi"/>
              </w:rPr>
              <w:t>28.09%</w:t>
            </w:r>
          </w:p>
        </w:tc>
        <w:tc>
          <w:tcPr>
            <w:tcW w:w="1890" w:type="dxa"/>
            <w:tcBorders>
              <w:top w:val="nil"/>
              <w:left w:val="single" w:sz="4" w:space="0" w:color="auto"/>
              <w:bottom w:val="nil"/>
              <w:right w:val="single" w:sz="4" w:space="0" w:color="auto"/>
            </w:tcBorders>
          </w:tcPr>
          <w:p w14:paraId="3A0804C5" w14:textId="77777777" w:rsidR="0087719F" w:rsidRPr="00C041A9" w:rsidRDefault="0087719F" w:rsidP="00490047">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31.87%</w:t>
            </w:r>
          </w:p>
        </w:tc>
      </w:tr>
      <w:tr w:rsidR="0087719F" w:rsidRPr="00FA4ED8" w14:paraId="6A60E9F4" w14:textId="77777777" w:rsidTr="00490047">
        <w:trPr>
          <w:cantSplit/>
          <w:trHeight w:val="144"/>
          <w:jc w:val="center"/>
        </w:trPr>
        <w:tc>
          <w:tcPr>
            <w:tcW w:w="5215" w:type="dxa"/>
            <w:tcBorders>
              <w:top w:val="nil"/>
              <w:left w:val="single" w:sz="4" w:space="0" w:color="auto"/>
              <w:bottom w:val="single" w:sz="4" w:space="0" w:color="auto"/>
              <w:right w:val="single" w:sz="4" w:space="0" w:color="auto"/>
            </w:tcBorders>
          </w:tcPr>
          <w:p w14:paraId="39110E7B" w14:textId="77777777" w:rsidR="0087719F" w:rsidRPr="00A666FB" w:rsidRDefault="0087719F" w:rsidP="00490047">
            <w:pPr>
              <w:ind w:left="520" w:hanging="557"/>
              <w:contextualSpacing/>
              <w:rPr>
                <w:rFonts w:asciiTheme="minorHAnsi" w:eastAsia="Calibri" w:hAnsiTheme="minorHAnsi" w:cstheme="minorHAnsi"/>
                <w:b/>
              </w:rPr>
            </w:pPr>
            <w:r w:rsidRPr="00A666FB">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5E655920" w14:textId="77777777" w:rsidR="0087719F" w:rsidRPr="00FA4ED8" w:rsidRDefault="0087719F" w:rsidP="00490047">
            <w:pPr>
              <w:ind w:left="720" w:hanging="557"/>
              <w:contextualSpacing/>
              <w:jc w:val="right"/>
              <w:rPr>
                <w:rFonts w:asciiTheme="minorHAnsi" w:eastAsia="Calibri" w:hAnsiTheme="minorHAnsi" w:cstheme="minorHAnsi"/>
                <w:b/>
                <w:highlight w:val="yellow"/>
              </w:rPr>
            </w:pPr>
            <w:r w:rsidRPr="00720076">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vAlign w:val="center"/>
          </w:tcPr>
          <w:p w14:paraId="711915A9" w14:textId="77777777" w:rsidR="0087719F" w:rsidRPr="00FA4ED8" w:rsidRDefault="0087719F" w:rsidP="00490047">
            <w:pPr>
              <w:ind w:left="720" w:hanging="557"/>
              <w:contextualSpacing/>
              <w:jc w:val="right"/>
              <w:rPr>
                <w:rFonts w:asciiTheme="minorHAnsi" w:eastAsia="Calibri" w:hAnsiTheme="minorHAnsi" w:cstheme="minorHAnsi"/>
                <w:b/>
                <w:bCs/>
                <w:highlight w:val="yellow"/>
              </w:rPr>
            </w:pPr>
            <w:r w:rsidRPr="00C041A9">
              <w:rPr>
                <w:rFonts w:asciiTheme="minorHAnsi" w:hAnsiTheme="minorHAnsi" w:cstheme="minorHAnsi"/>
                <w:b/>
                <w:bCs/>
                <w:color w:val="000000"/>
              </w:rPr>
              <w:t>100.00%</w:t>
            </w:r>
          </w:p>
        </w:tc>
      </w:tr>
      <w:tr w:rsidR="0087719F" w:rsidRPr="00FA4ED8" w14:paraId="099A686B" w14:textId="77777777" w:rsidTr="00490047">
        <w:trPr>
          <w:cantSplit/>
          <w:trHeight w:val="144"/>
          <w:jc w:val="center"/>
        </w:trPr>
        <w:tc>
          <w:tcPr>
            <w:tcW w:w="5215" w:type="dxa"/>
            <w:tcBorders>
              <w:top w:val="single" w:sz="4" w:space="0" w:color="auto"/>
              <w:left w:val="single" w:sz="4" w:space="0" w:color="auto"/>
              <w:bottom w:val="nil"/>
              <w:right w:val="single" w:sz="4" w:space="0" w:color="auto"/>
            </w:tcBorders>
          </w:tcPr>
          <w:p w14:paraId="22FC35B2" w14:textId="77777777" w:rsidR="0087719F" w:rsidRPr="00E708CE" w:rsidRDefault="0087719F" w:rsidP="00490047">
            <w:pPr>
              <w:contextualSpacing/>
              <w:rPr>
                <w:rFonts w:asciiTheme="minorHAnsi" w:eastAsia="Calibri" w:hAnsiTheme="minorHAnsi" w:cstheme="minorHAnsi"/>
                <w:b/>
              </w:rPr>
            </w:pPr>
            <w:r>
              <w:rPr>
                <w:rFonts w:asciiTheme="minorHAnsi" w:eastAsia="Calibri" w:hAnsiTheme="minorHAnsi" w:cstheme="minorHAnsi"/>
                <w:b/>
              </w:rPr>
              <w:t>Race</w:t>
            </w:r>
          </w:p>
        </w:tc>
        <w:tc>
          <w:tcPr>
            <w:tcW w:w="1980" w:type="dxa"/>
            <w:tcBorders>
              <w:top w:val="single" w:sz="4" w:space="0" w:color="auto"/>
              <w:left w:val="single" w:sz="4" w:space="0" w:color="auto"/>
              <w:bottom w:val="nil"/>
              <w:right w:val="single" w:sz="4" w:space="0" w:color="auto"/>
            </w:tcBorders>
          </w:tcPr>
          <w:p w14:paraId="40A4B166" w14:textId="77777777" w:rsidR="0087719F" w:rsidRPr="00FA4ED8" w:rsidRDefault="0087719F" w:rsidP="00490047">
            <w:pPr>
              <w:rPr>
                <w:rFonts w:asciiTheme="minorHAnsi" w:hAnsiTheme="minorHAnsi" w:cstheme="minorHAnsi"/>
                <w:b/>
                <w:bCs/>
                <w:color w:val="000000"/>
                <w:highlight w:val="yellow"/>
              </w:rPr>
            </w:pPr>
          </w:p>
        </w:tc>
        <w:tc>
          <w:tcPr>
            <w:tcW w:w="1890" w:type="dxa"/>
            <w:tcBorders>
              <w:top w:val="single" w:sz="4" w:space="0" w:color="auto"/>
              <w:left w:val="single" w:sz="4" w:space="0" w:color="auto"/>
              <w:bottom w:val="nil"/>
              <w:right w:val="single" w:sz="4" w:space="0" w:color="auto"/>
            </w:tcBorders>
          </w:tcPr>
          <w:p w14:paraId="093677B1" w14:textId="77777777" w:rsidR="0087719F" w:rsidRPr="00FA4ED8" w:rsidRDefault="0087719F" w:rsidP="00490047">
            <w:pPr>
              <w:ind w:left="720" w:hanging="557"/>
              <w:contextualSpacing/>
              <w:jc w:val="right"/>
              <w:rPr>
                <w:rFonts w:asciiTheme="minorHAnsi" w:eastAsia="Calibri" w:hAnsiTheme="minorHAnsi" w:cstheme="minorHAnsi"/>
                <w:bCs/>
                <w:highlight w:val="yellow"/>
              </w:rPr>
            </w:pPr>
          </w:p>
        </w:tc>
      </w:tr>
      <w:tr w:rsidR="0087719F" w:rsidRPr="00FA4ED8" w14:paraId="7B1EE646" w14:textId="77777777" w:rsidTr="00490047">
        <w:trPr>
          <w:cantSplit/>
          <w:trHeight w:val="144"/>
          <w:jc w:val="center"/>
        </w:trPr>
        <w:tc>
          <w:tcPr>
            <w:tcW w:w="5215" w:type="dxa"/>
            <w:tcBorders>
              <w:top w:val="nil"/>
              <w:left w:val="single" w:sz="4" w:space="0" w:color="auto"/>
              <w:bottom w:val="nil"/>
              <w:right w:val="single" w:sz="4" w:space="0" w:color="auto"/>
            </w:tcBorders>
            <w:vAlign w:val="center"/>
          </w:tcPr>
          <w:p w14:paraId="03A47D4F" w14:textId="77777777" w:rsidR="0087719F" w:rsidRPr="00E708CE" w:rsidRDefault="0087719F" w:rsidP="00490047">
            <w:pPr>
              <w:ind w:left="720" w:hanging="557"/>
              <w:contextualSpacing/>
              <w:rPr>
                <w:rFonts w:asciiTheme="minorHAnsi" w:hAnsiTheme="minorHAnsi" w:cstheme="minorHAnsi"/>
                <w:spacing w:val="-2"/>
              </w:rPr>
            </w:pPr>
            <w:r w:rsidRPr="00E708CE">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center"/>
          </w:tcPr>
          <w:p w14:paraId="5867E829"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74.05%</w:t>
            </w:r>
          </w:p>
        </w:tc>
        <w:tc>
          <w:tcPr>
            <w:tcW w:w="1890" w:type="dxa"/>
            <w:tcBorders>
              <w:top w:val="nil"/>
              <w:left w:val="single" w:sz="4" w:space="0" w:color="auto"/>
              <w:bottom w:val="nil"/>
              <w:right w:val="single" w:sz="4" w:space="0" w:color="auto"/>
            </w:tcBorders>
          </w:tcPr>
          <w:p w14:paraId="25424A08"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74.54%</w:t>
            </w:r>
          </w:p>
        </w:tc>
      </w:tr>
      <w:tr w:rsidR="0087719F" w:rsidRPr="00FA4ED8" w14:paraId="374E4AB2" w14:textId="77777777" w:rsidTr="00490047">
        <w:trPr>
          <w:cantSplit/>
          <w:trHeight w:val="144"/>
          <w:jc w:val="center"/>
        </w:trPr>
        <w:tc>
          <w:tcPr>
            <w:tcW w:w="5215" w:type="dxa"/>
            <w:tcBorders>
              <w:top w:val="nil"/>
              <w:left w:val="single" w:sz="4" w:space="0" w:color="auto"/>
              <w:bottom w:val="nil"/>
              <w:right w:val="single" w:sz="4" w:space="0" w:color="auto"/>
            </w:tcBorders>
            <w:vAlign w:val="center"/>
          </w:tcPr>
          <w:p w14:paraId="6B7515AC" w14:textId="77777777" w:rsidR="0087719F" w:rsidRPr="00EE08DF" w:rsidRDefault="0087719F" w:rsidP="00490047">
            <w:pPr>
              <w:ind w:left="720" w:hanging="557"/>
              <w:contextualSpacing/>
              <w:rPr>
                <w:rFonts w:asciiTheme="minorHAnsi" w:hAnsiTheme="minorHAnsi" w:cstheme="minorHAnsi"/>
                <w:color w:val="000000"/>
              </w:rPr>
            </w:pPr>
            <w:r w:rsidRPr="00E708CE">
              <w:rPr>
                <w:rFonts w:asciiTheme="minorHAnsi" w:hAnsiTheme="minorHAnsi" w:cstheme="minorHAnsi"/>
                <w:color w:val="000000"/>
              </w:rPr>
              <w:t>Black or African American</w:t>
            </w:r>
          </w:p>
        </w:tc>
        <w:tc>
          <w:tcPr>
            <w:tcW w:w="1980" w:type="dxa"/>
            <w:tcBorders>
              <w:top w:val="nil"/>
              <w:left w:val="single" w:sz="4" w:space="0" w:color="auto"/>
              <w:bottom w:val="nil"/>
              <w:right w:val="single" w:sz="4" w:space="0" w:color="auto"/>
            </w:tcBorders>
            <w:vAlign w:val="center"/>
          </w:tcPr>
          <w:p w14:paraId="05CD4646"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5.45%</w:t>
            </w:r>
          </w:p>
        </w:tc>
        <w:tc>
          <w:tcPr>
            <w:tcW w:w="1890" w:type="dxa"/>
            <w:tcBorders>
              <w:top w:val="nil"/>
              <w:left w:val="single" w:sz="4" w:space="0" w:color="auto"/>
              <w:bottom w:val="nil"/>
              <w:right w:val="single" w:sz="4" w:space="0" w:color="auto"/>
            </w:tcBorders>
          </w:tcPr>
          <w:p w14:paraId="2F0D965D"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5.43%</w:t>
            </w:r>
          </w:p>
        </w:tc>
      </w:tr>
      <w:tr w:rsidR="0087719F" w:rsidRPr="00FA4ED8" w14:paraId="19D0A674" w14:textId="77777777" w:rsidTr="00490047">
        <w:trPr>
          <w:cantSplit/>
          <w:trHeight w:val="144"/>
          <w:jc w:val="center"/>
        </w:trPr>
        <w:tc>
          <w:tcPr>
            <w:tcW w:w="5215" w:type="dxa"/>
            <w:tcBorders>
              <w:top w:val="nil"/>
              <w:left w:val="single" w:sz="4" w:space="0" w:color="auto"/>
              <w:bottom w:val="nil"/>
              <w:right w:val="single" w:sz="4" w:space="0" w:color="auto"/>
            </w:tcBorders>
            <w:vAlign w:val="center"/>
          </w:tcPr>
          <w:p w14:paraId="5194717E" w14:textId="77777777" w:rsidR="0087719F" w:rsidRPr="00EE08DF" w:rsidRDefault="0087719F" w:rsidP="00490047">
            <w:pPr>
              <w:ind w:left="720" w:hanging="557"/>
              <w:contextualSpacing/>
              <w:rPr>
                <w:rFonts w:asciiTheme="minorHAnsi" w:hAnsiTheme="minorHAnsi" w:cstheme="minorHAnsi"/>
                <w:color w:val="000000"/>
              </w:rPr>
            </w:pPr>
            <w:r w:rsidRPr="00EE08DF">
              <w:rPr>
                <w:rFonts w:asciiTheme="minorHAnsi" w:hAnsiTheme="minorHAnsi" w:cstheme="minorHAnsi"/>
                <w:color w:val="000000"/>
              </w:rPr>
              <w:t>American Indian or Alaska Native</w:t>
            </w:r>
          </w:p>
        </w:tc>
        <w:tc>
          <w:tcPr>
            <w:tcW w:w="1980" w:type="dxa"/>
            <w:tcBorders>
              <w:top w:val="nil"/>
              <w:left w:val="single" w:sz="4" w:space="0" w:color="auto"/>
              <w:bottom w:val="nil"/>
              <w:right w:val="single" w:sz="4" w:space="0" w:color="auto"/>
            </w:tcBorders>
            <w:vAlign w:val="center"/>
          </w:tcPr>
          <w:p w14:paraId="46D2DF04"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0.13%</w:t>
            </w:r>
          </w:p>
        </w:tc>
        <w:tc>
          <w:tcPr>
            <w:tcW w:w="1890" w:type="dxa"/>
            <w:tcBorders>
              <w:top w:val="nil"/>
              <w:left w:val="single" w:sz="4" w:space="0" w:color="auto"/>
              <w:bottom w:val="nil"/>
              <w:right w:val="single" w:sz="4" w:space="0" w:color="auto"/>
            </w:tcBorders>
          </w:tcPr>
          <w:p w14:paraId="22C27A0A"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0.11%</w:t>
            </w:r>
          </w:p>
        </w:tc>
      </w:tr>
      <w:tr w:rsidR="0087719F" w:rsidRPr="00FA4ED8" w14:paraId="703B5D80" w14:textId="77777777" w:rsidTr="00490047">
        <w:trPr>
          <w:cantSplit/>
          <w:trHeight w:val="144"/>
          <w:jc w:val="center"/>
        </w:trPr>
        <w:tc>
          <w:tcPr>
            <w:tcW w:w="5215" w:type="dxa"/>
            <w:tcBorders>
              <w:top w:val="nil"/>
              <w:left w:val="single" w:sz="4" w:space="0" w:color="auto"/>
              <w:bottom w:val="nil"/>
              <w:right w:val="single" w:sz="4" w:space="0" w:color="auto"/>
            </w:tcBorders>
            <w:vAlign w:val="center"/>
          </w:tcPr>
          <w:p w14:paraId="748E7B4A" w14:textId="77777777" w:rsidR="0087719F" w:rsidRPr="00EE08DF" w:rsidRDefault="0087719F" w:rsidP="00490047">
            <w:pPr>
              <w:ind w:left="720" w:hanging="557"/>
              <w:contextualSpacing/>
              <w:rPr>
                <w:rFonts w:asciiTheme="minorHAnsi" w:hAnsiTheme="minorHAnsi" w:cstheme="minorHAnsi"/>
                <w:color w:val="000000"/>
              </w:rPr>
            </w:pPr>
            <w:r w:rsidRPr="00EE08DF">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center"/>
          </w:tcPr>
          <w:p w14:paraId="191CCD35"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6.45%</w:t>
            </w:r>
          </w:p>
        </w:tc>
        <w:tc>
          <w:tcPr>
            <w:tcW w:w="1890" w:type="dxa"/>
            <w:tcBorders>
              <w:top w:val="nil"/>
              <w:left w:val="single" w:sz="4" w:space="0" w:color="auto"/>
              <w:bottom w:val="nil"/>
              <w:right w:val="single" w:sz="4" w:space="0" w:color="auto"/>
            </w:tcBorders>
          </w:tcPr>
          <w:p w14:paraId="00F91F88"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6.83%</w:t>
            </w:r>
          </w:p>
        </w:tc>
      </w:tr>
      <w:tr w:rsidR="0087719F" w:rsidRPr="00FA4ED8" w14:paraId="742431EE" w14:textId="77777777" w:rsidTr="00490047">
        <w:trPr>
          <w:cantSplit/>
          <w:trHeight w:val="144"/>
          <w:jc w:val="center"/>
        </w:trPr>
        <w:tc>
          <w:tcPr>
            <w:tcW w:w="5215" w:type="dxa"/>
            <w:tcBorders>
              <w:top w:val="nil"/>
              <w:left w:val="single" w:sz="4" w:space="0" w:color="auto"/>
              <w:bottom w:val="nil"/>
              <w:right w:val="single" w:sz="4" w:space="0" w:color="auto"/>
            </w:tcBorders>
            <w:vAlign w:val="center"/>
          </w:tcPr>
          <w:p w14:paraId="307EE114" w14:textId="77777777" w:rsidR="0087719F" w:rsidRPr="00EE08DF" w:rsidRDefault="0087719F" w:rsidP="00490047">
            <w:pPr>
              <w:ind w:left="720" w:hanging="557"/>
              <w:contextualSpacing/>
              <w:rPr>
                <w:rFonts w:asciiTheme="minorHAnsi" w:hAnsiTheme="minorHAnsi" w:cstheme="minorHAnsi"/>
                <w:color w:val="000000"/>
              </w:rPr>
            </w:pPr>
            <w:r w:rsidRPr="00E708CE">
              <w:rPr>
                <w:rFonts w:asciiTheme="minorHAnsi" w:hAnsiTheme="minorHAnsi" w:cstheme="minorHAnsi"/>
                <w:color w:val="000000"/>
              </w:rPr>
              <w:t>Native Hawaiian or Other Pacific Islander</w:t>
            </w:r>
          </w:p>
        </w:tc>
        <w:tc>
          <w:tcPr>
            <w:tcW w:w="1980" w:type="dxa"/>
            <w:tcBorders>
              <w:top w:val="nil"/>
              <w:left w:val="single" w:sz="4" w:space="0" w:color="auto"/>
              <w:bottom w:val="nil"/>
              <w:right w:val="single" w:sz="4" w:space="0" w:color="auto"/>
            </w:tcBorders>
            <w:vAlign w:val="center"/>
          </w:tcPr>
          <w:p w14:paraId="0E8D78BC"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0.07%</w:t>
            </w:r>
          </w:p>
        </w:tc>
        <w:tc>
          <w:tcPr>
            <w:tcW w:w="1890" w:type="dxa"/>
            <w:tcBorders>
              <w:top w:val="nil"/>
              <w:left w:val="single" w:sz="4" w:space="0" w:color="auto"/>
              <w:bottom w:val="nil"/>
              <w:right w:val="single" w:sz="4" w:space="0" w:color="auto"/>
            </w:tcBorders>
          </w:tcPr>
          <w:p w14:paraId="645D8E2D"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0.05%</w:t>
            </w:r>
          </w:p>
        </w:tc>
      </w:tr>
      <w:tr w:rsidR="0087719F" w:rsidRPr="00FA4ED8" w14:paraId="29DD6456" w14:textId="77777777" w:rsidTr="00490047">
        <w:trPr>
          <w:cantSplit/>
          <w:trHeight w:val="144"/>
          <w:jc w:val="center"/>
        </w:trPr>
        <w:tc>
          <w:tcPr>
            <w:tcW w:w="5215" w:type="dxa"/>
            <w:tcBorders>
              <w:top w:val="nil"/>
              <w:left w:val="single" w:sz="4" w:space="0" w:color="auto"/>
              <w:bottom w:val="nil"/>
              <w:right w:val="single" w:sz="4" w:space="0" w:color="auto"/>
            </w:tcBorders>
            <w:vAlign w:val="bottom"/>
          </w:tcPr>
          <w:p w14:paraId="2B9C72A5" w14:textId="77777777" w:rsidR="0087719F" w:rsidRPr="00EE08DF" w:rsidRDefault="0087719F" w:rsidP="00490047">
            <w:pPr>
              <w:ind w:left="720" w:hanging="557"/>
              <w:contextualSpacing/>
              <w:rPr>
                <w:rFonts w:asciiTheme="minorHAnsi" w:hAnsiTheme="minorHAnsi" w:cstheme="minorHAnsi"/>
                <w:color w:val="000000"/>
              </w:rPr>
            </w:pPr>
            <w:r w:rsidRPr="00EE08DF">
              <w:rPr>
                <w:rFonts w:asciiTheme="minorHAnsi" w:hAnsiTheme="minorHAnsi" w:cstheme="minorHAnsi"/>
                <w:color w:val="000000"/>
              </w:rPr>
              <w:t>Other</w:t>
            </w:r>
            <w:r w:rsidRPr="00317A17">
              <w:rPr>
                <w:rStyle w:val="FootnoteReference"/>
                <w:rFonts w:asciiTheme="minorHAnsi" w:eastAsia="Calibri" w:hAnsiTheme="minorHAnsi" w:cstheme="minorHAnsi"/>
                <w:bCs/>
              </w:rPr>
              <w:footnoteReference w:id="7"/>
            </w:r>
          </w:p>
        </w:tc>
        <w:tc>
          <w:tcPr>
            <w:tcW w:w="1980" w:type="dxa"/>
            <w:tcBorders>
              <w:top w:val="nil"/>
              <w:left w:val="single" w:sz="4" w:space="0" w:color="auto"/>
              <w:bottom w:val="nil"/>
              <w:right w:val="single" w:sz="4" w:space="0" w:color="auto"/>
            </w:tcBorders>
            <w:vAlign w:val="center"/>
          </w:tcPr>
          <w:p w14:paraId="2BE6EF19"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6.66%</w:t>
            </w:r>
          </w:p>
        </w:tc>
        <w:tc>
          <w:tcPr>
            <w:tcW w:w="1890" w:type="dxa"/>
            <w:tcBorders>
              <w:top w:val="nil"/>
              <w:left w:val="single" w:sz="4" w:space="0" w:color="auto"/>
              <w:bottom w:val="nil"/>
              <w:right w:val="single" w:sz="4" w:space="0" w:color="auto"/>
            </w:tcBorders>
          </w:tcPr>
          <w:p w14:paraId="556F4CAD"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7.14%</w:t>
            </w:r>
          </w:p>
        </w:tc>
      </w:tr>
      <w:tr w:rsidR="0087719F" w:rsidRPr="00FA4ED8" w14:paraId="20993281" w14:textId="77777777" w:rsidTr="00490047">
        <w:trPr>
          <w:cantSplit/>
          <w:trHeight w:val="144"/>
          <w:jc w:val="center"/>
        </w:trPr>
        <w:tc>
          <w:tcPr>
            <w:tcW w:w="5215" w:type="dxa"/>
            <w:tcBorders>
              <w:top w:val="nil"/>
              <w:left w:val="single" w:sz="4" w:space="0" w:color="auto"/>
              <w:bottom w:val="nil"/>
              <w:right w:val="single" w:sz="4" w:space="0" w:color="auto"/>
            </w:tcBorders>
            <w:vAlign w:val="bottom"/>
          </w:tcPr>
          <w:p w14:paraId="2D5F08C4" w14:textId="77777777" w:rsidR="0087719F" w:rsidRPr="00EE08DF" w:rsidRDefault="0087719F" w:rsidP="00490047">
            <w:pPr>
              <w:ind w:left="720" w:hanging="557"/>
              <w:contextualSpacing/>
              <w:rPr>
                <w:rFonts w:asciiTheme="minorHAnsi" w:hAnsiTheme="minorHAnsi" w:cstheme="minorHAnsi"/>
                <w:color w:val="000000"/>
              </w:rPr>
            </w:pPr>
            <w:r w:rsidRPr="00EE08DF">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31E012A8"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5.71%</w:t>
            </w:r>
          </w:p>
        </w:tc>
        <w:tc>
          <w:tcPr>
            <w:tcW w:w="1890" w:type="dxa"/>
            <w:tcBorders>
              <w:top w:val="nil"/>
              <w:left w:val="single" w:sz="4" w:space="0" w:color="auto"/>
              <w:bottom w:val="nil"/>
              <w:right w:val="single" w:sz="4" w:space="0" w:color="auto"/>
            </w:tcBorders>
          </w:tcPr>
          <w:p w14:paraId="7C388D7F"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1.94%</w:t>
            </w:r>
          </w:p>
        </w:tc>
      </w:tr>
      <w:tr w:rsidR="0087719F" w:rsidRPr="00FA4ED8" w14:paraId="480264DE" w14:textId="77777777" w:rsidTr="00490047">
        <w:trPr>
          <w:cantSplit/>
          <w:trHeight w:val="144"/>
          <w:jc w:val="center"/>
        </w:trPr>
        <w:tc>
          <w:tcPr>
            <w:tcW w:w="5215" w:type="dxa"/>
            <w:tcBorders>
              <w:top w:val="nil"/>
              <w:left w:val="single" w:sz="4" w:space="0" w:color="auto"/>
              <w:bottom w:val="nil"/>
              <w:right w:val="single" w:sz="4" w:space="0" w:color="auto"/>
            </w:tcBorders>
            <w:vAlign w:val="bottom"/>
          </w:tcPr>
          <w:p w14:paraId="303351F6" w14:textId="77777777" w:rsidR="0087719F" w:rsidRPr="00EE08DF" w:rsidRDefault="0087719F" w:rsidP="00490047">
            <w:pPr>
              <w:ind w:left="720" w:hanging="557"/>
              <w:contextualSpacing/>
              <w:rPr>
                <w:rFonts w:asciiTheme="minorHAnsi" w:hAnsiTheme="minorHAnsi" w:cstheme="minorHAnsi"/>
                <w:color w:val="000000"/>
              </w:rPr>
            </w:pPr>
            <w:r w:rsidRPr="00EE08DF">
              <w:rPr>
                <w:rFonts w:asciiTheme="minorHAnsi" w:hAnsiTheme="minorHAnsi" w:cstheme="minorHAnsi"/>
                <w:color w:val="000000"/>
              </w:rPr>
              <w:t>Patient Declined</w:t>
            </w:r>
          </w:p>
        </w:tc>
        <w:tc>
          <w:tcPr>
            <w:tcW w:w="1980" w:type="dxa"/>
            <w:tcBorders>
              <w:top w:val="nil"/>
              <w:left w:val="single" w:sz="4" w:space="0" w:color="auto"/>
              <w:bottom w:val="nil"/>
              <w:right w:val="single" w:sz="4" w:space="0" w:color="auto"/>
            </w:tcBorders>
            <w:vAlign w:val="center"/>
          </w:tcPr>
          <w:p w14:paraId="3BDC0EB4" w14:textId="77777777" w:rsidR="0087719F" w:rsidRPr="00317A17" w:rsidRDefault="0087719F" w:rsidP="00490047">
            <w:pPr>
              <w:ind w:left="720" w:hanging="557"/>
              <w:contextualSpacing/>
              <w:jc w:val="right"/>
              <w:rPr>
                <w:rFonts w:asciiTheme="minorHAnsi" w:hAnsiTheme="minorHAnsi" w:cstheme="minorHAnsi"/>
              </w:rPr>
            </w:pPr>
            <w:r w:rsidRPr="00317A17">
              <w:rPr>
                <w:rFonts w:asciiTheme="minorHAnsi" w:hAnsiTheme="minorHAnsi" w:cstheme="minorHAnsi"/>
              </w:rPr>
              <w:t>1.49%</w:t>
            </w:r>
          </w:p>
        </w:tc>
        <w:tc>
          <w:tcPr>
            <w:tcW w:w="1890" w:type="dxa"/>
            <w:tcBorders>
              <w:top w:val="nil"/>
              <w:left w:val="single" w:sz="4" w:space="0" w:color="auto"/>
              <w:bottom w:val="nil"/>
              <w:right w:val="single" w:sz="4" w:space="0" w:color="auto"/>
            </w:tcBorders>
          </w:tcPr>
          <w:p w14:paraId="042CDC0C" w14:textId="77777777" w:rsidR="0087719F" w:rsidRPr="000F546B" w:rsidRDefault="0087719F" w:rsidP="00490047">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3.94%</w:t>
            </w:r>
          </w:p>
        </w:tc>
      </w:tr>
      <w:tr w:rsidR="0087719F" w:rsidRPr="000F546B" w14:paraId="71033517" w14:textId="77777777" w:rsidTr="00490047">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1EE46E72" w14:textId="77777777" w:rsidR="0087719F" w:rsidRPr="00E708CE" w:rsidRDefault="0087719F" w:rsidP="00490047">
            <w:pPr>
              <w:ind w:left="720" w:hanging="557"/>
              <w:contextualSpacing/>
              <w:rPr>
                <w:rFonts w:asciiTheme="minorHAnsi" w:hAnsiTheme="minorHAnsi" w:cstheme="minorHAnsi"/>
                <w:b/>
                <w:bCs/>
              </w:rPr>
            </w:pPr>
            <w:r w:rsidRPr="00E708CE">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3C6DBE11" w14:textId="77777777" w:rsidR="0087719F" w:rsidRPr="00FA4ED8" w:rsidRDefault="0087719F" w:rsidP="00490047">
            <w:pPr>
              <w:jc w:val="right"/>
              <w:rPr>
                <w:rFonts w:asciiTheme="minorHAnsi" w:hAnsiTheme="minorHAnsi" w:cstheme="minorHAnsi"/>
                <w:b/>
                <w:bCs/>
                <w:color w:val="000000"/>
                <w:highlight w:val="yellow"/>
              </w:rPr>
            </w:pPr>
            <w:r w:rsidRPr="00317A17">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592163EC" w14:textId="77777777" w:rsidR="0087719F" w:rsidRPr="000F546B" w:rsidRDefault="0087719F" w:rsidP="00490047">
            <w:pPr>
              <w:ind w:left="720" w:hanging="557"/>
              <w:contextualSpacing/>
              <w:jc w:val="right"/>
              <w:rPr>
                <w:rFonts w:asciiTheme="minorHAnsi" w:eastAsia="Calibri" w:hAnsiTheme="minorHAnsi" w:cstheme="minorHAnsi"/>
                <w:b/>
                <w:bCs/>
              </w:rPr>
            </w:pPr>
            <w:r w:rsidRPr="000F546B">
              <w:rPr>
                <w:rFonts w:asciiTheme="minorHAnsi" w:hAnsiTheme="minorHAnsi" w:cstheme="minorHAnsi"/>
                <w:b/>
                <w:bCs/>
                <w:color w:val="000000"/>
              </w:rPr>
              <w:t>100.00%</w:t>
            </w:r>
          </w:p>
        </w:tc>
      </w:tr>
      <w:tr w:rsidR="0087719F" w:rsidRPr="00FA4ED8" w14:paraId="3E7A14B5" w14:textId="77777777" w:rsidTr="00490047">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2318A3D3" w14:textId="77777777" w:rsidR="0087719F" w:rsidRPr="00B34883" w:rsidRDefault="0087719F" w:rsidP="00490047">
            <w:pPr>
              <w:contextualSpacing/>
              <w:rPr>
                <w:rFonts w:asciiTheme="minorHAnsi" w:eastAsia="Calibri" w:hAnsiTheme="minorHAnsi" w:cstheme="minorHAnsi"/>
                <w:b/>
              </w:rPr>
            </w:pPr>
            <w:r>
              <w:rPr>
                <w:rFonts w:asciiTheme="minorHAnsi" w:eastAsia="Calibri" w:hAnsiTheme="minorHAnsi" w:cstheme="minorHAnsi"/>
                <w:b/>
              </w:rPr>
              <w:t>Ethnicity</w:t>
            </w:r>
            <w:r>
              <w:rPr>
                <w:rStyle w:val="FootnoteReference"/>
                <w:rFonts w:asciiTheme="minorHAnsi" w:eastAsia="Calibri" w:hAnsiTheme="minorHAnsi" w:cstheme="minorHAnsi"/>
                <w:b/>
              </w:rPr>
              <w:footnoteReference w:id="8"/>
            </w:r>
          </w:p>
        </w:tc>
        <w:tc>
          <w:tcPr>
            <w:tcW w:w="1980" w:type="dxa"/>
            <w:tcBorders>
              <w:top w:val="single" w:sz="4" w:space="0" w:color="auto"/>
              <w:left w:val="single" w:sz="4" w:space="0" w:color="auto"/>
              <w:bottom w:val="nil"/>
              <w:right w:val="single" w:sz="4" w:space="0" w:color="auto"/>
            </w:tcBorders>
          </w:tcPr>
          <w:p w14:paraId="0351A1DC" w14:textId="77777777" w:rsidR="0087719F" w:rsidRPr="00FA4ED8" w:rsidRDefault="0087719F" w:rsidP="00490047">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6DBB1DFB" w14:textId="77777777" w:rsidR="0087719F" w:rsidRPr="00FA4ED8" w:rsidRDefault="0087719F" w:rsidP="00490047">
            <w:pPr>
              <w:ind w:left="720" w:hanging="557"/>
              <w:contextualSpacing/>
              <w:jc w:val="right"/>
              <w:rPr>
                <w:rFonts w:asciiTheme="minorHAnsi" w:hAnsiTheme="minorHAnsi" w:cstheme="minorHAnsi"/>
                <w:spacing w:val="-5"/>
                <w:highlight w:val="yellow"/>
              </w:rPr>
            </w:pPr>
          </w:p>
        </w:tc>
      </w:tr>
      <w:tr w:rsidR="0087719F" w:rsidRPr="00FA4ED8" w14:paraId="659D1DC3"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6C792B28" w14:textId="77777777" w:rsidR="0087719F" w:rsidRPr="00B34883" w:rsidRDefault="0087719F" w:rsidP="00490047">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Hispanic/Latino</w:t>
            </w:r>
          </w:p>
        </w:tc>
        <w:tc>
          <w:tcPr>
            <w:tcW w:w="1980" w:type="dxa"/>
            <w:tcBorders>
              <w:top w:val="nil"/>
              <w:left w:val="single" w:sz="4" w:space="0" w:color="auto"/>
              <w:bottom w:val="nil"/>
              <w:right w:val="single" w:sz="4" w:space="0" w:color="auto"/>
            </w:tcBorders>
            <w:vAlign w:val="center"/>
          </w:tcPr>
          <w:p w14:paraId="7F79A1B4" w14:textId="77777777" w:rsidR="0087719F" w:rsidRPr="00317174" w:rsidRDefault="0087719F" w:rsidP="00490047">
            <w:pPr>
              <w:ind w:left="720" w:hanging="557"/>
              <w:contextualSpacing/>
              <w:jc w:val="right"/>
              <w:rPr>
                <w:rFonts w:asciiTheme="minorHAnsi" w:hAnsiTheme="minorHAnsi" w:cstheme="minorHAnsi"/>
              </w:rPr>
            </w:pPr>
            <w:r w:rsidRPr="007F0F1A">
              <w:rPr>
                <w:rFonts w:asciiTheme="minorHAnsi" w:hAnsiTheme="minorHAnsi" w:cstheme="minorHAnsi"/>
              </w:rPr>
              <w:t>5.95%</w:t>
            </w:r>
          </w:p>
        </w:tc>
        <w:tc>
          <w:tcPr>
            <w:tcW w:w="1890" w:type="dxa"/>
            <w:tcBorders>
              <w:top w:val="nil"/>
              <w:left w:val="single" w:sz="4" w:space="0" w:color="auto"/>
              <w:bottom w:val="nil"/>
              <w:right w:val="single" w:sz="4" w:space="0" w:color="auto"/>
            </w:tcBorders>
          </w:tcPr>
          <w:p w14:paraId="783D601D" w14:textId="77777777" w:rsidR="0087719F" w:rsidRPr="00FA4ED8" w:rsidRDefault="0087719F" w:rsidP="00490047">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7.13%</w:t>
            </w:r>
          </w:p>
        </w:tc>
      </w:tr>
      <w:tr w:rsidR="0087719F" w:rsidRPr="00FA4ED8" w14:paraId="36C11F5D"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578BAAF7" w14:textId="77777777" w:rsidR="0087719F" w:rsidRPr="00B34883" w:rsidRDefault="0087719F" w:rsidP="00490047">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Not Hispanic/Latino</w:t>
            </w:r>
          </w:p>
        </w:tc>
        <w:tc>
          <w:tcPr>
            <w:tcW w:w="1980" w:type="dxa"/>
            <w:tcBorders>
              <w:top w:val="nil"/>
              <w:left w:val="single" w:sz="4" w:space="0" w:color="auto"/>
              <w:bottom w:val="nil"/>
              <w:right w:val="single" w:sz="4" w:space="0" w:color="auto"/>
            </w:tcBorders>
            <w:vAlign w:val="center"/>
          </w:tcPr>
          <w:p w14:paraId="242A9981" w14:textId="77777777" w:rsidR="0087719F" w:rsidRPr="00317174" w:rsidRDefault="0087719F" w:rsidP="00490047">
            <w:pPr>
              <w:ind w:left="720" w:hanging="557"/>
              <w:contextualSpacing/>
              <w:jc w:val="right"/>
              <w:rPr>
                <w:rFonts w:asciiTheme="minorHAnsi" w:hAnsiTheme="minorHAnsi" w:cstheme="minorHAnsi"/>
              </w:rPr>
            </w:pPr>
            <w:r w:rsidRPr="007F0F1A">
              <w:rPr>
                <w:rFonts w:asciiTheme="minorHAnsi" w:hAnsiTheme="minorHAnsi" w:cstheme="minorHAnsi"/>
              </w:rPr>
              <w:t>80.38%</w:t>
            </w:r>
          </w:p>
        </w:tc>
        <w:tc>
          <w:tcPr>
            <w:tcW w:w="1890" w:type="dxa"/>
            <w:tcBorders>
              <w:top w:val="nil"/>
              <w:left w:val="single" w:sz="4" w:space="0" w:color="auto"/>
              <w:bottom w:val="nil"/>
              <w:right w:val="single" w:sz="4" w:space="0" w:color="auto"/>
            </w:tcBorders>
          </w:tcPr>
          <w:p w14:paraId="114FA031" w14:textId="77777777" w:rsidR="0087719F" w:rsidRPr="00FA4ED8" w:rsidRDefault="0087719F" w:rsidP="00490047">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84.71%</w:t>
            </w:r>
          </w:p>
        </w:tc>
      </w:tr>
      <w:tr w:rsidR="0087719F" w:rsidRPr="00FA4ED8" w14:paraId="22EC70FF"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29DD0908" w14:textId="77777777" w:rsidR="0087719F" w:rsidRPr="00B34883" w:rsidRDefault="0087719F" w:rsidP="00490047">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Patient Declined </w:t>
            </w:r>
          </w:p>
        </w:tc>
        <w:tc>
          <w:tcPr>
            <w:tcW w:w="1980" w:type="dxa"/>
            <w:tcBorders>
              <w:top w:val="nil"/>
              <w:left w:val="single" w:sz="4" w:space="0" w:color="auto"/>
              <w:bottom w:val="nil"/>
              <w:right w:val="single" w:sz="4" w:space="0" w:color="auto"/>
            </w:tcBorders>
            <w:vAlign w:val="center"/>
          </w:tcPr>
          <w:p w14:paraId="1FB02E02" w14:textId="77777777" w:rsidR="0087719F" w:rsidRPr="00317174" w:rsidRDefault="0087719F" w:rsidP="00490047">
            <w:pPr>
              <w:ind w:left="720" w:hanging="557"/>
              <w:contextualSpacing/>
              <w:jc w:val="right"/>
              <w:rPr>
                <w:rFonts w:asciiTheme="minorHAnsi" w:hAnsiTheme="minorHAnsi" w:cstheme="minorHAnsi"/>
              </w:rPr>
            </w:pPr>
            <w:r w:rsidRPr="007F0F1A">
              <w:rPr>
                <w:rFonts w:asciiTheme="minorHAnsi" w:hAnsiTheme="minorHAnsi" w:cstheme="minorHAnsi"/>
              </w:rPr>
              <w:t>2.91%</w:t>
            </w:r>
          </w:p>
        </w:tc>
        <w:tc>
          <w:tcPr>
            <w:tcW w:w="1890" w:type="dxa"/>
            <w:tcBorders>
              <w:top w:val="nil"/>
              <w:left w:val="single" w:sz="4" w:space="0" w:color="auto"/>
              <w:bottom w:val="nil"/>
              <w:right w:val="single" w:sz="4" w:space="0" w:color="auto"/>
            </w:tcBorders>
          </w:tcPr>
          <w:p w14:paraId="44E1BBBF" w14:textId="77777777" w:rsidR="0087719F" w:rsidRPr="00FA4ED8" w:rsidRDefault="0087719F" w:rsidP="00490047">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1.32%</w:t>
            </w:r>
          </w:p>
        </w:tc>
      </w:tr>
      <w:tr w:rsidR="0087719F" w:rsidRPr="00FA4ED8" w14:paraId="5D072A38"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63B79B9C" w14:textId="77777777" w:rsidR="0087719F" w:rsidRPr="00B34883" w:rsidRDefault="0087719F" w:rsidP="00490047">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15D999A0" w14:textId="77777777" w:rsidR="0087719F" w:rsidRPr="00317174" w:rsidRDefault="0087719F" w:rsidP="00490047">
            <w:pPr>
              <w:ind w:left="720" w:hanging="557"/>
              <w:contextualSpacing/>
              <w:jc w:val="right"/>
              <w:rPr>
                <w:rFonts w:asciiTheme="minorHAnsi" w:hAnsiTheme="minorHAnsi" w:cstheme="minorHAnsi"/>
              </w:rPr>
            </w:pPr>
            <w:r w:rsidRPr="007F0F1A">
              <w:rPr>
                <w:rFonts w:asciiTheme="minorHAnsi" w:hAnsiTheme="minorHAnsi" w:cstheme="minorHAnsi"/>
              </w:rPr>
              <w:t>7.36%</w:t>
            </w:r>
          </w:p>
        </w:tc>
        <w:tc>
          <w:tcPr>
            <w:tcW w:w="1890" w:type="dxa"/>
            <w:tcBorders>
              <w:top w:val="nil"/>
              <w:left w:val="single" w:sz="4" w:space="0" w:color="auto"/>
              <w:bottom w:val="nil"/>
              <w:right w:val="single" w:sz="4" w:space="0" w:color="auto"/>
            </w:tcBorders>
          </w:tcPr>
          <w:p w14:paraId="57E73C75" w14:textId="77777777" w:rsidR="0087719F" w:rsidRPr="00FA4ED8" w:rsidRDefault="0087719F" w:rsidP="00490047">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4.92%</w:t>
            </w:r>
          </w:p>
        </w:tc>
      </w:tr>
      <w:tr w:rsidR="0087719F" w:rsidRPr="00FA4ED8" w14:paraId="414E06FD"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76EB9EC0" w14:textId="77777777" w:rsidR="0087719F" w:rsidRPr="00B34883" w:rsidRDefault="0087719F" w:rsidP="00490047">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Other </w:t>
            </w:r>
          </w:p>
        </w:tc>
        <w:tc>
          <w:tcPr>
            <w:tcW w:w="1980" w:type="dxa"/>
            <w:tcBorders>
              <w:top w:val="nil"/>
              <w:left w:val="single" w:sz="4" w:space="0" w:color="auto"/>
              <w:bottom w:val="nil"/>
              <w:right w:val="single" w:sz="4" w:space="0" w:color="auto"/>
            </w:tcBorders>
            <w:vAlign w:val="center"/>
          </w:tcPr>
          <w:p w14:paraId="483627FB" w14:textId="77777777" w:rsidR="0087719F" w:rsidRPr="00317174" w:rsidRDefault="0087719F" w:rsidP="00490047">
            <w:pPr>
              <w:ind w:left="720" w:hanging="557"/>
              <w:contextualSpacing/>
              <w:jc w:val="right"/>
              <w:rPr>
                <w:rFonts w:asciiTheme="minorHAnsi" w:hAnsiTheme="minorHAnsi" w:cstheme="minorHAnsi"/>
              </w:rPr>
            </w:pPr>
            <w:r w:rsidRPr="007F0F1A">
              <w:rPr>
                <w:rFonts w:asciiTheme="minorHAnsi" w:hAnsiTheme="minorHAnsi" w:cstheme="minorHAnsi"/>
              </w:rPr>
              <w:t>3.41%</w:t>
            </w:r>
          </w:p>
        </w:tc>
        <w:tc>
          <w:tcPr>
            <w:tcW w:w="1890" w:type="dxa"/>
            <w:tcBorders>
              <w:top w:val="nil"/>
              <w:left w:val="single" w:sz="4" w:space="0" w:color="auto"/>
              <w:bottom w:val="nil"/>
              <w:right w:val="single" w:sz="4" w:space="0" w:color="auto"/>
            </w:tcBorders>
          </w:tcPr>
          <w:p w14:paraId="60A8A851" w14:textId="77777777" w:rsidR="0087719F" w:rsidRPr="00FA4ED8" w:rsidRDefault="0087719F" w:rsidP="00490047">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1.92%</w:t>
            </w:r>
          </w:p>
        </w:tc>
      </w:tr>
      <w:tr w:rsidR="0087719F" w:rsidRPr="00FA4ED8" w14:paraId="181850B4" w14:textId="77777777" w:rsidTr="00490047">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696EF066" w14:textId="77777777" w:rsidR="0087719F" w:rsidRPr="00B34883" w:rsidRDefault="0087719F" w:rsidP="00490047">
            <w:pPr>
              <w:contextualSpacing/>
              <w:rPr>
                <w:rFonts w:asciiTheme="minorHAnsi" w:eastAsia="Calibri" w:hAnsiTheme="minorHAnsi" w:cstheme="minorHAnsi"/>
                <w:b/>
              </w:rPr>
            </w:pPr>
            <w:r w:rsidRPr="0041377A">
              <w:rPr>
                <w:rFonts w:asciiTheme="minorHAnsi" w:hAnsiTheme="minorHAnsi" w:cstheme="minorHAnsi"/>
                <w:b/>
                <w:bCs/>
                <w:color w:val="000000"/>
              </w:rPr>
              <w:t xml:space="preserve"> </w:t>
            </w:r>
            <w:r>
              <w:rPr>
                <w:rFonts w:asciiTheme="minorHAnsi" w:hAnsiTheme="minorHAnsi" w:cstheme="minorHAnsi"/>
                <w:b/>
                <w:bCs/>
                <w:color w:val="000000"/>
              </w:rPr>
              <w:t xml:space="preserve">  </w:t>
            </w:r>
            <w:r w:rsidRPr="0041377A">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tcPr>
          <w:p w14:paraId="600966C0" w14:textId="77777777" w:rsidR="0087719F" w:rsidRPr="00317174" w:rsidRDefault="0087719F" w:rsidP="00490047">
            <w:pPr>
              <w:ind w:left="720" w:hanging="557"/>
              <w:contextualSpacing/>
              <w:jc w:val="right"/>
              <w:rPr>
                <w:rFonts w:asciiTheme="minorHAnsi" w:hAnsiTheme="minorHAnsi" w:cstheme="minorHAnsi"/>
              </w:rPr>
            </w:pPr>
            <w:r w:rsidRPr="00317174">
              <w:rPr>
                <w:rFonts w:asciiTheme="minorHAnsi" w:hAnsiTheme="minorHAnsi" w:cstheme="minorHAnsi"/>
              </w:rPr>
              <w:t>100.00%</w:t>
            </w:r>
          </w:p>
        </w:tc>
        <w:tc>
          <w:tcPr>
            <w:tcW w:w="1890" w:type="dxa"/>
            <w:tcBorders>
              <w:top w:val="nil"/>
              <w:left w:val="single" w:sz="4" w:space="0" w:color="auto"/>
              <w:bottom w:val="single" w:sz="4" w:space="0" w:color="auto"/>
              <w:right w:val="single" w:sz="4" w:space="0" w:color="auto"/>
            </w:tcBorders>
          </w:tcPr>
          <w:p w14:paraId="63B7AA97" w14:textId="77777777" w:rsidR="0087719F" w:rsidRPr="00FA4ED8" w:rsidRDefault="0087719F" w:rsidP="00490047">
            <w:pPr>
              <w:ind w:left="720" w:hanging="557"/>
              <w:contextualSpacing/>
              <w:jc w:val="right"/>
              <w:rPr>
                <w:rFonts w:asciiTheme="minorHAnsi" w:hAnsiTheme="minorHAnsi" w:cstheme="minorHAnsi"/>
                <w:spacing w:val="-5"/>
                <w:highlight w:val="yellow"/>
              </w:rPr>
            </w:pPr>
            <w:r>
              <w:rPr>
                <w:rFonts w:asciiTheme="minorHAnsi" w:hAnsiTheme="minorHAnsi" w:cstheme="minorHAnsi"/>
                <w:b/>
                <w:bCs/>
                <w:color w:val="000000"/>
              </w:rPr>
              <w:t>100.00%</w:t>
            </w:r>
          </w:p>
        </w:tc>
      </w:tr>
      <w:tr w:rsidR="0087719F" w:rsidRPr="00FA4ED8" w14:paraId="158A199E" w14:textId="77777777" w:rsidTr="00490047">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77DCC7CE" w14:textId="77777777" w:rsidR="0087719F" w:rsidRPr="00B34883" w:rsidRDefault="0087719F" w:rsidP="00490047">
            <w:pPr>
              <w:contextualSpacing/>
              <w:rPr>
                <w:rFonts w:asciiTheme="minorHAnsi" w:eastAsia="Calibri" w:hAnsiTheme="minorHAnsi" w:cstheme="minorHAnsi"/>
                <w:b/>
              </w:rPr>
            </w:pPr>
            <w:r w:rsidRPr="00B34883">
              <w:rPr>
                <w:rFonts w:asciiTheme="minorHAnsi" w:eastAsia="Calibri" w:hAnsiTheme="minorHAnsi" w:cstheme="minorHAnsi"/>
                <w:b/>
              </w:rPr>
              <w:t>Payer Mix</w:t>
            </w:r>
          </w:p>
        </w:tc>
        <w:tc>
          <w:tcPr>
            <w:tcW w:w="1980" w:type="dxa"/>
            <w:tcBorders>
              <w:top w:val="single" w:sz="4" w:space="0" w:color="auto"/>
              <w:left w:val="single" w:sz="4" w:space="0" w:color="auto"/>
              <w:bottom w:val="nil"/>
              <w:right w:val="single" w:sz="4" w:space="0" w:color="auto"/>
            </w:tcBorders>
          </w:tcPr>
          <w:p w14:paraId="6BEA0F70" w14:textId="77777777" w:rsidR="0087719F" w:rsidRPr="00FA4ED8" w:rsidRDefault="0087719F" w:rsidP="00490047">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0D5F2138" w14:textId="77777777" w:rsidR="0087719F" w:rsidRPr="00FA4ED8" w:rsidRDefault="0087719F" w:rsidP="00490047">
            <w:pPr>
              <w:ind w:left="720" w:hanging="557"/>
              <w:contextualSpacing/>
              <w:jc w:val="right"/>
              <w:rPr>
                <w:rFonts w:asciiTheme="minorHAnsi" w:hAnsiTheme="minorHAnsi" w:cstheme="minorHAnsi"/>
                <w:spacing w:val="-5"/>
                <w:highlight w:val="yellow"/>
              </w:rPr>
            </w:pPr>
          </w:p>
        </w:tc>
      </w:tr>
      <w:tr w:rsidR="0087719F" w:rsidRPr="00FA4ED8" w14:paraId="1FE883A2"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tcPr>
          <w:p w14:paraId="6E0585AE" w14:textId="77777777" w:rsidR="0087719F" w:rsidRPr="00B34883" w:rsidRDefault="0087719F" w:rsidP="00490047">
            <w:pPr>
              <w:ind w:left="720" w:hanging="557"/>
              <w:contextualSpacing/>
              <w:rPr>
                <w:rFonts w:asciiTheme="minorHAnsi" w:hAnsiTheme="minorHAnsi" w:cstheme="minorHAnsi"/>
                <w:color w:val="000000"/>
              </w:rPr>
            </w:pPr>
            <w:r w:rsidRPr="00B34883">
              <w:rPr>
                <w:rFonts w:asciiTheme="minorHAnsi" w:hAnsiTheme="minorHAnsi" w:cstheme="minorHAnsi"/>
                <w:color w:val="000000"/>
              </w:rPr>
              <w:t>Commercial</w:t>
            </w:r>
          </w:p>
        </w:tc>
        <w:tc>
          <w:tcPr>
            <w:tcW w:w="1980" w:type="dxa"/>
            <w:tcBorders>
              <w:top w:val="nil"/>
              <w:left w:val="single" w:sz="4" w:space="0" w:color="auto"/>
              <w:bottom w:val="nil"/>
              <w:right w:val="single" w:sz="4" w:space="0" w:color="auto"/>
            </w:tcBorders>
            <w:vAlign w:val="center"/>
          </w:tcPr>
          <w:p w14:paraId="64E668C2" w14:textId="77777777" w:rsidR="0087719F" w:rsidRPr="00DD1360" w:rsidRDefault="0087719F" w:rsidP="00490047">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53.23%</w:t>
            </w:r>
          </w:p>
        </w:tc>
        <w:tc>
          <w:tcPr>
            <w:tcW w:w="1890" w:type="dxa"/>
            <w:tcBorders>
              <w:top w:val="nil"/>
              <w:left w:val="single" w:sz="4" w:space="0" w:color="auto"/>
              <w:bottom w:val="nil"/>
              <w:right w:val="single" w:sz="4" w:space="0" w:color="auto"/>
            </w:tcBorders>
          </w:tcPr>
          <w:p w14:paraId="764DC0C0" w14:textId="77777777" w:rsidR="0087719F" w:rsidRPr="00117E8A" w:rsidRDefault="0087719F" w:rsidP="00490047">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47.36%</w:t>
            </w:r>
          </w:p>
        </w:tc>
      </w:tr>
      <w:tr w:rsidR="0087719F" w:rsidRPr="00FA4ED8" w14:paraId="0614C277"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tcPr>
          <w:p w14:paraId="360E9753" w14:textId="77777777" w:rsidR="0087719F" w:rsidRPr="00B34883" w:rsidRDefault="0087719F" w:rsidP="00490047">
            <w:pPr>
              <w:ind w:left="720" w:hanging="557"/>
              <w:contextualSpacing/>
              <w:rPr>
                <w:rFonts w:asciiTheme="minorHAnsi" w:hAnsiTheme="minorHAnsi" w:cstheme="minorHAnsi"/>
                <w:color w:val="000000"/>
              </w:rPr>
            </w:pPr>
            <w:r w:rsidRPr="00B34883">
              <w:rPr>
                <w:rFonts w:asciiTheme="minorHAnsi" w:hAnsiTheme="minorHAnsi" w:cstheme="minorHAnsi"/>
                <w:color w:val="000000"/>
              </w:rPr>
              <w:t>Medicare</w:t>
            </w:r>
          </w:p>
        </w:tc>
        <w:tc>
          <w:tcPr>
            <w:tcW w:w="1980" w:type="dxa"/>
            <w:tcBorders>
              <w:top w:val="nil"/>
              <w:left w:val="single" w:sz="4" w:space="0" w:color="auto"/>
              <w:bottom w:val="nil"/>
              <w:right w:val="single" w:sz="4" w:space="0" w:color="auto"/>
            </w:tcBorders>
            <w:vAlign w:val="center"/>
          </w:tcPr>
          <w:p w14:paraId="68D00AD7" w14:textId="77777777" w:rsidR="0087719F" w:rsidRPr="00DD1360" w:rsidRDefault="0087719F" w:rsidP="00490047">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26.02%</w:t>
            </w:r>
          </w:p>
        </w:tc>
        <w:tc>
          <w:tcPr>
            <w:tcW w:w="1890" w:type="dxa"/>
            <w:tcBorders>
              <w:top w:val="nil"/>
              <w:left w:val="single" w:sz="4" w:space="0" w:color="auto"/>
              <w:bottom w:val="nil"/>
              <w:right w:val="single" w:sz="4" w:space="0" w:color="auto"/>
            </w:tcBorders>
          </w:tcPr>
          <w:p w14:paraId="103CC315" w14:textId="77777777" w:rsidR="0087719F" w:rsidRPr="00117E8A" w:rsidRDefault="0087719F" w:rsidP="00490047">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34.24%</w:t>
            </w:r>
          </w:p>
        </w:tc>
      </w:tr>
      <w:tr w:rsidR="0087719F" w:rsidRPr="00FA4ED8" w14:paraId="5AE10F25"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tcPr>
          <w:p w14:paraId="65750DCB" w14:textId="77777777" w:rsidR="0087719F" w:rsidRPr="00B34883" w:rsidRDefault="0087719F" w:rsidP="00490047">
            <w:pPr>
              <w:ind w:left="720" w:hanging="557"/>
              <w:contextualSpacing/>
              <w:rPr>
                <w:rFonts w:asciiTheme="minorHAnsi" w:hAnsiTheme="minorHAnsi" w:cstheme="minorHAnsi"/>
                <w:color w:val="000000"/>
              </w:rPr>
            </w:pPr>
            <w:r w:rsidRPr="00B34883">
              <w:rPr>
                <w:rFonts w:asciiTheme="minorHAnsi" w:hAnsiTheme="minorHAnsi" w:cstheme="minorHAnsi"/>
                <w:color w:val="000000"/>
              </w:rPr>
              <w:t xml:space="preserve">Medicaid </w:t>
            </w:r>
          </w:p>
        </w:tc>
        <w:tc>
          <w:tcPr>
            <w:tcW w:w="1980" w:type="dxa"/>
            <w:tcBorders>
              <w:top w:val="nil"/>
              <w:left w:val="single" w:sz="4" w:space="0" w:color="auto"/>
              <w:bottom w:val="nil"/>
              <w:right w:val="single" w:sz="4" w:space="0" w:color="auto"/>
            </w:tcBorders>
            <w:vAlign w:val="center"/>
          </w:tcPr>
          <w:p w14:paraId="569F1849" w14:textId="77777777" w:rsidR="0087719F" w:rsidRPr="00DD1360" w:rsidRDefault="0087719F" w:rsidP="00490047">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10.14%</w:t>
            </w:r>
          </w:p>
        </w:tc>
        <w:tc>
          <w:tcPr>
            <w:tcW w:w="1890" w:type="dxa"/>
            <w:tcBorders>
              <w:top w:val="nil"/>
              <w:left w:val="single" w:sz="4" w:space="0" w:color="auto"/>
              <w:bottom w:val="nil"/>
              <w:right w:val="single" w:sz="4" w:space="0" w:color="auto"/>
            </w:tcBorders>
          </w:tcPr>
          <w:p w14:paraId="307385CE" w14:textId="77777777" w:rsidR="0087719F" w:rsidRPr="00117E8A" w:rsidRDefault="0087719F" w:rsidP="00490047">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8.55%</w:t>
            </w:r>
          </w:p>
        </w:tc>
      </w:tr>
      <w:tr w:rsidR="0087719F" w:rsidRPr="00FA4ED8" w14:paraId="04EF39E0"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tcPr>
          <w:p w14:paraId="070EDA15" w14:textId="77777777" w:rsidR="0087719F" w:rsidRPr="00B34883" w:rsidRDefault="0087719F" w:rsidP="00490047">
            <w:pPr>
              <w:ind w:left="720" w:hanging="557"/>
              <w:contextualSpacing/>
              <w:rPr>
                <w:rFonts w:asciiTheme="minorHAnsi" w:hAnsiTheme="minorHAnsi" w:cstheme="minorHAnsi"/>
                <w:color w:val="000000"/>
              </w:rPr>
            </w:pPr>
            <w:r w:rsidRPr="00B34883">
              <w:rPr>
                <w:rFonts w:asciiTheme="minorHAnsi" w:hAnsiTheme="minorHAnsi" w:cstheme="minorHAnsi"/>
                <w:color w:val="000000"/>
              </w:rPr>
              <w:lastRenderedPageBreak/>
              <w:t>Multiple Payers</w:t>
            </w:r>
          </w:p>
        </w:tc>
        <w:tc>
          <w:tcPr>
            <w:tcW w:w="1980" w:type="dxa"/>
            <w:tcBorders>
              <w:top w:val="nil"/>
              <w:left w:val="single" w:sz="4" w:space="0" w:color="auto"/>
              <w:bottom w:val="nil"/>
              <w:right w:val="single" w:sz="4" w:space="0" w:color="auto"/>
            </w:tcBorders>
            <w:vAlign w:val="center"/>
          </w:tcPr>
          <w:p w14:paraId="5FD110B9" w14:textId="77777777" w:rsidR="0087719F" w:rsidRPr="00DD1360" w:rsidRDefault="0087719F" w:rsidP="00490047">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2.65%</w:t>
            </w:r>
          </w:p>
        </w:tc>
        <w:tc>
          <w:tcPr>
            <w:tcW w:w="1890" w:type="dxa"/>
            <w:tcBorders>
              <w:top w:val="nil"/>
              <w:left w:val="single" w:sz="4" w:space="0" w:color="auto"/>
              <w:bottom w:val="nil"/>
              <w:right w:val="single" w:sz="4" w:space="0" w:color="auto"/>
            </w:tcBorders>
          </w:tcPr>
          <w:p w14:paraId="727B72C7" w14:textId="77777777" w:rsidR="0087719F" w:rsidRPr="00117E8A" w:rsidRDefault="0087719F" w:rsidP="00490047">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3.66%</w:t>
            </w:r>
          </w:p>
        </w:tc>
      </w:tr>
      <w:tr w:rsidR="0087719F" w:rsidRPr="00FA4ED8" w14:paraId="385E5978"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tcPr>
          <w:p w14:paraId="688C0A55" w14:textId="77777777" w:rsidR="0087719F" w:rsidRPr="00B34883" w:rsidRDefault="0087719F" w:rsidP="00490047">
            <w:pPr>
              <w:ind w:left="720" w:hanging="557"/>
              <w:contextualSpacing/>
              <w:rPr>
                <w:rFonts w:asciiTheme="minorHAnsi" w:hAnsiTheme="minorHAnsi" w:cstheme="minorHAnsi"/>
                <w:color w:val="000000"/>
              </w:rPr>
            </w:pPr>
            <w:r w:rsidRPr="00B34883">
              <w:rPr>
                <w:rFonts w:asciiTheme="minorHAnsi" w:hAnsiTheme="minorHAnsi" w:cstheme="minorHAnsi"/>
                <w:color w:val="000000"/>
              </w:rPr>
              <w:t>Other</w:t>
            </w:r>
            <w:r w:rsidRPr="00601EAE">
              <w:rPr>
                <w:rStyle w:val="FootnoteReference"/>
                <w:rFonts w:asciiTheme="minorHAnsi" w:eastAsia="Calibri" w:hAnsiTheme="minorHAnsi" w:cstheme="minorHAnsi"/>
                <w:bCs/>
              </w:rPr>
              <w:footnoteReference w:id="9"/>
            </w:r>
          </w:p>
        </w:tc>
        <w:tc>
          <w:tcPr>
            <w:tcW w:w="1980" w:type="dxa"/>
            <w:tcBorders>
              <w:top w:val="nil"/>
              <w:left w:val="single" w:sz="4" w:space="0" w:color="auto"/>
              <w:bottom w:val="nil"/>
              <w:right w:val="single" w:sz="4" w:space="0" w:color="auto"/>
            </w:tcBorders>
            <w:vAlign w:val="center"/>
          </w:tcPr>
          <w:p w14:paraId="5F75556A" w14:textId="77777777" w:rsidR="0087719F" w:rsidRPr="00DD1360" w:rsidRDefault="0087719F" w:rsidP="00490047">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7.96%</w:t>
            </w:r>
          </w:p>
        </w:tc>
        <w:tc>
          <w:tcPr>
            <w:tcW w:w="1890" w:type="dxa"/>
            <w:tcBorders>
              <w:top w:val="nil"/>
              <w:left w:val="single" w:sz="4" w:space="0" w:color="auto"/>
              <w:bottom w:val="nil"/>
              <w:right w:val="single" w:sz="4" w:space="0" w:color="auto"/>
            </w:tcBorders>
          </w:tcPr>
          <w:p w14:paraId="335AAAFC" w14:textId="77777777" w:rsidR="0087719F" w:rsidRPr="00117E8A" w:rsidRDefault="0087719F" w:rsidP="00490047">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6.19%</w:t>
            </w:r>
          </w:p>
        </w:tc>
      </w:tr>
      <w:tr w:rsidR="0087719F" w:rsidRPr="00FA4ED8" w14:paraId="77FE8D5E" w14:textId="77777777" w:rsidTr="00490047">
        <w:trPr>
          <w:cantSplit/>
          <w:trHeight w:val="144"/>
          <w:jc w:val="center"/>
        </w:trPr>
        <w:tc>
          <w:tcPr>
            <w:tcW w:w="5215" w:type="dxa"/>
            <w:tcBorders>
              <w:top w:val="nil"/>
              <w:left w:val="single" w:sz="4" w:space="0" w:color="auto"/>
              <w:bottom w:val="nil"/>
              <w:right w:val="single" w:sz="4" w:space="0" w:color="auto"/>
            </w:tcBorders>
            <w:shd w:val="clear" w:color="auto" w:fill="auto"/>
          </w:tcPr>
          <w:p w14:paraId="169B14DB" w14:textId="77777777" w:rsidR="0087719F" w:rsidRPr="00B34883" w:rsidRDefault="0087719F" w:rsidP="00490047">
            <w:pPr>
              <w:ind w:left="720" w:hanging="557"/>
              <w:contextualSpacing/>
              <w:rPr>
                <w:rFonts w:asciiTheme="minorHAnsi" w:hAnsiTheme="minorHAnsi" w:cstheme="minorHAnsi"/>
                <w:spacing w:val="-5"/>
              </w:rPr>
            </w:pPr>
            <w:r w:rsidRPr="00B34883">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567BDB3E" w14:textId="77777777" w:rsidR="0087719F" w:rsidRPr="00DD1360" w:rsidRDefault="0087719F" w:rsidP="00490047">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0.00%</w:t>
            </w:r>
          </w:p>
        </w:tc>
        <w:tc>
          <w:tcPr>
            <w:tcW w:w="1890" w:type="dxa"/>
            <w:tcBorders>
              <w:top w:val="nil"/>
              <w:left w:val="single" w:sz="4" w:space="0" w:color="auto"/>
              <w:bottom w:val="nil"/>
              <w:right w:val="single" w:sz="4" w:space="0" w:color="auto"/>
            </w:tcBorders>
          </w:tcPr>
          <w:p w14:paraId="6896B083" w14:textId="79F1B44C" w:rsidR="0087719F" w:rsidRPr="00117E8A" w:rsidRDefault="002B7542" w:rsidP="00490047">
            <w:pPr>
              <w:ind w:left="720" w:hanging="557"/>
              <w:contextualSpacing/>
              <w:jc w:val="right"/>
              <w:rPr>
                <w:rFonts w:asciiTheme="minorHAnsi" w:hAnsiTheme="minorHAnsi" w:cstheme="minorHAnsi"/>
                <w:spacing w:val="-5"/>
                <w:highlight w:val="yellow"/>
              </w:rPr>
            </w:pPr>
            <w:r>
              <w:rPr>
                <w:rFonts w:asciiTheme="minorHAnsi" w:hAnsiTheme="minorHAnsi" w:cstheme="minorHAnsi"/>
              </w:rPr>
              <w:t>0.68</w:t>
            </w:r>
            <w:r w:rsidR="0087719F" w:rsidRPr="00117E8A">
              <w:rPr>
                <w:rFonts w:asciiTheme="minorHAnsi" w:hAnsiTheme="minorHAnsi" w:cstheme="minorHAnsi"/>
              </w:rPr>
              <w:t>%</w:t>
            </w:r>
          </w:p>
        </w:tc>
      </w:tr>
      <w:tr w:rsidR="0087719F" w:rsidRPr="00FA4ED8" w14:paraId="11E9A96C" w14:textId="77777777" w:rsidTr="00490047">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7B82520B" w14:textId="77777777" w:rsidR="0087719F" w:rsidRPr="00B34883" w:rsidRDefault="0087719F" w:rsidP="00490047">
            <w:pPr>
              <w:contextualSpacing/>
              <w:rPr>
                <w:rFonts w:asciiTheme="minorHAnsi" w:eastAsia="Calibri" w:hAnsiTheme="minorHAnsi" w:cstheme="minorHAnsi"/>
                <w:b/>
              </w:rPr>
            </w:pPr>
            <w:r w:rsidRPr="00B34883">
              <w:rPr>
                <w:rFonts w:asciiTheme="minorHAnsi" w:hAnsiTheme="minorHAnsi" w:cstheme="minorHAnsi"/>
                <w:b/>
                <w:spacing w:val="-2"/>
              </w:rPr>
              <w:t>Total</w:t>
            </w:r>
          </w:p>
        </w:tc>
        <w:tc>
          <w:tcPr>
            <w:tcW w:w="1980" w:type="dxa"/>
            <w:tcBorders>
              <w:top w:val="nil"/>
              <w:left w:val="single" w:sz="4" w:space="0" w:color="auto"/>
              <w:bottom w:val="single" w:sz="4" w:space="0" w:color="auto"/>
              <w:right w:val="single" w:sz="4" w:space="0" w:color="auto"/>
            </w:tcBorders>
          </w:tcPr>
          <w:p w14:paraId="51927CC9" w14:textId="77777777" w:rsidR="0087719F" w:rsidRPr="00FA4ED8" w:rsidRDefault="0087719F" w:rsidP="00490047">
            <w:pPr>
              <w:ind w:left="720" w:hanging="557"/>
              <w:contextualSpacing/>
              <w:jc w:val="right"/>
              <w:rPr>
                <w:rFonts w:asciiTheme="minorHAnsi" w:hAnsiTheme="minorHAnsi" w:cstheme="minorHAnsi"/>
                <w:spacing w:val="-5"/>
                <w:highlight w:val="yellow"/>
              </w:rPr>
            </w:pPr>
            <w:r w:rsidRPr="00DD1360">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vAlign w:val="center"/>
          </w:tcPr>
          <w:p w14:paraId="7BCA108B" w14:textId="77777777" w:rsidR="0087719F" w:rsidRPr="00FA4ED8" w:rsidRDefault="0087719F" w:rsidP="00490047">
            <w:pPr>
              <w:ind w:left="720" w:hanging="557"/>
              <w:contextualSpacing/>
              <w:jc w:val="right"/>
              <w:rPr>
                <w:rFonts w:asciiTheme="minorHAnsi" w:hAnsiTheme="minorHAnsi" w:cstheme="minorHAnsi"/>
                <w:b/>
                <w:bCs/>
                <w:spacing w:val="-5"/>
                <w:highlight w:val="yellow"/>
              </w:rPr>
            </w:pPr>
            <w:r w:rsidRPr="00117E8A">
              <w:rPr>
                <w:rFonts w:asciiTheme="minorHAnsi" w:hAnsiTheme="minorHAnsi" w:cstheme="minorHAnsi"/>
                <w:b/>
                <w:bCs/>
                <w:color w:val="000000"/>
              </w:rPr>
              <w:t>100.00%</w:t>
            </w:r>
          </w:p>
        </w:tc>
      </w:tr>
    </w:tbl>
    <w:p w14:paraId="4C1550B3" w14:textId="77777777" w:rsidR="0087719F" w:rsidRPr="006757BA" w:rsidRDefault="0087719F" w:rsidP="0087719F">
      <w:pPr>
        <w:rPr>
          <w:rFonts w:asciiTheme="minorHAnsi" w:hAnsiTheme="minorHAnsi" w:cstheme="minorHAnsi"/>
          <w:color w:val="191919"/>
          <w:highlight w:val="yellow"/>
        </w:rPr>
      </w:pPr>
    </w:p>
    <w:p w14:paraId="1B26EE7A" w14:textId="77777777" w:rsidR="00E828B4" w:rsidRPr="00AC3A42" w:rsidRDefault="00E828B4" w:rsidP="00E828B4">
      <w:pPr>
        <w:rPr>
          <w:rFonts w:asciiTheme="minorHAnsi" w:hAnsiTheme="minorHAnsi" w:cstheme="minorHAnsi"/>
          <w:color w:val="191919"/>
          <w:highlight w:val="yellow"/>
        </w:rPr>
      </w:pPr>
    </w:p>
    <w:p w14:paraId="557A16FB" w14:textId="67A89497" w:rsidR="006E42FE" w:rsidRPr="007677D2" w:rsidRDefault="006E42FE" w:rsidP="006E42FE">
      <w:pPr>
        <w:contextualSpacing/>
        <w:rPr>
          <w:rFonts w:asciiTheme="minorHAnsi" w:hAnsiTheme="minorHAnsi" w:cstheme="minorHAnsi"/>
        </w:rPr>
      </w:pPr>
      <w:r w:rsidRPr="00856849">
        <w:rPr>
          <w:rFonts w:asciiTheme="minorHAnsi" w:hAnsiTheme="minorHAnsi" w:cstheme="minorHAnsi"/>
        </w:rPr>
        <w:t xml:space="preserve">The Applicant provided </w:t>
      </w:r>
      <w:r w:rsidR="008E1074">
        <w:rPr>
          <w:rFonts w:asciiTheme="minorHAnsi" w:hAnsiTheme="minorHAnsi" w:cstheme="minorHAnsi"/>
        </w:rPr>
        <w:t xml:space="preserve">patient population </w:t>
      </w:r>
      <w:r w:rsidRPr="00856849">
        <w:rPr>
          <w:rFonts w:asciiTheme="minorHAnsi" w:hAnsiTheme="minorHAnsi" w:cstheme="minorHAnsi"/>
        </w:rPr>
        <w:t xml:space="preserve">information for AJH, the Hospital targeted for this </w:t>
      </w:r>
      <w:r w:rsidR="00E7015A">
        <w:rPr>
          <w:rFonts w:asciiTheme="minorHAnsi" w:hAnsiTheme="minorHAnsi" w:cstheme="minorHAnsi"/>
        </w:rPr>
        <w:t>Proposed Project</w:t>
      </w:r>
      <w:r w:rsidRPr="00856849">
        <w:rPr>
          <w:rFonts w:asciiTheme="minorHAnsi" w:hAnsiTheme="minorHAnsi" w:cstheme="minorHAnsi"/>
        </w:rPr>
        <w:t xml:space="preserve">. </w:t>
      </w:r>
      <w:r w:rsidRPr="00856849">
        <w:rPr>
          <w:rFonts w:asciiTheme="minorHAnsi" w:hAnsiTheme="minorHAnsi" w:cstheme="minorHAnsi"/>
          <w:color w:val="000000" w:themeColor="text1"/>
          <w:kern w:val="2"/>
        </w:rPr>
        <w:t xml:space="preserve">AJH’s primary service area includes Newburyport, Amesbury, Haverhill, Salisbury, </w:t>
      </w:r>
      <w:r w:rsidRPr="007677D2">
        <w:rPr>
          <w:rFonts w:asciiTheme="minorHAnsi" w:hAnsiTheme="minorHAnsi" w:cstheme="minorHAnsi"/>
          <w:color w:val="000000" w:themeColor="text1"/>
          <w:kern w:val="2"/>
        </w:rPr>
        <w:t>Merrimac, West Newbury, Newbury, and Byfield.</w:t>
      </w:r>
      <w:r w:rsidRPr="007677D2">
        <w:rPr>
          <w:rStyle w:val="FootnoteReference"/>
          <w:rFonts w:asciiTheme="minorHAnsi" w:hAnsiTheme="minorHAnsi" w:cstheme="minorHAnsi"/>
          <w:color w:val="000000" w:themeColor="text1"/>
          <w:kern w:val="2"/>
        </w:rPr>
        <w:footnoteReference w:id="10"/>
      </w:r>
      <w:r w:rsidRPr="007677D2">
        <w:rPr>
          <w:rFonts w:asciiTheme="minorHAnsi" w:hAnsiTheme="minorHAnsi" w:cstheme="minorHAnsi"/>
          <w:color w:val="000000" w:themeColor="text1"/>
          <w:kern w:val="2"/>
        </w:rPr>
        <w:t xml:space="preserve"> </w:t>
      </w:r>
      <w:r w:rsidRPr="007677D2">
        <w:rPr>
          <w:rFonts w:asciiTheme="minorHAnsi" w:hAnsiTheme="minorHAnsi" w:cstheme="minorHAnsi"/>
        </w:rPr>
        <w:t>Some highlights from the data in Table 3 include:</w:t>
      </w:r>
    </w:p>
    <w:p w14:paraId="47D0728D" w14:textId="77777777" w:rsidR="006E42FE" w:rsidRPr="007677D2" w:rsidRDefault="006E42FE" w:rsidP="00F163A6">
      <w:pPr>
        <w:tabs>
          <w:tab w:val="left" w:pos="0"/>
        </w:tabs>
        <w:contextualSpacing/>
        <w:rPr>
          <w:rFonts w:asciiTheme="minorHAnsi" w:hAnsiTheme="minorHAnsi" w:cstheme="minorHAnsi"/>
        </w:rPr>
      </w:pPr>
    </w:p>
    <w:p w14:paraId="22C75D1F" w14:textId="77777777" w:rsidR="006E42FE" w:rsidRPr="00775482" w:rsidRDefault="006E42FE" w:rsidP="006E42FE">
      <w:pPr>
        <w:pStyle w:val="ListParagraph"/>
        <w:numPr>
          <w:ilvl w:val="0"/>
          <w:numId w:val="12"/>
        </w:numPr>
        <w:rPr>
          <w:rFonts w:cstheme="minorHAnsi"/>
          <w:b/>
          <w:bCs/>
          <w:color w:val="191919"/>
          <w:sz w:val="24"/>
          <w:szCs w:val="24"/>
        </w:rPr>
      </w:pPr>
      <w:r w:rsidRPr="007677D2">
        <w:rPr>
          <w:rFonts w:cstheme="minorHAnsi"/>
          <w:b/>
          <w:bCs/>
          <w:color w:val="191919"/>
          <w:sz w:val="24"/>
          <w:szCs w:val="24"/>
        </w:rPr>
        <w:t>Age:</w:t>
      </w:r>
      <w:r w:rsidRPr="007677D2">
        <w:rPr>
          <w:rFonts w:cstheme="minorHAnsi"/>
          <w:color w:val="191919"/>
          <w:sz w:val="24"/>
          <w:szCs w:val="24"/>
        </w:rPr>
        <w:t xml:space="preserve"> </w:t>
      </w:r>
      <w:r w:rsidRPr="007677D2">
        <w:rPr>
          <w:rFonts w:eastAsia="Verdana" w:cstheme="minorHAnsi"/>
          <w:sz w:val="24"/>
          <w:szCs w:val="24"/>
        </w:rPr>
        <w:t>The majority of AJH’s patient population is between 18 to 64, followed by 65+ and 0-</w:t>
      </w:r>
      <w:r w:rsidRPr="00775482">
        <w:rPr>
          <w:rFonts w:eastAsia="Verdana" w:cstheme="minorHAnsi"/>
          <w:sz w:val="24"/>
          <w:szCs w:val="24"/>
        </w:rPr>
        <w:t>17 age cohorts, respectively</w:t>
      </w:r>
    </w:p>
    <w:p w14:paraId="554C3631" w14:textId="031AE449" w:rsidR="006E42FE" w:rsidRPr="000B0937" w:rsidRDefault="006E42FE" w:rsidP="006E42FE">
      <w:pPr>
        <w:pStyle w:val="ListParagraph"/>
        <w:numPr>
          <w:ilvl w:val="0"/>
          <w:numId w:val="12"/>
        </w:numPr>
        <w:rPr>
          <w:rFonts w:cstheme="minorHAnsi"/>
          <w:b/>
          <w:bCs/>
          <w:color w:val="191919"/>
          <w:sz w:val="24"/>
          <w:szCs w:val="24"/>
        </w:rPr>
      </w:pPr>
      <w:r w:rsidRPr="00775482">
        <w:rPr>
          <w:rFonts w:cstheme="minorHAnsi"/>
          <w:b/>
          <w:bCs/>
          <w:color w:val="191919"/>
          <w:sz w:val="24"/>
          <w:szCs w:val="24"/>
        </w:rPr>
        <w:t xml:space="preserve">Race: </w:t>
      </w:r>
      <w:r w:rsidR="00055577">
        <w:rPr>
          <w:rFonts w:cstheme="minorHAnsi"/>
          <w:sz w:val="24"/>
          <w:szCs w:val="24"/>
        </w:rPr>
        <w:t>Over 90</w:t>
      </w:r>
      <w:r w:rsidRPr="00775482">
        <w:rPr>
          <w:rFonts w:cstheme="minorHAnsi"/>
          <w:sz w:val="24"/>
          <w:szCs w:val="24"/>
        </w:rPr>
        <w:t>% of the AJH patient population self-identify as White</w:t>
      </w:r>
      <w:r>
        <w:rPr>
          <w:rFonts w:cstheme="minorHAnsi"/>
          <w:sz w:val="24"/>
          <w:szCs w:val="24"/>
        </w:rPr>
        <w:t>.</w:t>
      </w:r>
    </w:p>
    <w:p w14:paraId="67C7DE06" w14:textId="77777777" w:rsidR="006E42FE" w:rsidRPr="00775482" w:rsidRDefault="006E42FE" w:rsidP="006E42FE">
      <w:pPr>
        <w:pStyle w:val="ListParagraph"/>
        <w:numPr>
          <w:ilvl w:val="0"/>
          <w:numId w:val="12"/>
        </w:numPr>
        <w:rPr>
          <w:rFonts w:cstheme="minorHAnsi"/>
          <w:b/>
          <w:bCs/>
          <w:color w:val="191919"/>
          <w:sz w:val="24"/>
          <w:szCs w:val="24"/>
        </w:rPr>
      </w:pPr>
      <w:r>
        <w:rPr>
          <w:rFonts w:cstheme="minorHAnsi"/>
          <w:b/>
          <w:bCs/>
          <w:color w:val="191919"/>
          <w:sz w:val="24"/>
          <w:szCs w:val="24"/>
        </w:rPr>
        <w:t xml:space="preserve">Ethnicity: </w:t>
      </w:r>
      <w:r>
        <w:rPr>
          <w:rFonts w:cstheme="minorHAnsi"/>
          <w:color w:val="191919"/>
          <w:sz w:val="24"/>
          <w:szCs w:val="24"/>
        </w:rPr>
        <w:t>The Applicant’s</w:t>
      </w:r>
      <w:r w:rsidRPr="00A25D44">
        <w:rPr>
          <w:rFonts w:cstheme="minorHAnsi"/>
          <w:color w:val="191919"/>
          <w:sz w:val="24"/>
          <w:szCs w:val="24"/>
        </w:rPr>
        <w:t xml:space="preserve"> </w:t>
      </w:r>
      <w:r>
        <w:rPr>
          <w:rFonts w:cstheme="minorHAnsi"/>
          <w:color w:val="191919"/>
          <w:sz w:val="24"/>
          <w:szCs w:val="24"/>
        </w:rPr>
        <w:t>efforts to improve</w:t>
      </w:r>
      <w:r w:rsidRPr="00A25D44">
        <w:rPr>
          <w:rFonts w:cstheme="minorHAnsi"/>
          <w:color w:val="191919"/>
          <w:sz w:val="24"/>
          <w:szCs w:val="24"/>
        </w:rPr>
        <w:t xml:space="preserve"> data collection (detailed in Factor 1b) resulted in a reduction in the percentage of patient’s declining to identify ethnicity from FY2022 to FY2023.</w:t>
      </w:r>
    </w:p>
    <w:p w14:paraId="799D7F6B" w14:textId="42488036" w:rsidR="006E42FE" w:rsidRPr="00A25D44" w:rsidRDefault="006E42FE" w:rsidP="006E42FE">
      <w:pPr>
        <w:pStyle w:val="ListParagraph"/>
        <w:numPr>
          <w:ilvl w:val="0"/>
          <w:numId w:val="12"/>
        </w:numPr>
        <w:rPr>
          <w:sz w:val="24"/>
          <w:szCs w:val="24"/>
        </w:rPr>
      </w:pPr>
      <w:r w:rsidRPr="00A25D44">
        <w:rPr>
          <w:b/>
          <w:bCs/>
          <w:sz w:val="24"/>
          <w:szCs w:val="24"/>
        </w:rPr>
        <w:t>Payer Mix:</w:t>
      </w:r>
      <w:r w:rsidRPr="00A25D44">
        <w:rPr>
          <w:sz w:val="24"/>
          <w:szCs w:val="24"/>
        </w:rPr>
        <w:t xml:space="preserve"> Like BILH, Commercial payers are the primary payer source for AJH (</w:t>
      </w:r>
      <w:r w:rsidR="00ED5518">
        <w:rPr>
          <w:sz w:val="24"/>
          <w:szCs w:val="24"/>
        </w:rPr>
        <w:t>~51</w:t>
      </w:r>
      <w:r w:rsidRPr="00A25D44">
        <w:rPr>
          <w:sz w:val="24"/>
          <w:szCs w:val="24"/>
        </w:rPr>
        <w:t>%), followed by Medicare (</w:t>
      </w:r>
      <w:r w:rsidR="00055577">
        <w:rPr>
          <w:sz w:val="24"/>
          <w:szCs w:val="24"/>
        </w:rPr>
        <w:t>~</w:t>
      </w:r>
      <w:r w:rsidRPr="00A25D44">
        <w:rPr>
          <w:sz w:val="24"/>
          <w:szCs w:val="24"/>
        </w:rPr>
        <w:t>30%) and M</w:t>
      </w:r>
      <w:r w:rsidR="00055577">
        <w:rPr>
          <w:sz w:val="24"/>
          <w:szCs w:val="24"/>
        </w:rPr>
        <w:t>edicaid</w:t>
      </w:r>
      <w:r w:rsidRPr="00A25D44">
        <w:rPr>
          <w:sz w:val="24"/>
          <w:szCs w:val="24"/>
        </w:rPr>
        <w:t xml:space="preserve"> (</w:t>
      </w:r>
      <w:r w:rsidR="00055577">
        <w:rPr>
          <w:sz w:val="24"/>
          <w:szCs w:val="24"/>
        </w:rPr>
        <w:t>~12</w:t>
      </w:r>
      <w:r w:rsidRPr="00A25D44">
        <w:rPr>
          <w:sz w:val="24"/>
          <w:szCs w:val="24"/>
        </w:rPr>
        <w:t>%).</w:t>
      </w:r>
    </w:p>
    <w:p w14:paraId="2A2E13A6" w14:textId="77777777" w:rsidR="006E42FE" w:rsidRPr="00704824" w:rsidRDefault="006E42FE" w:rsidP="006E42FE">
      <w:pPr>
        <w:rPr>
          <w:rFonts w:cstheme="minorHAnsi"/>
          <w:highlight w:val="yellow"/>
        </w:rPr>
      </w:pPr>
    </w:p>
    <w:p w14:paraId="44B490CF" w14:textId="77777777" w:rsidR="006E42FE" w:rsidRPr="00083A86" w:rsidRDefault="006E42FE" w:rsidP="006E42FE">
      <w:pPr>
        <w:pStyle w:val="Caption"/>
        <w:spacing w:after="0"/>
        <w:contextualSpacing/>
        <w:jc w:val="center"/>
        <w:rPr>
          <w:rFonts w:cstheme="minorHAnsi"/>
          <w:color w:val="42558C" w:themeColor="accent1" w:themeShade="BF"/>
          <w:sz w:val="24"/>
          <w:szCs w:val="24"/>
        </w:rPr>
      </w:pPr>
      <w:r w:rsidRPr="00083A86">
        <w:rPr>
          <w:rFonts w:cstheme="minorHAnsi"/>
          <w:color w:val="42558C" w:themeColor="accent1" w:themeShade="BF"/>
          <w:sz w:val="24"/>
          <w:szCs w:val="24"/>
          <w:u w:val="single"/>
        </w:rPr>
        <w:t>Table 3</w:t>
      </w:r>
      <w:r w:rsidRPr="00083A86">
        <w:rPr>
          <w:rFonts w:cstheme="minorHAnsi"/>
          <w:color w:val="42558C" w:themeColor="accent1" w:themeShade="BF"/>
          <w:sz w:val="24"/>
          <w:szCs w:val="24"/>
        </w:rPr>
        <w:t>: Anna Jaques Patient Population, FY2022-FY2023</w:t>
      </w:r>
    </w:p>
    <w:tbl>
      <w:tblPr>
        <w:tblStyle w:val="TableGrid"/>
        <w:tblW w:w="0" w:type="auto"/>
        <w:jc w:val="center"/>
        <w:tblLook w:val="04A0" w:firstRow="1" w:lastRow="0" w:firstColumn="1" w:lastColumn="0" w:noHBand="0" w:noVBand="1"/>
      </w:tblPr>
      <w:tblGrid>
        <w:gridCol w:w="5215"/>
        <w:gridCol w:w="1980"/>
        <w:gridCol w:w="1710"/>
      </w:tblGrid>
      <w:tr w:rsidR="006E42FE" w:rsidRPr="006757BA" w14:paraId="6ECA5A76" w14:textId="77777777" w:rsidTr="00E20A6A">
        <w:trPr>
          <w:cantSplit/>
          <w:trHeight w:val="144"/>
          <w:tblHeader/>
          <w:jc w:val="center"/>
        </w:trPr>
        <w:tc>
          <w:tcPr>
            <w:tcW w:w="5215" w:type="dxa"/>
            <w:tcBorders>
              <w:bottom w:val="single" w:sz="4" w:space="0" w:color="auto"/>
            </w:tcBorders>
            <w:shd w:val="clear" w:color="auto" w:fill="BFC8E1" w:themeFill="accent1" w:themeFillTint="66"/>
          </w:tcPr>
          <w:p w14:paraId="5E24364E" w14:textId="77777777" w:rsidR="006E42FE" w:rsidRPr="006757BA" w:rsidRDefault="006E42FE" w:rsidP="00E20A6A">
            <w:pPr>
              <w:rPr>
                <w:rFonts w:asciiTheme="minorHAnsi" w:hAnsiTheme="minorHAnsi" w:cstheme="minorHAnsi"/>
                <w:highlight w:val="yellow"/>
              </w:rPr>
            </w:pPr>
          </w:p>
        </w:tc>
        <w:tc>
          <w:tcPr>
            <w:tcW w:w="1980" w:type="dxa"/>
            <w:tcBorders>
              <w:bottom w:val="single" w:sz="4" w:space="0" w:color="auto"/>
            </w:tcBorders>
            <w:shd w:val="clear" w:color="auto" w:fill="BFC8E1" w:themeFill="accent1" w:themeFillTint="66"/>
          </w:tcPr>
          <w:p w14:paraId="2E4437C3" w14:textId="77777777" w:rsidR="006E42FE" w:rsidRPr="006757BA" w:rsidRDefault="006E42FE" w:rsidP="00E20A6A">
            <w:pPr>
              <w:jc w:val="center"/>
              <w:rPr>
                <w:rFonts w:asciiTheme="minorHAnsi" w:eastAsia="Calibri" w:hAnsiTheme="minorHAnsi" w:cstheme="minorHAnsi"/>
                <w:b/>
                <w:highlight w:val="yellow"/>
              </w:rPr>
            </w:pPr>
            <w:r w:rsidRPr="00083A86">
              <w:rPr>
                <w:rFonts w:asciiTheme="minorHAnsi" w:eastAsia="Calibri" w:hAnsiTheme="minorHAnsi" w:cstheme="minorHAnsi"/>
                <w:b/>
              </w:rPr>
              <w:t>FY2022 Totals</w:t>
            </w:r>
          </w:p>
        </w:tc>
        <w:tc>
          <w:tcPr>
            <w:tcW w:w="1710" w:type="dxa"/>
            <w:tcBorders>
              <w:bottom w:val="single" w:sz="4" w:space="0" w:color="auto"/>
            </w:tcBorders>
            <w:shd w:val="clear" w:color="auto" w:fill="BFC8E1" w:themeFill="accent1" w:themeFillTint="66"/>
          </w:tcPr>
          <w:p w14:paraId="0A1BFD20" w14:textId="77777777" w:rsidR="006E42FE" w:rsidRPr="006757BA" w:rsidRDefault="006E42FE" w:rsidP="00E20A6A">
            <w:pPr>
              <w:jc w:val="center"/>
              <w:rPr>
                <w:rFonts w:asciiTheme="minorHAnsi" w:eastAsia="Calibri" w:hAnsiTheme="minorHAnsi" w:cstheme="minorHAnsi"/>
                <w:b/>
                <w:highlight w:val="yellow"/>
              </w:rPr>
            </w:pPr>
            <w:r w:rsidRPr="00F37356">
              <w:rPr>
                <w:rFonts w:asciiTheme="minorHAnsi" w:eastAsia="Calibri" w:hAnsiTheme="minorHAnsi" w:cstheme="minorHAnsi"/>
                <w:b/>
              </w:rPr>
              <w:t>FY2023 Totals</w:t>
            </w:r>
          </w:p>
        </w:tc>
      </w:tr>
      <w:tr w:rsidR="006E42FE" w:rsidRPr="006757BA" w14:paraId="4D5CA4C4" w14:textId="77777777" w:rsidTr="00E20A6A">
        <w:trPr>
          <w:cantSplit/>
          <w:trHeight w:val="144"/>
          <w:jc w:val="center"/>
        </w:trPr>
        <w:tc>
          <w:tcPr>
            <w:tcW w:w="5215" w:type="dxa"/>
            <w:tcBorders>
              <w:bottom w:val="single" w:sz="4" w:space="0" w:color="auto"/>
            </w:tcBorders>
          </w:tcPr>
          <w:p w14:paraId="63FD56A7" w14:textId="77777777" w:rsidR="006E42FE" w:rsidRPr="00083A86" w:rsidRDefault="006E42FE" w:rsidP="00E20A6A">
            <w:pPr>
              <w:rPr>
                <w:rFonts w:asciiTheme="minorHAnsi" w:hAnsiTheme="minorHAnsi" w:cstheme="minorHAnsi"/>
              </w:rPr>
            </w:pPr>
            <w:r w:rsidRPr="00083A86">
              <w:rPr>
                <w:rFonts w:asciiTheme="minorHAnsi" w:eastAsia="Calibri" w:hAnsiTheme="minorHAnsi" w:cstheme="minorHAnsi"/>
                <w:b/>
              </w:rPr>
              <w:t>Total Unique Patients</w:t>
            </w:r>
          </w:p>
        </w:tc>
        <w:tc>
          <w:tcPr>
            <w:tcW w:w="1980" w:type="dxa"/>
            <w:tcBorders>
              <w:bottom w:val="single" w:sz="4" w:space="0" w:color="auto"/>
            </w:tcBorders>
          </w:tcPr>
          <w:p w14:paraId="08F23331" w14:textId="77777777" w:rsidR="006E42FE" w:rsidRPr="006757BA" w:rsidRDefault="006E42FE" w:rsidP="00E20A6A">
            <w:pPr>
              <w:ind w:left="720" w:hanging="557"/>
              <w:contextualSpacing/>
              <w:jc w:val="right"/>
              <w:rPr>
                <w:rFonts w:asciiTheme="minorHAnsi" w:eastAsia="Calibri" w:hAnsiTheme="minorHAnsi" w:cstheme="minorHAnsi"/>
                <w:b/>
                <w:highlight w:val="yellow"/>
              </w:rPr>
            </w:pPr>
            <w:r w:rsidRPr="004D230F">
              <w:rPr>
                <w:rFonts w:asciiTheme="minorHAnsi" w:hAnsiTheme="minorHAnsi" w:cstheme="minorHAnsi"/>
                <w:color w:val="000000"/>
              </w:rPr>
              <w:t>61,555</w:t>
            </w:r>
          </w:p>
        </w:tc>
        <w:tc>
          <w:tcPr>
            <w:tcW w:w="1710" w:type="dxa"/>
            <w:tcBorders>
              <w:bottom w:val="single" w:sz="4" w:space="0" w:color="auto"/>
            </w:tcBorders>
          </w:tcPr>
          <w:p w14:paraId="4EA28F34" w14:textId="77777777" w:rsidR="006E42FE" w:rsidRPr="006757BA" w:rsidRDefault="006E42FE" w:rsidP="00E20A6A">
            <w:pPr>
              <w:ind w:left="720" w:hanging="557"/>
              <w:contextualSpacing/>
              <w:jc w:val="right"/>
              <w:rPr>
                <w:rFonts w:asciiTheme="minorHAnsi" w:eastAsia="Calibri" w:hAnsiTheme="minorHAnsi" w:cstheme="minorHAnsi"/>
                <w:bCs/>
                <w:highlight w:val="yellow"/>
              </w:rPr>
            </w:pPr>
            <w:r w:rsidRPr="00AF01BC">
              <w:rPr>
                <w:rFonts w:asciiTheme="minorHAnsi" w:hAnsiTheme="minorHAnsi" w:cstheme="minorHAnsi"/>
                <w:color w:val="000000"/>
              </w:rPr>
              <w:t>63,260</w:t>
            </w:r>
          </w:p>
        </w:tc>
      </w:tr>
      <w:tr w:rsidR="006E42FE" w:rsidRPr="006757BA" w14:paraId="682DAD71" w14:textId="77777777" w:rsidTr="00E20A6A">
        <w:trPr>
          <w:cantSplit/>
          <w:trHeight w:val="144"/>
          <w:jc w:val="center"/>
        </w:trPr>
        <w:tc>
          <w:tcPr>
            <w:tcW w:w="5215" w:type="dxa"/>
            <w:tcBorders>
              <w:top w:val="single" w:sz="4" w:space="0" w:color="auto"/>
              <w:left w:val="single" w:sz="4" w:space="0" w:color="auto"/>
              <w:bottom w:val="nil"/>
              <w:right w:val="single" w:sz="4" w:space="0" w:color="auto"/>
            </w:tcBorders>
          </w:tcPr>
          <w:p w14:paraId="7629DC1A" w14:textId="77777777" w:rsidR="006E42FE" w:rsidRPr="00083A86" w:rsidRDefault="006E42FE" w:rsidP="00E20A6A">
            <w:pPr>
              <w:contextualSpacing/>
              <w:rPr>
                <w:rFonts w:asciiTheme="minorHAnsi" w:eastAsia="Calibri" w:hAnsiTheme="minorHAnsi" w:cstheme="minorHAnsi"/>
                <w:bCs/>
              </w:rPr>
            </w:pPr>
            <w:r w:rsidRPr="00083A86">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3EEDB6AD" w14:textId="77777777" w:rsidR="006E42FE" w:rsidRPr="006757BA" w:rsidRDefault="006E42FE" w:rsidP="00E20A6A">
            <w:pPr>
              <w:contextualSpacing/>
              <w:rPr>
                <w:rFonts w:asciiTheme="minorHAnsi" w:eastAsia="Calibri" w:hAnsiTheme="minorHAnsi" w:cstheme="minorHAnsi"/>
                <w:bCs/>
                <w:highlight w:val="yellow"/>
              </w:rPr>
            </w:pPr>
          </w:p>
        </w:tc>
        <w:tc>
          <w:tcPr>
            <w:tcW w:w="1710" w:type="dxa"/>
            <w:tcBorders>
              <w:top w:val="single" w:sz="4" w:space="0" w:color="auto"/>
              <w:left w:val="single" w:sz="4" w:space="0" w:color="auto"/>
              <w:bottom w:val="nil"/>
              <w:right w:val="single" w:sz="4" w:space="0" w:color="auto"/>
            </w:tcBorders>
          </w:tcPr>
          <w:p w14:paraId="4085CD9C" w14:textId="77777777" w:rsidR="006E42FE" w:rsidRPr="006757BA" w:rsidRDefault="006E42FE" w:rsidP="00E20A6A">
            <w:pPr>
              <w:ind w:left="720" w:hanging="557"/>
              <w:contextualSpacing/>
              <w:jc w:val="right"/>
              <w:rPr>
                <w:rFonts w:asciiTheme="minorHAnsi" w:eastAsia="Calibri" w:hAnsiTheme="minorHAnsi" w:cstheme="minorHAnsi"/>
                <w:bCs/>
                <w:highlight w:val="yellow"/>
              </w:rPr>
            </w:pPr>
          </w:p>
        </w:tc>
      </w:tr>
      <w:tr w:rsidR="006E42FE" w:rsidRPr="006757BA" w14:paraId="71D96CD5" w14:textId="77777777" w:rsidTr="00E20A6A">
        <w:trPr>
          <w:cantSplit/>
          <w:trHeight w:val="144"/>
          <w:jc w:val="center"/>
        </w:trPr>
        <w:tc>
          <w:tcPr>
            <w:tcW w:w="5215" w:type="dxa"/>
            <w:tcBorders>
              <w:top w:val="nil"/>
              <w:left w:val="single" w:sz="4" w:space="0" w:color="auto"/>
              <w:bottom w:val="nil"/>
              <w:right w:val="single" w:sz="4" w:space="0" w:color="auto"/>
            </w:tcBorders>
          </w:tcPr>
          <w:p w14:paraId="3B63A4BD" w14:textId="77777777" w:rsidR="006E42FE" w:rsidRPr="00083A86" w:rsidRDefault="006E42FE" w:rsidP="00E20A6A">
            <w:pPr>
              <w:contextualSpacing/>
              <w:rPr>
                <w:rFonts w:asciiTheme="minorHAnsi" w:eastAsia="Calibri" w:hAnsiTheme="minorHAnsi" w:cstheme="minorHAnsi"/>
                <w:b/>
              </w:rPr>
            </w:pPr>
            <w:r w:rsidRPr="00083A86">
              <w:rPr>
                <w:rFonts w:asciiTheme="minorHAnsi" w:eastAsia="Calibri" w:hAnsiTheme="minorHAnsi" w:cstheme="minorHAnsi"/>
                <w:bCs/>
              </w:rPr>
              <w:t xml:space="preserve">   Female</w:t>
            </w:r>
          </w:p>
        </w:tc>
        <w:tc>
          <w:tcPr>
            <w:tcW w:w="1980" w:type="dxa"/>
            <w:tcBorders>
              <w:top w:val="nil"/>
              <w:left w:val="single" w:sz="4" w:space="0" w:color="auto"/>
              <w:bottom w:val="nil"/>
              <w:right w:val="single" w:sz="4" w:space="0" w:color="auto"/>
            </w:tcBorders>
            <w:vAlign w:val="center"/>
          </w:tcPr>
          <w:p w14:paraId="78B3B495" w14:textId="77777777" w:rsidR="006E42FE" w:rsidRPr="005D77FB" w:rsidRDefault="006E42FE" w:rsidP="00E20A6A">
            <w:pPr>
              <w:ind w:left="720" w:hanging="557"/>
              <w:contextualSpacing/>
              <w:jc w:val="right"/>
              <w:rPr>
                <w:rFonts w:asciiTheme="minorHAnsi" w:eastAsia="Calibri" w:hAnsiTheme="minorHAnsi" w:cstheme="minorHAnsi"/>
                <w:bCs/>
              </w:rPr>
            </w:pPr>
            <w:r w:rsidRPr="005D77FB">
              <w:rPr>
                <w:rFonts w:asciiTheme="minorHAnsi" w:hAnsiTheme="minorHAnsi" w:cstheme="minorHAnsi"/>
                <w:color w:val="000000"/>
              </w:rPr>
              <w:t>62.44%</w:t>
            </w:r>
          </w:p>
        </w:tc>
        <w:tc>
          <w:tcPr>
            <w:tcW w:w="1710" w:type="dxa"/>
            <w:tcBorders>
              <w:top w:val="nil"/>
              <w:left w:val="single" w:sz="4" w:space="0" w:color="auto"/>
              <w:bottom w:val="nil"/>
              <w:right w:val="single" w:sz="4" w:space="0" w:color="auto"/>
            </w:tcBorders>
            <w:vAlign w:val="center"/>
          </w:tcPr>
          <w:p w14:paraId="2123B4BD" w14:textId="3BC168C2" w:rsidR="006E42FE" w:rsidRPr="005D77FB" w:rsidRDefault="005D77FB" w:rsidP="00E20A6A">
            <w:pPr>
              <w:ind w:left="720" w:hanging="557"/>
              <w:contextualSpacing/>
              <w:jc w:val="right"/>
              <w:rPr>
                <w:rFonts w:asciiTheme="minorHAnsi" w:hAnsiTheme="minorHAnsi" w:cstheme="minorHAnsi"/>
                <w:color w:val="000000"/>
              </w:rPr>
            </w:pPr>
            <w:r w:rsidRPr="005D77FB">
              <w:rPr>
                <w:rFonts w:asciiTheme="minorHAnsi" w:hAnsiTheme="minorHAnsi" w:cstheme="minorHAnsi"/>
                <w:color w:val="000000"/>
              </w:rPr>
              <w:t>62.29</w:t>
            </w:r>
            <w:r w:rsidR="006E42FE" w:rsidRPr="005D77FB">
              <w:rPr>
                <w:rFonts w:asciiTheme="minorHAnsi" w:hAnsiTheme="minorHAnsi" w:cstheme="minorHAnsi"/>
                <w:color w:val="000000"/>
              </w:rPr>
              <w:t>%</w:t>
            </w:r>
          </w:p>
        </w:tc>
      </w:tr>
      <w:tr w:rsidR="006E42FE" w:rsidRPr="006757BA" w14:paraId="75932756" w14:textId="77777777" w:rsidTr="00E20A6A">
        <w:trPr>
          <w:cantSplit/>
          <w:trHeight w:val="144"/>
          <w:jc w:val="center"/>
        </w:trPr>
        <w:tc>
          <w:tcPr>
            <w:tcW w:w="5215" w:type="dxa"/>
            <w:tcBorders>
              <w:top w:val="nil"/>
              <w:left w:val="single" w:sz="4" w:space="0" w:color="auto"/>
              <w:bottom w:val="nil"/>
              <w:right w:val="single" w:sz="4" w:space="0" w:color="auto"/>
            </w:tcBorders>
          </w:tcPr>
          <w:p w14:paraId="3D310DBB" w14:textId="77777777" w:rsidR="006E42FE" w:rsidRPr="00083A86" w:rsidRDefault="006E42FE" w:rsidP="00E20A6A">
            <w:pPr>
              <w:ind w:left="720" w:hanging="557"/>
              <w:contextualSpacing/>
              <w:rPr>
                <w:rFonts w:asciiTheme="minorHAnsi" w:eastAsia="Calibri" w:hAnsiTheme="minorHAnsi" w:cstheme="minorHAnsi"/>
                <w:bCs/>
              </w:rPr>
            </w:pPr>
            <w:r w:rsidRPr="00083A86">
              <w:rPr>
                <w:rFonts w:asciiTheme="minorHAnsi" w:eastAsia="Calibri" w:hAnsiTheme="minorHAnsi" w:cstheme="minorHAnsi"/>
                <w:bCs/>
              </w:rPr>
              <w:t>Male</w:t>
            </w:r>
            <w:r>
              <w:rPr>
                <w:rStyle w:val="FootnoteReference"/>
                <w:rFonts w:asciiTheme="minorHAnsi" w:eastAsia="Calibri" w:hAnsiTheme="minorHAnsi" w:cstheme="minorHAnsi"/>
                <w:bCs/>
              </w:rPr>
              <w:footnoteReference w:id="11"/>
            </w:r>
          </w:p>
        </w:tc>
        <w:tc>
          <w:tcPr>
            <w:tcW w:w="1980" w:type="dxa"/>
            <w:tcBorders>
              <w:top w:val="nil"/>
              <w:left w:val="single" w:sz="4" w:space="0" w:color="auto"/>
              <w:bottom w:val="nil"/>
              <w:right w:val="single" w:sz="4" w:space="0" w:color="auto"/>
            </w:tcBorders>
            <w:vAlign w:val="center"/>
          </w:tcPr>
          <w:p w14:paraId="1DE89D92" w14:textId="77777777" w:rsidR="006E42FE" w:rsidRPr="005D77FB" w:rsidRDefault="006E42FE" w:rsidP="00E20A6A">
            <w:pPr>
              <w:ind w:left="720" w:hanging="557"/>
              <w:contextualSpacing/>
              <w:jc w:val="right"/>
              <w:rPr>
                <w:rFonts w:asciiTheme="minorHAnsi" w:eastAsia="Calibri" w:hAnsiTheme="minorHAnsi" w:cstheme="minorHAnsi"/>
                <w:bCs/>
              </w:rPr>
            </w:pPr>
            <w:r w:rsidRPr="005D77FB">
              <w:rPr>
                <w:rFonts w:asciiTheme="minorHAnsi" w:hAnsiTheme="minorHAnsi" w:cstheme="minorHAnsi"/>
                <w:color w:val="000000"/>
              </w:rPr>
              <w:t>37.57%</w:t>
            </w:r>
          </w:p>
        </w:tc>
        <w:tc>
          <w:tcPr>
            <w:tcW w:w="1710" w:type="dxa"/>
            <w:tcBorders>
              <w:top w:val="nil"/>
              <w:left w:val="single" w:sz="4" w:space="0" w:color="auto"/>
              <w:bottom w:val="nil"/>
              <w:right w:val="single" w:sz="4" w:space="0" w:color="auto"/>
            </w:tcBorders>
            <w:vAlign w:val="center"/>
          </w:tcPr>
          <w:p w14:paraId="7FF1AD52" w14:textId="6391A0F7" w:rsidR="006E42FE" w:rsidRPr="005D77FB" w:rsidRDefault="005D77FB" w:rsidP="00E20A6A">
            <w:pPr>
              <w:ind w:left="720" w:hanging="557"/>
              <w:contextualSpacing/>
              <w:jc w:val="right"/>
              <w:rPr>
                <w:rFonts w:asciiTheme="minorHAnsi" w:hAnsiTheme="minorHAnsi" w:cstheme="minorHAnsi"/>
                <w:color w:val="000000"/>
              </w:rPr>
            </w:pPr>
            <w:r w:rsidRPr="005D77FB">
              <w:rPr>
                <w:rFonts w:asciiTheme="minorHAnsi" w:hAnsiTheme="minorHAnsi" w:cstheme="minorHAnsi"/>
                <w:color w:val="000000"/>
              </w:rPr>
              <w:t>37.71</w:t>
            </w:r>
            <w:r w:rsidR="006E42FE" w:rsidRPr="005D77FB">
              <w:rPr>
                <w:rFonts w:asciiTheme="minorHAnsi" w:hAnsiTheme="minorHAnsi" w:cstheme="minorHAnsi"/>
                <w:color w:val="000000"/>
              </w:rPr>
              <w:t>%</w:t>
            </w:r>
          </w:p>
        </w:tc>
      </w:tr>
      <w:tr w:rsidR="006E42FE" w:rsidRPr="006757BA" w14:paraId="714B978F" w14:textId="77777777" w:rsidTr="00E20A6A">
        <w:trPr>
          <w:cantSplit/>
          <w:trHeight w:val="144"/>
          <w:jc w:val="center"/>
        </w:trPr>
        <w:tc>
          <w:tcPr>
            <w:tcW w:w="5215" w:type="dxa"/>
            <w:tcBorders>
              <w:top w:val="nil"/>
              <w:left w:val="single" w:sz="4" w:space="0" w:color="auto"/>
              <w:bottom w:val="single" w:sz="4" w:space="0" w:color="auto"/>
              <w:right w:val="single" w:sz="4" w:space="0" w:color="auto"/>
            </w:tcBorders>
          </w:tcPr>
          <w:p w14:paraId="2958F485" w14:textId="77777777" w:rsidR="006E42FE" w:rsidRPr="00083A86" w:rsidRDefault="006E42FE" w:rsidP="00E20A6A">
            <w:pPr>
              <w:contextualSpacing/>
              <w:rPr>
                <w:rFonts w:asciiTheme="minorHAnsi" w:eastAsia="Calibri" w:hAnsiTheme="minorHAnsi" w:cstheme="minorHAnsi"/>
                <w:bCs/>
              </w:rPr>
            </w:pPr>
            <w:r w:rsidRPr="00083A86">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54A969E8" w14:textId="77777777" w:rsidR="006E42FE" w:rsidRPr="006757BA" w:rsidRDefault="006E42FE" w:rsidP="00E20A6A">
            <w:pPr>
              <w:ind w:left="720" w:hanging="557"/>
              <w:contextualSpacing/>
              <w:jc w:val="right"/>
              <w:rPr>
                <w:rFonts w:asciiTheme="minorHAnsi" w:eastAsia="Calibri" w:hAnsiTheme="minorHAnsi" w:cstheme="minorHAnsi"/>
                <w:b/>
                <w:bCs/>
                <w:highlight w:val="yellow"/>
              </w:rPr>
            </w:pPr>
            <w:r w:rsidRPr="00786BA0">
              <w:rPr>
                <w:rFonts w:asciiTheme="minorHAnsi" w:hAnsiTheme="minorHAnsi" w:cstheme="minorHAnsi"/>
                <w:b/>
                <w:bCs/>
                <w:color w:val="000000"/>
              </w:rPr>
              <w:t>100.00%</w:t>
            </w:r>
          </w:p>
        </w:tc>
        <w:tc>
          <w:tcPr>
            <w:tcW w:w="1710" w:type="dxa"/>
            <w:tcBorders>
              <w:top w:val="nil"/>
              <w:left w:val="single" w:sz="4" w:space="0" w:color="auto"/>
              <w:bottom w:val="single" w:sz="4" w:space="0" w:color="auto"/>
              <w:right w:val="single" w:sz="4" w:space="0" w:color="auto"/>
            </w:tcBorders>
            <w:vAlign w:val="center"/>
          </w:tcPr>
          <w:p w14:paraId="0250D016" w14:textId="77777777" w:rsidR="006E42FE" w:rsidRPr="006757BA" w:rsidRDefault="006E42FE" w:rsidP="00E20A6A">
            <w:pPr>
              <w:ind w:left="720" w:hanging="557"/>
              <w:contextualSpacing/>
              <w:jc w:val="right"/>
              <w:rPr>
                <w:rFonts w:asciiTheme="minorHAnsi" w:eastAsia="Calibri" w:hAnsiTheme="minorHAnsi" w:cstheme="minorHAnsi"/>
                <w:b/>
                <w:bCs/>
                <w:highlight w:val="yellow"/>
              </w:rPr>
            </w:pPr>
            <w:r w:rsidRPr="004473B2">
              <w:rPr>
                <w:rFonts w:asciiTheme="minorHAnsi" w:hAnsiTheme="minorHAnsi" w:cstheme="minorHAnsi"/>
                <w:b/>
                <w:bCs/>
                <w:color w:val="000000"/>
              </w:rPr>
              <w:t>100.00%</w:t>
            </w:r>
          </w:p>
        </w:tc>
      </w:tr>
      <w:tr w:rsidR="006E42FE" w:rsidRPr="006757BA" w14:paraId="6952D9C9" w14:textId="77777777" w:rsidTr="00E20A6A">
        <w:trPr>
          <w:cantSplit/>
          <w:trHeight w:val="144"/>
          <w:jc w:val="center"/>
        </w:trPr>
        <w:tc>
          <w:tcPr>
            <w:tcW w:w="5215" w:type="dxa"/>
            <w:tcBorders>
              <w:top w:val="single" w:sz="4" w:space="0" w:color="auto"/>
              <w:left w:val="single" w:sz="4" w:space="0" w:color="auto"/>
              <w:bottom w:val="nil"/>
              <w:right w:val="single" w:sz="4" w:space="0" w:color="auto"/>
            </w:tcBorders>
          </w:tcPr>
          <w:p w14:paraId="7C02324C" w14:textId="77777777" w:rsidR="006E42FE" w:rsidRPr="00083A86" w:rsidRDefault="006E42FE" w:rsidP="00E20A6A">
            <w:pPr>
              <w:contextualSpacing/>
              <w:rPr>
                <w:rFonts w:asciiTheme="minorHAnsi" w:eastAsia="Calibri" w:hAnsiTheme="minorHAnsi" w:cstheme="minorHAnsi"/>
                <w:bCs/>
              </w:rPr>
            </w:pPr>
            <w:r w:rsidRPr="00083A86">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7B508D5C" w14:textId="77777777" w:rsidR="006E42FE" w:rsidRPr="006757BA" w:rsidRDefault="006E42FE" w:rsidP="00E20A6A">
            <w:pPr>
              <w:contextualSpacing/>
              <w:rPr>
                <w:rFonts w:asciiTheme="minorHAnsi" w:eastAsia="Calibri" w:hAnsiTheme="minorHAnsi" w:cstheme="minorHAnsi"/>
                <w:bCs/>
                <w:highlight w:val="yellow"/>
              </w:rPr>
            </w:pPr>
          </w:p>
        </w:tc>
        <w:tc>
          <w:tcPr>
            <w:tcW w:w="1710" w:type="dxa"/>
            <w:tcBorders>
              <w:top w:val="single" w:sz="4" w:space="0" w:color="auto"/>
              <w:left w:val="single" w:sz="4" w:space="0" w:color="auto"/>
              <w:bottom w:val="nil"/>
              <w:right w:val="single" w:sz="4" w:space="0" w:color="auto"/>
            </w:tcBorders>
          </w:tcPr>
          <w:p w14:paraId="5C4BF715" w14:textId="77777777" w:rsidR="006E42FE" w:rsidRPr="006757BA" w:rsidRDefault="006E42FE" w:rsidP="00E20A6A">
            <w:pPr>
              <w:ind w:left="720" w:hanging="557"/>
              <w:contextualSpacing/>
              <w:jc w:val="right"/>
              <w:rPr>
                <w:rFonts w:asciiTheme="minorHAnsi" w:eastAsia="Calibri" w:hAnsiTheme="minorHAnsi" w:cstheme="minorHAnsi"/>
                <w:bCs/>
                <w:highlight w:val="yellow"/>
              </w:rPr>
            </w:pPr>
          </w:p>
        </w:tc>
      </w:tr>
      <w:tr w:rsidR="006E42FE" w:rsidRPr="006757BA" w14:paraId="03847AE9" w14:textId="77777777" w:rsidTr="00E20A6A">
        <w:trPr>
          <w:cantSplit/>
          <w:trHeight w:val="144"/>
          <w:jc w:val="center"/>
        </w:trPr>
        <w:tc>
          <w:tcPr>
            <w:tcW w:w="5215" w:type="dxa"/>
            <w:tcBorders>
              <w:top w:val="nil"/>
              <w:left w:val="single" w:sz="4" w:space="0" w:color="auto"/>
              <w:bottom w:val="nil"/>
              <w:right w:val="single" w:sz="4" w:space="0" w:color="auto"/>
            </w:tcBorders>
          </w:tcPr>
          <w:p w14:paraId="2A79E936" w14:textId="77777777" w:rsidR="006E42FE" w:rsidRPr="00083A86" w:rsidRDefault="006E42FE" w:rsidP="00E20A6A">
            <w:pPr>
              <w:contextualSpacing/>
              <w:rPr>
                <w:rFonts w:asciiTheme="minorHAnsi" w:eastAsia="Calibri" w:hAnsiTheme="minorHAnsi" w:cstheme="minorHAnsi"/>
                <w:b/>
              </w:rPr>
            </w:pPr>
            <w:r w:rsidRPr="00083A86">
              <w:rPr>
                <w:rFonts w:asciiTheme="minorHAnsi" w:eastAsia="Calibri" w:hAnsiTheme="minorHAnsi" w:cstheme="minorHAnsi"/>
                <w:bCs/>
              </w:rPr>
              <w:t xml:space="preserve">    0-1</w:t>
            </w:r>
            <w:r>
              <w:rPr>
                <w:rFonts w:asciiTheme="minorHAnsi" w:eastAsia="Calibri" w:hAnsiTheme="minorHAnsi" w:cstheme="minorHAnsi"/>
                <w:bCs/>
              </w:rPr>
              <w:t>7</w:t>
            </w:r>
          </w:p>
        </w:tc>
        <w:tc>
          <w:tcPr>
            <w:tcW w:w="1980" w:type="dxa"/>
            <w:tcBorders>
              <w:top w:val="nil"/>
              <w:left w:val="single" w:sz="4" w:space="0" w:color="auto"/>
              <w:bottom w:val="nil"/>
              <w:right w:val="single" w:sz="4" w:space="0" w:color="auto"/>
            </w:tcBorders>
            <w:vAlign w:val="bottom"/>
          </w:tcPr>
          <w:p w14:paraId="21F47364" w14:textId="77777777" w:rsidR="006E42FE" w:rsidRPr="00421A47" w:rsidRDefault="006E42FE" w:rsidP="00E20A6A">
            <w:pPr>
              <w:ind w:left="720" w:hanging="557"/>
              <w:contextualSpacing/>
              <w:jc w:val="right"/>
              <w:rPr>
                <w:rFonts w:asciiTheme="minorHAnsi" w:eastAsia="Calibri" w:hAnsiTheme="minorHAnsi" w:cstheme="minorHAnsi"/>
                <w:bCs/>
                <w:highlight w:val="yellow"/>
              </w:rPr>
            </w:pPr>
            <w:r w:rsidRPr="00421A47">
              <w:rPr>
                <w:rFonts w:asciiTheme="minorHAnsi" w:hAnsiTheme="minorHAnsi" w:cstheme="minorHAnsi"/>
                <w:color w:val="000000"/>
              </w:rPr>
              <w:t>11.67%</w:t>
            </w:r>
          </w:p>
        </w:tc>
        <w:tc>
          <w:tcPr>
            <w:tcW w:w="1710" w:type="dxa"/>
            <w:tcBorders>
              <w:top w:val="nil"/>
              <w:left w:val="single" w:sz="4" w:space="0" w:color="auto"/>
              <w:bottom w:val="nil"/>
              <w:right w:val="single" w:sz="4" w:space="0" w:color="auto"/>
            </w:tcBorders>
            <w:vAlign w:val="center"/>
          </w:tcPr>
          <w:p w14:paraId="39FB94B3" w14:textId="77777777" w:rsidR="006E42FE" w:rsidRPr="00AF01BC" w:rsidRDefault="006E42FE" w:rsidP="00E20A6A">
            <w:pPr>
              <w:ind w:left="720" w:hanging="557"/>
              <w:contextualSpacing/>
              <w:jc w:val="right"/>
              <w:rPr>
                <w:rFonts w:asciiTheme="minorHAnsi" w:hAnsiTheme="minorHAnsi" w:cstheme="minorHAnsi"/>
                <w:color w:val="000000"/>
              </w:rPr>
            </w:pPr>
            <w:r w:rsidRPr="00AF01BC">
              <w:rPr>
                <w:rFonts w:asciiTheme="minorHAnsi" w:hAnsiTheme="minorHAnsi" w:cstheme="minorHAnsi"/>
                <w:color w:val="000000"/>
              </w:rPr>
              <w:t>11.85%</w:t>
            </w:r>
          </w:p>
        </w:tc>
      </w:tr>
      <w:tr w:rsidR="006E42FE" w:rsidRPr="006757BA" w14:paraId="1BCE8163" w14:textId="77777777" w:rsidTr="00E20A6A">
        <w:trPr>
          <w:cantSplit/>
          <w:trHeight w:val="144"/>
          <w:jc w:val="center"/>
        </w:trPr>
        <w:tc>
          <w:tcPr>
            <w:tcW w:w="5215" w:type="dxa"/>
            <w:tcBorders>
              <w:top w:val="nil"/>
              <w:left w:val="single" w:sz="4" w:space="0" w:color="auto"/>
              <w:bottom w:val="nil"/>
              <w:right w:val="single" w:sz="4" w:space="0" w:color="auto"/>
            </w:tcBorders>
          </w:tcPr>
          <w:p w14:paraId="0C6BF4FE" w14:textId="77777777" w:rsidR="006E42FE" w:rsidRPr="00083A86" w:rsidRDefault="006E42FE" w:rsidP="00E20A6A">
            <w:pPr>
              <w:ind w:left="720" w:hanging="557"/>
              <w:contextualSpacing/>
              <w:rPr>
                <w:rFonts w:asciiTheme="minorHAnsi" w:eastAsia="Calibri" w:hAnsiTheme="minorHAnsi" w:cstheme="minorHAnsi"/>
                <w:bCs/>
              </w:rPr>
            </w:pPr>
            <w:r w:rsidRPr="00083A86">
              <w:rPr>
                <w:rFonts w:asciiTheme="minorHAnsi" w:eastAsia="Calibri" w:hAnsiTheme="minorHAnsi" w:cstheme="minorHAnsi"/>
                <w:bCs/>
              </w:rPr>
              <w:t>1</w:t>
            </w:r>
            <w:r>
              <w:rPr>
                <w:rFonts w:asciiTheme="minorHAnsi" w:eastAsia="Calibri" w:hAnsiTheme="minorHAnsi" w:cstheme="minorHAnsi"/>
                <w:bCs/>
              </w:rPr>
              <w:t>8</w:t>
            </w:r>
            <w:r w:rsidRPr="00083A86">
              <w:rPr>
                <w:rFonts w:asciiTheme="minorHAnsi" w:eastAsia="Calibri" w:hAnsiTheme="minorHAnsi" w:cstheme="minorHAnsi"/>
                <w:bCs/>
              </w:rPr>
              <w:t>-</w:t>
            </w:r>
            <w:r>
              <w:rPr>
                <w:rFonts w:asciiTheme="minorHAnsi" w:eastAsia="Calibri" w:hAnsiTheme="minorHAnsi" w:cstheme="minorHAnsi"/>
                <w:bCs/>
              </w:rPr>
              <w:t>64</w:t>
            </w:r>
          </w:p>
        </w:tc>
        <w:tc>
          <w:tcPr>
            <w:tcW w:w="1980" w:type="dxa"/>
            <w:tcBorders>
              <w:top w:val="nil"/>
              <w:left w:val="single" w:sz="4" w:space="0" w:color="auto"/>
              <w:bottom w:val="nil"/>
              <w:right w:val="single" w:sz="4" w:space="0" w:color="auto"/>
            </w:tcBorders>
            <w:vAlign w:val="bottom"/>
          </w:tcPr>
          <w:p w14:paraId="24A27E88" w14:textId="77777777" w:rsidR="006E42FE" w:rsidRPr="00421A47" w:rsidRDefault="006E42FE" w:rsidP="00E20A6A">
            <w:pPr>
              <w:ind w:left="720" w:hanging="557"/>
              <w:contextualSpacing/>
              <w:jc w:val="right"/>
              <w:rPr>
                <w:rFonts w:asciiTheme="minorHAnsi" w:eastAsia="Calibri" w:hAnsiTheme="minorHAnsi" w:cstheme="minorHAnsi"/>
                <w:bCs/>
                <w:highlight w:val="yellow"/>
              </w:rPr>
            </w:pPr>
            <w:r w:rsidRPr="00421A47">
              <w:rPr>
                <w:rFonts w:asciiTheme="minorHAnsi" w:hAnsiTheme="minorHAnsi" w:cstheme="minorHAnsi"/>
                <w:color w:val="000000"/>
              </w:rPr>
              <w:t>58.79%</w:t>
            </w:r>
          </w:p>
        </w:tc>
        <w:tc>
          <w:tcPr>
            <w:tcW w:w="1710" w:type="dxa"/>
            <w:tcBorders>
              <w:top w:val="nil"/>
              <w:left w:val="single" w:sz="4" w:space="0" w:color="auto"/>
              <w:bottom w:val="nil"/>
              <w:right w:val="single" w:sz="4" w:space="0" w:color="auto"/>
            </w:tcBorders>
            <w:vAlign w:val="center"/>
          </w:tcPr>
          <w:p w14:paraId="08DCDB1C" w14:textId="77777777" w:rsidR="006E42FE" w:rsidRPr="00AF01BC" w:rsidRDefault="006E42FE" w:rsidP="00E20A6A">
            <w:pPr>
              <w:ind w:left="720" w:hanging="557"/>
              <w:contextualSpacing/>
              <w:jc w:val="right"/>
              <w:rPr>
                <w:rFonts w:asciiTheme="minorHAnsi" w:hAnsiTheme="minorHAnsi" w:cstheme="minorHAnsi"/>
                <w:color w:val="000000"/>
              </w:rPr>
            </w:pPr>
            <w:r w:rsidRPr="00AF01BC">
              <w:rPr>
                <w:rFonts w:asciiTheme="minorHAnsi" w:hAnsiTheme="minorHAnsi" w:cstheme="minorHAnsi"/>
                <w:color w:val="000000"/>
              </w:rPr>
              <w:t>57.42%</w:t>
            </w:r>
          </w:p>
        </w:tc>
      </w:tr>
      <w:tr w:rsidR="006E42FE" w:rsidRPr="006757BA" w14:paraId="435F58F3" w14:textId="77777777" w:rsidTr="00E20A6A">
        <w:trPr>
          <w:cantSplit/>
          <w:trHeight w:val="144"/>
          <w:jc w:val="center"/>
        </w:trPr>
        <w:tc>
          <w:tcPr>
            <w:tcW w:w="5215" w:type="dxa"/>
            <w:tcBorders>
              <w:top w:val="nil"/>
              <w:left w:val="single" w:sz="4" w:space="0" w:color="auto"/>
              <w:bottom w:val="nil"/>
              <w:right w:val="single" w:sz="4" w:space="0" w:color="auto"/>
            </w:tcBorders>
          </w:tcPr>
          <w:p w14:paraId="5C467FFD" w14:textId="77777777" w:rsidR="006E42FE" w:rsidRPr="00083A86" w:rsidRDefault="006E42FE" w:rsidP="00E20A6A">
            <w:pPr>
              <w:ind w:left="720" w:hanging="557"/>
              <w:contextualSpacing/>
              <w:rPr>
                <w:rFonts w:asciiTheme="minorHAnsi" w:eastAsia="Calibri" w:hAnsiTheme="minorHAnsi" w:cstheme="minorHAnsi"/>
                <w:bCs/>
              </w:rPr>
            </w:pPr>
            <w:r w:rsidRPr="00083A86">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vAlign w:val="bottom"/>
          </w:tcPr>
          <w:p w14:paraId="17A902A0" w14:textId="77777777" w:rsidR="006E42FE" w:rsidRPr="00421A47" w:rsidRDefault="006E42FE" w:rsidP="00E20A6A">
            <w:pPr>
              <w:ind w:left="720" w:hanging="557"/>
              <w:contextualSpacing/>
              <w:jc w:val="right"/>
              <w:rPr>
                <w:rFonts w:asciiTheme="minorHAnsi" w:eastAsia="Calibri" w:hAnsiTheme="minorHAnsi" w:cstheme="minorHAnsi"/>
                <w:bCs/>
                <w:highlight w:val="yellow"/>
              </w:rPr>
            </w:pPr>
            <w:r w:rsidRPr="00421A47">
              <w:rPr>
                <w:rFonts w:asciiTheme="minorHAnsi" w:hAnsiTheme="minorHAnsi" w:cstheme="minorHAnsi"/>
                <w:color w:val="000000"/>
              </w:rPr>
              <w:t>29.54%</w:t>
            </w:r>
          </w:p>
        </w:tc>
        <w:tc>
          <w:tcPr>
            <w:tcW w:w="1710" w:type="dxa"/>
            <w:tcBorders>
              <w:top w:val="nil"/>
              <w:left w:val="single" w:sz="4" w:space="0" w:color="auto"/>
              <w:bottom w:val="nil"/>
              <w:right w:val="single" w:sz="4" w:space="0" w:color="auto"/>
            </w:tcBorders>
            <w:vAlign w:val="center"/>
          </w:tcPr>
          <w:p w14:paraId="49D67550" w14:textId="77777777" w:rsidR="006E42FE" w:rsidRPr="00AF01BC" w:rsidRDefault="006E42FE" w:rsidP="00E20A6A">
            <w:pPr>
              <w:ind w:left="720" w:hanging="557"/>
              <w:contextualSpacing/>
              <w:jc w:val="right"/>
              <w:rPr>
                <w:rFonts w:asciiTheme="minorHAnsi" w:hAnsiTheme="minorHAnsi" w:cstheme="minorHAnsi"/>
                <w:color w:val="000000"/>
              </w:rPr>
            </w:pPr>
            <w:r w:rsidRPr="00AF01BC">
              <w:rPr>
                <w:rFonts w:asciiTheme="minorHAnsi" w:hAnsiTheme="minorHAnsi" w:cstheme="minorHAnsi"/>
                <w:color w:val="000000"/>
              </w:rPr>
              <w:t>30.74%</w:t>
            </w:r>
          </w:p>
        </w:tc>
      </w:tr>
      <w:tr w:rsidR="006E42FE" w:rsidRPr="006757BA" w14:paraId="72B4CA73" w14:textId="77777777" w:rsidTr="00E20A6A">
        <w:trPr>
          <w:cantSplit/>
          <w:trHeight w:val="144"/>
          <w:jc w:val="center"/>
        </w:trPr>
        <w:tc>
          <w:tcPr>
            <w:tcW w:w="5215" w:type="dxa"/>
            <w:tcBorders>
              <w:top w:val="nil"/>
              <w:left w:val="single" w:sz="4" w:space="0" w:color="auto"/>
              <w:bottom w:val="single" w:sz="4" w:space="0" w:color="auto"/>
              <w:right w:val="single" w:sz="4" w:space="0" w:color="auto"/>
            </w:tcBorders>
          </w:tcPr>
          <w:p w14:paraId="3BE448C8" w14:textId="77777777" w:rsidR="006E42FE" w:rsidRPr="00083A86" w:rsidRDefault="006E42FE" w:rsidP="00E20A6A">
            <w:pPr>
              <w:ind w:left="520" w:hanging="557"/>
              <w:contextualSpacing/>
              <w:rPr>
                <w:rFonts w:asciiTheme="minorHAnsi" w:eastAsia="Calibri" w:hAnsiTheme="minorHAnsi" w:cstheme="minorHAnsi"/>
                <w:b/>
              </w:rPr>
            </w:pPr>
            <w:r w:rsidRPr="00083A86">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vAlign w:val="center"/>
          </w:tcPr>
          <w:p w14:paraId="3FC8E6B7" w14:textId="77777777" w:rsidR="006E42FE" w:rsidRPr="006757BA" w:rsidRDefault="006E42FE" w:rsidP="00E20A6A">
            <w:pPr>
              <w:ind w:left="720" w:hanging="557"/>
              <w:contextualSpacing/>
              <w:jc w:val="right"/>
              <w:rPr>
                <w:rFonts w:asciiTheme="minorHAnsi" w:eastAsia="Calibri" w:hAnsiTheme="minorHAnsi" w:cstheme="minorHAnsi"/>
                <w:b/>
                <w:bCs/>
                <w:highlight w:val="yellow"/>
              </w:rPr>
            </w:pPr>
            <w:r w:rsidRPr="00421A47">
              <w:rPr>
                <w:rFonts w:asciiTheme="minorHAnsi" w:hAnsiTheme="minorHAnsi" w:cstheme="minorHAnsi"/>
                <w:b/>
                <w:bCs/>
                <w:color w:val="000000"/>
              </w:rPr>
              <w:t>100.00%</w:t>
            </w:r>
          </w:p>
        </w:tc>
        <w:tc>
          <w:tcPr>
            <w:tcW w:w="1710" w:type="dxa"/>
            <w:tcBorders>
              <w:top w:val="nil"/>
              <w:left w:val="single" w:sz="4" w:space="0" w:color="auto"/>
              <w:bottom w:val="single" w:sz="4" w:space="0" w:color="auto"/>
              <w:right w:val="single" w:sz="4" w:space="0" w:color="auto"/>
            </w:tcBorders>
            <w:vAlign w:val="center"/>
          </w:tcPr>
          <w:p w14:paraId="1947CDF4" w14:textId="77777777" w:rsidR="006E42FE" w:rsidRPr="006757BA" w:rsidRDefault="006E42FE" w:rsidP="00E20A6A">
            <w:pPr>
              <w:ind w:left="720" w:hanging="557"/>
              <w:contextualSpacing/>
              <w:jc w:val="right"/>
              <w:rPr>
                <w:rFonts w:asciiTheme="minorHAnsi" w:eastAsia="Calibri" w:hAnsiTheme="minorHAnsi" w:cstheme="minorHAnsi"/>
                <w:b/>
                <w:bCs/>
                <w:highlight w:val="yellow"/>
              </w:rPr>
            </w:pPr>
            <w:r w:rsidRPr="00AF01BC">
              <w:rPr>
                <w:rFonts w:asciiTheme="minorHAnsi" w:hAnsiTheme="minorHAnsi" w:cstheme="minorHAnsi"/>
                <w:b/>
                <w:bCs/>
                <w:color w:val="000000"/>
              </w:rPr>
              <w:t>100.00%</w:t>
            </w:r>
          </w:p>
        </w:tc>
      </w:tr>
      <w:tr w:rsidR="006E42FE" w:rsidRPr="006757BA" w14:paraId="1C8F85E0" w14:textId="77777777" w:rsidTr="00E20A6A">
        <w:trPr>
          <w:cantSplit/>
          <w:trHeight w:val="144"/>
          <w:jc w:val="center"/>
        </w:trPr>
        <w:tc>
          <w:tcPr>
            <w:tcW w:w="5215" w:type="dxa"/>
            <w:tcBorders>
              <w:top w:val="single" w:sz="4" w:space="0" w:color="auto"/>
              <w:left w:val="single" w:sz="4" w:space="0" w:color="auto"/>
              <w:bottom w:val="nil"/>
              <w:right w:val="single" w:sz="4" w:space="0" w:color="auto"/>
            </w:tcBorders>
          </w:tcPr>
          <w:p w14:paraId="1CC7A28E" w14:textId="77777777" w:rsidR="006E42FE" w:rsidRPr="00083A86" w:rsidRDefault="006E42FE" w:rsidP="00E20A6A">
            <w:pPr>
              <w:contextualSpacing/>
              <w:rPr>
                <w:rFonts w:asciiTheme="minorHAnsi" w:eastAsia="Calibri" w:hAnsiTheme="minorHAnsi" w:cstheme="minorHAnsi"/>
                <w:b/>
              </w:rPr>
            </w:pPr>
            <w:r>
              <w:rPr>
                <w:rFonts w:asciiTheme="minorHAnsi" w:eastAsia="Calibri" w:hAnsiTheme="minorHAnsi" w:cstheme="minorHAnsi"/>
                <w:b/>
              </w:rPr>
              <w:t>Race</w:t>
            </w:r>
          </w:p>
        </w:tc>
        <w:tc>
          <w:tcPr>
            <w:tcW w:w="1980" w:type="dxa"/>
            <w:tcBorders>
              <w:top w:val="single" w:sz="4" w:space="0" w:color="auto"/>
              <w:left w:val="single" w:sz="4" w:space="0" w:color="auto"/>
              <w:bottom w:val="nil"/>
              <w:right w:val="single" w:sz="4" w:space="0" w:color="auto"/>
            </w:tcBorders>
          </w:tcPr>
          <w:p w14:paraId="31B3CFF8" w14:textId="77777777" w:rsidR="006E42FE" w:rsidRPr="006757BA" w:rsidRDefault="006E42FE" w:rsidP="00E20A6A">
            <w:pPr>
              <w:rPr>
                <w:rFonts w:asciiTheme="minorHAnsi" w:hAnsiTheme="minorHAnsi" w:cstheme="minorHAnsi"/>
                <w:b/>
                <w:bCs/>
                <w:color w:val="000000"/>
                <w:highlight w:val="yellow"/>
              </w:rPr>
            </w:pPr>
          </w:p>
        </w:tc>
        <w:tc>
          <w:tcPr>
            <w:tcW w:w="1710" w:type="dxa"/>
            <w:tcBorders>
              <w:top w:val="single" w:sz="4" w:space="0" w:color="auto"/>
              <w:left w:val="single" w:sz="4" w:space="0" w:color="auto"/>
              <w:bottom w:val="nil"/>
              <w:right w:val="single" w:sz="4" w:space="0" w:color="auto"/>
            </w:tcBorders>
          </w:tcPr>
          <w:p w14:paraId="5A3E2147" w14:textId="77777777" w:rsidR="006E42FE" w:rsidRPr="006757BA" w:rsidRDefault="006E42FE" w:rsidP="00E20A6A">
            <w:pPr>
              <w:ind w:left="720" w:hanging="557"/>
              <w:contextualSpacing/>
              <w:jc w:val="right"/>
              <w:rPr>
                <w:rFonts w:asciiTheme="minorHAnsi" w:eastAsia="Calibri" w:hAnsiTheme="minorHAnsi" w:cstheme="minorHAnsi"/>
                <w:bCs/>
                <w:highlight w:val="yellow"/>
              </w:rPr>
            </w:pPr>
          </w:p>
        </w:tc>
      </w:tr>
      <w:tr w:rsidR="006E42FE" w:rsidRPr="006757BA" w14:paraId="634CCC74"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490F9720" w14:textId="77777777" w:rsidR="006E42FE" w:rsidRPr="00DD002B" w:rsidRDefault="006E42FE" w:rsidP="00E20A6A">
            <w:pPr>
              <w:ind w:left="720" w:hanging="557"/>
              <w:contextualSpacing/>
              <w:rPr>
                <w:rFonts w:asciiTheme="minorHAnsi" w:hAnsiTheme="minorHAnsi" w:cstheme="minorHAnsi"/>
                <w:spacing w:val="-2"/>
              </w:rPr>
            </w:pPr>
            <w:r w:rsidRPr="00DD002B">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bottom"/>
          </w:tcPr>
          <w:p w14:paraId="76257BAA" w14:textId="77777777" w:rsidR="006E42FE" w:rsidRPr="006F7AE9" w:rsidRDefault="006E42FE" w:rsidP="00E20A6A">
            <w:pPr>
              <w:ind w:left="720" w:hanging="557"/>
              <w:contextualSpacing/>
              <w:jc w:val="right"/>
              <w:rPr>
                <w:rFonts w:asciiTheme="minorHAnsi" w:hAnsiTheme="minorHAnsi" w:cstheme="minorHAnsi"/>
                <w:color w:val="000000"/>
                <w:highlight w:val="yellow"/>
              </w:rPr>
            </w:pPr>
            <w:r w:rsidRPr="006F7AE9">
              <w:rPr>
                <w:rFonts w:asciiTheme="minorHAnsi" w:hAnsiTheme="minorHAnsi" w:cstheme="minorHAnsi"/>
                <w:color w:val="000000"/>
              </w:rPr>
              <w:t>92.42%</w:t>
            </w:r>
          </w:p>
        </w:tc>
        <w:tc>
          <w:tcPr>
            <w:tcW w:w="1710" w:type="dxa"/>
            <w:tcBorders>
              <w:top w:val="nil"/>
              <w:left w:val="single" w:sz="4" w:space="0" w:color="auto"/>
              <w:bottom w:val="nil"/>
              <w:right w:val="single" w:sz="4" w:space="0" w:color="auto"/>
            </w:tcBorders>
            <w:vAlign w:val="center"/>
          </w:tcPr>
          <w:p w14:paraId="17062F2F"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92.16%</w:t>
            </w:r>
          </w:p>
        </w:tc>
      </w:tr>
      <w:tr w:rsidR="006E42FE" w:rsidRPr="006757BA" w14:paraId="07C1E8B9"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144C68B1" w14:textId="77777777" w:rsidR="006E42FE" w:rsidRPr="00DD002B" w:rsidRDefault="006E42FE" w:rsidP="00E20A6A">
            <w:pPr>
              <w:ind w:left="720" w:hanging="557"/>
              <w:contextualSpacing/>
              <w:rPr>
                <w:rFonts w:asciiTheme="minorHAnsi" w:hAnsiTheme="minorHAnsi" w:cstheme="minorHAnsi"/>
                <w:bCs/>
                <w:spacing w:val="-2"/>
              </w:rPr>
            </w:pPr>
            <w:r w:rsidRPr="00DD002B">
              <w:rPr>
                <w:rFonts w:asciiTheme="minorHAnsi" w:hAnsiTheme="minorHAnsi" w:cstheme="minorHAnsi"/>
                <w:color w:val="000000"/>
              </w:rPr>
              <w:t>African American</w:t>
            </w:r>
          </w:p>
        </w:tc>
        <w:tc>
          <w:tcPr>
            <w:tcW w:w="1980" w:type="dxa"/>
            <w:tcBorders>
              <w:top w:val="nil"/>
              <w:left w:val="single" w:sz="4" w:space="0" w:color="auto"/>
              <w:bottom w:val="nil"/>
              <w:right w:val="single" w:sz="4" w:space="0" w:color="auto"/>
            </w:tcBorders>
            <w:vAlign w:val="bottom"/>
          </w:tcPr>
          <w:p w14:paraId="52590D04" w14:textId="77777777" w:rsidR="006E42FE" w:rsidRPr="006F7AE9" w:rsidRDefault="006E42FE" w:rsidP="00E20A6A">
            <w:pPr>
              <w:jc w:val="right"/>
              <w:rPr>
                <w:rFonts w:asciiTheme="minorHAnsi" w:hAnsiTheme="minorHAnsi" w:cstheme="minorHAnsi"/>
                <w:color w:val="000000"/>
                <w:highlight w:val="yellow"/>
              </w:rPr>
            </w:pPr>
            <w:r w:rsidRPr="006F7AE9">
              <w:rPr>
                <w:rFonts w:asciiTheme="minorHAnsi" w:hAnsiTheme="minorHAnsi" w:cstheme="minorHAnsi"/>
                <w:color w:val="000000"/>
              </w:rPr>
              <w:t>1.28%</w:t>
            </w:r>
          </w:p>
        </w:tc>
        <w:tc>
          <w:tcPr>
            <w:tcW w:w="1710" w:type="dxa"/>
            <w:tcBorders>
              <w:top w:val="nil"/>
              <w:left w:val="single" w:sz="4" w:space="0" w:color="auto"/>
              <w:bottom w:val="nil"/>
              <w:right w:val="single" w:sz="4" w:space="0" w:color="auto"/>
            </w:tcBorders>
            <w:vAlign w:val="center"/>
          </w:tcPr>
          <w:p w14:paraId="3D552D91"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1.40%</w:t>
            </w:r>
          </w:p>
        </w:tc>
      </w:tr>
      <w:tr w:rsidR="006E42FE" w:rsidRPr="006757BA" w14:paraId="26817BD9"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3509BAE7" w14:textId="77777777" w:rsidR="006E42FE" w:rsidRPr="00DD002B" w:rsidRDefault="006E42FE" w:rsidP="00E20A6A">
            <w:pPr>
              <w:ind w:left="720" w:hanging="557"/>
              <w:contextualSpacing/>
              <w:rPr>
                <w:rFonts w:asciiTheme="minorHAnsi" w:hAnsiTheme="minorHAnsi" w:cstheme="minorHAnsi"/>
                <w:bCs/>
                <w:spacing w:val="-2"/>
              </w:rPr>
            </w:pPr>
            <w:r w:rsidRPr="00DD002B">
              <w:rPr>
                <w:rFonts w:asciiTheme="minorHAnsi" w:hAnsiTheme="minorHAnsi" w:cstheme="minorHAnsi"/>
                <w:color w:val="000000"/>
              </w:rPr>
              <w:t>American Indian or Alaska Native</w:t>
            </w:r>
          </w:p>
        </w:tc>
        <w:tc>
          <w:tcPr>
            <w:tcW w:w="1980" w:type="dxa"/>
            <w:tcBorders>
              <w:top w:val="nil"/>
              <w:left w:val="single" w:sz="4" w:space="0" w:color="auto"/>
              <w:bottom w:val="nil"/>
              <w:right w:val="single" w:sz="4" w:space="0" w:color="auto"/>
            </w:tcBorders>
            <w:vAlign w:val="bottom"/>
          </w:tcPr>
          <w:p w14:paraId="51540483" w14:textId="77777777" w:rsidR="006E42FE" w:rsidRPr="006F7AE9" w:rsidRDefault="006E42FE" w:rsidP="00E20A6A">
            <w:pPr>
              <w:jc w:val="right"/>
              <w:rPr>
                <w:rFonts w:asciiTheme="minorHAnsi" w:hAnsiTheme="minorHAnsi" w:cstheme="minorHAnsi"/>
                <w:color w:val="000000"/>
                <w:highlight w:val="yellow"/>
              </w:rPr>
            </w:pPr>
            <w:r w:rsidRPr="006F7AE9">
              <w:rPr>
                <w:rFonts w:asciiTheme="minorHAnsi" w:hAnsiTheme="minorHAnsi" w:cstheme="minorHAnsi"/>
                <w:color w:val="000000"/>
              </w:rPr>
              <w:t>0.03%</w:t>
            </w:r>
          </w:p>
        </w:tc>
        <w:tc>
          <w:tcPr>
            <w:tcW w:w="1710" w:type="dxa"/>
            <w:tcBorders>
              <w:top w:val="nil"/>
              <w:left w:val="single" w:sz="4" w:space="0" w:color="auto"/>
              <w:bottom w:val="nil"/>
              <w:right w:val="single" w:sz="4" w:space="0" w:color="auto"/>
            </w:tcBorders>
            <w:vAlign w:val="center"/>
          </w:tcPr>
          <w:p w14:paraId="1F3DF234"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0.03%</w:t>
            </w:r>
          </w:p>
        </w:tc>
      </w:tr>
      <w:tr w:rsidR="006E42FE" w:rsidRPr="006757BA" w14:paraId="67131160"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50790E32" w14:textId="77777777" w:rsidR="006E42FE" w:rsidRPr="00DD002B" w:rsidRDefault="006E42FE" w:rsidP="00E20A6A">
            <w:pPr>
              <w:ind w:left="720" w:hanging="557"/>
              <w:contextualSpacing/>
              <w:rPr>
                <w:rFonts w:asciiTheme="minorHAnsi" w:hAnsiTheme="minorHAnsi" w:cstheme="minorHAnsi"/>
                <w:bCs/>
                <w:spacing w:val="-2"/>
              </w:rPr>
            </w:pPr>
            <w:r w:rsidRPr="00DD002B">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bottom"/>
          </w:tcPr>
          <w:p w14:paraId="4F227040" w14:textId="77777777" w:rsidR="006E42FE" w:rsidRPr="006F7AE9" w:rsidRDefault="006E42FE" w:rsidP="00E20A6A">
            <w:pPr>
              <w:jc w:val="right"/>
              <w:rPr>
                <w:rFonts w:asciiTheme="minorHAnsi" w:hAnsiTheme="minorHAnsi" w:cstheme="minorHAnsi"/>
                <w:color w:val="000000"/>
                <w:highlight w:val="yellow"/>
              </w:rPr>
            </w:pPr>
            <w:r w:rsidRPr="006F7AE9">
              <w:rPr>
                <w:rFonts w:asciiTheme="minorHAnsi" w:hAnsiTheme="minorHAnsi" w:cstheme="minorHAnsi"/>
                <w:color w:val="000000"/>
              </w:rPr>
              <w:t>0.95%</w:t>
            </w:r>
          </w:p>
        </w:tc>
        <w:tc>
          <w:tcPr>
            <w:tcW w:w="1710" w:type="dxa"/>
            <w:tcBorders>
              <w:top w:val="nil"/>
              <w:left w:val="single" w:sz="4" w:space="0" w:color="auto"/>
              <w:bottom w:val="nil"/>
              <w:right w:val="single" w:sz="4" w:space="0" w:color="auto"/>
            </w:tcBorders>
            <w:vAlign w:val="center"/>
          </w:tcPr>
          <w:p w14:paraId="77392A27"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1.03%</w:t>
            </w:r>
          </w:p>
        </w:tc>
      </w:tr>
      <w:tr w:rsidR="006E42FE" w:rsidRPr="006757BA" w14:paraId="41D06B2E"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618E8FC7" w14:textId="77777777" w:rsidR="006E42FE" w:rsidRPr="00DD002B" w:rsidRDefault="006E42FE" w:rsidP="00E20A6A">
            <w:pPr>
              <w:ind w:left="720" w:hanging="557"/>
              <w:contextualSpacing/>
              <w:rPr>
                <w:rFonts w:asciiTheme="minorHAnsi" w:hAnsiTheme="minorHAnsi" w:cstheme="minorHAnsi"/>
                <w:bCs/>
                <w:spacing w:val="-2"/>
              </w:rPr>
            </w:pPr>
            <w:r w:rsidRPr="00DD002B">
              <w:rPr>
                <w:rFonts w:asciiTheme="minorHAnsi" w:hAnsiTheme="minorHAnsi" w:cstheme="minorHAnsi"/>
                <w:color w:val="000000"/>
              </w:rPr>
              <w:t>Native Hawaiian or Other Pacific Islander</w:t>
            </w:r>
          </w:p>
        </w:tc>
        <w:tc>
          <w:tcPr>
            <w:tcW w:w="1980" w:type="dxa"/>
            <w:tcBorders>
              <w:top w:val="nil"/>
              <w:left w:val="single" w:sz="4" w:space="0" w:color="auto"/>
              <w:bottom w:val="nil"/>
              <w:right w:val="single" w:sz="4" w:space="0" w:color="auto"/>
            </w:tcBorders>
            <w:vAlign w:val="bottom"/>
          </w:tcPr>
          <w:p w14:paraId="352EA175" w14:textId="77777777" w:rsidR="006E42FE" w:rsidRPr="006F7AE9" w:rsidRDefault="006E42FE" w:rsidP="00E20A6A">
            <w:pPr>
              <w:jc w:val="right"/>
              <w:rPr>
                <w:rFonts w:asciiTheme="minorHAnsi" w:hAnsiTheme="minorHAnsi" w:cstheme="minorHAnsi"/>
                <w:color w:val="000000"/>
                <w:highlight w:val="yellow"/>
              </w:rPr>
            </w:pPr>
            <w:r w:rsidRPr="006F7AE9">
              <w:rPr>
                <w:rFonts w:asciiTheme="minorHAnsi" w:hAnsiTheme="minorHAnsi" w:cstheme="minorHAnsi"/>
                <w:color w:val="000000"/>
              </w:rPr>
              <w:t>0.02%</w:t>
            </w:r>
          </w:p>
        </w:tc>
        <w:tc>
          <w:tcPr>
            <w:tcW w:w="1710" w:type="dxa"/>
            <w:tcBorders>
              <w:top w:val="nil"/>
              <w:left w:val="single" w:sz="4" w:space="0" w:color="auto"/>
              <w:bottom w:val="nil"/>
              <w:right w:val="single" w:sz="4" w:space="0" w:color="auto"/>
            </w:tcBorders>
            <w:vAlign w:val="center"/>
          </w:tcPr>
          <w:p w14:paraId="58F4C903"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0.03%</w:t>
            </w:r>
          </w:p>
        </w:tc>
      </w:tr>
      <w:tr w:rsidR="006E42FE" w:rsidRPr="006757BA" w14:paraId="6ADF3718"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73AC9D8C" w14:textId="77777777" w:rsidR="006E42FE" w:rsidRPr="00DD002B" w:rsidRDefault="006E42FE" w:rsidP="00E20A6A">
            <w:pPr>
              <w:ind w:left="720" w:hanging="557"/>
              <w:contextualSpacing/>
              <w:rPr>
                <w:rFonts w:asciiTheme="minorHAnsi" w:hAnsiTheme="minorHAnsi" w:cstheme="minorHAnsi"/>
                <w:bCs/>
                <w:spacing w:val="-2"/>
              </w:rPr>
            </w:pPr>
            <w:r w:rsidRPr="00DD002B">
              <w:rPr>
                <w:rFonts w:asciiTheme="minorHAnsi" w:hAnsiTheme="minorHAnsi" w:cstheme="minorHAnsi"/>
                <w:color w:val="000000"/>
              </w:rPr>
              <w:t>Other</w:t>
            </w:r>
          </w:p>
        </w:tc>
        <w:tc>
          <w:tcPr>
            <w:tcW w:w="1980" w:type="dxa"/>
            <w:tcBorders>
              <w:top w:val="nil"/>
              <w:left w:val="single" w:sz="4" w:space="0" w:color="auto"/>
              <w:bottom w:val="nil"/>
              <w:right w:val="single" w:sz="4" w:space="0" w:color="auto"/>
            </w:tcBorders>
            <w:vAlign w:val="bottom"/>
          </w:tcPr>
          <w:p w14:paraId="4024FBE5" w14:textId="77777777" w:rsidR="006E42FE" w:rsidRPr="006F7AE9" w:rsidRDefault="006E42FE" w:rsidP="00E20A6A">
            <w:pPr>
              <w:jc w:val="right"/>
              <w:rPr>
                <w:rFonts w:asciiTheme="minorHAnsi" w:hAnsiTheme="minorHAnsi" w:cstheme="minorHAnsi"/>
                <w:color w:val="000000"/>
                <w:highlight w:val="yellow"/>
              </w:rPr>
            </w:pPr>
            <w:r w:rsidRPr="006F7AE9">
              <w:rPr>
                <w:rFonts w:asciiTheme="minorHAnsi" w:hAnsiTheme="minorHAnsi" w:cstheme="minorHAnsi"/>
                <w:color w:val="000000"/>
              </w:rPr>
              <w:t>2.21%</w:t>
            </w:r>
          </w:p>
        </w:tc>
        <w:tc>
          <w:tcPr>
            <w:tcW w:w="1710" w:type="dxa"/>
            <w:tcBorders>
              <w:top w:val="nil"/>
              <w:left w:val="single" w:sz="4" w:space="0" w:color="auto"/>
              <w:bottom w:val="nil"/>
              <w:right w:val="single" w:sz="4" w:space="0" w:color="auto"/>
            </w:tcBorders>
            <w:vAlign w:val="center"/>
          </w:tcPr>
          <w:p w14:paraId="65E059BB"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2.12%</w:t>
            </w:r>
          </w:p>
        </w:tc>
      </w:tr>
      <w:tr w:rsidR="006E42FE" w:rsidRPr="006757BA" w14:paraId="764A8CAC"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10517D98" w14:textId="77777777" w:rsidR="006E42FE" w:rsidRPr="00DD002B" w:rsidRDefault="006E42FE" w:rsidP="00E20A6A">
            <w:pPr>
              <w:ind w:left="720" w:hanging="557"/>
              <w:contextualSpacing/>
              <w:rPr>
                <w:rFonts w:asciiTheme="minorHAnsi" w:hAnsiTheme="minorHAnsi" w:cstheme="minorHAnsi"/>
                <w:bCs/>
                <w:spacing w:val="-2"/>
              </w:rPr>
            </w:pPr>
            <w:r w:rsidRPr="00DD002B">
              <w:rPr>
                <w:rFonts w:asciiTheme="minorHAnsi" w:hAnsiTheme="minorHAnsi" w:cstheme="minorHAnsi"/>
                <w:color w:val="000000"/>
              </w:rPr>
              <w:lastRenderedPageBreak/>
              <w:t>Unknown</w:t>
            </w:r>
          </w:p>
        </w:tc>
        <w:tc>
          <w:tcPr>
            <w:tcW w:w="1980" w:type="dxa"/>
            <w:tcBorders>
              <w:top w:val="nil"/>
              <w:left w:val="single" w:sz="4" w:space="0" w:color="auto"/>
              <w:bottom w:val="nil"/>
              <w:right w:val="single" w:sz="4" w:space="0" w:color="auto"/>
            </w:tcBorders>
            <w:vAlign w:val="bottom"/>
          </w:tcPr>
          <w:p w14:paraId="214BFD06" w14:textId="77777777" w:rsidR="006E42FE" w:rsidRPr="006F7AE9" w:rsidRDefault="006E42FE" w:rsidP="00E20A6A">
            <w:pPr>
              <w:jc w:val="right"/>
              <w:rPr>
                <w:rFonts w:asciiTheme="minorHAnsi" w:hAnsiTheme="minorHAnsi" w:cstheme="minorHAnsi"/>
                <w:color w:val="000000"/>
                <w:highlight w:val="yellow"/>
              </w:rPr>
            </w:pPr>
            <w:r w:rsidRPr="006F7AE9">
              <w:rPr>
                <w:rFonts w:asciiTheme="minorHAnsi" w:hAnsiTheme="minorHAnsi" w:cstheme="minorHAnsi"/>
                <w:color w:val="000000"/>
              </w:rPr>
              <w:t>1.77%</w:t>
            </w:r>
          </w:p>
        </w:tc>
        <w:tc>
          <w:tcPr>
            <w:tcW w:w="1710" w:type="dxa"/>
            <w:tcBorders>
              <w:top w:val="nil"/>
              <w:left w:val="single" w:sz="4" w:space="0" w:color="auto"/>
              <w:bottom w:val="nil"/>
              <w:right w:val="single" w:sz="4" w:space="0" w:color="auto"/>
            </w:tcBorders>
            <w:vAlign w:val="center"/>
          </w:tcPr>
          <w:p w14:paraId="7B36899F"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1.85%</w:t>
            </w:r>
          </w:p>
        </w:tc>
      </w:tr>
      <w:tr w:rsidR="006E42FE" w:rsidRPr="006757BA" w14:paraId="2BAF52EE"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2503A2B0" w14:textId="77777777" w:rsidR="006E42FE" w:rsidRPr="00DD002B" w:rsidRDefault="006E42FE" w:rsidP="00E20A6A">
            <w:pPr>
              <w:ind w:left="720" w:hanging="557"/>
              <w:contextualSpacing/>
              <w:rPr>
                <w:rFonts w:asciiTheme="minorHAnsi" w:hAnsiTheme="minorHAnsi" w:cstheme="minorHAnsi"/>
                <w:bCs/>
                <w:spacing w:val="-2"/>
              </w:rPr>
            </w:pPr>
            <w:r w:rsidRPr="00DD002B">
              <w:rPr>
                <w:rFonts w:asciiTheme="minorHAnsi" w:hAnsiTheme="minorHAnsi" w:cstheme="minorHAnsi"/>
                <w:color w:val="000000"/>
              </w:rPr>
              <w:t>Patient Declined</w:t>
            </w:r>
          </w:p>
        </w:tc>
        <w:tc>
          <w:tcPr>
            <w:tcW w:w="1980" w:type="dxa"/>
            <w:tcBorders>
              <w:top w:val="nil"/>
              <w:left w:val="single" w:sz="4" w:space="0" w:color="auto"/>
              <w:bottom w:val="nil"/>
              <w:right w:val="single" w:sz="4" w:space="0" w:color="auto"/>
            </w:tcBorders>
            <w:vAlign w:val="bottom"/>
          </w:tcPr>
          <w:p w14:paraId="17850BB0" w14:textId="77777777" w:rsidR="006E42FE" w:rsidRPr="006F7AE9" w:rsidRDefault="006E42FE" w:rsidP="00E20A6A">
            <w:pPr>
              <w:jc w:val="right"/>
              <w:rPr>
                <w:rFonts w:asciiTheme="minorHAnsi" w:hAnsiTheme="minorHAnsi" w:cstheme="minorHAnsi"/>
                <w:color w:val="000000"/>
                <w:highlight w:val="yellow"/>
              </w:rPr>
            </w:pPr>
            <w:r w:rsidRPr="006F7AE9">
              <w:rPr>
                <w:rFonts w:asciiTheme="minorHAnsi" w:hAnsiTheme="minorHAnsi" w:cstheme="minorHAnsi"/>
                <w:color w:val="000000"/>
              </w:rPr>
              <w:t>1.32%</w:t>
            </w:r>
          </w:p>
        </w:tc>
        <w:tc>
          <w:tcPr>
            <w:tcW w:w="1710" w:type="dxa"/>
            <w:tcBorders>
              <w:top w:val="nil"/>
              <w:left w:val="single" w:sz="4" w:space="0" w:color="auto"/>
              <w:bottom w:val="nil"/>
              <w:right w:val="single" w:sz="4" w:space="0" w:color="auto"/>
            </w:tcBorders>
            <w:vAlign w:val="center"/>
          </w:tcPr>
          <w:p w14:paraId="661E18EE"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color w:val="000000"/>
              </w:rPr>
              <w:t>1.38%</w:t>
            </w:r>
          </w:p>
        </w:tc>
      </w:tr>
      <w:tr w:rsidR="006E42FE" w:rsidRPr="00EA7DCB" w14:paraId="0585A3A8" w14:textId="77777777" w:rsidTr="00E20A6A">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000D4098" w14:textId="77777777" w:rsidR="006E42FE" w:rsidRPr="00083A86" w:rsidRDefault="006E42FE" w:rsidP="00E20A6A">
            <w:pPr>
              <w:ind w:left="520" w:hanging="557"/>
              <w:contextualSpacing/>
              <w:rPr>
                <w:rFonts w:asciiTheme="minorHAnsi" w:hAnsiTheme="minorHAnsi" w:cstheme="minorHAnsi"/>
                <w:b/>
                <w:bCs/>
              </w:rPr>
            </w:pPr>
            <w:r>
              <w:rPr>
                <w:rFonts w:asciiTheme="minorHAnsi" w:eastAsia="Calibri" w:hAnsiTheme="minorHAnsi" w:cstheme="minorHAnsi"/>
                <w:b/>
              </w:rPr>
              <w:t xml:space="preserve">   </w:t>
            </w:r>
            <w:r w:rsidRPr="00DD002B">
              <w:rPr>
                <w:rFonts w:asciiTheme="minorHAnsi" w:eastAsia="Calibri" w:hAnsiTheme="minorHAnsi" w:cstheme="minorHAnsi"/>
                <w:b/>
              </w:rPr>
              <w:t>Total</w:t>
            </w:r>
          </w:p>
        </w:tc>
        <w:tc>
          <w:tcPr>
            <w:tcW w:w="1980" w:type="dxa"/>
            <w:tcBorders>
              <w:top w:val="nil"/>
              <w:left w:val="single" w:sz="4" w:space="0" w:color="auto"/>
              <w:bottom w:val="single" w:sz="4" w:space="0" w:color="auto"/>
              <w:right w:val="single" w:sz="4" w:space="0" w:color="auto"/>
            </w:tcBorders>
            <w:vAlign w:val="center"/>
          </w:tcPr>
          <w:p w14:paraId="1773A950" w14:textId="77777777" w:rsidR="006E42FE" w:rsidRPr="006757BA" w:rsidRDefault="006E42FE" w:rsidP="00E20A6A">
            <w:pPr>
              <w:jc w:val="right"/>
              <w:rPr>
                <w:rFonts w:asciiTheme="minorHAnsi" w:hAnsiTheme="minorHAnsi" w:cstheme="minorHAnsi"/>
                <w:b/>
                <w:bCs/>
                <w:color w:val="000000"/>
                <w:highlight w:val="yellow"/>
              </w:rPr>
            </w:pPr>
            <w:r w:rsidRPr="006F7AE9">
              <w:rPr>
                <w:rFonts w:asciiTheme="minorHAnsi" w:hAnsiTheme="minorHAnsi" w:cstheme="minorHAnsi"/>
                <w:b/>
                <w:bCs/>
                <w:color w:val="000000"/>
              </w:rPr>
              <w:t>100.00%</w:t>
            </w:r>
          </w:p>
        </w:tc>
        <w:tc>
          <w:tcPr>
            <w:tcW w:w="1710" w:type="dxa"/>
            <w:tcBorders>
              <w:top w:val="nil"/>
              <w:left w:val="single" w:sz="4" w:space="0" w:color="auto"/>
              <w:bottom w:val="single" w:sz="4" w:space="0" w:color="auto"/>
              <w:right w:val="single" w:sz="4" w:space="0" w:color="auto"/>
            </w:tcBorders>
            <w:vAlign w:val="center"/>
          </w:tcPr>
          <w:p w14:paraId="4B332E57" w14:textId="77777777" w:rsidR="006E42FE" w:rsidRPr="00EA7DCB" w:rsidRDefault="006E42FE" w:rsidP="00E20A6A">
            <w:pPr>
              <w:ind w:left="720" w:hanging="557"/>
              <w:contextualSpacing/>
              <w:jc w:val="right"/>
              <w:rPr>
                <w:rFonts w:asciiTheme="minorHAnsi" w:eastAsia="Calibri" w:hAnsiTheme="minorHAnsi" w:cstheme="minorHAnsi"/>
                <w:b/>
                <w:bCs/>
              </w:rPr>
            </w:pPr>
            <w:r w:rsidRPr="00EA7DCB">
              <w:rPr>
                <w:rFonts w:asciiTheme="minorHAnsi" w:hAnsiTheme="minorHAnsi" w:cstheme="minorHAnsi"/>
                <w:b/>
                <w:bCs/>
                <w:color w:val="000000"/>
              </w:rPr>
              <w:t>100.00%</w:t>
            </w:r>
          </w:p>
        </w:tc>
      </w:tr>
      <w:tr w:rsidR="006E42FE" w:rsidRPr="006757BA" w14:paraId="20AAFEBF" w14:textId="77777777" w:rsidTr="00E20A6A">
        <w:trPr>
          <w:cantSplit/>
          <w:trHeight w:val="144"/>
          <w:jc w:val="center"/>
        </w:trPr>
        <w:tc>
          <w:tcPr>
            <w:tcW w:w="5215" w:type="dxa"/>
            <w:tcBorders>
              <w:top w:val="single" w:sz="4" w:space="0" w:color="auto"/>
              <w:left w:val="single" w:sz="4" w:space="0" w:color="auto"/>
              <w:bottom w:val="nil"/>
              <w:right w:val="single" w:sz="4" w:space="0" w:color="auto"/>
            </w:tcBorders>
          </w:tcPr>
          <w:p w14:paraId="72E42272" w14:textId="77777777" w:rsidR="006E42FE" w:rsidRPr="00083A86" w:rsidRDefault="006E42FE" w:rsidP="00E20A6A">
            <w:pPr>
              <w:contextualSpacing/>
              <w:rPr>
                <w:rFonts w:asciiTheme="minorHAnsi" w:eastAsia="Calibri" w:hAnsiTheme="minorHAnsi" w:cstheme="minorHAnsi"/>
                <w:b/>
              </w:rPr>
            </w:pPr>
            <w:r>
              <w:rPr>
                <w:rFonts w:asciiTheme="minorHAnsi" w:eastAsia="Calibri" w:hAnsiTheme="minorHAnsi" w:cstheme="minorHAnsi"/>
                <w:b/>
              </w:rPr>
              <w:t>Ethnicity</w:t>
            </w:r>
          </w:p>
        </w:tc>
        <w:tc>
          <w:tcPr>
            <w:tcW w:w="1980" w:type="dxa"/>
            <w:tcBorders>
              <w:top w:val="single" w:sz="4" w:space="0" w:color="auto"/>
              <w:left w:val="single" w:sz="4" w:space="0" w:color="auto"/>
              <w:bottom w:val="nil"/>
              <w:right w:val="single" w:sz="4" w:space="0" w:color="auto"/>
            </w:tcBorders>
          </w:tcPr>
          <w:p w14:paraId="350A5505" w14:textId="77777777" w:rsidR="006E42FE" w:rsidRPr="006757BA" w:rsidRDefault="006E42FE" w:rsidP="00E20A6A">
            <w:pPr>
              <w:rPr>
                <w:rFonts w:asciiTheme="minorHAnsi" w:hAnsiTheme="minorHAnsi" w:cstheme="minorHAnsi"/>
                <w:b/>
                <w:bCs/>
                <w:color w:val="000000"/>
                <w:highlight w:val="yellow"/>
              </w:rPr>
            </w:pPr>
          </w:p>
        </w:tc>
        <w:tc>
          <w:tcPr>
            <w:tcW w:w="1710" w:type="dxa"/>
            <w:tcBorders>
              <w:top w:val="single" w:sz="4" w:space="0" w:color="auto"/>
              <w:left w:val="single" w:sz="4" w:space="0" w:color="auto"/>
              <w:bottom w:val="nil"/>
              <w:right w:val="single" w:sz="4" w:space="0" w:color="auto"/>
            </w:tcBorders>
          </w:tcPr>
          <w:p w14:paraId="686C5FFB" w14:textId="77777777" w:rsidR="006E42FE" w:rsidRPr="006757BA" w:rsidRDefault="006E42FE" w:rsidP="00E20A6A">
            <w:pPr>
              <w:ind w:left="720" w:hanging="557"/>
              <w:contextualSpacing/>
              <w:jc w:val="right"/>
              <w:rPr>
                <w:rFonts w:asciiTheme="minorHAnsi" w:eastAsia="Calibri" w:hAnsiTheme="minorHAnsi" w:cstheme="minorHAnsi"/>
                <w:bCs/>
                <w:highlight w:val="yellow"/>
              </w:rPr>
            </w:pPr>
          </w:p>
        </w:tc>
      </w:tr>
      <w:tr w:rsidR="006E42FE" w:rsidRPr="00EA7DCB" w14:paraId="0BD7D7D9" w14:textId="77777777" w:rsidTr="00E20A6A">
        <w:trPr>
          <w:cantSplit/>
          <w:trHeight w:val="144"/>
          <w:jc w:val="center"/>
        </w:trPr>
        <w:tc>
          <w:tcPr>
            <w:tcW w:w="5215" w:type="dxa"/>
            <w:tcBorders>
              <w:top w:val="nil"/>
              <w:left w:val="single" w:sz="4" w:space="0" w:color="auto"/>
              <w:bottom w:val="nil"/>
              <w:right w:val="single" w:sz="4" w:space="0" w:color="auto"/>
            </w:tcBorders>
            <w:vAlign w:val="center"/>
          </w:tcPr>
          <w:p w14:paraId="5AFBA1B4" w14:textId="77777777" w:rsidR="006E42FE" w:rsidRPr="00EB0E3C" w:rsidRDefault="006E42FE" w:rsidP="00E20A6A">
            <w:pPr>
              <w:ind w:left="720" w:hanging="557"/>
              <w:contextualSpacing/>
              <w:rPr>
                <w:rFonts w:asciiTheme="minorHAnsi" w:hAnsiTheme="minorHAnsi" w:cstheme="minorHAnsi"/>
                <w:color w:val="000000"/>
              </w:rPr>
            </w:pPr>
            <w:r w:rsidRPr="00EB0E3C">
              <w:rPr>
                <w:rFonts w:asciiTheme="minorHAnsi" w:hAnsiTheme="minorHAnsi" w:cstheme="minorHAnsi"/>
                <w:color w:val="000000"/>
              </w:rPr>
              <w:t>Hispanic/Latino</w:t>
            </w:r>
          </w:p>
        </w:tc>
        <w:tc>
          <w:tcPr>
            <w:tcW w:w="1980" w:type="dxa"/>
            <w:tcBorders>
              <w:top w:val="nil"/>
              <w:left w:val="single" w:sz="4" w:space="0" w:color="auto"/>
              <w:bottom w:val="nil"/>
              <w:right w:val="single" w:sz="4" w:space="0" w:color="auto"/>
            </w:tcBorders>
            <w:vAlign w:val="bottom"/>
          </w:tcPr>
          <w:p w14:paraId="027758B3" w14:textId="77777777" w:rsidR="006E42FE" w:rsidRPr="00606DDE" w:rsidRDefault="006E42FE" w:rsidP="00E20A6A">
            <w:pPr>
              <w:ind w:left="720" w:hanging="557"/>
              <w:contextualSpacing/>
              <w:jc w:val="right"/>
              <w:rPr>
                <w:rFonts w:asciiTheme="minorHAnsi" w:hAnsiTheme="minorHAnsi" w:cstheme="minorHAnsi"/>
                <w:color w:val="000000"/>
              </w:rPr>
            </w:pPr>
            <w:r w:rsidRPr="00606DDE">
              <w:rPr>
                <w:rFonts w:asciiTheme="minorHAnsi" w:hAnsiTheme="minorHAnsi" w:cstheme="minorHAnsi"/>
                <w:color w:val="000000"/>
              </w:rPr>
              <w:t>2.63%</w:t>
            </w:r>
          </w:p>
        </w:tc>
        <w:tc>
          <w:tcPr>
            <w:tcW w:w="1710" w:type="dxa"/>
            <w:tcBorders>
              <w:top w:val="nil"/>
              <w:left w:val="single" w:sz="4" w:space="0" w:color="auto"/>
              <w:bottom w:val="nil"/>
              <w:right w:val="single" w:sz="4" w:space="0" w:color="auto"/>
            </w:tcBorders>
            <w:vAlign w:val="center"/>
          </w:tcPr>
          <w:p w14:paraId="37928A7E" w14:textId="77777777" w:rsidR="006E42FE" w:rsidRPr="00EA7DCB" w:rsidRDefault="006E42FE" w:rsidP="00E20A6A">
            <w:pPr>
              <w:ind w:left="720" w:hanging="557"/>
              <w:contextualSpacing/>
              <w:jc w:val="right"/>
              <w:rPr>
                <w:rFonts w:asciiTheme="minorHAnsi" w:hAnsiTheme="minorHAnsi" w:cstheme="minorHAnsi"/>
                <w:color w:val="000000"/>
              </w:rPr>
            </w:pPr>
            <w:r w:rsidRPr="00F45C80">
              <w:rPr>
                <w:rFonts w:asciiTheme="minorHAnsi" w:hAnsiTheme="minorHAnsi" w:cstheme="minorHAnsi"/>
                <w:color w:val="000000"/>
              </w:rPr>
              <w:t>4.78%</w:t>
            </w:r>
          </w:p>
        </w:tc>
      </w:tr>
      <w:tr w:rsidR="006E42FE" w:rsidRPr="00EA7DCB" w14:paraId="5600AD94" w14:textId="77777777" w:rsidTr="00E20A6A">
        <w:trPr>
          <w:cantSplit/>
          <w:trHeight w:val="144"/>
          <w:jc w:val="center"/>
        </w:trPr>
        <w:tc>
          <w:tcPr>
            <w:tcW w:w="5215" w:type="dxa"/>
            <w:tcBorders>
              <w:top w:val="nil"/>
              <w:left w:val="single" w:sz="4" w:space="0" w:color="auto"/>
              <w:bottom w:val="nil"/>
              <w:right w:val="single" w:sz="4" w:space="0" w:color="auto"/>
            </w:tcBorders>
            <w:vAlign w:val="center"/>
          </w:tcPr>
          <w:p w14:paraId="728062AA" w14:textId="77777777" w:rsidR="006E42FE" w:rsidRPr="00EB0E3C" w:rsidRDefault="006E42FE" w:rsidP="00E20A6A">
            <w:pPr>
              <w:ind w:left="720" w:hanging="557"/>
              <w:contextualSpacing/>
              <w:rPr>
                <w:rFonts w:asciiTheme="minorHAnsi" w:hAnsiTheme="minorHAnsi" w:cstheme="minorHAnsi"/>
                <w:color w:val="000000"/>
              </w:rPr>
            </w:pPr>
            <w:r w:rsidRPr="00EB0E3C">
              <w:rPr>
                <w:rFonts w:asciiTheme="minorHAnsi" w:hAnsiTheme="minorHAnsi" w:cstheme="minorHAnsi"/>
                <w:color w:val="000000"/>
              </w:rPr>
              <w:t>Not Hispanic/Latino</w:t>
            </w:r>
          </w:p>
        </w:tc>
        <w:tc>
          <w:tcPr>
            <w:tcW w:w="1980" w:type="dxa"/>
            <w:tcBorders>
              <w:top w:val="nil"/>
              <w:left w:val="single" w:sz="4" w:space="0" w:color="auto"/>
              <w:bottom w:val="nil"/>
              <w:right w:val="single" w:sz="4" w:space="0" w:color="auto"/>
            </w:tcBorders>
            <w:vAlign w:val="bottom"/>
          </w:tcPr>
          <w:p w14:paraId="425614DC" w14:textId="77777777" w:rsidR="006E42FE" w:rsidRPr="00606DDE" w:rsidRDefault="006E42FE" w:rsidP="00E20A6A">
            <w:pPr>
              <w:ind w:left="720" w:hanging="557"/>
              <w:contextualSpacing/>
              <w:jc w:val="right"/>
              <w:rPr>
                <w:rFonts w:asciiTheme="minorHAnsi" w:hAnsiTheme="minorHAnsi" w:cstheme="minorHAnsi"/>
                <w:color w:val="000000"/>
              </w:rPr>
            </w:pPr>
            <w:r w:rsidRPr="00606DDE">
              <w:rPr>
                <w:rFonts w:asciiTheme="minorHAnsi" w:hAnsiTheme="minorHAnsi" w:cstheme="minorHAnsi"/>
                <w:color w:val="000000"/>
              </w:rPr>
              <w:t>71.36%</w:t>
            </w:r>
          </w:p>
        </w:tc>
        <w:tc>
          <w:tcPr>
            <w:tcW w:w="1710" w:type="dxa"/>
            <w:tcBorders>
              <w:top w:val="nil"/>
              <w:left w:val="single" w:sz="4" w:space="0" w:color="auto"/>
              <w:bottom w:val="nil"/>
              <w:right w:val="single" w:sz="4" w:space="0" w:color="auto"/>
            </w:tcBorders>
            <w:vAlign w:val="center"/>
          </w:tcPr>
          <w:p w14:paraId="7B6B148F" w14:textId="77777777" w:rsidR="006E42FE" w:rsidRPr="00EA7DCB" w:rsidRDefault="006E42FE" w:rsidP="00E20A6A">
            <w:pPr>
              <w:ind w:left="720" w:hanging="557"/>
              <w:contextualSpacing/>
              <w:jc w:val="right"/>
              <w:rPr>
                <w:rFonts w:asciiTheme="minorHAnsi" w:hAnsiTheme="minorHAnsi" w:cstheme="minorHAnsi"/>
                <w:color w:val="000000"/>
              </w:rPr>
            </w:pPr>
            <w:r w:rsidRPr="00F45C80">
              <w:rPr>
                <w:rFonts w:asciiTheme="minorHAnsi" w:hAnsiTheme="minorHAnsi" w:cstheme="minorHAnsi"/>
                <w:color w:val="000000"/>
              </w:rPr>
              <w:t>90.49%</w:t>
            </w:r>
          </w:p>
        </w:tc>
      </w:tr>
      <w:tr w:rsidR="006E42FE" w:rsidRPr="00EA7DCB" w14:paraId="113E802E" w14:textId="77777777" w:rsidTr="00E20A6A">
        <w:trPr>
          <w:cantSplit/>
          <w:trHeight w:val="144"/>
          <w:jc w:val="center"/>
        </w:trPr>
        <w:tc>
          <w:tcPr>
            <w:tcW w:w="5215" w:type="dxa"/>
            <w:tcBorders>
              <w:top w:val="nil"/>
              <w:left w:val="single" w:sz="4" w:space="0" w:color="auto"/>
              <w:bottom w:val="nil"/>
              <w:right w:val="single" w:sz="4" w:space="0" w:color="auto"/>
            </w:tcBorders>
            <w:vAlign w:val="center"/>
          </w:tcPr>
          <w:p w14:paraId="730FFBE0" w14:textId="77777777" w:rsidR="006E42FE" w:rsidRPr="00EB0E3C" w:rsidRDefault="006E42FE" w:rsidP="00E20A6A">
            <w:pPr>
              <w:ind w:left="720" w:hanging="557"/>
              <w:contextualSpacing/>
              <w:rPr>
                <w:rFonts w:asciiTheme="minorHAnsi" w:hAnsiTheme="minorHAnsi" w:cstheme="minorHAnsi"/>
                <w:color w:val="000000"/>
              </w:rPr>
            </w:pPr>
            <w:r w:rsidRPr="00EB0E3C">
              <w:rPr>
                <w:rFonts w:asciiTheme="minorHAnsi" w:hAnsiTheme="minorHAnsi" w:cstheme="minorHAnsi"/>
                <w:color w:val="000000"/>
              </w:rPr>
              <w:t>Patient Declined</w:t>
            </w:r>
          </w:p>
        </w:tc>
        <w:tc>
          <w:tcPr>
            <w:tcW w:w="1980" w:type="dxa"/>
            <w:tcBorders>
              <w:top w:val="nil"/>
              <w:left w:val="single" w:sz="4" w:space="0" w:color="auto"/>
              <w:bottom w:val="nil"/>
              <w:right w:val="single" w:sz="4" w:space="0" w:color="auto"/>
            </w:tcBorders>
            <w:vAlign w:val="bottom"/>
          </w:tcPr>
          <w:p w14:paraId="473EBCE8" w14:textId="77777777" w:rsidR="006E42FE" w:rsidRPr="00606DDE" w:rsidRDefault="006E42FE" w:rsidP="00E20A6A">
            <w:pPr>
              <w:ind w:left="720" w:hanging="557"/>
              <w:contextualSpacing/>
              <w:jc w:val="right"/>
              <w:rPr>
                <w:rFonts w:asciiTheme="minorHAnsi" w:hAnsiTheme="minorHAnsi" w:cstheme="minorHAnsi"/>
                <w:color w:val="000000"/>
              </w:rPr>
            </w:pPr>
            <w:r w:rsidRPr="00606DDE">
              <w:rPr>
                <w:rFonts w:asciiTheme="minorHAnsi" w:hAnsiTheme="minorHAnsi" w:cstheme="minorHAnsi"/>
                <w:color w:val="000000"/>
              </w:rPr>
              <w:t>26.01%</w:t>
            </w:r>
          </w:p>
        </w:tc>
        <w:tc>
          <w:tcPr>
            <w:tcW w:w="1710" w:type="dxa"/>
            <w:tcBorders>
              <w:top w:val="nil"/>
              <w:left w:val="single" w:sz="4" w:space="0" w:color="auto"/>
              <w:bottom w:val="nil"/>
              <w:right w:val="single" w:sz="4" w:space="0" w:color="auto"/>
            </w:tcBorders>
            <w:vAlign w:val="center"/>
          </w:tcPr>
          <w:p w14:paraId="4CE1E5EC" w14:textId="77777777" w:rsidR="006E42FE" w:rsidRPr="00EA7DCB" w:rsidRDefault="006E42FE" w:rsidP="00E20A6A">
            <w:pPr>
              <w:ind w:left="720" w:hanging="557"/>
              <w:contextualSpacing/>
              <w:jc w:val="right"/>
              <w:rPr>
                <w:rFonts w:asciiTheme="minorHAnsi" w:hAnsiTheme="minorHAnsi" w:cstheme="minorHAnsi"/>
                <w:color w:val="000000"/>
              </w:rPr>
            </w:pPr>
            <w:r w:rsidRPr="00F45C80">
              <w:rPr>
                <w:rFonts w:asciiTheme="minorHAnsi" w:hAnsiTheme="minorHAnsi" w:cstheme="minorHAnsi"/>
                <w:color w:val="000000"/>
              </w:rPr>
              <w:t>4.73%</w:t>
            </w:r>
          </w:p>
        </w:tc>
      </w:tr>
      <w:tr w:rsidR="006E42FE" w:rsidRPr="00EA7DCB" w14:paraId="1C23D4F2" w14:textId="77777777" w:rsidTr="00E20A6A">
        <w:trPr>
          <w:cantSplit/>
          <w:trHeight w:val="144"/>
          <w:jc w:val="center"/>
        </w:trPr>
        <w:tc>
          <w:tcPr>
            <w:tcW w:w="5215" w:type="dxa"/>
            <w:tcBorders>
              <w:top w:val="nil"/>
              <w:left w:val="single" w:sz="4" w:space="0" w:color="auto"/>
              <w:bottom w:val="nil"/>
              <w:right w:val="single" w:sz="4" w:space="0" w:color="auto"/>
            </w:tcBorders>
            <w:vAlign w:val="center"/>
          </w:tcPr>
          <w:p w14:paraId="25C81857" w14:textId="77777777" w:rsidR="006E42FE" w:rsidRPr="00EB0E3C" w:rsidRDefault="006E42FE" w:rsidP="00E20A6A">
            <w:pPr>
              <w:ind w:left="720" w:hanging="557"/>
              <w:contextualSpacing/>
              <w:rPr>
                <w:rFonts w:asciiTheme="minorHAnsi" w:hAnsiTheme="minorHAnsi" w:cstheme="minorHAnsi"/>
                <w:color w:val="000000"/>
              </w:rPr>
            </w:pPr>
            <w:r w:rsidRPr="00EB0E3C">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bottom"/>
          </w:tcPr>
          <w:p w14:paraId="085A7ADB" w14:textId="77777777" w:rsidR="006E42FE" w:rsidRPr="00606DDE" w:rsidRDefault="006E42FE" w:rsidP="00E20A6A">
            <w:pPr>
              <w:ind w:left="720" w:hanging="557"/>
              <w:contextualSpacing/>
              <w:jc w:val="right"/>
              <w:rPr>
                <w:rFonts w:asciiTheme="minorHAnsi" w:hAnsiTheme="minorHAnsi" w:cstheme="minorHAnsi"/>
                <w:color w:val="000000"/>
              </w:rPr>
            </w:pPr>
            <w:r w:rsidRPr="00606DDE">
              <w:rPr>
                <w:rFonts w:asciiTheme="minorHAnsi" w:hAnsiTheme="minorHAnsi" w:cstheme="minorHAnsi"/>
                <w:color w:val="000000"/>
              </w:rPr>
              <w:t>0.00%</w:t>
            </w:r>
          </w:p>
        </w:tc>
        <w:tc>
          <w:tcPr>
            <w:tcW w:w="1710" w:type="dxa"/>
            <w:tcBorders>
              <w:top w:val="nil"/>
              <w:left w:val="single" w:sz="4" w:space="0" w:color="auto"/>
              <w:bottom w:val="nil"/>
              <w:right w:val="single" w:sz="4" w:space="0" w:color="auto"/>
            </w:tcBorders>
            <w:vAlign w:val="center"/>
          </w:tcPr>
          <w:p w14:paraId="1227CE59" w14:textId="77777777" w:rsidR="006E42FE" w:rsidRPr="00EA7DCB" w:rsidRDefault="006E42FE" w:rsidP="00E20A6A">
            <w:pPr>
              <w:ind w:left="720" w:hanging="557"/>
              <w:contextualSpacing/>
              <w:jc w:val="right"/>
              <w:rPr>
                <w:rFonts w:asciiTheme="minorHAnsi" w:hAnsiTheme="minorHAnsi" w:cstheme="minorHAnsi"/>
                <w:color w:val="000000"/>
              </w:rPr>
            </w:pPr>
            <w:r w:rsidRPr="00F45C80">
              <w:rPr>
                <w:rFonts w:asciiTheme="minorHAnsi" w:hAnsiTheme="minorHAnsi" w:cstheme="minorHAnsi"/>
                <w:color w:val="000000"/>
              </w:rPr>
              <w:t>0.00%</w:t>
            </w:r>
          </w:p>
        </w:tc>
      </w:tr>
      <w:tr w:rsidR="006E42FE" w:rsidRPr="00EA7DCB" w14:paraId="10F05345" w14:textId="77777777" w:rsidTr="00E20A6A">
        <w:trPr>
          <w:cantSplit/>
          <w:trHeight w:val="144"/>
          <w:jc w:val="center"/>
        </w:trPr>
        <w:tc>
          <w:tcPr>
            <w:tcW w:w="5215" w:type="dxa"/>
            <w:tcBorders>
              <w:top w:val="nil"/>
              <w:left w:val="single" w:sz="4" w:space="0" w:color="auto"/>
              <w:bottom w:val="nil"/>
              <w:right w:val="single" w:sz="4" w:space="0" w:color="auto"/>
            </w:tcBorders>
            <w:vAlign w:val="center"/>
          </w:tcPr>
          <w:p w14:paraId="25AD0CA0" w14:textId="77777777" w:rsidR="006E42FE" w:rsidRPr="00EB0E3C" w:rsidRDefault="006E42FE" w:rsidP="00E20A6A">
            <w:pPr>
              <w:ind w:left="720" w:hanging="557"/>
              <w:contextualSpacing/>
              <w:rPr>
                <w:rFonts w:asciiTheme="minorHAnsi" w:hAnsiTheme="minorHAnsi" w:cstheme="minorHAnsi"/>
                <w:color w:val="000000"/>
              </w:rPr>
            </w:pPr>
            <w:r w:rsidRPr="00EB0E3C">
              <w:rPr>
                <w:rFonts w:asciiTheme="minorHAnsi" w:hAnsiTheme="minorHAnsi" w:cstheme="minorHAnsi"/>
                <w:color w:val="000000"/>
              </w:rPr>
              <w:t>Other</w:t>
            </w:r>
          </w:p>
        </w:tc>
        <w:tc>
          <w:tcPr>
            <w:tcW w:w="1980" w:type="dxa"/>
            <w:tcBorders>
              <w:top w:val="nil"/>
              <w:left w:val="single" w:sz="4" w:space="0" w:color="auto"/>
              <w:bottom w:val="nil"/>
              <w:right w:val="single" w:sz="4" w:space="0" w:color="auto"/>
            </w:tcBorders>
            <w:vAlign w:val="bottom"/>
          </w:tcPr>
          <w:p w14:paraId="7ACA1F40" w14:textId="77777777" w:rsidR="006E42FE" w:rsidRPr="00606DDE" w:rsidRDefault="006E42FE" w:rsidP="00E20A6A">
            <w:pPr>
              <w:ind w:left="720" w:hanging="557"/>
              <w:contextualSpacing/>
              <w:jc w:val="right"/>
              <w:rPr>
                <w:rFonts w:asciiTheme="minorHAnsi" w:hAnsiTheme="minorHAnsi" w:cstheme="minorHAnsi"/>
                <w:color w:val="000000"/>
              </w:rPr>
            </w:pPr>
            <w:r w:rsidRPr="00606DDE">
              <w:rPr>
                <w:rFonts w:asciiTheme="minorHAnsi" w:hAnsiTheme="minorHAnsi" w:cstheme="minorHAnsi"/>
                <w:color w:val="000000"/>
              </w:rPr>
              <w:t>0.00%</w:t>
            </w:r>
          </w:p>
        </w:tc>
        <w:tc>
          <w:tcPr>
            <w:tcW w:w="1710" w:type="dxa"/>
            <w:tcBorders>
              <w:top w:val="nil"/>
              <w:left w:val="single" w:sz="4" w:space="0" w:color="auto"/>
              <w:bottom w:val="nil"/>
              <w:right w:val="single" w:sz="4" w:space="0" w:color="auto"/>
            </w:tcBorders>
            <w:vAlign w:val="center"/>
          </w:tcPr>
          <w:p w14:paraId="371DE53E" w14:textId="77777777" w:rsidR="006E42FE" w:rsidRPr="00EA7DCB" w:rsidRDefault="006E42FE" w:rsidP="00E20A6A">
            <w:pPr>
              <w:ind w:left="720" w:hanging="557"/>
              <w:contextualSpacing/>
              <w:jc w:val="right"/>
              <w:rPr>
                <w:rFonts w:asciiTheme="minorHAnsi" w:hAnsiTheme="minorHAnsi" w:cstheme="minorHAnsi"/>
                <w:color w:val="000000"/>
              </w:rPr>
            </w:pPr>
            <w:r w:rsidRPr="00F45C80">
              <w:rPr>
                <w:rFonts w:asciiTheme="minorHAnsi" w:hAnsiTheme="minorHAnsi" w:cstheme="minorHAnsi"/>
                <w:color w:val="000000"/>
              </w:rPr>
              <w:t>0.00%</w:t>
            </w:r>
          </w:p>
        </w:tc>
      </w:tr>
      <w:tr w:rsidR="006E42FE" w:rsidRPr="00EA7DCB" w14:paraId="7F6DBC29"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6EB72613" w14:textId="77777777" w:rsidR="006E42FE" w:rsidRPr="00DD002B" w:rsidRDefault="006E42FE" w:rsidP="00E20A6A">
            <w:pPr>
              <w:contextualSpacing/>
              <w:rPr>
                <w:rFonts w:asciiTheme="minorHAnsi" w:hAnsiTheme="minorHAnsi" w:cstheme="minorHAnsi"/>
                <w:bCs/>
                <w:spacing w:val="-2"/>
              </w:rPr>
            </w:pPr>
            <w:r w:rsidRPr="00DD002B">
              <w:rPr>
                <w:rFonts w:asciiTheme="minorHAnsi" w:eastAsia="Calibri" w:hAnsiTheme="minorHAnsi" w:cstheme="minorHAnsi"/>
                <w:b/>
              </w:rPr>
              <w:t>Total</w:t>
            </w:r>
          </w:p>
        </w:tc>
        <w:tc>
          <w:tcPr>
            <w:tcW w:w="1980" w:type="dxa"/>
            <w:tcBorders>
              <w:top w:val="nil"/>
              <w:left w:val="single" w:sz="4" w:space="0" w:color="auto"/>
              <w:bottom w:val="nil"/>
              <w:right w:val="single" w:sz="4" w:space="0" w:color="auto"/>
            </w:tcBorders>
            <w:vAlign w:val="bottom"/>
          </w:tcPr>
          <w:p w14:paraId="033CA6F5" w14:textId="77777777" w:rsidR="006E42FE" w:rsidRPr="00302B2D" w:rsidRDefault="006E42FE" w:rsidP="00E20A6A">
            <w:pPr>
              <w:ind w:left="720" w:hanging="557"/>
              <w:contextualSpacing/>
              <w:jc w:val="right"/>
              <w:rPr>
                <w:rFonts w:asciiTheme="minorHAnsi" w:hAnsiTheme="minorHAnsi" w:cstheme="minorHAnsi"/>
                <w:b/>
                <w:bCs/>
                <w:color w:val="000000"/>
              </w:rPr>
            </w:pPr>
            <w:r w:rsidRPr="00302B2D">
              <w:rPr>
                <w:rFonts w:asciiTheme="minorHAnsi" w:hAnsiTheme="minorHAnsi" w:cstheme="minorHAnsi"/>
                <w:b/>
                <w:bCs/>
                <w:color w:val="000000"/>
              </w:rPr>
              <w:t>100.00%</w:t>
            </w:r>
          </w:p>
        </w:tc>
        <w:tc>
          <w:tcPr>
            <w:tcW w:w="1710" w:type="dxa"/>
            <w:tcBorders>
              <w:top w:val="nil"/>
              <w:left w:val="single" w:sz="4" w:space="0" w:color="auto"/>
              <w:bottom w:val="nil"/>
              <w:right w:val="single" w:sz="4" w:space="0" w:color="auto"/>
            </w:tcBorders>
            <w:vAlign w:val="center"/>
          </w:tcPr>
          <w:p w14:paraId="48DDC8D0" w14:textId="77777777" w:rsidR="006E42FE" w:rsidRPr="00EA7DCB" w:rsidRDefault="006E42FE" w:rsidP="00E20A6A">
            <w:pPr>
              <w:ind w:left="720" w:hanging="557"/>
              <w:contextualSpacing/>
              <w:jc w:val="right"/>
              <w:rPr>
                <w:rFonts w:asciiTheme="minorHAnsi" w:hAnsiTheme="minorHAnsi" w:cstheme="minorHAnsi"/>
                <w:color w:val="000000"/>
              </w:rPr>
            </w:pPr>
            <w:r w:rsidRPr="00EA7DCB">
              <w:rPr>
                <w:rFonts w:asciiTheme="minorHAnsi" w:hAnsiTheme="minorHAnsi" w:cstheme="minorHAnsi"/>
                <w:b/>
                <w:bCs/>
                <w:color w:val="000000"/>
              </w:rPr>
              <w:t>100.00%</w:t>
            </w:r>
          </w:p>
        </w:tc>
      </w:tr>
      <w:tr w:rsidR="006E42FE" w:rsidRPr="006757BA" w14:paraId="3CDA0E83" w14:textId="77777777" w:rsidTr="00E20A6A">
        <w:trPr>
          <w:cantSplit/>
          <w:trHeight w:val="144"/>
          <w:jc w:val="center"/>
        </w:trPr>
        <w:tc>
          <w:tcPr>
            <w:tcW w:w="5215" w:type="dxa"/>
            <w:tcBorders>
              <w:top w:val="single" w:sz="4" w:space="0" w:color="auto"/>
              <w:left w:val="single" w:sz="4" w:space="0" w:color="auto"/>
              <w:bottom w:val="nil"/>
              <w:right w:val="single" w:sz="4" w:space="0" w:color="auto"/>
            </w:tcBorders>
          </w:tcPr>
          <w:p w14:paraId="2FD8779E" w14:textId="77777777" w:rsidR="006E42FE" w:rsidRPr="006757BA" w:rsidRDefault="006E42FE" w:rsidP="00E20A6A">
            <w:pPr>
              <w:contextualSpacing/>
              <w:rPr>
                <w:rFonts w:asciiTheme="minorHAnsi" w:eastAsia="Calibri" w:hAnsiTheme="minorHAnsi" w:cstheme="minorHAnsi"/>
                <w:b/>
                <w:highlight w:val="yellow"/>
              </w:rPr>
            </w:pPr>
            <w:r w:rsidRPr="003D1180">
              <w:rPr>
                <w:rFonts w:asciiTheme="minorHAnsi" w:eastAsia="Calibri" w:hAnsiTheme="minorHAnsi" w:cstheme="minorHAnsi"/>
                <w:b/>
              </w:rPr>
              <w:t>Payer Mix</w:t>
            </w:r>
          </w:p>
        </w:tc>
        <w:tc>
          <w:tcPr>
            <w:tcW w:w="1980" w:type="dxa"/>
            <w:tcBorders>
              <w:top w:val="single" w:sz="4" w:space="0" w:color="auto"/>
              <w:left w:val="single" w:sz="4" w:space="0" w:color="auto"/>
              <w:bottom w:val="nil"/>
              <w:right w:val="single" w:sz="4" w:space="0" w:color="auto"/>
            </w:tcBorders>
          </w:tcPr>
          <w:p w14:paraId="1E71B2A8" w14:textId="77777777" w:rsidR="006E42FE" w:rsidRPr="006757BA" w:rsidRDefault="006E42FE" w:rsidP="00E20A6A">
            <w:pPr>
              <w:contextualSpacing/>
              <w:rPr>
                <w:rFonts w:asciiTheme="minorHAnsi" w:eastAsia="Calibri" w:hAnsiTheme="minorHAnsi" w:cstheme="minorHAnsi"/>
                <w:bCs/>
                <w:highlight w:val="yellow"/>
              </w:rPr>
            </w:pPr>
          </w:p>
        </w:tc>
        <w:tc>
          <w:tcPr>
            <w:tcW w:w="1710" w:type="dxa"/>
            <w:tcBorders>
              <w:top w:val="single" w:sz="4" w:space="0" w:color="auto"/>
              <w:left w:val="single" w:sz="4" w:space="0" w:color="auto"/>
              <w:bottom w:val="nil"/>
              <w:right w:val="single" w:sz="4" w:space="0" w:color="auto"/>
            </w:tcBorders>
          </w:tcPr>
          <w:p w14:paraId="0ADF8ABC" w14:textId="77777777" w:rsidR="006E42FE" w:rsidRPr="006757BA" w:rsidRDefault="006E42FE" w:rsidP="00E20A6A">
            <w:pPr>
              <w:ind w:left="720" w:hanging="557"/>
              <w:contextualSpacing/>
              <w:jc w:val="right"/>
              <w:rPr>
                <w:rFonts w:asciiTheme="minorHAnsi" w:hAnsiTheme="minorHAnsi" w:cstheme="minorHAnsi"/>
                <w:spacing w:val="-5"/>
                <w:highlight w:val="yellow"/>
              </w:rPr>
            </w:pPr>
          </w:p>
        </w:tc>
      </w:tr>
      <w:tr w:rsidR="006E42FE" w:rsidRPr="006757BA" w14:paraId="1795703A"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146B849E" w14:textId="77777777" w:rsidR="006E42FE" w:rsidRPr="005073E7" w:rsidRDefault="006E42FE" w:rsidP="00E20A6A">
            <w:pPr>
              <w:contextualSpacing/>
              <w:rPr>
                <w:rFonts w:asciiTheme="minorHAnsi" w:eastAsia="Calibri" w:hAnsiTheme="minorHAnsi" w:cstheme="minorHAnsi"/>
                <w:b/>
                <w:highlight w:val="yellow"/>
              </w:rPr>
            </w:pPr>
            <w:r>
              <w:rPr>
                <w:rFonts w:asciiTheme="minorHAnsi" w:hAnsiTheme="minorHAnsi" w:cstheme="minorHAnsi"/>
                <w:color w:val="000000"/>
              </w:rPr>
              <w:t xml:space="preserve">   </w:t>
            </w:r>
            <w:r w:rsidRPr="005073E7">
              <w:rPr>
                <w:rFonts w:asciiTheme="minorHAnsi" w:hAnsiTheme="minorHAnsi" w:cstheme="minorHAnsi"/>
                <w:color w:val="000000"/>
              </w:rPr>
              <w:t>Payer - Commercial</w:t>
            </w:r>
          </w:p>
        </w:tc>
        <w:tc>
          <w:tcPr>
            <w:tcW w:w="1980" w:type="dxa"/>
            <w:tcBorders>
              <w:top w:val="nil"/>
              <w:left w:val="single" w:sz="4" w:space="0" w:color="auto"/>
              <w:bottom w:val="nil"/>
              <w:right w:val="single" w:sz="4" w:space="0" w:color="auto"/>
            </w:tcBorders>
            <w:vAlign w:val="bottom"/>
          </w:tcPr>
          <w:p w14:paraId="7BCB70BF" w14:textId="77777777" w:rsidR="006E42FE" w:rsidRPr="00E912C7" w:rsidRDefault="006E42FE" w:rsidP="00E20A6A">
            <w:pPr>
              <w:ind w:left="720" w:hanging="557"/>
              <w:contextualSpacing/>
              <w:jc w:val="right"/>
              <w:rPr>
                <w:rFonts w:asciiTheme="minorHAnsi" w:hAnsiTheme="minorHAnsi" w:cstheme="minorHAnsi"/>
                <w:spacing w:val="-5"/>
              </w:rPr>
            </w:pPr>
            <w:r w:rsidRPr="00E912C7">
              <w:rPr>
                <w:rFonts w:asciiTheme="minorHAnsi" w:hAnsiTheme="minorHAnsi" w:cstheme="minorHAnsi"/>
                <w:color w:val="000000"/>
              </w:rPr>
              <w:t>51.87%</w:t>
            </w:r>
          </w:p>
        </w:tc>
        <w:tc>
          <w:tcPr>
            <w:tcW w:w="1710" w:type="dxa"/>
            <w:tcBorders>
              <w:top w:val="nil"/>
              <w:left w:val="single" w:sz="4" w:space="0" w:color="auto"/>
              <w:bottom w:val="nil"/>
              <w:right w:val="single" w:sz="4" w:space="0" w:color="auto"/>
            </w:tcBorders>
            <w:vAlign w:val="center"/>
          </w:tcPr>
          <w:p w14:paraId="46B136F0" w14:textId="77777777" w:rsidR="006E42FE" w:rsidRPr="005F2AC8" w:rsidRDefault="006E42FE" w:rsidP="00E20A6A">
            <w:pPr>
              <w:ind w:left="720" w:hanging="557"/>
              <w:contextualSpacing/>
              <w:jc w:val="right"/>
              <w:rPr>
                <w:rFonts w:asciiTheme="minorHAnsi" w:hAnsiTheme="minorHAnsi" w:cstheme="minorHAnsi"/>
                <w:color w:val="000000"/>
              </w:rPr>
            </w:pPr>
            <w:r w:rsidRPr="005F2AC8">
              <w:rPr>
                <w:rFonts w:asciiTheme="minorHAnsi" w:hAnsiTheme="minorHAnsi" w:cstheme="minorHAnsi"/>
                <w:color w:val="000000"/>
              </w:rPr>
              <w:t>51.47%</w:t>
            </w:r>
          </w:p>
        </w:tc>
      </w:tr>
      <w:tr w:rsidR="006E42FE" w:rsidRPr="006757BA" w14:paraId="776D3A50"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5AFF2F25" w14:textId="77777777" w:rsidR="006E42FE" w:rsidRPr="005073E7" w:rsidRDefault="006E42FE" w:rsidP="00E20A6A">
            <w:pPr>
              <w:ind w:left="720" w:hanging="557"/>
              <w:contextualSpacing/>
              <w:rPr>
                <w:rFonts w:asciiTheme="minorHAnsi" w:hAnsiTheme="minorHAnsi" w:cstheme="minorHAnsi"/>
                <w:bCs/>
                <w:spacing w:val="-2"/>
                <w:highlight w:val="yellow"/>
              </w:rPr>
            </w:pPr>
            <w:r w:rsidRPr="005073E7">
              <w:rPr>
                <w:rFonts w:asciiTheme="minorHAnsi" w:hAnsiTheme="minorHAnsi" w:cstheme="minorHAnsi"/>
                <w:color w:val="000000"/>
              </w:rPr>
              <w:t>Payer - Medicare</w:t>
            </w:r>
          </w:p>
        </w:tc>
        <w:tc>
          <w:tcPr>
            <w:tcW w:w="1980" w:type="dxa"/>
            <w:tcBorders>
              <w:top w:val="nil"/>
              <w:left w:val="single" w:sz="4" w:space="0" w:color="auto"/>
              <w:bottom w:val="nil"/>
              <w:right w:val="single" w:sz="4" w:space="0" w:color="auto"/>
            </w:tcBorders>
            <w:vAlign w:val="bottom"/>
          </w:tcPr>
          <w:p w14:paraId="0AC082A0" w14:textId="77777777" w:rsidR="006E42FE" w:rsidRPr="00E912C7" w:rsidRDefault="006E42FE" w:rsidP="00E20A6A">
            <w:pPr>
              <w:ind w:left="720" w:hanging="557"/>
              <w:contextualSpacing/>
              <w:jc w:val="right"/>
              <w:rPr>
                <w:rFonts w:asciiTheme="minorHAnsi" w:hAnsiTheme="minorHAnsi" w:cstheme="minorHAnsi"/>
                <w:spacing w:val="-5"/>
              </w:rPr>
            </w:pPr>
            <w:r w:rsidRPr="00E912C7">
              <w:rPr>
                <w:rFonts w:asciiTheme="minorHAnsi" w:hAnsiTheme="minorHAnsi" w:cstheme="minorHAnsi"/>
                <w:color w:val="000000"/>
              </w:rPr>
              <w:t>30.25%</w:t>
            </w:r>
          </w:p>
        </w:tc>
        <w:tc>
          <w:tcPr>
            <w:tcW w:w="1710" w:type="dxa"/>
            <w:tcBorders>
              <w:top w:val="nil"/>
              <w:left w:val="single" w:sz="4" w:space="0" w:color="auto"/>
              <w:bottom w:val="nil"/>
              <w:right w:val="single" w:sz="4" w:space="0" w:color="auto"/>
            </w:tcBorders>
            <w:vAlign w:val="center"/>
          </w:tcPr>
          <w:p w14:paraId="165FE1FC" w14:textId="77777777" w:rsidR="006E42FE" w:rsidRPr="005F2AC8" w:rsidRDefault="006E42FE" w:rsidP="00E20A6A">
            <w:pPr>
              <w:ind w:left="720" w:hanging="557"/>
              <w:contextualSpacing/>
              <w:jc w:val="right"/>
              <w:rPr>
                <w:rFonts w:asciiTheme="minorHAnsi" w:hAnsiTheme="minorHAnsi" w:cstheme="minorHAnsi"/>
                <w:color w:val="000000"/>
              </w:rPr>
            </w:pPr>
            <w:r w:rsidRPr="005F2AC8">
              <w:rPr>
                <w:rFonts w:asciiTheme="minorHAnsi" w:hAnsiTheme="minorHAnsi" w:cstheme="minorHAnsi"/>
                <w:color w:val="000000"/>
              </w:rPr>
              <w:t>30.70%</w:t>
            </w:r>
          </w:p>
        </w:tc>
      </w:tr>
      <w:tr w:rsidR="006E42FE" w:rsidRPr="006757BA" w14:paraId="2D7DB060"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346310FD" w14:textId="77777777" w:rsidR="006E42FE" w:rsidRPr="005073E7" w:rsidRDefault="006E42FE" w:rsidP="00E20A6A">
            <w:pPr>
              <w:ind w:left="720" w:hanging="557"/>
              <w:contextualSpacing/>
              <w:rPr>
                <w:rFonts w:asciiTheme="minorHAnsi" w:hAnsiTheme="minorHAnsi" w:cstheme="minorHAnsi"/>
                <w:bCs/>
                <w:spacing w:val="-2"/>
                <w:highlight w:val="yellow"/>
              </w:rPr>
            </w:pPr>
            <w:r w:rsidRPr="005073E7">
              <w:rPr>
                <w:rFonts w:asciiTheme="minorHAnsi" w:hAnsiTheme="minorHAnsi" w:cstheme="minorHAnsi"/>
                <w:color w:val="000000"/>
              </w:rPr>
              <w:t>Payer - Medicaid</w:t>
            </w:r>
          </w:p>
        </w:tc>
        <w:tc>
          <w:tcPr>
            <w:tcW w:w="1980" w:type="dxa"/>
            <w:tcBorders>
              <w:top w:val="nil"/>
              <w:left w:val="single" w:sz="4" w:space="0" w:color="auto"/>
              <w:bottom w:val="nil"/>
              <w:right w:val="single" w:sz="4" w:space="0" w:color="auto"/>
            </w:tcBorders>
            <w:vAlign w:val="bottom"/>
          </w:tcPr>
          <w:p w14:paraId="578F928D" w14:textId="77777777" w:rsidR="006E42FE" w:rsidRPr="00E912C7" w:rsidRDefault="006E42FE" w:rsidP="00E20A6A">
            <w:pPr>
              <w:ind w:left="720" w:hanging="557"/>
              <w:contextualSpacing/>
              <w:jc w:val="right"/>
              <w:rPr>
                <w:rFonts w:asciiTheme="minorHAnsi" w:hAnsiTheme="minorHAnsi" w:cstheme="minorHAnsi"/>
                <w:spacing w:val="-5"/>
              </w:rPr>
            </w:pPr>
            <w:r w:rsidRPr="00E912C7">
              <w:rPr>
                <w:rFonts w:asciiTheme="minorHAnsi" w:hAnsiTheme="minorHAnsi" w:cstheme="minorHAnsi"/>
                <w:color w:val="000000"/>
              </w:rPr>
              <w:t>12.38%</w:t>
            </w:r>
          </w:p>
        </w:tc>
        <w:tc>
          <w:tcPr>
            <w:tcW w:w="1710" w:type="dxa"/>
            <w:tcBorders>
              <w:top w:val="nil"/>
              <w:left w:val="single" w:sz="4" w:space="0" w:color="auto"/>
              <w:bottom w:val="nil"/>
              <w:right w:val="single" w:sz="4" w:space="0" w:color="auto"/>
            </w:tcBorders>
            <w:vAlign w:val="center"/>
          </w:tcPr>
          <w:p w14:paraId="39F6007E" w14:textId="77777777" w:rsidR="006E42FE" w:rsidRPr="005F2AC8" w:rsidRDefault="006E42FE" w:rsidP="00E20A6A">
            <w:pPr>
              <w:ind w:left="720" w:hanging="557"/>
              <w:contextualSpacing/>
              <w:jc w:val="right"/>
              <w:rPr>
                <w:rFonts w:asciiTheme="minorHAnsi" w:hAnsiTheme="minorHAnsi" w:cstheme="minorHAnsi"/>
                <w:color w:val="000000"/>
              </w:rPr>
            </w:pPr>
            <w:r w:rsidRPr="005F2AC8">
              <w:rPr>
                <w:rFonts w:asciiTheme="minorHAnsi" w:hAnsiTheme="minorHAnsi" w:cstheme="minorHAnsi"/>
                <w:color w:val="000000"/>
              </w:rPr>
              <w:t>12.92%</w:t>
            </w:r>
          </w:p>
        </w:tc>
      </w:tr>
      <w:tr w:rsidR="006E42FE" w:rsidRPr="006757BA" w14:paraId="72587386"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49E41B1B" w14:textId="77777777" w:rsidR="006E42FE" w:rsidRPr="005073E7" w:rsidRDefault="006E42FE" w:rsidP="00E20A6A">
            <w:pPr>
              <w:ind w:left="720" w:hanging="557"/>
              <w:contextualSpacing/>
              <w:rPr>
                <w:rFonts w:asciiTheme="minorHAnsi" w:hAnsiTheme="minorHAnsi" w:cstheme="minorHAnsi"/>
                <w:bCs/>
                <w:spacing w:val="-2"/>
                <w:highlight w:val="yellow"/>
              </w:rPr>
            </w:pPr>
            <w:r w:rsidRPr="005073E7">
              <w:rPr>
                <w:rFonts w:asciiTheme="minorHAnsi" w:hAnsiTheme="minorHAnsi" w:cstheme="minorHAnsi"/>
                <w:color w:val="000000"/>
              </w:rPr>
              <w:t>Payer - Multiple Payors</w:t>
            </w:r>
            <w:r w:rsidRPr="005073E7">
              <w:rPr>
                <w:rStyle w:val="FootnoteReference"/>
                <w:rFonts w:asciiTheme="minorHAnsi" w:hAnsiTheme="minorHAnsi" w:cstheme="minorHAnsi"/>
                <w:color w:val="000000"/>
              </w:rPr>
              <w:footnoteReference w:id="12"/>
            </w:r>
          </w:p>
        </w:tc>
        <w:tc>
          <w:tcPr>
            <w:tcW w:w="1980" w:type="dxa"/>
            <w:tcBorders>
              <w:top w:val="nil"/>
              <w:left w:val="single" w:sz="4" w:space="0" w:color="auto"/>
              <w:bottom w:val="nil"/>
              <w:right w:val="single" w:sz="4" w:space="0" w:color="auto"/>
            </w:tcBorders>
            <w:vAlign w:val="bottom"/>
          </w:tcPr>
          <w:p w14:paraId="4EF0B88B" w14:textId="77777777" w:rsidR="006E42FE" w:rsidRPr="00E912C7" w:rsidRDefault="006E42FE" w:rsidP="00E20A6A">
            <w:pPr>
              <w:ind w:left="720" w:hanging="557"/>
              <w:contextualSpacing/>
              <w:jc w:val="right"/>
              <w:rPr>
                <w:rFonts w:asciiTheme="minorHAnsi" w:hAnsiTheme="minorHAnsi" w:cstheme="minorHAnsi"/>
                <w:spacing w:val="-5"/>
              </w:rPr>
            </w:pPr>
            <w:r w:rsidRPr="00E912C7">
              <w:rPr>
                <w:rFonts w:asciiTheme="minorHAnsi" w:hAnsiTheme="minorHAnsi" w:cstheme="minorHAnsi"/>
                <w:color w:val="000000"/>
              </w:rPr>
              <w:t>0.00%</w:t>
            </w:r>
          </w:p>
        </w:tc>
        <w:tc>
          <w:tcPr>
            <w:tcW w:w="1710" w:type="dxa"/>
            <w:tcBorders>
              <w:top w:val="nil"/>
              <w:left w:val="single" w:sz="4" w:space="0" w:color="auto"/>
              <w:bottom w:val="nil"/>
              <w:right w:val="single" w:sz="4" w:space="0" w:color="auto"/>
            </w:tcBorders>
            <w:vAlign w:val="center"/>
          </w:tcPr>
          <w:p w14:paraId="03E48F41" w14:textId="77777777" w:rsidR="006E42FE" w:rsidRPr="005F2AC8" w:rsidRDefault="006E42FE" w:rsidP="00E20A6A">
            <w:pPr>
              <w:ind w:left="720" w:hanging="557"/>
              <w:contextualSpacing/>
              <w:jc w:val="right"/>
              <w:rPr>
                <w:rFonts w:asciiTheme="minorHAnsi" w:hAnsiTheme="minorHAnsi" w:cstheme="minorHAnsi"/>
                <w:color w:val="000000"/>
              </w:rPr>
            </w:pPr>
            <w:r w:rsidRPr="005F2AC8">
              <w:rPr>
                <w:rFonts w:asciiTheme="minorHAnsi" w:hAnsiTheme="minorHAnsi" w:cstheme="minorHAnsi"/>
                <w:color w:val="000000"/>
              </w:rPr>
              <w:t>0.00%</w:t>
            </w:r>
          </w:p>
        </w:tc>
      </w:tr>
      <w:tr w:rsidR="006E42FE" w:rsidRPr="006757BA" w14:paraId="1690947E" w14:textId="77777777" w:rsidTr="00E20A6A">
        <w:trPr>
          <w:cantSplit/>
          <w:trHeight w:val="144"/>
          <w:jc w:val="center"/>
        </w:trPr>
        <w:tc>
          <w:tcPr>
            <w:tcW w:w="5215" w:type="dxa"/>
            <w:tcBorders>
              <w:top w:val="nil"/>
              <w:left w:val="single" w:sz="4" w:space="0" w:color="auto"/>
              <w:bottom w:val="nil"/>
              <w:right w:val="single" w:sz="4" w:space="0" w:color="auto"/>
            </w:tcBorders>
            <w:vAlign w:val="bottom"/>
          </w:tcPr>
          <w:p w14:paraId="4654BD63" w14:textId="77777777" w:rsidR="006E42FE" w:rsidRPr="005073E7" w:rsidRDefault="006E42FE" w:rsidP="00E20A6A">
            <w:pPr>
              <w:ind w:left="520" w:hanging="361"/>
              <w:contextualSpacing/>
              <w:rPr>
                <w:rFonts w:asciiTheme="minorHAnsi" w:hAnsiTheme="minorHAnsi" w:cstheme="minorHAnsi"/>
                <w:b/>
                <w:spacing w:val="-2"/>
                <w:highlight w:val="yellow"/>
              </w:rPr>
            </w:pPr>
            <w:r w:rsidRPr="005073E7">
              <w:rPr>
                <w:rFonts w:asciiTheme="minorHAnsi" w:hAnsiTheme="minorHAnsi" w:cstheme="minorHAnsi"/>
                <w:color w:val="000000"/>
              </w:rPr>
              <w:t>Payer - Other</w:t>
            </w:r>
            <w:r w:rsidRPr="005073E7">
              <w:rPr>
                <w:rStyle w:val="FootnoteReference"/>
                <w:rFonts w:asciiTheme="minorHAnsi" w:hAnsiTheme="minorHAnsi" w:cstheme="minorHAnsi"/>
                <w:color w:val="000000"/>
              </w:rPr>
              <w:footnoteReference w:id="13"/>
            </w:r>
          </w:p>
        </w:tc>
        <w:tc>
          <w:tcPr>
            <w:tcW w:w="1980" w:type="dxa"/>
            <w:tcBorders>
              <w:top w:val="nil"/>
              <w:left w:val="single" w:sz="4" w:space="0" w:color="auto"/>
              <w:bottom w:val="nil"/>
              <w:right w:val="single" w:sz="4" w:space="0" w:color="auto"/>
            </w:tcBorders>
            <w:vAlign w:val="bottom"/>
          </w:tcPr>
          <w:p w14:paraId="3BF25369" w14:textId="77777777" w:rsidR="006E42FE" w:rsidRPr="00E912C7" w:rsidRDefault="006E42FE" w:rsidP="00E20A6A">
            <w:pPr>
              <w:ind w:left="720" w:hanging="557"/>
              <w:contextualSpacing/>
              <w:jc w:val="right"/>
              <w:rPr>
                <w:rFonts w:asciiTheme="minorHAnsi" w:hAnsiTheme="minorHAnsi" w:cstheme="minorHAnsi"/>
                <w:spacing w:val="-5"/>
              </w:rPr>
            </w:pPr>
            <w:r w:rsidRPr="00E912C7">
              <w:rPr>
                <w:rFonts w:asciiTheme="minorHAnsi" w:hAnsiTheme="minorHAnsi" w:cstheme="minorHAnsi"/>
                <w:color w:val="000000"/>
              </w:rPr>
              <w:t>5.49%</w:t>
            </w:r>
          </w:p>
        </w:tc>
        <w:tc>
          <w:tcPr>
            <w:tcW w:w="1710" w:type="dxa"/>
            <w:tcBorders>
              <w:top w:val="nil"/>
              <w:left w:val="single" w:sz="4" w:space="0" w:color="auto"/>
              <w:bottom w:val="nil"/>
              <w:right w:val="single" w:sz="4" w:space="0" w:color="auto"/>
            </w:tcBorders>
            <w:vAlign w:val="center"/>
          </w:tcPr>
          <w:p w14:paraId="5A76B1D1" w14:textId="77777777" w:rsidR="006E42FE" w:rsidRPr="005F2AC8" w:rsidRDefault="006E42FE" w:rsidP="00E20A6A">
            <w:pPr>
              <w:ind w:left="720" w:hanging="557"/>
              <w:contextualSpacing/>
              <w:jc w:val="right"/>
              <w:rPr>
                <w:rFonts w:asciiTheme="minorHAnsi" w:hAnsiTheme="minorHAnsi" w:cstheme="minorHAnsi"/>
                <w:color w:val="000000"/>
              </w:rPr>
            </w:pPr>
            <w:r w:rsidRPr="005F2AC8">
              <w:rPr>
                <w:rFonts w:asciiTheme="minorHAnsi" w:hAnsiTheme="minorHAnsi" w:cstheme="minorHAnsi"/>
                <w:color w:val="000000"/>
              </w:rPr>
              <w:t>4.91%</w:t>
            </w:r>
          </w:p>
        </w:tc>
      </w:tr>
      <w:tr w:rsidR="006E42FE" w:rsidRPr="006757BA" w14:paraId="1BD5093F" w14:textId="77777777" w:rsidTr="00E20A6A">
        <w:trPr>
          <w:cantSplit/>
          <w:trHeight w:val="144"/>
          <w:jc w:val="center"/>
        </w:trPr>
        <w:tc>
          <w:tcPr>
            <w:tcW w:w="5215" w:type="dxa"/>
            <w:tcBorders>
              <w:top w:val="nil"/>
              <w:left w:val="single" w:sz="4" w:space="0" w:color="auto"/>
              <w:bottom w:val="single" w:sz="4" w:space="0" w:color="auto"/>
              <w:right w:val="single" w:sz="4" w:space="0" w:color="auto"/>
            </w:tcBorders>
          </w:tcPr>
          <w:p w14:paraId="439D5906" w14:textId="77777777" w:rsidR="006E42FE" w:rsidRPr="006757BA" w:rsidRDefault="006E42FE" w:rsidP="00E20A6A">
            <w:pPr>
              <w:contextualSpacing/>
              <w:rPr>
                <w:rFonts w:asciiTheme="minorHAnsi" w:eastAsia="Calibri" w:hAnsiTheme="minorHAnsi" w:cstheme="minorHAnsi"/>
                <w:b/>
                <w:highlight w:val="yellow"/>
              </w:rPr>
            </w:pPr>
            <w:r>
              <w:rPr>
                <w:rFonts w:asciiTheme="minorHAnsi" w:hAnsiTheme="minorHAnsi" w:cstheme="minorHAnsi"/>
                <w:b/>
                <w:spacing w:val="-2"/>
              </w:rPr>
              <w:t xml:space="preserve">   </w:t>
            </w:r>
            <w:r w:rsidRPr="005073E7">
              <w:rPr>
                <w:rFonts w:asciiTheme="minorHAnsi" w:hAnsiTheme="minorHAnsi" w:cstheme="minorHAnsi"/>
                <w:b/>
                <w:spacing w:val="-2"/>
              </w:rPr>
              <w:t>Total</w:t>
            </w:r>
          </w:p>
        </w:tc>
        <w:tc>
          <w:tcPr>
            <w:tcW w:w="1980" w:type="dxa"/>
            <w:tcBorders>
              <w:top w:val="nil"/>
              <w:left w:val="single" w:sz="4" w:space="0" w:color="auto"/>
              <w:bottom w:val="single" w:sz="4" w:space="0" w:color="auto"/>
              <w:right w:val="single" w:sz="4" w:space="0" w:color="auto"/>
            </w:tcBorders>
          </w:tcPr>
          <w:p w14:paraId="066D1E50" w14:textId="77777777" w:rsidR="006E42FE" w:rsidRPr="006757BA" w:rsidRDefault="006E42FE" w:rsidP="00E20A6A">
            <w:pPr>
              <w:ind w:left="720" w:hanging="557"/>
              <w:contextualSpacing/>
              <w:jc w:val="right"/>
              <w:rPr>
                <w:rFonts w:asciiTheme="minorHAnsi" w:hAnsiTheme="minorHAnsi" w:cstheme="minorHAnsi"/>
                <w:b/>
                <w:bCs/>
                <w:spacing w:val="-5"/>
                <w:highlight w:val="yellow"/>
              </w:rPr>
            </w:pPr>
            <w:r w:rsidRPr="00E912C7">
              <w:rPr>
                <w:rFonts w:asciiTheme="minorHAnsi" w:hAnsiTheme="minorHAnsi" w:cstheme="minorHAnsi"/>
                <w:b/>
                <w:bCs/>
                <w:color w:val="000000"/>
              </w:rPr>
              <w:t>100.00%</w:t>
            </w:r>
          </w:p>
        </w:tc>
        <w:tc>
          <w:tcPr>
            <w:tcW w:w="1710" w:type="dxa"/>
            <w:tcBorders>
              <w:top w:val="nil"/>
              <w:left w:val="single" w:sz="4" w:space="0" w:color="auto"/>
              <w:bottom w:val="single" w:sz="4" w:space="0" w:color="auto"/>
              <w:right w:val="single" w:sz="4" w:space="0" w:color="auto"/>
            </w:tcBorders>
          </w:tcPr>
          <w:p w14:paraId="2330A274" w14:textId="77777777" w:rsidR="006E42FE" w:rsidRPr="006757BA" w:rsidRDefault="006E42FE" w:rsidP="00E20A6A">
            <w:pPr>
              <w:ind w:left="720" w:hanging="557"/>
              <w:contextualSpacing/>
              <w:jc w:val="right"/>
              <w:rPr>
                <w:rFonts w:asciiTheme="minorHAnsi" w:hAnsiTheme="minorHAnsi" w:cstheme="minorHAnsi"/>
                <w:b/>
                <w:bCs/>
                <w:spacing w:val="-5"/>
                <w:highlight w:val="yellow"/>
              </w:rPr>
            </w:pPr>
            <w:r w:rsidRPr="005F2AC8">
              <w:rPr>
                <w:rFonts w:asciiTheme="minorHAnsi" w:hAnsiTheme="minorHAnsi" w:cstheme="minorHAnsi"/>
                <w:b/>
                <w:bCs/>
                <w:color w:val="000000"/>
              </w:rPr>
              <w:t>100.00%</w:t>
            </w:r>
          </w:p>
        </w:tc>
      </w:tr>
    </w:tbl>
    <w:p w14:paraId="56D065D7" w14:textId="77777777" w:rsidR="006E42FE" w:rsidRPr="006757BA" w:rsidRDefault="006E42FE" w:rsidP="006E42FE">
      <w:pPr>
        <w:rPr>
          <w:rFonts w:asciiTheme="minorHAnsi" w:hAnsiTheme="minorHAnsi" w:cstheme="minorHAnsi"/>
          <w:color w:val="191919"/>
          <w:highlight w:val="yellow"/>
        </w:rPr>
      </w:pPr>
    </w:p>
    <w:p w14:paraId="13DFCC8A" w14:textId="77777777" w:rsidR="006E42FE" w:rsidRPr="008A7A82" w:rsidRDefault="006E42FE" w:rsidP="006E42FE">
      <w:pPr>
        <w:contextualSpacing/>
        <w:rPr>
          <w:rFonts w:asciiTheme="minorHAnsi" w:eastAsia="Calibri" w:hAnsiTheme="minorHAnsi" w:cstheme="minorHAnsi"/>
          <w:sz w:val="28"/>
          <w:szCs w:val="28"/>
        </w:rPr>
      </w:pPr>
    </w:p>
    <w:p w14:paraId="0BB67F09" w14:textId="77777777" w:rsidR="006E42FE" w:rsidRPr="008A7A82" w:rsidRDefault="006E42FE" w:rsidP="006E42FE">
      <w:pPr>
        <w:pStyle w:val="Heading1"/>
        <w:spacing w:before="0" w:line="240" w:lineRule="auto"/>
        <w:rPr>
          <w:rFonts w:asciiTheme="minorHAnsi" w:eastAsia="Calibri" w:hAnsiTheme="minorHAnsi" w:cstheme="minorHAnsi"/>
        </w:rPr>
      </w:pPr>
      <w:bookmarkStart w:id="16" w:name="_Toc17731309"/>
      <w:bookmarkStart w:id="17" w:name="_Toc18922398"/>
      <w:bookmarkStart w:id="18" w:name="_Toc125371240"/>
      <w:bookmarkStart w:id="19" w:name="_Toc145424487"/>
      <w:r w:rsidRPr="008A7A82">
        <w:rPr>
          <w:rFonts w:asciiTheme="minorHAnsi" w:eastAsia="Calibri" w:hAnsiTheme="minorHAnsi" w:cstheme="minorHAnsi"/>
        </w:rPr>
        <w:t>Factor 1: a) Patient Panel Need</w:t>
      </w:r>
      <w:bookmarkEnd w:id="16"/>
      <w:bookmarkEnd w:id="17"/>
      <w:bookmarkEnd w:id="18"/>
      <w:bookmarkEnd w:id="19"/>
    </w:p>
    <w:p w14:paraId="733438E2" w14:textId="77777777" w:rsidR="006E42FE" w:rsidRPr="008A7A82" w:rsidRDefault="006E42FE" w:rsidP="006E42FE">
      <w:pPr>
        <w:contextualSpacing/>
        <w:rPr>
          <w:rFonts w:asciiTheme="minorHAnsi" w:eastAsia="Calibri" w:hAnsiTheme="minorHAnsi" w:cstheme="minorHAnsi"/>
        </w:rPr>
      </w:pPr>
      <w:r w:rsidRPr="008A7A82">
        <w:rPr>
          <w:rFonts w:asciiTheme="minorHAnsi" w:eastAsia="Calibri" w:hAnsiTheme="minorHAnsi" w:cstheme="minorHAnsi"/>
        </w:rPr>
        <w:t xml:space="preserve">In this section, staff assesses if the Applicant has sufficiently addressed Patient Panel need for the Proposed Project. </w:t>
      </w:r>
    </w:p>
    <w:p w14:paraId="35773448" w14:textId="77777777" w:rsidR="006E42FE" w:rsidRPr="006757BA" w:rsidRDefault="006E42FE" w:rsidP="006E42FE">
      <w:pPr>
        <w:contextualSpacing/>
        <w:rPr>
          <w:rFonts w:asciiTheme="minorHAnsi" w:eastAsia="Calibri" w:hAnsiTheme="minorHAnsi" w:cstheme="minorHAnsi"/>
          <w:b/>
          <w:highlight w:val="yellow"/>
          <w:u w:val="single"/>
        </w:rPr>
      </w:pPr>
    </w:p>
    <w:p w14:paraId="391D8380" w14:textId="77777777" w:rsidR="006E42FE" w:rsidRPr="008A7A82" w:rsidRDefault="006E42FE" w:rsidP="006E42FE">
      <w:pPr>
        <w:contextualSpacing/>
        <w:rPr>
          <w:rFonts w:asciiTheme="minorHAnsi" w:hAnsiTheme="minorHAnsi" w:cstheme="minorHAnsi"/>
          <w:b/>
        </w:rPr>
      </w:pPr>
      <w:r w:rsidRPr="008A7A82">
        <w:rPr>
          <w:rFonts w:asciiTheme="minorHAnsi" w:hAnsiTheme="minorHAnsi" w:cstheme="minorHAnsi"/>
          <w:b/>
        </w:rPr>
        <w:t>Patient Panel Need</w:t>
      </w:r>
    </w:p>
    <w:p w14:paraId="3C4A9B12" w14:textId="77777777" w:rsidR="006E42FE" w:rsidRPr="008A7A82" w:rsidRDefault="006E42FE" w:rsidP="006E42FE">
      <w:pPr>
        <w:autoSpaceDE w:val="0"/>
        <w:autoSpaceDN w:val="0"/>
        <w:adjustRightInd w:val="0"/>
        <w:rPr>
          <w:rFonts w:asciiTheme="minorHAnsi" w:eastAsiaTheme="minorHAnsi" w:hAnsiTheme="minorHAnsi" w:cstheme="minorHAnsi"/>
          <w:color w:val="000000"/>
        </w:rPr>
      </w:pPr>
      <w:r w:rsidRPr="008A7A82">
        <w:rPr>
          <w:rFonts w:asciiTheme="minorHAnsi" w:eastAsiaTheme="minorHAnsi" w:hAnsiTheme="minorHAnsi" w:cstheme="minorHAnsi"/>
          <w:color w:val="000000"/>
        </w:rPr>
        <w:t xml:space="preserve">The Applicant attributes the need for a second CT machine to two factors: </w:t>
      </w:r>
    </w:p>
    <w:p w14:paraId="152BC5A7" w14:textId="77777777" w:rsidR="006E42FE" w:rsidRPr="008A7A82" w:rsidRDefault="006E42FE" w:rsidP="006E42FE">
      <w:pPr>
        <w:pStyle w:val="ListParagraph"/>
        <w:numPr>
          <w:ilvl w:val="0"/>
          <w:numId w:val="2"/>
        </w:numPr>
        <w:autoSpaceDE w:val="0"/>
        <w:autoSpaceDN w:val="0"/>
        <w:adjustRightInd w:val="0"/>
        <w:spacing w:after="22"/>
        <w:rPr>
          <w:rFonts w:cstheme="minorHAnsi"/>
          <w:color w:val="000000"/>
          <w:sz w:val="24"/>
          <w:szCs w:val="24"/>
        </w:rPr>
      </w:pPr>
      <w:r w:rsidRPr="008A7A82">
        <w:rPr>
          <w:rFonts w:cstheme="minorHAnsi"/>
          <w:color w:val="000000"/>
          <w:sz w:val="24"/>
          <w:szCs w:val="24"/>
        </w:rPr>
        <w:t>Capacity limitations of one CT unit</w:t>
      </w:r>
    </w:p>
    <w:p w14:paraId="4B4A4F6A" w14:textId="77777777" w:rsidR="006E42FE" w:rsidRPr="008A7A82" w:rsidRDefault="006E42FE" w:rsidP="006E42FE">
      <w:pPr>
        <w:pStyle w:val="ListParagraph"/>
        <w:numPr>
          <w:ilvl w:val="1"/>
          <w:numId w:val="2"/>
        </w:numPr>
        <w:autoSpaceDE w:val="0"/>
        <w:autoSpaceDN w:val="0"/>
        <w:adjustRightInd w:val="0"/>
        <w:spacing w:after="22"/>
        <w:rPr>
          <w:rFonts w:cstheme="minorHAnsi"/>
          <w:color w:val="000000"/>
          <w:sz w:val="24"/>
          <w:szCs w:val="24"/>
        </w:rPr>
      </w:pPr>
      <w:r w:rsidRPr="008A7A82">
        <w:rPr>
          <w:rFonts w:cstheme="minorHAnsi"/>
          <w:color w:val="000000"/>
          <w:sz w:val="24"/>
          <w:szCs w:val="24"/>
        </w:rPr>
        <w:t>Increased Downtime for CT Equipment Maintenance</w:t>
      </w:r>
    </w:p>
    <w:p w14:paraId="7CD574BD" w14:textId="0607EBAF" w:rsidR="006E42FE" w:rsidRPr="008A7A82" w:rsidRDefault="006E42FE" w:rsidP="006E42FE">
      <w:pPr>
        <w:pStyle w:val="ListParagraph"/>
        <w:numPr>
          <w:ilvl w:val="1"/>
          <w:numId w:val="2"/>
        </w:numPr>
        <w:autoSpaceDE w:val="0"/>
        <w:autoSpaceDN w:val="0"/>
        <w:adjustRightInd w:val="0"/>
        <w:spacing w:after="22"/>
        <w:rPr>
          <w:rFonts w:cstheme="minorHAnsi"/>
          <w:color w:val="000000"/>
          <w:sz w:val="24"/>
          <w:szCs w:val="24"/>
        </w:rPr>
      </w:pPr>
      <w:r w:rsidRPr="008A7A82">
        <w:rPr>
          <w:rFonts w:cstheme="minorHAnsi"/>
          <w:color w:val="000000"/>
          <w:sz w:val="24"/>
          <w:szCs w:val="24"/>
        </w:rPr>
        <w:t>Primary Stroke Service Hospital</w:t>
      </w:r>
      <w:r w:rsidR="00E7015A">
        <w:rPr>
          <w:rFonts w:cstheme="minorHAnsi"/>
          <w:color w:val="000000"/>
          <w:sz w:val="24"/>
          <w:szCs w:val="24"/>
        </w:rPr>
        <w:t xml:space="preserve"> Service Demands</w:t>
      </w:r>
      <w:r w:rsidRPr="008A7A82">
        <w:rPr>
          <w:rFonts w:cstheme="minorHAnsi"/>
          <w:color w:val="000000"/>
          <w:sz w:val="24"/>
          <w:szCs w:val="24"/>
        </w:rPr>
        <w:t xml:space="preserve"> </w:t>
      </w:r>
    </w:p>
    <w:p w14:paraId="23EC71B2" w14:textId="77777777" w:rsidR="006E42FE" w:rsidRPr="008A7A82" w:rsidRDefault="006E42FE" w:rsidP="006E42FE">
      <w:pPr>
        <w:pStyle w:val="ListParagraph"/>
        <w:numPr>
          <w:ilvl w:val="0"/>
          <w:numId w:val="2"/>
        </w:numPr>
        <w:autoSpaceDE w:val="0"/>
        <w:autoSpaceDN w:val="0"/>
        <w:adjustRightInd w:val="0"/>
        <w:spacing w:after="22"/>
        <w:rPr>
          <w:rFonts w:cstheme="minorHAnsi"/>
          <w:color w:val="000000"/>
          <w:sz w:val="24"/>
          <w:szCs w:val="24"/>
        </w:rPr>
      </w:pPr>
      <w:r w:rsidRPr="008A7A82">
        <w:rPr>
          <w:rFonts w:cstheme="minorHAnsi"/>
          <w:color w:val="000000"/>
          <w:sz w:val="24"/>
          <w:szCs w:val="24"/>
        </w:rPr>
        <w:t>Projected Increase in Demand</w:t>
      </w:r>
    </w:p>
    <w:p w14:paraId="40D27708" w14:textId="77777777" w:rsidR="006E42FE" w:rsidRPr="006757BA" w:rsidRDefault="006E42FE" w:rsidP="006E42FE">
      <w:pPr>
        <w:autoSpaceDE w:val="0"/>
        <w:autoSpaceDN w:val="0"/>
        <w:adjustRightInd w:val="0"/>
        <w:ind w:firstLine="360"/>
        <w:rPr>
          <w:rFonts w:asciiTheme="minorHAnsi" w:eastAsiaTheme="minorHAnsi" w:hAnsiTheme="minorHAnsi" w:cstheme="minorHAnsi"/>
          <w:highlight w:val="yellow"/>
        </w:rPr>
      </w:pPr>
      <w:r w:rsidRPr="006757BA">
        <w:rPr>
          <w:rFonts w:asciiTheme="minorHAnsi" w:eastAsiaTheme="minorHAnsi" w:hAnsiTheme="minorHAnsi" w:cstheme="minorHAnsi"/>
          <w:highlight w:val="yellow"/>
        </w:rPr>
        <w:t xml:space="preserve"> </w:t>
      </w:r>
    </w:p>
    <w:p w14:paraId="652D3EAD" w14:textId="77777777" w:rsidR="006E42FE" w:rsidRPr="006757BA" w:rsidRDefault="006E42FE" w:rsidP="006E42FE">
      <w:pPr>
        <w:autoSpaceDE w:val="0"/>
        <w:autoSpaceDN w:val="0"/>
        <w:adjustRightInd w:val="0"/>
        <w:ind w:firstLine="360"/>
        <w:rPr>
          <w:rFonts w:asciiTheme="minorHAnsi" w:eastAsiaTheme="minorHAnsi" w:hAnsiTheme="minorHAnsi" w:cstheme="minorHAnsi"/>
          <w:highlight w:val="yellow"/>
        </w:rPr>
      </w:pPr>
    </w:p>
    <w:p w14:paraId="13CA6BB6" w14:textId="77777777" w:rsidR="006E42FE" w:rsidRPr="00817D99" w:rsidRDefault="006E42FE" w:rsidP="006E42FE">
      <w:pPr>
        <w:pStyle w:val="ListParagraph"/>
        <w:numPr>
          <w:ilvl w:val="0"/>
          <w:numId w:val="13"/>
        </w:numPr>
        <w:autoSpaceDE w:val="0"/>
        <w:autoSpaceDN w:val="0"/>
        <w:adjustRightInd w:val="0"/>
        <w:spacing w:after="22"/>
        <w:ind w:left="720"/>
        <w:rPr>
          <w:rFonts w:cstheme="minorHAnsi"/>
          <w:b/>
          <w:bCs/>
          <w:color w:val="000000"/>
          <w:sz w:val="24"/>
          <w:szCs w:val="24"/>
        </w:rPr>
      </w:pPr>
      <w:r w:rsidRPr="00817D99">
        <w:rPr>
          <w:rFonts w:cstheme="minorHAnsi"/>
          <w:b/>
          <w:bCs/>
          <w:color w:val="000000"/>
          <w:sz w:val="24"/>
          <w:szCs w:val="24"/>
        </w:rPr>
        <w:t>Capacity Limitations of One CT Unit</w:t>
      </w:r>
    </w:p>
    <w:p w14:paraId="5792D811" w14:textId="52419816" w:rsidR="006E42FE" w:rsidRPr="00242680" w:rsidRDefault="006E42FE" w:rsidP="006E42FE">
      <w:pPr>
        <w:autoSpaceDE w:val="0"/>
        <w:autoSpaceDN w:val="0"/>
        <w:adjustRightInd w:val="0"/>
        <w:spacing w:after="22"/>
        <w:rPr>
          <w:rFonts w:asciiTheme="minorHAnsi" w:hAnsiTheme="minorHAnsi" w:cstheme="minorHAnsi"/>
        </w:rPr>
      </w:pPr>
      <w:r w:rsidRPr="00014CEC">
        <w:rPr>
          <w:rFonts w:asciiTheme="minorHAnsi" w:hAnsiTheme="minorHAnsi" w:cstheme="minorHAnsi"/>
        </w:rPr>
        <w:t>AJH currently has one CT unit for inpatient, outpatient, and ED needs</w:t>
      </w:r>
      <w:r>
        <w:rPr>
          <w:rFonts w:asciiTheme="minorHAnsi" w:hAnsiTheme="minorHAnsi" w:cstheme="minorHAnsi"/>
        </w:rPr>
        <w:t>. Operating with a single</w:t>
      </w:r>
      <w:r w:rsidRPr="00014CEC">
        <w:rPr>
          <w:rFonts w:asciiTheme="minorHAnsi" w:hAnsiTheme="minorHAnsi" w:cstheme="minorHAnsi"/>
        </w:rPr>
        <w:t xml:space="preserve"> unit</w:t>
      </w:r>
      <w:r>
        <w:rPr>
          <w:rFonts w:asciiTheme="minorHAnsi" w:hAnsiTheme="minorHAnsi" w:cstheme="minorHAnsi"/>
        </w:rPr>
        <w:t xml:space="preserve"> means that</w:t>
      </w:r>
      <w:r w:rsidRPr="00014CEC">
        <w:rPr>
          <w:rFonts w:asciiTheme="minorHAnsi" w:hAnsiTheme="minorHAnsi" w:cstheme="minorHAnsi"/>
        </w:rPr>
        <w:t xml:space="preserve"> urgent or emergent CT cases </w:t>
      </w:r>
      <w:r w:rsidR="005A2F25">
        <w:rPr>
          <w:rFonts w:asciiTheme="minorHAnsi" w:hAnsiTheme="minorHAnsi" w:cstheme="minorHAnsi"/>
        </w:rPr>
        <w:t xml:space="preserve">are prioritized over </w:t>
      </w:r>
      <w:r>
        <w:rPr>
          <w:rFonts w:asciiTheme="minorHAnsi" w:hAnsiTheme="minorHAnsi" w:cstheme="minorHAnsi"/>
        </w:rPr>
        <w:t xml:space="preserve">non-urgent </w:t>
      </w:r>
      <w:r w:rsidRPr="00014CEC">
        <w:rPr>
          <w:rFonts w:asciiTheme="minorHAnsi" w:hAnsiTheme="minorHAnsi" w:cstheme="minorHAnsi"/>
        </w:rPr>
        <w:t xml:space="preserve">inpatient </w:t>
      </w:r>
      <w:r w:rsidR="005A5518">
        <w:rPr>
          <w:rFonts w:asciiTheme="minorHAnsi" w:hAnsiTheme="minorHAnsi" w:cstheme="minorHAnsi"/>
        </w:rPr>
        <w:t xml:space="preserve">and outpatient </w:t>
      </w:r>
      <w:r w:rsidRPr="00014CEC">
        <w:rPr>
          <w:rFonts w:asciiTheme="minorHAnsi" w:hAnsiTheme="minorHAnsi" w:cstheme="minorHAnsi"/>
        </w:rPr>
        <w:t>CT</w:t>
      </w:r>
      <w:r w:rsidR="005A5518">
        <w:rPr>
          <w:rFonts w:asciiTheme="minorHAnsi" w:hAnsiTheme="minorHAnsi" w:cstheme="minorHAnsi"/>
        </w:rPr>
        <w:t xml:space="preserve"> scans</w:t>
      </w:r>
      <w:r w:rsidRPr="00014CEC">
        <w:rPr>
          <w:rFonts w:asciiTheme="minorHAnsi" w:hAnsiTheme="minorHAnsi" w:cstheme="minorHAnsi"/>
        </w:rPr>
        <w:t xml:space="preserve">. AJH cannot perform CT guided procedures without impeding access to CT imaging for stroke and ED patients. As a result, emergency cases often disrupt access for inpatients and cause scheduled outpatients to be delayed or rescheduled. </w:t>
      </w:r>
      <w:r w:rsidR="00152F52">
        <w:rPr>
          <w:rFonts w:asciiTheme="minorHAnsi" w:hAnsiTheme="minorHAnsi" w:cstheme="minorHAnsi"/>
        </w:rPr>
        <w:t xml:space="preserve">Due to these scheduling issues, </w:t>
      </w:r>
      <w:r w:rsidRPr="00014CEC">
        <w:rPr>
          <w:rFonts w:asciiTheme="minorHAnsi" w:hAnsiTheme="minorHAnsi" w:cstheme="minorHAnsi"/>
        </w:rPr>
        <w:t xml:space="preserve">AJH </w:t>
      </w:r>
      <w:r w:rsidR="00446FBA">
        <w:rPr>
          <w:rFonts w:asciiTheme="minorHAnsi" w:hAnsiTheme="minorHAnsi" w:cstheme="minorHAnsi"/>
        </w:rPr>
        <w:t>struggles</w:t>
      </w:r>
      <w:r w:rsidRPr="00014CEC">
        <w:rPr>
          <w:rFonts w:asciiTheme="minorHAnsi" w:hAnsiTheme="minorHAnsi" w:cstheme="minorHAnsi"/>
        </w:rPr>
        <w:t xml:space="preserve"> to </w:t>
      </w:r>
      <w:r w:rsidR="00446FBA">
        <w:rPr>
          <w:rFonts w:asciiTheme="minorHAnsi" w:hAnsiTheme="minorHAnsi" w:cstheme="minorHAnsi"/>
        </w:rPr>
        <w:t xml:space="preserve">keep up with current demand or </w:t>
      </w:r>
      <w:r w:rsidRPr="00014CEC">
        <w:rPr>
          <w:rFonts w:asciiTheme="minorHAnsi" w:hAnsiTheme="minorHAnsi" w:cstheme="minorHAnsi"/>
        </w:rPr>
        <w:t xml:space="preserve">expand its Low Dose Computed Tomography (LDCT) program with </w:t>
      </w:r>
      <w:r w:rsidR="00152F52">
        <w:rPr>
          <w:rFonts w:asciiTheme="minorHAnsi" w:hAnsiTheme="minorHAnsi" w:cstheme="minorHAnsi"/>
        </w:rPr>
        <w:t xml:space="preserve">only </w:t>
      </w:r>
      <w:r w:rsidRPr="00014CEC">
        <w:rPr>
          <w:rFonts w:asciiTheme="minorHAnsi" w:hAnsiTheme="minorHAnsi" w:cstheme="minorHAnsi"/>
        </w:rPr>
        <w:t>one CT unit.</w:t>
      </w:r>
      <w:r>
        <w:rPr>
          <w:rFonts w:asciiTheme="minorHAnsi" w:hAnsiTheme="minorHAnsi" w:cstheme="minorHAnsi"/>
        </w:rPr>
        <w:t xml:space="preserve"> </w:t>
      </w:r>
    </w:p>
    <w:p w14:paraId="3777F1CC" w14:textId="77777777" w:rsidR="006E42FE" w:rsidRPr="006757BA" w:rsidRDefault="006E42FE" w:rsidP="006E42FE">
      <w:pPr>
        <w:autoSpaceDE w:val="0"/>
        <w:autoSpaceDN w:val="0"/>
        <w:adjustRightInd w:val="0"/>
        <w:spacing w:after="22"/>
        <w:rPr>
          <w:rFonts w:asciiTheme="minorHAnsi" w:hAnsiTheme="minorHAnsi" w:cstheme="minorHAnsi"/>
          <w:highlight w:val="yellow"/>
        </w:rPr>
      </w:pPr>
    </w:p>
    <w:p w14:paraId="0F83EEFC" w14:textId="77777777" w:rsidR="006E42FE" w:rsidRPr="00F370D6" w:rsidRDefault="006E42FE" w:rsidP="006E42FE">
      <w:pPr>
        <w:pStyle w:val="ListParagraph"/>
        <w:numPr>
          <w:ilvl w:val="1"/>
          <w:numId w:val="14"/>
        </w:numPr>
        <w:autoSpaceDE w:val="0"/>
        <w:autoSpaceDN w:val="0"/>
        <w:adjustRightInd w:val="0"/>
        <w:spacing w:after="22"/>
        <w:rPr>
          <w:rFonts w:cstheme="minorHAnsi"/>
          <w:b/>
          <w:bCs/>
        </w:rPr>
      </w:pPr>
      <w:r w:rsidRPr="00F370D6">
        <w:rPr>
          <w:rFonts w:cstheme="minorHAnsi"/>
          <w:b/>
          <w:bCs/>
        </w:rPr>
        <w:t>Increased Downtime for CT Equipment Maintenance</w:t>
      </w:r>
    </w:p>
    <w:p w14:paraId="31737C71" w14:textId="7AF6A4BB" w:rsidR="00466EB2" w:rsidRDefault="006E42FE" w:rsidP="00466EB2">
      <w:pPr>
        <w:rPr>
          <w:sz w:val="22"/>
          <w:szCs w:val="22"/>
        </w:rPr>
      </w:pPr>
      <w:r w:rsidRPr="00F370D6">
        <w:rPr>
          <w:rFonts w:asciiTheme="minorHAnsi" w:hAnsiTheme="minorHAnsi" w:cstheme="minorHAnsi"/>
        </w:rPr>
        <w:t xml:space="preserve">An increase in CT scan volume with only one CT unit to complete the scans has led to an increase in the need for CT equipment maintenance. Downtime to perform CT equipment maintenance leaves the Hospital without CT capability. </w:t>
      </w:r>
      <w:r w:rsidRPr="005F352F">
        <w:rPr>
          <w:rFonts w:asciiTheme="minorHAnsi" w:hAnsiTheme="minorHAnsi" w:cstheme="minorHAnsi"/>
        </w:rPr>
        <w:t>Table 4 il</w:t>
      </w:r>
      <w:r w:rsidRPr="00E951C2">
        <w:rPr>
          <w:rFonts w:asciiTheme="minorHAnsi" w:hAnsiTheme="minorHAnsi" w:cstheme="minorHAnsi"/>
        </w:rPr>
        <w:t xml:space="preserve">lustrates that </w:t>
      </w:r>
      <w:r w:rsidRPr="00A54E93">
        <w:rPr>
          <w:rFonts w:asciiTheme="minorHAnsi" w:hAnsiTheme="minorHAnsi" w:cstheme="minorHAnsi"/>
        </w:rPr>
        <w:t>between FY2020 and FY2022</w:t>
      </w:r>
      <w:r w:rsidR="00E36511">
        <w:rPr>
          <w:rFonts w:asciiTheme="minorHAnsi" w:hAnsiTheme="minorHAnsi" w:cstheme="minorHAnsi"/>
        </w:rPr>
        <w:t xml:space="preserve">, </w:t>
      </w:r>
      <w:r>
        <w:rPr>
          <w:rFonts w:asciiTheme="minorHAnsi" w:hAnsiTheme="minorHAnsi" w:cstheme="minorHAnsi"/>
        </w:rPr>
        <w:t xml:space="preserve">total </w:t>
      </w:r>
      <w:r w:rsidRPr="000B2879">
        <w:rPr>
          <w:rFonts w:asciiTheme="minorHAnsi" w:hAnsiTheme="minorHAnsi" w:cstheme="minorHAnsi"/>
        </w:rPr>
        <w:t xml:space="preserve">downtime hours </w:t>
      </w:r>
      <w:r w:rsidR="00845DE8">
        <w:rPr>
          <w:rFonts w:asciiTheme="minorHAnsi" w:hAnsiTheme="minorHAnsi" w:cstheme="minorHAnsi"/>
        </w:rPr>
        <w:t xml:space="preserve">more than </w:t>
      </w:r>
      <w:r w:rsidR="00E36511">
        <w:rPr>
          <w:rFonts w:asciiTheme="minorHAnsi" w:hAnsiTheme="minorHAnsi" w:cstheme="minorHAnsi"/>
        </w:rPr>
        <w:t xml:space="preserve">doubled </w:t>
      </w:r>
      <w:r w:rsidRPr="000B2879">
        <w:rPr>
          <w:rFonts w:asciiTheme="minorHAnsi" w:hAnsiTheme="minorHAnsi" w:cstheme="minorHAnsi"/>
        </w:rPr>
        <w:t xml:space="preserve">for the Hospital’s </w:t>
      </w:r>
      <w:r w:rsidR="00E36511">
        <w:rPr>
          <w:rFonts w:asciiTheme="minorHAnsi" w:hAnsiTheme="minorHAnsi" w:cstheme="minorHAnsi"/>
        </w:rPr>
        <w:t xml:space="preserve">CT </w:t>
      </w:r>
      <w:r w:rsidRPr="000B2879">
        <w:rPr>
          <w:rFonts w:asciiTheme="minorHAnsi" w:hAnsiTheme="minorHAnsi" w:cstheme="minorHAnsi"/>
        </w:rPr>
        <w:t xml:space="preserve">unit. </w:t>
      </w:r>
      <w:r w:rsidR="00066AD1">
        <w:rPr>
          <w:rFonts w:asciiTheme="minorHAnsi" w:hAnsiTheme="minorHAnsi" w:cstheme="minorHAnsi"/>
        </w:rPr>
        <w:t xml:space="preserve">The Applicant notes that </w:t>
      </w:r>
      <w:r w:rsidR="00953506">
        <w:rPr>
          <w:rFonts w:asciiTheme="minorHAnsi" w:hAnsiTheme="minorHAnsi" w:cstheme="minorHAnsi"/>
        </w:rPr>
        <w:t xml:space="preserve">the </w:t>
      </w:r>
      <w:r w:rsidR="00466EB2" w:rsidRPr="00466EB2">
        <w:rPr>
          <w:rFonts w:asciiTheme="minorHAnsi" w:hAnsiTheme="minorHAnsi" w:cstheme="minorHAnsi"/>
        </w:rPr>
        <w:t xml:space="preserve">Hospital replaced its existing CT scanner with a newer unit in January </w:t>
      </w:r>
      <w:r w:rsidR="00466EB2">
        <w:rPr>
          <w:rFonts w:asciiTheme="minorHAnsi" w:hAnsiTheme="minorHAnsi" w:cstheme="minorHAnsi"/>
        </w:rPr>
        <w:t xml:space="preserve">2023, </w:t>
      </w:r>
      <w:r w:rsidR="00466EB2" w:rsidRPr="00466EB2">
        <w:rPr>
          <w:rFonts w:asciiTheme="minorHAnsi" w:hAnsiTheme="minorHAnsi" w:cstheme="minorHAnsi"/>
        </w:rPr>
        <w:t>which resulted in a decreased amount of downtime</w:t>
      </w:r>
      <w:r w:rsidR="00E7015A">
        <w:rPr>
          <w:rFonts w:asciiTheme="minorHAnsi" w:hAnsiTheme="minorHAnsi" w:cstheme="minorHAnsi"/>
        </w:rPr>
        <w:t>, but continued downtime remains an issue</w:t>
      </w:r>
      <w:r w:rsidR="00466EB2" w:rsidRPr="00466EB2">
        <w:rPr>
          <w:rFonts w:asciiTheme="minorHAnsi" w:hAnsiTheme="minorHAnsi" w:cstheme="minorHAnsi"/>
        </w:rPr>
        <w:t>. As demonstrated by the continued presence of downtime for the existing unit, a second CT scanner will provide the Hospital much needed redundancy to better ensure one unit continues to be available to patients while the other is offline.</w:t>
      </w:r>
      <w:r w:rsidR="00466EB2">
        <w:t xml:space="preserve"> </w:t>
      </w:r>
    </w:p>
    <w:p w14:paraId="53740526" w14:textId="3679BFFC" w:rsidR="006E42FE" w:rsidRPr="006757BA" w:rsidRDefault="006E42FE" w:rsidP="00DB051B">
      <w:pPr>
        <w:autoSpaceDE w:val="0"/>
        <w:autoSpaceDN w:val="0"/>
        <w:adjustRightInd w:val="0"/>
        <w:spacing w:after="22"/>
        <w:ind w:left="1440"/>
        <w:rPr>
          <w:rFonts w:asciiTheme="minorHAnsi" w:hAnsiTheme="minorHAnsi" w:cstheme="minorHAnsi"/>
          <w:highlight w:val="yellow"/>
        </w:rPr>
      </w:pPr>
    </w:p>
    <w:p w14:paraId="24F66736" w14:textId="77777777" w:rsidR="006E42FE" w:rsidRPr="006757BA" w:rsidRDefault="006E42FE" w:rsidP="006E42FE">
      <w:pPr>
        <w:autoSpaceDE w:val="0"/>
        <w:autoSpaceDN w:val="0"/>
        <w:adjustRightInd w:val="0"/>
        <w:spacing w:after="22"/>
        <w:rPr>
          <w:highlight w:val="yellow"/>
        </w:rPr>
      </w:pPr>
    </w:p>
    <w:p w14:paraId="1BE24561" w14:textId="77777777" w:rsidR="006E42FE" w:rsidRDefault="006E42FE" w:rsidP="006E42FE">
      <w:pPr>
        <w:pStyle w:val="Heading6"/>
        <w:spacing w:before="1"/>
        <w:jc w:val="center"/>
        <w:rPr>
          <w:rFonts w:asciiTheme="minorHAnsi" w:eastAsiaTheme="minorHAnsi" w:hAnsiTheme="minorHAnsi" w:cstheme="minorHAnsi"/>
          <w:b/>
          <w:bCs/>
          <w:i w:val="0"/>
          <w:iCs w:val="0"/>
          <w:color w:val="42558C" w:themeColor="accent1" w:themeShade="BF"/>
          <w:sz w:val="24"/>
          <w:szCs w:val="24"/>
        </w:rPr>
      </w:pPr>
      <w:r w:rsidRPr="00C84D68">
        <w:rPr>
          <w:rFonts w:asciiTheme="minorHAnsi" w:eastAsiaTheme="minorHAnsi" w:hAnsiTheme="minorHAnsi" w:cstheme="minorHAnsi"/>
          <w:b/>
          <w:bCs/>
          <w:i w:val="0"/>
          <w:iCs w:val="0"/>
          <w:color w:val="42558C" w:themeColor="accent1" w:themeShade="BF"/>
          <w:sz w:val="24"/>
          <w:szCs w:val="24"/>
          <w:u w:val="single"/>
        </w:rPr>
        <w:t>Table</w:t>
      </w:r>
      <w:r>
        <w:rPr>
          <w:rFonts w:asciiTheme="minorHAnsi" w:eastAsiaTheme="minorHAnsi" w:hAnsiTheme="minorHAnsi" w:cstheme="minorHAnsi"/>
          <w:b/>
          <w:bCs/>
          <w:i w:val="0"/>
          <w:iCs w:val="0"/>
          <w:color w:val="42558C" w:themeColor="accent1" w:themeShade="BF"/>
          <w:sz w:val="24"/>
          <w:szCs w:val="24"/>
          <w:u w:val="single"/>
        </w:rPr>
        <w:t xml:space="preserve"> 4</w:t>
      </w:r>
      <w:r w:rsidRPr="00C84D68">
        <w:rPr>
          <w:rFonts w:asciiTheme="minorHAnsi" w:eastAsiaTheme="minorHAnsi" w:hAnsiTheme="minorHAnsi" w:cstheme="minorHAnsi"/>
          <w:b/>
          <w:bCs/>
          <w:i w:val="0"/>
          <w:iCs w:val="0"/>
          <w:color w:val="42558C" w:themeColor="accent1" w:themeShade="BF"/>
          <w:sz w:val="24"/>
          <w:szCs w:val="24"/>
          <w:u w:val="single"/>
        </w:rPr>
        <w:t>:</w:t>
      </w:r>
      <w:r w:rsidRPr="00C84D68">
        <w:rPr>
          <w:rFonts w:asciiTheme="minorHAnsi" w:eastAsiaTheme="minorHAnsi" w:hAnsiTheme="minorHAnsi" w:cstheme="minorHAnsi"/>
          <w:b/>
          <w:bCs/>
          <w:i w:val="0"/>
          <w:iCs w:val="0"/>
          <w:color w:val="42558C" w:themeColor="accent1" w:themeShade="BF"/>
          <w:sz w:val="24"/>
          <w:szCs w:val="24"/>
        </w:rPr>
        <w:t xml:space="preserve"> Anna Jaques Hospital</w:t>
      </w:r>
      <w:r w:rsidRPr="00C84D68">
        <w:rPr>
          <w:rFonts w:cstheme="minorHAnsi"/>
          <w:color w:val="42558C" w:themeColor="accent1" w:themeShade="BF"/>
          <w:sz w:val="24"/>
          <w:szCs w:val="24"/>
        </w:rPr>
        <w:t xml:space="preserve"> </w:t>
      </w:r>
      <w:r w:rsidRPr="00C84D68">
        <w:rPr>
          <w:rFonts w:asciiTheme="minorHAnsi" w:eastAsiaTheme="minorHAnsi" w:hAnsiTheme="minorHAnsi" w:cstheme="minorHAnsi"/>
          <w:b/>
          <w:bCs/>
          <w:i w:val="0"/>
          <w:iCs w:val="0"/>
          <w:color w:val="42558C" w:themeColor="accent1" w:themeShade="BF"/>
          <w:sz w:val="24"/>
          <w:szCs w:val="24"/>
        </w:rPr>
        <w:t>Historical CT Scanner Downtime</w:t>
      </w:r>
      <w:r>
        <w:rPr>
          <w:rStyle w:val="FootnoteReference"/>
          <w:rFonts w:asciiTheme="minorHAnsi" w:eastAsiaTheme="minorHAnsi" w:hAnsiTheme="minorHAnsi" w:cstheme="minorHAnsi"/>
          <w:b/>
          <w:bCs/>
          <w:i w:val="0"/>
          <w:iCs w:val="0"/>
          <w:color w:val="42558C" w:themeColor="accent1" w:themeShade="BF"/>
          <w:sz w:val="24"/>
          <w:szCs w:val="24"/>
        </w:rPr>
        <w:footnoteReference w:id="14"/>
      </w:r>
    </w:p>
    <w:tbl>
      <w:tblPr>
        <w:tblStyle w:val="TableGrid"/>
        <w:tblW w:w="0" w:type="auto"/>
        <w:tblLook w:val="04A0" w:firstRow="1" w:lastRow="0" w:firstColumn="1" w:lastColumn="0" w:noHBand="0" w:noVBand="1"/>
      </w:tblPr>
      <w:tblGrid>
        <w:gridCol w:w="3955"/>
        <w:gridCol w:w="1260"/>
        <w:gridCol w:w="1085"/>
        <w:gridCol w:w="1345"/>
        <w:gridCol w:w="1890"/>
      </w:tblGrid>
      <w:tr w:rsidR="006E42FE" w14:paraId="14F43B95" w14:textId="77777777" w:rsidTr="00800AB1">
        <w:trPr>
          <w:cantSplit/>
          <w:tblHeader/>
        </w:trPr>
        <w:tc>
          <w:tcPr>
            <w:tcW w:w="3955" w:type="dxa"/>
            <w:shd w:val="clear" w:color="auto" w:fill="BFC8E1" w:themeFill="accent1" w:themeFillTint="66"/>
          </w:tcPr>
          <w:p w14:paraId="528C6E02" w14:textId="77777777" w:rsidR="006E42FE" w:rsidRDefault="006E42FE" w:rsidP="00E20A6A">
            <w:r w:rsidRPr="00BA7E7D">
              <w:rPr>
                <w:rFonts w:asciiTheme="minorHAnsi" w:hAnsiTheme="minorHAnsi" w:cstheme="minorHAnsi"/>
                <w:b/>
                <w:bCs/>
              </w:rPr>
              <w:t>Type of Downtime</w:t>
            </w:r>
          </w:p>
        </w:tc>
        <w:tc>
          <w:tcPr>
            <w:tcW w:w="1260" w:type="dxa"/>
            <w:shd w:val="clear" w:color="auto" w:fill="BFC8E1" w:themeFill="accent1" w:themeFillTint="66"/>
          </w:tcPr>
          <w:p w14:paraId="70651F69" w14:textId="77777777" w:rsidR="006E42FE" w:rsidRDefault="006E42FE" w:rsidP="00E20A6A">
            <w:pPr>
              <w:jc w:val="center"/>
            </w:pPr>
            <w:r w:rsidRPr="0049393E">
              <w:rPr>
                <w:rFonts w:asciiTheme="minorHAnsi" w:hAnsiTheme="minorHAnsi" w:cstheme="minorHAnsi"/>
                <w:b/>
                <w:bCs/>
                <w:spacing w:val="-4"/>
              </w:rPr>
              <w:t>FY2020</w:t>
            </w:r>
          </w:p>
        </w:tc>
        <w:tc>
          <w:tcPr>
            <w:tcW w:w="1085" w:type="dxa"/>
            <w:shd w:val="clear" w:color="auto" w:fill="BFC8E1" w:themeFill="accent1" w:themeFillTint="66"/>
          </w:tcPr>
          <w:p w14:paraId="7272F36E" w14:textId="77777777" w:rsidR="006E42FE" w:rsidRDefault="006E42FE" w:rsidP="00E20A6A">
            <w:pPr>
              <w:jc w:val="center"/>
            </w:pPr>
            <w:r w:rsidRPr="0049393E">
              <w:rPr>
                <w:rFonts w:asciiTheme="minorHAnsi" w:hAnsiTheme="minorHAnsi" w:cstheme="minorHAnsi"/>
                <w:b/>
                <w:bCs/>
                <w:spacing w:val="-4"/>
              </w:rPr>
              <w:t>FY2021</w:t>
            </w:r>
          </w:p>
        </w:tc>
        <w:tc>
          <w:tcPr>
            <w:tcW w:w="1345" w:type="dxa"/>
            <w:shd w:val="clear" w:color="auto" w:fill="BFC8E1" w:themeFill="accent1" w:themeFillTint="66"/>
          </w:tcPr>
          <w:p w14:paraId="3EF1BF91" w14:textId="77777777" w:rsidR="006E42FE" w:rsidRDefault="006E42FE" w:rsidP="00E20A6A">
            <w:pPr>
              <w:jc w:val="center"/>
            </w:pPr>
            <w:r w:rsidRPr="0049393E">
              <w:rPr>
                <w:rFonts w:asciiTheme="minorHAnsi" w:hAnsiTheme="minorHAnsi" w:cstheme="minorHAnsi"/>
                <w:b/>
                <w:bCs/>
              </w:rPr>
              <w:t>FY</w:t>
            </w:r>
            <w:r>
              <w:rPr>
                <w:rFonts w:asciiTheme="minorHAnsi" w:hAnsiTheme="minorHAnsi" w:cstheme="minorHAnsi"/>
                <w:b/>
                <w:bCs/>
              </w:rPr>
              <w:t>20</w:t>
            </w:r>
            <w:r w:rsidRPr="0049393E">
              <w:rPr>
                <w:rFonts w:asciiTheme="minorHAnsi" w:hAnsiTheme="minorHAnsi" w:cstheme="minorHAnsi"/>
                <w:b/>
                <w:bCs/>
              </w:rPr>
              <w:t>22</w:t>
            </w:r>
          </w:p>
        </w:tc>
        <w:tc>
          <w:tcPr>
            <w:tcW w:w="1890" w:type="dxa"/>
            <w:shd w:val="clear" w:color="auto" w:fill="BFC8E1" w:themeFill="accent1" w:themeFillTint="66"/>
          </w:tcPr>
          <w:p w14:paraId="5B4EFA36" w14:textId="77777777" w:rsidR="006E42FE" w:rsidRDefault="006E42FE" w:rsidP="00E20A6A">
            <w:pPr>
              <w:jc w:val="center"/>
              <w:rPr>
                <w:rFonts w:asciiTheme="minorHAnsi" w:hAnsiTheme="minorHAnsi" w:cstheme="minorHAnsi"/>
                <w:b/>
                <w:bCs/>
              </w:rPr>
            </w:pPr>
            <w:r>
              <w:rPr>
                <w:rFonts w:asciiTheme="minorHAnsi" w:hAnsiTheme="minorHAnsi" w:cstheme="minorHAnsi"/>
                <w:b/>
                <w:bCs/>
              </w:rPr>
              <w:t xml:space="preserve">FY2023 </w:t>
            </w:r>
          </w:p>
          <w:p w14:paraId="7FE1CFF7" w14:textId="77777777" w:rsidR="006E42FE" w:rsidRDefault="006E42FE" w:rsidP="00E20A6A">
            <w:pPr>
              <w:jc w:val="center"/>
            </w:pPr>
            <w:r w:rsidRPr="002739A4">
              <w:rPr>
                <w:rFonts w:asciiTheme="minorHAnsi" w:hAnsiTheme="minorHAnsi" w:cstheme="minorHAnsi"/>
                <w:b/>
                <w:bCs/>
                <w:sz w:val="20"/>
                <w:szCs w:val="20"/>
              </w:rPr>
              <w:t>October 1 – July 31</w:t>
            </w:r>
          </w:p>
        </w:tc>
      </w:tr>
      <w:tr w:rsidR="006E42FE" w14:paraId="282CCBF6" w14:textId="77777777" w:rsidTr="00800AB1">
        <w:trPr>
          <w:cantSplit/>
        </w:trPr>
        <w:tc>
          <w:tcPr>
            <w:tcW w:w="3955" w:type="dxa"/>
          </w:tcPr>
          <w:p w14:paraId="789E788D" w14:textId="77777777" w:rsidR="006E42FE" w:rsidRPr="00D12905" w:rsidRDefault="006E42FE" w:rsidP="00E20A6A">
            <w:pPr>
              <w:rPr>
                <w:rFonts w:asciiTheme="minorHAnsi" w:hAnsiTheme="minorHAnsi" w:cstheme="minorHAnsi"/>
              </w:rPr>
            </w:pPr>
            <w:r w:rsidRPr="00D12905">
              <w:rPr>
                <w:rFonts w:asciiTheme="minorHAnsi" w:eastAsia="Calibri" w:hAnsiTheme="minorHAnsi" w:cstheme="minorHAnsi"/>
              </w:rPr>
              <w:t>CT Downtime Hours for Interventional Radiology Procedures</w:t>
            </w:r>
          </w:p>
        </w:tc>
        <w:tc>
          <w:tcPr>
            <w:tcW w:w="1260" w:type="dxa"/>
          </w:tcPr>
          <w:p w14:paraId="7283A69D" w14:textId="77777777" w:rsidR="006E42FE" w:rsidRPr="00D12905" w:rsidRDefault="006E42FE" w:rsidP="00E20A6A">
            <w:pPr>
              <w:jc w:val="center"/>
              <w:rPr>
                <w:rFonts w:asciiTheme="minorHAnsi" w:hAnsiTheme="minorHAnsi" w:cstheme="minorHAnsi"/>
                <w:spacing w:val="-4"/>
              </w:rPr>
            </w:pPr>
            <w:r w:rsidRPr="00D12905">
              <w:rPr>
                <w:rFonts w:asciiTheme="minorHAnsi" w:hAnsiTheme="minorHAnsi" w:cstheme="minorHAnsi"/>
                <w:spacing w:val="-4"/>
              </w:rPr>
              <w:t>125</w:t>
            </w:r>
            <w:r>
              <w:rPr>
                <w:rFonts w:asciiTheme="minorHAnsi" w:hAnsiTheme="minorHAnsi" w:cstheme="minorHAnsi"/>
                <w:spacing w:val="-4"/>
              </w:rPr>
              <w:t>.0</w:t>
            </w:r>
          </w:p>
        </w:tc>
        <w:tc>
          <w:tcPr>
            <w:tcW w:w="1085" w:type="dxa"/>
          </w:tcPr>
          <w:p w14:paraId="3F9BDCBB" w14:textId="77777777" w:rsidR="006E42FE" w:rsidRPr="00D12905" w:rsidRDefault="006E42FE" w:rsidP="00E20A6A">
            <w:pPr>
              <w:jc w:val="center"/>
              <w:rPr>
                <w:rFonts w:asciiTheme="minorHAnsi" w:hAnsiTheme="minorHAnsi" w:cstheme="minorHAnsi"/>
                <w:spacing w:val="-4"/>
              </w:rPr>
            </w:pPr>
            <w:r w:rsidRPr="00D12905">
              <w:rPr>
                <w:rFonts w:asciiTheme="minorHAnsi" w:hAnsiTheme="minorHAnsi" w:cstheme="minorHAnsi"/>
                <w:spacing w:val="-4"/>
              </w:rPr>
              <w:t>128</w:t>
            </w:r>
            <w:r>
              <w:rPr>
                <w:rFonts w:asciiTheme="minorHAnsi" w:hAnsiTheme="minorHAnsi" w:cstheme="minorHAnsi"/>
                <w:spacing w:val="-4"/>
              </w:rPr>
              <w:t>.0</w:t>
            </w:r>
          </w:p>
        </w:tc>
        <w:tc>
          <w:tcPr>
            <w:tcW w:w="1345" w:type="dxa"/>
          </w:tcPr>
          <w:p w14:paraId="596FC9F9" w14:textId="77777777" w:rsidR="006E42FE" w:rsidRPr="00D12905" w:rsidRDefault="006E42FE" w:rsidP="00E20A6A">
            <w:pPr>
              <w:jc w:val="center"/>
              <w:rPr>
                <w:rFonts w:asciiTheme="minorHAnsi" w:hAnsiTheme="minorHAnsi" w:cstheme="minorHAnsi"/>
              </w:rPr>
            </w:pPr>
            <w:r w:rsidRPr="00D12905">
              <w:rPr>
                <w:rFonts w:asciiTheme="minorHAnsi" w:hAnsiTheme="minorHAnsi" w:cstheme="minorHAnsi"/>
              </w:rPr>
              <w:t>141</w:t>
            </w:r>
            <w:r>
              <w:rPr>
                <w:rFonts w:asciiTheme="minorHAnsi" w:hAnsiTheme="minorHAnsi" w:cstheme="minorHAnsi"/>
              </w:rPr>
              <w:t>.0</w:t>
            </w:r>
          </w:p>
        </w:tc>
        <w:tc>
          <w:tcPr>
            <w:tcW w:w="1890" w:type="dxa"/>
          </w:tcPr>
          <w:p w14:paraId="30A43FB5" w14:textId="77777777" w:rsidR="006E42FE" w:rsidRPr="00D12905" w:rsidRDefault="006E42FE" w:rsidP="00E20A6A">
            <w:pPr>
              <w:jc w:val="center"/>
              <w:rPr>
                <w:rFonts w:asciiTheme="minorHAnsi" w:hAnsiTheme="minorHAnsi" w:cstheme="minorHAnsi"/>
              </w:rPr>
            </w:pPr>
            <w:r w:rsidRPr="00D12905">
              <w:rPr>
                <w:rFonts w:asciiTheme="minorHAnsi" w:hAnsiTheme="minorHAnsi" w:cstheme="minorHAnsi"/>
              </w:rPr>
              <w:t>83</w:t>
            </w:r>
            <w:r>
              <w:rPr>
                <w:rFonts w:asciiTheme="minorHAnsi" w:hAnsiTheme="minorHAnsi" w:cstheme="minorHAnsi"/>
              </w:rPr>
              <w:t>.0</w:t>
            </w:r>
          </w:p>
        </w:tc>
      </w:tr>
      <w:tr w:rsidR="006E42FE" w14:paraId="66F64494" w14:textId="77777777" w:rsidTr="00800AB1">
        <w:trPr>
          <w:cantSplit/>
        </w:trPr>
        <w:tc>
          <w:tcPr>
            <w:tcW w:w="3955" w:type="dxa"/>
          </w:tcPr>
          <w:p w14:paraId="5999619A" w14:textId="77777777" w:rsidR="006E42FE" w:rsidRPr="00D12905" w:rsidRDefault="006E42FE" w:rsidP="00E20A6A">
            <w:pPr>
              <w:rPr>
                <w:rFonts w:asciiTheme="minorHAnsi" w:eastAsia="Calibri" w:hAnsiTheme="minorHAnsi" w:cstheme="minorHAnsi"/>
              </w:rPr>
            </w:pPr>
            <w:r w:rsidRPr="00D12905">
              <w:rPr>
                <w:rFonts w:asciiTheme="minorHAnsi" w:eastAsia="Calibri" w:hAnsiTheme="minorHAnsi" w:cstheme="minorHAnsi"/>
              </w:rPr>
              <w:t>CT Downtime Hours (in use or maintenance)</w:t>
            </w:r>
          </w:p>
        </w:tc>
        <w:tc>
          <w:tcPr>
            <w:tcW w:w="1260" w:type="dxa"/>
          </w:tcPr>
          <w:p w14:paraId="6C42247D" w14:textId="77777777" w:rsidR="006E42FE" w:rsidRPr="00D12905" w:rsidRDefault="006E42FE" w:rsidP="00E20A6A">
            <w:pPr>
              <w:jc w:val="center"/>
              <w:rPr>
                <w:rFonts w:asciiTheme="minorHAnsi" w:hAnsiTheme="minorHAnsi" w:cstheme="minorHAnsi"/>
                <w:spacing w:val="-4"/>
              </w:rPr>
            </w:pPr>
            <w:r w:rsidRPr="00D12905">
              <w:rPr>
                <w:rFonts w:asciiTheme="minorHAnsi" w:hAnsiTheme="minorHAnsi" w:cstheme="minorHAnsi"/>
                <w:spacing w:val="-4"/>
              </w:rPr>
              <w:t>36</w:t>
            </w:r>
            <w:r>
              <w:rPr>
                <w:rFonts w:asciiTheme="minorHAnsi" w:hAnsiTheme="minorHAnsi" w:cstheme="minorHAnsi"/>
                <w:spacing w:val="-4"/>
              </w:rPr>
              <w:t>.0</w:t>
            </w:r>
          </w:p>
        </w:tc>
        <w:tc>
          <w:tcPr>
            <w:tcW w:w="1085" w:type="dxa"/>
          </w:tcPr>
          <w:p w14:paraId="407EBD8E" w14:textId="77777777" w:rsidR="006E42FE" w:rsidRPr="00D12905" w:rsidRDefault="006E42FE" w:rsidP="00E20A6A">
            <w:pPr>
              <w:jc w:val="center"/>
              <w:rPr>
                <w:rFonts w:asciiTheme="minorHAnsi" w:hAnsiTheme="minorHAnsi" w:cstheme="minorHAnsi"/>
                <w:spacing w:val="-4"/>
              </w:rPr>
            </w:pPr>
            <w:r w:rsidRPr="00D12905">
              <w:rPr>
                <w:rFonts w:asciiTheme="minorHAnsi" w:hAnsiTheme="minorHAnsi" w:cstheme="minorHAnsi"/>
                <w:spacing w:val="-4"/>
              </w:rPr>
              <w:t>81</w:t>
            </w:r>
            <w:r>
              <w:rPr>
                <w:rFonts w:asciiTheme="minorHAnsi" w:hAnsiTheme="minorHAnsi" w:cstheme="minorHAnsi"/>
                <w:spacing w:val="-4"/>
              </w:rPr>
              <w:t>.0</w:t>
            </w:r>
          </w:p>
        </w:tc>
        <w:tc>
          <w:tcPr>
            <w:tcW w:w="1345" w:type="dxa"/>
          </w:tcPr>
          <w:p w14:paraId="593ACB06" w14:textId="77777777" w:rsidR="006E42FE" w:rsidRPr="00D12905" w:rsidRDefault="006E42FE" w:rsidP="00E20A6A">
            <w:pPr>
              <w:jc w:val="center"/>
              <w:rPr>
                <w:rFonts w:asciiTheme="minorHAnsi" w:hAnsiTheme="minorHAnsi" w:cstheme="minorHAnsi"/>
              </w:rPr>
            </w:pPr>
            <w:r w:rsidRPr="00D12905">
              <w:rPr>
                <w:rFonts w:asciiTheme="minorHAnsi" w:hAnsiTheme="minorHAnsi" w:cstheme="minorHAnsi"/>
              </w:rPr>
              <w:t>190.3</w:t>
            </w:r>
          </w:p>
        </w:tc>
        <w:tc>
          <w:tcPr>
            <w:tcW w:w="1890" w:type="dxa"/>
          </w:tcPr>
          <w:p w14:paraId="3F8B883C" w14:textId="77777777" w:rsidR="006E42FE" w:rsidRPr="00D12905" w:rsidRDefault="006E42FE" w:rsidP="00E20A6A">
            <w:pPr>
              <w:jc w:val="center"/>
              <w:rPr>
                <w:rFonts w:asciiTheme="minorHAnsi" w:hAnsiTheme="minorHAnsi" w:cstheme="minorHAnsi"/>
              </w:rPr>
            </w:pPr>
            <w:r w:rsidRPr="00D12905">
              <w:rPr>
                <w:rFonts w:asciiTheme="minorHAnsi" w:hAnsiTheme="minorHAnsi" w:cstheme="minorHAnsi"/>
              </w:rPr>
              <w:t>103</w:t>
            </w:r>
            <w:r>
              <w:rPr>
                <w:rFonts w:asciiTheme="minorHAnsi" w:hAnsiTheme="minorHAnsi" w:cstheme="minorHAnsi"/>
              </w:rPr>
              <w:t>.0</w:t>
            </w:r>
          </w:p>
        </w:tc>
      </w:tr>
      <w:tr w:rsidR="006E42FE" w14:paraId="7C9C395B" w14:textId="77777777" w:rsidTr="00800AB1">
        <w:trPr>
          <w:cantSplit/>
        </w:trPr>
        <w:tc>
          <w:tcPr>
            <w:tcW w:w="3955" w:type="dxa"/>
          </w:tcPr>
          <w:p w14:paraId="10B1D95B" w14:textId="77777777" w:rsidR="006E42FE" w:rsidRPr="00BA7E7D" w:rsidRDefault="006E42FE" w:rsidP="00E20A6A">
            <w:pPr>
              <w:rPr>
                <w:rFonts w:asciiTheme="minorHAnsi" w:eastAsia="Calibri" w:hAnsiTheme="minorHAnsi" w:cstheme="minorHAnsi"/>
                <w:b/>
                <w:bCs/>
              </w:rPr>
            </w:pPr>
            <w:r w:rsidRPr="00BA7E7D">
              <w:rPr>
                <w:rFonts w:asciiTheme="minorHAnsi" w:hAnsiTheme="minorHAnsi" w:cstheme="minorHAnsi"/>
                <w:b/>
                <w:bCs/>
              </w:rPr>
              <w:t>Total</w:t>
            </w:r>
            <w:r w:rsidRPr="00BA7E7D">
              <w:rPr>
                <w:rFonts w:asciiTheme="minorHAnsi" w:hAnsiTheme="minorHAnsi" w:cstheme="minorHAnsi"/>
                <w:b/>
                <w:bCs/>
                <w:spacing w:val="-1"/>
              </w:rPr>
              <w:t xml:space="preserve"> </w:t>
            </w:r>
            <w:r w:rsidRPr="00BA7E7D">
              <w:rPr>
                <w:rFonts w:asciiTheme="minorHAnsi" w:hAnsiTheme="minorHAnsi" w:cstheme="minorHAnsi"/>
                <w:b/>
                <w:bCs/>
              </w:rPr>
              <w:t xml:space="preserve">Downtime </w:t>
            </w:r>
            <w:r w:rsidRPr="00BA7E7D">
              <w:rPr>
                <w:rFonts w:asciiTheme="minorHAnsi" w:hAnsiTheme="minorHAnsi" w:cstheme="minorHAnsi"/>
                <w:b/>
                <w:bCs/>
                <w:spacing w:val="-4"/>
              </w:rPr>
              <w:t xml:space="preserve">Hours for existing CT </w:t>
            </w:r>
          </w:p>
        </w:tc>
        <w:tc>
          <w:tcPr>
            <w:tcW w:w="1260" w:type="dxa"/>
          </w:tcPr>
          <w:p w14:paraId="11EC27A4" w14:textId="77777777" w:rsidR="006E42FE" w:rsidRPr="0049393E" w:rsidRDefault="006E42FE" w:rsidP="00E20A6A">
            <w:pPr>
              <w:jc w:val="center"/>
              <w:rPr>
                <w:rFonts w:asciiTheme="minorHAnsi" w:hAnsiTheme="minorHAnsi" w:cstheme="minorHAnsi"/>
                <w:b/>
                <w:bCs/>
                <w:spacing w:val="-4"/>
              </w:rPr>
            </w:pPr>
            <w:r>
              <w:rPr>
                <w:rFonts w:asciiTheme="minorHAnsi" w:hAnsiTheme="minorHAnsi" w:cstheme="minorHAnsi"/>
                <w:b/>
                <w:bCs/>
                <w:spacing w:val="-4"/>
              </w:rPr>
              <w:t>161</w:t>
            </w:r>
          </w:p>
        </w:tc>
        <w:tc>
          <w:tcPr>
            <w:tcW w:w="1085" w:type="dxa"/>
          </w:tcPr>
          <w:p w14:paraId="2BB97F2B" w14:textId="77777777" w:rsidR="006E42FE" w:rsidRPr="0049393E" w:rsidRDefault="006E42FE" w:rsidP="00E20A6A">
            <w:pPr>
              <w:jc w:val="center"/>
              <w:rPr>
                <w:rFonts w:asciiTheme="minorHAnsi" w:hAnsiTheme="minorHAnsi" w:cstheme="minorHAnsi"/>
                <w:b/>
                <w:bCs/>
                <w:spacing w:val="-4"/>
              </w:rPr>
            </w:pPr>
            <w:r>
              <w:rPr>
                <w:rFonts w:asciiTheme="minorHAnsi" w:hAnsiTheme="minorHAnsi" w:cstheme="minorHAnsi"/>
                <w:b/>
                <w:bCs/>
                <w:spacing w:val="-4"/>
              </w:rPr>
              <w:t>209</w:t>
            </w:r>
          </w:p>
        </w:tc>
        <w:tc>
          <w:tcPr>
            <w:tcW w:w="1345" w:type="dxa"/>
          </w:tcPr>
          <w:p w14:paraId="06505E21" w14:textId="77777777" w:rsidR="006E42FE" w:rsidRPr="0049393E" w:rsidRDefault="006E42FE" w:rsidP="00E20A6A">
            <w:pPr>
              <w:jc w:val="center"/>
              <w:rPr>
                <w:rFonts w:asciiTheme="minorHAnsi" w:hAnsiTheme="minorHAnsi" w:cstheme="minorHAnsi"/>
                <w:b/>
                <w:bCs/>
              </w:rPr>
            </w:pPr>
            <w:r>
              <w:rPr>
                <w:rFonts w:asciiTheme="minorHAnsi" w:hAnsiTheme="minorHAnsi" w:cstheme="minorHAnsi"/>
                <w:b/>
                <w:bCs/>
              </w:rPr>
              <w:t>331.3</w:t>
            </w:r>
          </w:p>
        </w:tc>
        <w:tc>
          <w:tcPr>
            <w:tcW w:w="1890" w:type="dxa"/>
          </w:tcPr>
          <w:p w14:paraId="5437D2BB" w14:textId="77777777" w:rsidR="006E42FE" w:rsidRDefault="006E42FE" w:rsidP="00E20A6A">
            <w:pPr>
              <w:jc w:val="center"/>
              <w:rPr>
                <w:rFonts w:asciiTheme="minorHAnsi" w:hAnsiTheme="minorHAnsi" w:cstheme="minorHAnsi"/>
                <w:b/>
                <w:bCs/>
              </w:rPr>
            </w:pPr>
            <w:r>
              <w:rPr>
                <w:rFonts w:asciiTheme="minorHAnsi" w:hAnsiTheme="minorHAnsi" w:cstheme="minorHAnsi"/>
                <w:b/>
                <w:bCs/>
              </w:rPr>
              <w:t>186</w:t>
            </w:r>
          </w:p>
        </w:tc>
      </w:tr>
    </w:tbl>
    <w:p w14:paraId="105147B4" w14:textId="77777777" w:rsidR="006E42FE" w:rsidRPr="006757BA" w:rsidRDefault="006E42FE" w:rsidP="006E42FE">
      <w:pPr>
        <w:autoSpaceDE w:val="0"/>
        <w:autoSpaceDN w:val="0"/>
        <w:adjustRightInd w:val="0"/>
        <w:spacing w:after="22"/>
        <w:rPr>
          <w:rFonts w:asciiTheme="minorHAnsi" w:hAnsiTheme="minorHAnsi" w:cstheme="minorHAnsi"/>
          <w:highlight w:val="yellow"/>
        </w:rPr>
      </w:pPr>
    </w:p>
    <w:p w14:paraId="193890BF" w14:textId="203C16B5" w:rsidR="006E42FE" w:rsidRPr="00683F67" w:rsidRDefault="006E42FE" w:rsidP="00DB051B">
      <w:pPr>
        <w:ind w:left="1440"/>
        <w:rPr>
          <w:rFonts w:ascii="Arial" w:hAnsi="Arial" w:cs="Arial"/>
          <w:sz w:val="20"/>
          <w:szCs w:val="20"/>
        </w:rPr>
      </w:pPr>
      <w:r w:rsidRPr="00897377">
        <w:rPr>
          <w:rFonts w:asciiTheme="minorHAnsi" w:hAnsiTheme="minorHAnsi" w:cstheme="minorHAnsi"/>
        </w:rPr>
        <w:t>When</w:t>
      </w:r>
      <w:r w:rsidRPr="00897377">
        <w:rPr>
          <w:rFonts w:asciiTheme="minorHAnsi" w:hAnsiTheme="minorHAnsi" w:cstheme="minorHAnsi"/>
          <w:spacing w:val="-2"/>
        </w:rPr>
        <w:t xml:space="preserve"> </w:t>
      </w:r>
      <w:r w:rsidRPr="00897377">
        <w:rPr>
          <w:rFonts w:asciiTheme="minorHAnsi" w:hAnsiTheme="minorHAnsi" w:cstheme="minorHAnsi"/>
        </w:rPr>
        <w:t>the</w:t>
      </w:r>
      <w:r w:rsidRPr="00897377">
        <w:rPr>
          <w:rFonts w:asciiTheme="minorHAnsi" w:hAnsiTheme="minorHAnsi" w:cstheme="minorHAnsi"/>
          <w:spacing w:val="-2"/>
        </w:rPr>
        <w:t xml:space="preserve"> </w:t>
      </w:r>
      <w:r w:rsidRPr="00897377">
        <w:rPr>
          <w:rFonts w:asciiTheme="minorHAnsi" w:hAnsiTheme="minorHAnsi" w:cstheme="minorHAnsi"/>
        </w:rPr>
        <w:t>unit experiences downtime, patients must</w:t>
      </w:r>
      <w:r w:rsidRPr="00897377">
        <w:rPr>
          <w:rFonts w:asciiTheme="minorHAnsi" w:hAnsiTheme="minorHAnsi" w:cstheme="minorHAnsi"/>
          <w:spacing w:val="-2"/>
        </w:rPr>
        <w:t xml:space="preserve"> </w:t>
      </w:r>
      <w:r w:rsidRPr="00897377">
        <w:rPr>
          <w:rFonts w:asciiTheme="minorHAnsi" w:hAnsiTheme="minorHAnsi" w:cstheme="minorHAnsi"/>
        </w:rPr>
        <w:t>wait, be rescheduled, or transferred to another facility.</w:t>
      </w:r>
      <w:r>
        <w:rPr>
          <w:rFonts w:asciiTheme="minorHAnsi" w:hAnsiTheme="minorHAnsi" w:cstheme="minorHAnsi"/>
        </w:rPr>
        <w:t xml:space="preserve"> </w:t>
      </w:r>
      <w:r w:rsidRPr="00683F67">
        <w:rPr>
          <w:rFonts w:asciiTheme="minorHAnsi" w:hAnsiTheme="minorHAnsi" w:cstheme="minorHAnsi"/>
        </w:rPr>
        <w:t>The Applicant noted that the number of ED patients transferred because the CT unit was down or occupied increased from 23 patients in FY</w:t>
      </w:r>
      <w:r w:rsidR="00900A41">
        <w:rPr>
          <w:rFonts w:asciiTheme="minorHAnsi" w:hAnsiTheme="minorHAnsi" w:cstheme="minorHAnsi"/>
        </w:rPr>
        <w:t>20</w:t>
      </w:r>
      <w:r w:rsidRPr="00683F67">
        <w:rPr>
          <w:rFonts w:asciiTheme="minorHAnsi" w:hAnsiTheme="minorHAnsi" w:cstheme="minorHAnsi"/>
        </w:rPr>
        <w:t>21 to 29 patients in FY</w:t>
      </w:r>
      <w:r w:rsidR="00900A41">
        <w:rPr>
          <w:rFonts w:asciiTheme="minorHAnsi" w:hAnsiTheme="minorHAnsi" w:cstheme="minorHAnsi"/>
        </w:rPr>
        <w:t>20</w:t>
      </w:r>
      <w:r w:rsidRPr="00683F67">
        <w:rPr>
          <w:rFonts w:asciiTheme="minorHAnsi" w:hAnsiTheme="minorHAnsi" w:cstheme="minorHAnsi"/>
        </w:rPr>
        <w:t xml:space="preserve">22. </w:t>
      </w:r>
      <w:r w:rsidRPr="00897377">
        <w:rPr>
          <w:rFonts w:asciiTheme="minorHAnsi" w:eastAsia="Calibri" w:hAnsiTheme="minorHAnsi" w:cstheme="minorHAnsi"/>
        </w:rPr>
        <w:t xml:space="preserve">As the CT unit is taxed by high utilization, it is expected that downtime hours will increase and disrupt care. A second CT unit </w:t>
      </w:r>
      <w:r>
        <w:rPr>
          <w:rFonts w:asciiTheme="minorHAnsi" w:eastAsia="Calibri" w:hAnsiTheme="minorHAnsi" w:cstheme="minorHAnsi"/>
        </w:rPr>
        <w:t xml:space="preserve">would </w:t>
      </w:r>
      <w:r w:rsidRPr="00897377">
        <w:rPr>
          <w:rFonts w:asciiTheme="minorHAnsi" w:eastAsia="Calibri" w:hAnsiTheme="minorHAnsi" w:cstheme="minorHAnsi"/>
        </w:rPr>
        <w:t xml:space="preserve">mitigate downtime on the existing unit by allowing the Hospital to reduce the overutilization of the existing unit across two machines. </w:t>
      </w:r>
      <w:r>
        <w:rPr>
          <w:rFonts w:asciiTheme="minorHAnsi" w:eastAsia="Calibri" w:hAnsiTheme="minorHAnsi" w:cstheme="minorHAnsi"/>
        </w:rPr>
        <w:t>A second unit can</w:t>
      </w:r>
      <w:r w:rsidRPr="00897377">
        <w:rPr>
          <w:rFonts w:asciiTheme="minorHAnsi" w:eastAsia="Calibri" w:hAnsiTheme="minorHAnsi" w:cstheme="minorHAnsi"/>
        </w:rPr>
        <w:t xml:space="preserve"> extend the life of the current unit, delaying the need for replacement. In addition, the second unit </w:t>
      </w:r>
      <w:r>
        <w:rPr>
          <w:rFonts w:asciiTheme="minorHAnsi" w:eastAsia="Calibri" w:hAnsiTheme="minorHAnsi" w:cstheme="minorHAnsi"/>
        </w:rPr>
        <w:t>ensures</w:t>
      </w:r>
      <w:r w:rsidRPr="00897377">
        <w:rPr>
          <w:rFonts w:asciiTheme="minorHAnsi" w:eastAsia="Calibri" w:hAnsiTheme="minorHAnsi" w:cstheme="minorHAnsi"/>
        </w:rPr>
        <w:t xml:space="preserve"> redundancy if either unit requires repair or maintenance. </w:t>
      </w:r>
      <w:r w:rsidRPr="00897377">
        <w:rPr>
          <w:rFonts w:asciiTheme="minorHAnsi" w:hAnsiTheme="minorHAnsi" w:cstheme="minorHAnsi"/>
        </w:rPr>
        <w:t>The Applicant asserts that increased downtime for maintenance and repairs, and the likelihood that the existing scanner will increasingly require maintenance downtime as it ages, are evidence of the need for a second CT to provide redundancy when one unit is offline.</w:t>
      </w:r>
    </w:p>
    <w:p w14:paraId="2A15A663" w14:textId="77777777" w:rsidR="006E42FE" w:rsidRPr="006757BA" w:rsidRDefault="006E42FE" w:rsidP="006E42FE">
      <w:pPr>
        <w:autoSpaceDE w:val="0"/>
        <w:autoSpaceDN w:val="0"/>
        <w:adjustRightInd w:val="0"/>
        <w:spacing w:after="22"/>
        <w:jc w:val="both"/>
        <w:rPr>
          <w:rFonts w:asciiTheme="minorHAnsi" w:hAnsiTheme="minorHAnsi" w:cstheme="minorHAnsi"/>
          <w:highlight w:val="yellow"/>
        </w:rPr>
      </w:pPr>
    </w:p>
    <w:p w14:paraId="1B9CE3E2" w14:textId="7CDF7EE4" w:rsidR="006E42FE" w:rsidRPr="00897377" w:rsidRDefault="006E42FE" w:rsidP="006E42FE">
      <w:pPr>
        <w:pStyle w:val="ListParagraph"/>
        <w:numPr>
          <w:ilvl w:val="1"/>
          <w:numId w:val="14"/>
        </w:numPr>
        <w:autoSpaceDE w:val="0"/>
        <w:autoSpaceDN w:val="0"/>
        <w:adjustRightInd w:val="0"/>
        <w:spacing w:after="22"/>
        <w:jc w:val="both"/>
        <w:rPr>
          <w:rFonts w:cstheme="minorHAnsi"/>
          <w:b/>
          <w:bCs/>
        </w:rPr>
      </w:pPr>
      <w:r w:rsidRPr="00897377">
        <w:rPr>
          <w:rFonts w:cstheme="minorHAnsi"/>
          <w:b/>
          <w:bCs/>
        </w:rPr>
        <w:t xml:space="preserve">Primary Stroke Service Hospital </w:t>
      </w:r>
      <w:r w:rsidR="003B539B">
        <w:rPr>
          <w:rFonts w:cstheme="minorHAnsi"/>
          <w:b/>
          <w:bCs/>
        </w:rPr>
        <w:t>Service Demands</w:t>
      </w:r>
    </w:p>
    <w:p w14:paraId="6CDF0641" w14:textId="7A9E1E04" w:rsidR="006E42FE" w:rsidRDefault="006E42FE" w:rsidP="00DB051B">
      <w:pPr>
        <w:autoSpaceDE w:val="0"/>
        <w:autoSpaceDN w:val="0"/>
        <w:adjustRightInd w:val="0"/>
        <w:spacing w:after="22"/>
        <w:ind w:left="1440"/>
        <w:rPr>
          <w:rFonts w:asciiTheme="minorHAnsi" w:hAnsiTheme="minorHAnsi" w:cstheme="minorBidi"/>
          <w:highlight w:val="yellow"/>
        </w:rPr>
      </w:pPr>
      <w:r w:rsidRPr="00CC35D0">
        <w:rPr>
          <w:rFonts w:asciiTheme="minorHAnsi" w:hAnsiTheme="minorHAnsi" w:cstheme="minorBidi"/>
        </w:rPr>
        <w:t>DPH designates AJH as a Primary Stroke Service (PSS) Hospital</w:t>
      </w:r>
      <w:r w:rsidRPr="00CC35D0">
        <w:rPr>
          <w:rStyle w:val="FootnoteReference"/>
          <w:rFonts w:asciiTheme="minorHAnsi" w:hAnsiTheme="minorHAnsi" w:cstheme="minorBidi"/>
        </w:rPr>
        <w:footnoteReference w:id="15"/>
      </w:r>
      <w:r w:rsidRPr="00CC35D0">
        <w:rPr>
          <w:rFonts w:asciiTheme="minorHAnsi" w:hAnsiTheme="minorHAnsi" w:cstheme="minorBidi"/>
        </w:rPr>
        <w:t>, which means the EMS</w:t>
      </w:r>
      <w:r w:rsidRPr="00CC35D0">
        <w:rPr>
          <w:rFonts w:asciiTheme="minorHAnsi" w:hAnsiTheme="minorHAnsi" w:cstheme="minorBidi"/>
          <w:spacing w:val="-9"/>
        </w:rPr>
        <w:t xml:space="preserve"> </w:t>
      </w:r>
      <w:r w:rsidRPr="00CC35D0">
        <w:rPr>
          <w:rFonts w:asciiTheme="minorHAnsi" w:hAnsiTheme="minorHAnsi" w:cstheme="minorBidi"/>
        </w:rPr>
        <w:t>will</w:t>
      </w:r>
      <w:r w:rsidRPr="00CC35D0">
        <w:rPr>
          <w:rFonts w:asciiTheme="minorHAnsi" w:hAnsiTheme="minorHAnsi" w:cstheme="minorBidi"/>
          <w:spacing w:val="-7"/>
        </w:rPr>
        <w:t xml:space="preserve"> </w:t>
      </w:r>
      <w:r w:rsidRPr="00CC35D0">
        <w:rPr>
          <w:rFonts w:asciiTheme="minorHAnsi" w:hAnsiTheme="minorHAnsi" w:cstheme="minorBidi"/>
        </w:rPr>
        <w:t>send</w:t>
      </w:r>
      <w:r w:rsidRPr="00CC35D0">
        <w:rPr>
          <w:rFonts w:asciiTheme="minorHAnsi" w:hAnsiTheme="minorHAnsi" w:cstheme="minorBidi"/>
          <w:spacing w:val="-7"/>
        </w:rPr>
        <w:t xml:space="preserve"> </w:t>
      </w:r>
      <w:r w:rsidRPr="00CC35D0">
        <w:rPr>
          <w:rFonts w:asciiTheme="minorHAnsi" w:hAnsiTheme="minorHAnsi" w:cstheme="minorBidi"/>
        </w:rPr>
        <w:t>patients</w:t>
      </w:r>
      <w:r w:rsidRPr="00CC35D0">
        <w:rPr>
          <w:rFonts w:asciiTheme="minorHAnsi" w:hAnsiTheme="minorHAnsi" w:cstheme="minorBidi"/>
          <w:spacing w:val="-7"/>
        </w:rPr>
        <w:t xml:space="preserve"> </w:t>
      </w:r>
      <w:r w:rsidRPr="00CC35D0">
        <w:rPr>
          <w:rFonts w:asciiTheme="minorHAnsi" w:hAnsiTheme="minorHAnsi" w:cstheme="minorBidi"/>
        </w:rPr>
        <w:t>experiencing</w:t>
      </w:r>
      <w:r w:rsidRPr="00CC35D0">
        <w:rPr>
          <w:rFonts w:asciiTheme="minorHAnsi" w:hAnsiTheme="minorHAnsi" w:cstheme="minorBidi"/>
          <w:spacing w:val="-7"/>
        </w:rPr>
        <w:t xml:space="preserve"> </w:t>
      </w:r>
      <w:r w:rsidRPr="00CC35D0">
        <w:rPr>
          <w:rFonts w:asciiTheme="minorHAnsi" w:hAnsiTheme="minorHAnsi" w:cstheme="minorBidi"/>
        </w:rPr>
        <w:t>symptoms</w:t>
      </w:r>
      <w:r w:rsidRPr="00CC35D0">
        <w:rPr>
          <w:rFonts w:asciiTheme="minorHAnsi" w:hAnsiTheme="minorHAnsi" w:cstheme="minorBidi"/>
          <w:spacing w:val="-7"/>
        </w:rPr>
        <w:t xml:space="preserve"> </w:t>
      </w:r>
      <w:r w:rsidRPr="00CC35D0">
        <w:rPr>
          <w:rFonts w:asciiTheme="minorHAnsi" w:hAnsiTheme="minorHAnsi" w:cstheme="minorBidi"/>
        </w:rPr>
        <w:t>of</w:t>
      </w:r>
      <w:r w:rsidRPr="00CC35D0">
        <w:rPr>
          <w:rFonts w:asciiTheme="minorHAnsi" w:hAnsiTheme="minorHAnsi" w:cstheme="minorBidi"/>
          <w:spacing w:val="-9"/>
        </w:rPr>
        <w:t xml:space="preserve"> </w:t>
      </w:r>
      <w:r w:rsidRPr="00CC35D0">
        <w:rPr>
          <w:rFonts w:asciiTheme="minorHAnsi" w:hAnsiTheme="minorHAnsi" w:cstheme="minorBidi"/>
        </w:rPr>
        <w:t>a</w:t>
      </w:r>
      <w:r w:rsidRPr="00CC35D0">
        <w:rPr>
          <w:rFonts w:asciiTheme="minorHAnsi" w:hAnsiTheme="minorHAnsi" w:cstheme="minorBidi"/>
          <w:spacing w:val="-7"/>
        </w:rPr>
        <w:t xml:space="preserve"> </w:t>
      </w:r>
      <w:r w:rsidRPr="00CC35D0">
        <w:rPr>
          <w:rFonts w:asciiTheme="minorHAnsi" w:hAnsiTheme="minorHAnsi" w:cstheme="minorBidi"/>
        </w:rPr>
        <w:t>stroke</w:t>
      </w:r>
      <w:r w:rsidRPr="00CC35D0">
        <w:rPr>
          <w:rFonts w:asciiTheme="minorHAnsi" w:hAnsiTheme="minorHAnsi" w:cstheme="minorBidi"/>
          <w:spacing w:val="-9"/>
        </w:rPr>
        <w:t xml:space="preserve"> </w:t>
      </w:r>
      <w:r w:rsidRPr="00CC35D0">
        <w:rPr>
          <w:rFonts w:asciiTheme="minorHAnsi" w:hAnsiTheme="minorHAnsi" w:cstheme="minorBidi"/>
        </w:rPr>
        <w:t>to</w:t>
      </w:r>
      <w:r w:rsidRPr="00CC35D0">
        <w:rPr>
          <w:rFonts w:asciiTheme="minorHAnsi" w:hAnsiTheme="minorHAnsi" w:cstheme="minorBidi"/>
          <w:spacing w:val="-7"/>
        </w:rPr>
        <w:t xml:space="preserve"> </w:t>
      </w:r>
      <w:r w:rsidRPr="00CC35D0">
        <w:rPr>
          <w:rFonts w:asciiTheme="minorHAnsi" w:hAnsiTheme="minorHAnsi" w:cstheme="minorBidi"/>
        </w:rPr>
        <w:t>the</w:t>
      </w:r>
      <w:r w:rsidRPr="00CC35D0">
        <w:rPr>
          <w:rFonts w:asciiTheme="minorHAnsi" w:hAnsiTheme="minorHAnsi" w:cstheme="minorBidi"/>
          <w:spacing w:val="-4"/>
        </w:rPr>
        <w:t xml:space="preserve"> </w:t>
      </w:r>
      <w:r w:rsidRPr="00683F67">
        <w:rPr>
          <w:rFonts w:asciiTheme="minorHAnsi" w:hAnsiTheme="minorHAnsi" w:cstheme="minorBidi"/>
        </w:rPr>
        <w:t>AJH’s</w:t>
      </w:r>
      <w:r w:rsidRPr="00683F67">
        <w:rPr>
          <w:rFonts w:asciiTheme="minorHAnsi" w:hAnsiTheme="minorHAnsi" w:cstheme="minorBidi"/>
          <w:spacing w:val="-6"/>
        </w:rPr>
        <w:t xml:space="preserve"> </w:t>
      </w:r>
      <w:r w:rsidRPr="00683F67">
        <w:rPr>
          <w:rFonts w:asciiTheme="minorHAnsi" w:hAnsiTheme="minorHAnsi" w:cstheme="minorBidi"/>
        </w:rPr>
        <w:t>ED. Clinical guidelines for stroke recommend that patients receive CT imaging within 25 minutes of arrival at the</w:t>
      </w:r>
      <w:r w:rsidRPr="00683F67">
        <w:rPr>
          <w:rFonts w:asciiTheme="minorHAnsi" w:hAnsiTheme="minorHAnsi" w:cstheme="minorBidi"/>
          <w:spacing w:val="-3"/>
        </w:rPr>
        <w:t xml:space="preserve"> </w:t>
      </w:r>
      <w:r w:rsidRPr="00683F67">
        <w:rPr>
          <w:rFonts w:asciiTheme="minorHAnsi" w:hAnsiTheme="minorHAnsi" w:cstheme="minorBidi"/>
        </w:rPr>
        <w:t>ED.</w:t>
      </w:r>
      <w:r w:rsidRPr="00683F67">
        <w:rPr>
          <w:rStyle w:val="EndnoteReference"/>
          <w:rFonts w:asciiTheme="minorHAnsi" w:hAnsiTheme="minorHAnsi" w:cstheme="minorBidi"/>
        </w:rPr>
        <w:endnoteReference w:id="3"/>
      </w:r>
      <w:r w:rsidRPr="00683F67">
        <w:rPr>
          <w:rFonts w:asciiTheme="minorHAnsi" w:hAnsiTheme="minorHAnsi" w:cstheme="minorBidi"/>
          <w:spacing w:val="14"/>
          <w:position w:val="6"/>
          <w:sz w:val="13"/>
          <w:szCs w:val="13"/>
        </w:rPr>
        <w:t xml:space="preserve"> </w:t>
      </w:r>
      <w:r w:rsidRPr="00683F67">
        <w:rPr>
          <w:rFonts w:asciiTheme="minorHAnsi" w:hAnsiTheme="minorHAnsi" w:cstheme="minorBidi"/>
        </w:rPr>
        <w:t>Acute</w:t>
      </w:r>
      <w:r w:rsidRPr="00683F67">
        <w:rPr>
          <w:rFonts w:asciiTheme="minorHAnsi" w:hAnsiTheme="minorHAnsi" w:cstheme="minorBidi"/>
          <w:spacing w:val="-6"/>
        </w:rPr>
        <w:t xml:space="preserve"> </w:t>
      </w:r>
      <w:r w:rsidRPr="00683F67">
        <w:rPr>
          <w:rFonts w:asciiTheme="minorHAnsi" w:hAnsiTheme="minorHAnsi" w:cstheme="minorBidi"/>
        </w:rPr>
        <w:t>stroke</w:t>
      </w:r>
      <w:r w:rsidRPr="00683F67">
        <w:rPr>
          <w:rFonts w:asciiTheme="minorHAnsi" w:hAnsiTheme="minorHAnsi" w:cstheme="minorBidi"/>
          <w:spacing w:val="-3"/>
        </w:rPr>
        <w:t xml:space="preserve"> </w:t>
      </w:r>
      <w:r w:rsidRPr="00683F67">
        <w:rPr>
          <w:rFonts w:asciiTheme="minorHAnsi" w:hAnsiTheme="minorHAnsi" w:cstheme="minorBidi"/>
        </w:rPr>
        <w:t>patients,</w:t>
      </w:r>
      <w:r w:rsidRPr="00683F67">
        <w:rPr>
          <w:rFonts w:asciiTheme="minorHAnsi" w:hAnsiTheme="minorHAnsi" w:cstheme="minorBidi"/>
          <w:spacing w:val="-5"/>
        </w:rPr>
        <w:t xml:space="preserve"> </w:t>
      </w:r>
      <w:r w:rsidRPr="00683F67">
        <w:rPr>
          <w:rFonts w:asciiTheme="minorHAnsi" w:hAnsiTheme="minorHAnsi" w:cstheme="minorBidi"/>
        </w:rPr>
        <w:t>and</w:t>
      </w:r>
      <w:r w:rsidRPr="00683F67">
        <w:rPr>
          <w:rFonts w:asciiTheme="minorHAnsi" w:hAnsiTheme="minorHAnsi" w:cstheme="minorBidi"/>
          <w:spacing w:val="-3"/>
        </w:rPr>
        <w:t xml:space="preserve"> </w:t>
      </w:r>
      <w:r w:rsidRPr="00683F67">
        <w:rPr>
          <w:rFonts w:asciiTheme="minorHAnsi" w:hAnsiTheme="minorHAnsi" w:cstheme="minorBidi"/>
        </w:rPr>
        <w:t>other</w:t>
      </w:r>
      <w:r w:rsidRPr="00683F67">
        <w:rPr>
          <w:rFonts w:asciiTheme="minorHAnsi" w:hAnsiTheme="minorHAnsi" w:cstheme="minorBidi"/>
          <w:spacing w:val="-4"/>
        </w:rPr>
        <w:t xml:space="preserve"> </w:t>
      </w:r>
      <w:r w:rsidRPr="00683F67">
        <w:rPr>
          <w:rFonts w:asciiTheme="minorHAnsi" w:hAnsiTheme="minorHAnsi" w:cstheme="minorBidi"/>
        </w:rPr>
        <w:t>patients</w:t>
      </w:r>
      <w:r w:rsidRPr="00683F67">
        <w:rPr>
          <w:rFonts w:asciiTheme="minorHAnsi" w:hAnsiTheme="minorHAnsi" w:cstheme="minorBidi"/>
          <w:spacing w:val="-4"/>
        </w:rPr>
        <w:t xml:space="preserve"> </w:t>
      </w:r>
      <w:r w:rsidRPr="00683F67">
        <w:rPr>
          <w:rFonts w:asciiTheme="minorHAnsi" w:hAnsiTheme="minorHAnsi" w:cstheme="minorBidi"/>
        </w:rPr>
        <w:t>requiring</w:t>
      </w:r>
      <w:r w:rsidRPr="00683F67">
        <w:rPr>
          <w:rFonts w:asciiTheme="minorHAnsi" w:hAnsiTheme="minorHAnsi" w:cstheme="minorBidi"/>
          <w:spacing w:val="-3"/>
        </w:rPr>
        <w:t xml:space="preserve"> </w:t>
      </w:r>
      <w:r w:rsidRPr="00683F67">
        <w:rPr>
          <w:rFonts w:asciiTheme="minorHAnsi" w:hAnsiTheme="minorHAnsi" w:cstheme="minorBidi"/>
        </w:rPr>
        <w:t>an</w:t>
      </w:r>
      <w:r w:rsidRPr="00683F67">
        <w:rPr>
          <w:rFonts w:asciiTheme="minorHAnsi" w:hAnsiTheme="minorHAnsi" w:cstheme="minorBidi"/>
          <w:spacing w:val="-3"/>
        </w:rPr>
        <w:t xml:space="preserve"> </w:t>
      </w:r>
      <w:r w:rsidRPr="00683F67">
        <w:rPr>
          <w:rFonts w:asciiTheme="minorHAnsi" w:hAnsiTheme="minorHAnsi" w:cstheme="minorBidi"/>
        </w:rPr>
        <w:t>emergent</w:t>
      </w:r>
      <w:r w:rsidRPr="00683F67">
        <w:rPr>
          <w:rFonts w:asciiTheme="minorHAnsi" w:hAnsiTheme="minorHAnsi" w:cstheme="minorBidi"/>
          <w:spacing w:val="-5"/>
        </w:rPr>
        <w:t xml:space="preserve"> </w:t>
      </w:r>
      <w:r w:rsidRPr="00683F67">
        <w:rPr>
          <w:rFonts w:asciiTheme="minorHAnsi" w:hAnsiTheme="minorHAnsi" w:cstheme="minorBidi"/>
        </w:rPr>
        <w:t>CT</w:t>
      </w:r>
      <w:r w:rsidRPr="00683F67">
        <w:rPr>
          <w:rFonts w:asciiTheme="minorHAnsi" w:hAnsiTheme="minorHAnsi" w:cstheme="minorBidi"/>
          <w:spacing w:val="-5"/>
        </w:rPr>
        <w:t xml:space="preserve"> </w:t>
      </w:r>
      <w:r w:rsidRPr="00683F67">
        <w:rPr>
          <w:rFonts w:asciiTheme="minorHAnsi" w:hAnsiTheme="minorHAnsi" w:cstheme="minorBidi"/>
        </w:rPr>
        <w:t>scan</w:t>
      </w:r>
      <w:r w:rsidRPr="00683F67">
        <w:rPr>
          <w:rFonts w:asciiTheme="minorHAnsi" w:hAnsiTheme="minorHAnsi" w:cstheme="minorBidi"/>
          <w:spacing w:val="-3"/>
        </w:rPr>
        <w:t xml:space="preserve"> </w:t>
      </w:r>
      <w:r w:rsidRPr="00683F67">
        <w:rPr>
          <w:rFonts w:asciiTheme="minorHAnsi" w:hAnsiTheme="minorHAnsi" w:cstheme="minorBidi"/>
        </w:rPr>
        <w:t>are</w:t>
      </w:r>
      <w:r w:rsidRPr="00683F67">
        <w:rPr>
          <w:rFonts w:asciiTheme="minorHAnsi" w:hAnsiTheme="minorHAnsi" w:cstheme="minorBidi"/>
          <w:spacing w:val="-6"/>
        </w:rPr>
        <w:t xml:space="preserve"> </w:t>
      </w:r>
      <w:r w:rsidRPr="00683F67">
        <w:rPr>
          <w:rFonts w:asciiTheme="minorHAnsi" w:hAnsiTheme="minorHAnsi" w:cstheme="minorBidi"/>
        </w:rPr>
        <w:lastRenderedPageBreak/>
        <w:t>prioritized</w:t>
      </w:r>
      <w:r w:rsidRPr="00683F67">
        <w:rPr>
          <w:rFonts w:asciiTheme="minorHAnsi" w:hAnsiTheme="minorHAnsi" w:cstheme="minorBidi"/>
          <w:spacing w:val="-6"/>
        </w:rPr>
        <w:t xml:space="preserve"> </w:t>
      </w:r>
      <w:r w:rsidRPr="00683F67">
        <w:rPr>
          <w:rFonts w:asciiTheme="minorHAnsi" w:hAnsiTheme="minorHAnsi" w:cstheme="minorBidi"/>
        </w:rPr>
        <w:t>over</w:t>
      </w:r>
      <w:r w:rsidRPr="00683F67">
        <w:rPr>
          <w:rFonts w:asciiTheme="minorHAnsi" w:hAnsiTheme="minorHAnsi" w:cstheme="minorBidi"/>
          <w:spacing w:val="-2"/>
        </w:rPr>
        <w:t xml:space="preserve"> </w:t>
      </w:r>
      <w:r w:rsidRPr="00683F67">
        <w:rPr>
          <w:rFonts w:asciiTheme="minorHAnsi" w:hAnsiTheme="minorHAnsi" w:cstheme="minorBidi"/>
        </w:rPr>
        <w:t>less urgent</w:t>
      </w:r>
      <w:r w:rsidRPr="00683F67">
        <w:rPr>
          <w:rFonts w:asciiTheme="minorHAnsi" w:hAnsiTheme="minorHAnsi" w:cstheme="minorBidi"/>
          <w:spacing w:val="-14"/>
        </w:rPr>
        <w:t xml:space="preserve"> </w:t>
      </w:r>
      <w:r w:rsidRPr="00683F67">
        <w:rPr>
          <w:rFonts w:asciiTheme="minorHAnsi" w:hAnsiTheme="minorHAnsi" w:cstheme="minorBidi"/>
        </w:rPr>
        <w:t>exams</w:t>
      </w:r>
      <w:r w:rsidRPr="00683F67">
        <w:rPr>
          <w:rFonts w:asciiTheme="minorHAnsi" w:hAnsiTheme="minorHAnsi" w:cstheme="minorBidi"/>
          <w:spacing w:val="-14"/>
        </w:rPr>
        <w:t xml:space="preserve"> </w:t>
      </w:r>
      <w:r w:rsidRPr="00683F67">
        <w:rPr>
          <w:rFonts w:asciiTheme="minorHAnsi" w:hAnsiTheme="minorHAnsi" w:cstheme="minorBidi"/>
        </w:rPr>
        <w:t>on</w:t>
      </w:r>
      <w:r w:rsidRPr="00683F67">
        <w:rPr>
          <w:rFonts w:asciiTheme="minorHAnsi" w:hAnsiTheme="minorHAnsi" w:cstheme="minorBidi"/>
          <w:spacing w:val="-14"/>
        </w:rPr>
        <w:t xml:space="preserve"> </w:t>
      </w:r>
      <w:r w:rsidRPr="00683F67">
        <w:rPr>
          <w:rFonts w:asciiTheme="minorHAnsi" w:hAnsiTheme="minorHAnsi" w:cstheme="minorBidi"/>
        </w:rPr>
        <w:t>other patients.</w:t>
      </w:r>
      <w:r w:rsidRPr="00683F67">
        <w:rPr>
          <w:rFonts w:asciiTheme="minorHAnsi" w:hAnsiTheme="minorHAnsi" w:cstheme="minorBidi"/>
          <w:spacing w:val="-14"/>
        </w:rPr>
        <w:t xml:space="preserve"> </w:t>
      </w:r>
      <w:r w:rsidRPr="00683F67">
        <w:rPr>
          <w:rFonts w:asciiTheme="minorHAnsi" w:hAnsiTheme="minorHAnsi" w:cstheme="minorBidi"/>
        </w:rPr>
        <w:t>When</w:t>
      </w:r>
      <w:r w:rsidRPr="00683F67">
        <w:rPr>
          <w:rFonts w:asciiTheme="minorHAnsi" w:hAnsiTheme="minorHAnsi" w:cstheme="minorBidi"/>
          <w:spacing w:val="-14"/>
        </w:rPr>
        <w:t xml:space="preserve"> </w:t>
      </w:r>
      <w:r w:rsidRPr="00683F67">
        <w:rPr>
          <w:rFonts w:asciiTheme="minorHAnsi" w:hAnsiTheme="minorHAnsi" w:cstheme="minorBidi"/>
        </w:rPr>
        <w:t>an</w:t>
      </w:r>
      <w:r w:rsidRPr="00683F67">
        <w:rPr>
          <w:rFonts w:asciiTheme="minorHAnsi" w:hAnsiTheme="minorHAnsi" w:cstheme="minorBidi"/>
          <w:spacing w:val="-13"/>
        </w:rPr>
        <w:t xml:space="preserve"> </w:t>
      </w:r>
      <w:r w:rsidRPr="00683F67">
        <w:rPr>
          <w:rFonts w:asciiTheme="minorHAnsi" w:hAnsiTheme="minorHAnsi" w:cstheme="minorBidi"/>
        </w:rPr>
        <w:t>emergency</w:t>
      </w:r>
      <w:r w:rsidRPr="00683F67">
        <w:rPr>
          <w:rFonts w:asciiTheme="minorHAnsi" w:hAnsiTheme="minorHAnsi" w:cstheme="minorBidi"/>
          <w:spacing w:val="-14"/>
        </w:rPr>
        <w:t xml:space="preserve"> </w:t>
      </w:r>
      <w:r w:rsidRPr="00683F67">
        <w:rPr>
          <w:rFonts w:asciiTheme="minorHAnsi" w:hAnsiTheme="minorHAnsi" w:cstheme="minorBidi"/>
        </w:rPr>
        <w:t>CT</w:t>
      </w:r>
      <w:r w:rsidRPr="00683F67">
        <w:rPr>
          <w:rFonts w:asciiTheme="minorHAnsi" w:hAnsiTheme="minorHAnsi" w:cstheme="minorBidi"/>
          <w:spacing w:val="-14"/>
        </w:rPr>
        <w:t xml:space="preserve"> </w:t>
      </w:r>
      <w:r w:rsidRPr="00683F67">
        <w:rPr>
          <w:rFonts w:asciiTheme="minorHAnsi" w:hAnsiTheme="minorHAnsi" w:cstheme="minorBidi"/>
        </w:rPr>
        <w:t>is</w:t>
      </w:r>
      <w:r w:rsidRPr="00683F67">
        <w:rPr>
          <w:rFonts w:asciiTheme="minorHAnsi" w:hAnsiTheme="minorHAnsi" w:cstheme="minorBidi"/>
          <w:spacing w:val="-14"/>
        </w:rPr>
        <w:t xml:space="preserve"> </w:t>
      </w:r>
      <w:r w:rsidRPr="004E4068">
        <w:rPr>
          <w:rFonts w:asciiTheme="minorHAnsi" w:hAnsiTheme="minorHAnsi" w:cstheme="minorHAnsi"/>
        </w:rPr>
        <w:t>needed,</w:t>
      </w:r>
      <w:r w:rsidRPr="004E4068">
        <w:rPr>
          <w:rFonts w:asciiTheme="minorHAnsi" w:hAnsiTheme="minorHAnsi" w:cstheme="minorHAnsi"/>
          <w:spacing w:val="-14"/>
        </w:rPr>
        <w:t xml:space="preserve"> all </w:t>
      </w:r>
      <w:r w:rsidRPr="004E4068">
        <w:rPr>
          <w:rFonts w:asciiTheme="minorHAnsi" w:hAnsiTheme="minorHAnsi" w:cstheme="minorHAnsi"/>
        </w:rPr>
        <w:t>other</w:t>
      </w:r>
      <w:r w:rsidRPr="004E4068">
        <w:rPr>
          <w:rFonts w:asciiTheme="minorHAnsi" w:hAnsiTheme="minorHAnsi" w:cstheme="minorHAnsi"/>
          <w:spacing w:val="-14"/>
        </w:rPr>
        <w:t xml:space="preserve"> </w:t>
      </w:r>
      <w:r w:rsidRPr="004E4068">
        <w:rPr>
          <w:rFonts w:asciiTheme="minorHAnsi" w:hAnsiTheme="minorHAnsi" w:cstheme="minorHAnsi"/>
        </w:rPr>
        <w:t xml:space="preserve">patient scans are delayed. </w:t>
      </w:r>
      <w:r w:rsidR="007F5C59" w:rsidRPr="00306678">
        <w:rPr>
          <w:rFonts w:asciiTheme="minorHAnsi" w:hAnsiTheme="minorHAnsi" w:cstheme="minorBidi"/>
        </w:rPr>
        <w:t>As demonstrated in Table 5</w:t>
      </w:r>
      <w:r w:rsidR="007F5C59">
        <w:rPr>
          <w:rFonts w:asciiTheme="minorHAnsi" w:hAnsiTheme="minorHAnsi" w:cstheme="minorBidi"/>
        </w:rPr>
        <w:t xml:space="preserve"> below</w:t>
      </w:r>
      <w:r w:rsidR="007F5C59" w:rsidRPr="00306678">
        <w:rPr>
          <w:rFonts w:asciiTheme="minorHAnsi" w:hAnsiTheme="minorHAnsi" w:cstheme="minorBidi"/>
        </w:rPr>
        <w:t>, AJH experienced an approximately 50% increase in the number of stroke</w:t>
      </w:r>
      <w:r w:rsidR="007F5C59" w:rsidRPr="00306678">
        <w:rPr>
          <w:rFonts w:asciiTheme="minorHAnsi" w:hAnsiTheme="minorHAnsi" w:cstheme="minorBidi"/>
          <w:spacing w:val="-7"/>
        </w:rPr>
        <w:t xml:space="preserve"> </w:t>
      </w:r>
      <w:r w:rsidR="007F5C59" w:rsidRPr="00306678">
        <w:rPr>
          <w:rFonts w:asciiTheme="minorHAnsi" w:hAnsiTheme="minorHAnsi" w:cstheme="minorBidi"/>
        </w:rPr>
        <w:t>patients</w:t>
      </w:r>
      <w:r w:rsidR="007F5C59" w:rsidRPr="00306678">
        <w:rPr>
          <w:rFonts w:asciiTheme="minorHAnsi" w:hAnsiTheme="minorHAnsi" w:cstheme="minorBidi"/>
          <w:spacing w:val="-5"/>
        </w:rPr>
        <w:t xml:space="preserve"> </w:t>
      </w:r>
      <w:r w:rsidR="007F5C59" w:rsidRPr="00306678">
        <w:rPr>
          <w:rFonts w:asciiTheme="minorHAnsi" w:hAnsiTheme="minorHAnsi" w:cstheme="minorBidi"/>
        </w:rPr>
        <w:t>presenting</w:t>
      </w:r>
      <w:r w:rsidR="007F5C59" w:rsidRPr="00306678">
        <w:rPr>
          <w:rFonts w:asciiTheme="minorHAnsi" w:hAnsiTheme="minorHAnsi" w:cstheme="minorBidi"/>
          <w:spacing w:val="-7"/>
        </w:rPr>
        <w:t xml:space="preserve"> </w:t>
      </w:r>
      <w:r w:rsidR="007F5C59" w:rsidRPr="00306678">
        <w:rPr>
          <w:rFonts w:asciiTheme="minorHAnsi" w:hAnsiTheme="minorHAnsi" w:cstheme="minorBidi"/>
        </w:rPr>
        <w:t>to</w:t>
      </w:r>
      <w:r w:rsidR="007F5C59" w:rsidRPr="00306678">
        <w:rPr>
          <w:rFonts w:asciiTheme="minorHAnsi" w:hAnsiTheme="minorHAnsi" w:cstheme="minorBidi"/>
          <w:spacing w:val="-7"/>
        </w:rPr>
        <w:t xml:space="preserve"> </w:t>
      </w:r>
      <w:r w:rsidR="007F5C59" w:rsidRPr="00306678">
        <w:rPr>
          <w:rFonts w:asciiTheme="minorHAnsi" w:hAnsiTheme="minorHAnsi" w:cstheme="minorBidi"/>
        </w:rPr>
        <w:t>its</w:t>
      </w:r>
      <w:r w:rsidR="007F5C59" w:rsidRPr="00306678">
        <w:rPr>
          <w:rFonts w:asciiTheme="minorHAnsi" w:hAnsiTheme="minorHAnsi" w:cstheme="minorBidi"/>
          <w:spacing w:val="-5"/>
        </w:rPr>
        <w:t xml:space="preserve"> </w:t>
      </w:r>
      <w:r w:rsidR="007F5C59" w:rsidRPr="00306678">
        <w:rPr>
          <w:rFonts w:asciiTheme="minorHAnsi" w:hAnsiTheme="minorHAnsi" w:cstheme="minorBidi"/>
        </w:rPr>
        <w:t>ED</w:t>
      </w:r>
      <w:r w:rsidR="007F5C59" w:rsidRPr="00306678">
        <w:rPr>
          <w:rFonts w:asciiTheme="minorHAnsi" w:hAnsiTheme="minorHAnsi" w:cstheme="minorBidi"/>
          <w:spacing w:val="-3"/>
        </w:rPr>
        <w:t xml:space="preserve"> </w:t>
      </w:r>
      <w:r w:rsidR="007F5C59" w:rsidRPr="00306678">
        <w:rPr>
          <w:rFonts w:asciiTheme="minorHAnsi" w:hAnsiTheme="minorHAnsi" w:cstheme="minorBidi"/>
        </w:rPr>
        <w:t>between</w:t>
      </w:r>
      <w:r w:rsidR="007F5C59" w:rsidRPr="00306678">
        <w:rPr>
          <w:rFonts w:asciiTheme="minorHAnsi" w:hAnsiTheme="minorHAnsi" w:cstheme="minorBidi"/>
          <w:spacing w:val="-4"/>
        </w:rPr>
        <w:t xml:space="preserve"> FY</w:t>
      </w:r>
      <w:r w:rsidR="007F5C59" w:rsidRPr="00306678">
        <w:rPr>
          <w:rFonts w:asciiTheme="minorHAnsi" w:hAnsiTheme="minorHAnsi" w:cstheme="minorBidi"/>
        </w:rPr>
        <w:t>2020</w:t>
      </w:r>
      <w:r w:rsidR="007F5C59" w:rsidRPr="00306678">
        <w:rPr>
          <w:rFonts w:asciiTheme="minorHAnsi" w:hAnsiTheme="minorHAnsi" w:cstheme="minorBidi"/>
          <w:spacing w:val="-7"/>
        </w:rPr>
        <w:t xml:space="preserve"> </w:t>
      </w:r>
      <w:r w:rsidR="007F5C59" w:rsidRPr="00306678">
        <w:rPr>
          <w:rFonts w:asciiTheme="minorHAnsi" w:hAnsiTheme="minorHAnsi" w:cstheme="minorBidi"/>
        </w:rPr>
        <w:t>and</w:t>
      </w:r>
      <w:r w:rsidR="007F5C59" w:rsidRPr="00306678">
        <w:rPr>
          <w:rFonts w:asciiTheme="minorHAnsi" w:hAnsiTheme="minorHAnsi" w:cstheme="minorBidi"/>
          <w:spacing w:val="-4"/>
        </w:rPr>
        <w:t xml:space="preserve"> </w:t>
      </w:r>
      <w:r w:rsidR="007F5C59" w:rsidRPr="00306678">
        <w:rPr>
          <w:rFonts w:asciiTheme="minorHAnsi" w:hAnsiTheme="minorHAnsi" w:cstheme="minorBidi"/>
        </w:rPr>
        <w:t>FY2022</w:t>
      </w:r>
      <w:r w:rsidR="007F5C59" w:rsidRPr="00306678">
        <w:rPr>
          <w:rFonts w:asciiTheme="minorHAnsi" w:hAnsiTheme="minorHAnsi" w:cstheme="minorBidi"/>
          <w:spacing w:val="-4"/>
        </w:rPr>
        <w:t>, with FY2023 volumes already surpassing the previous year</w:t>
      </w:r>
      <w:r w:rsidR="007F5C59" w:rsidRPr="00306678">
        <w:rPr>
          <w:rFonts w:asciiTheme="minorHAnsi" w:hAnsiTheme="minorHAnsi" w:cstheme="minorBidi"/>
        </w:rPr>
        <w:t>.</w:t>
      </w:r>
    </w:p>
    <w:p w14:paraId="42FFCB72" w14:textId="77777777" w:rsidR="006E42FE" w:rsidRPr="006757BA" w:rsidRDefault="006E42FE" w:rsidP="006E42FE">
      <w:pPr>
        <w:autoSpaceDE w:val="0"/>
        <w:autoSpaceDN w:val="0"/>
        <w:adjustRightInd w:val="0"/>
        <w:spacing w:after="22"/>
        <w:rPr>
          <w:rFonts w:asciiTheme="minorHAnsi" w:hAnsiTheme="minorHAnsi" w:cstheme="minorBidi"/>
          <w:highlight w:val="yellow"/>
        </w:rPr>
      </w:pPr>
    </w:p>
    <w:p w14:paraId="6A2CBA8A" w14:textId="77777777" w:rsidR="006E42FE" w:rsidRDefault="006E42FE" w:rsidP="006E42FE">
      <w:pPr>
        <w:autoSpaceDE w:val="0"/>
        <w:autoSpaceDN w:val="0"/>
        <w:adjustRightInd w:val="0"/>
        <w:spacing w:after="22"/>
        <w:jc w:val="center"/>
        <w:rPr>
          <w:rFonts w:asciiTheme="minorHAnsi" w:eastAsiaTheme="minorHAnsi" w:hAnsiTheme="minorHAnsi" w:cstheme="minorHAnsi"/>
          <w:highlight w:val="yellow"/>
        </w:rPr>
      </w:pPr>
      <w:r w:rsidRPr="00F90110">
        <w:rPr>
          <w:rFonts w:asciiTheme="minorHAnsi" w:eastAsiaTheme="minorHAnsi" w:hAnsiTheme="minorHAnsi" w:cstheme="minorHAnsi"/>
          <w:b/>
          <w:bCs/>
          <w:color w:val="42558C" w:themeColor="accent1" w:themeShade="BF"/>
          <w:u w:val="single"/>
        </w:rPr>
        <w:t>Table 5:</w:t>
      </w:r>
      <w:r w:rsidRPr="00F90110">
        <w:rPr>
          <w:rFonts w:asciiTheme="minorHAnsi" w:eastAsiaTheme="minorHAnsi" w:hAnsiTheme="minorHAnsi" w:cstheme="minorHAnsi"/>
          <w:b/>
          <w:bCs/>
          <w:color w:val="42558C" w:themeColor="accent1" w:themeShade="BF"/>
        </w:rPr>
        <w:t xml:space="preserve"> </w:t>
      </w:r>
      <w:r w:rsidRPr="004F79DE">
        <w:rPr>
          <w:rFonts w:asciiTheme="minorHAnsi" w:eastAsiaTheme="minorHAnsi" w:hAnsiTheme="minorHAnsi" w:cstheme="minorHAnsi"/>
          <w:b/>
          <w:bCs/>
          <w:color w:val="42558C" w:themeColor="accent1" w:themeShade="BF"/>
        </w:rPr>
        <w:t>Anna Jaques Hospital</w:t>
      </w:r>
      <w:r w:rsidRPr="004F79DE">
        <w:rPr>
          <w:rFonts w:cstheme="minorHAnsi"/>
          <w:color w:val="42558C" w:themeColor="accent1" w:themeShade="BF"/>
        </w:rPr>
        <w:t xml:space="preserve"> </w:t>
      </w:r>
      <w:r w:rsidRPr="004F79DE">
        <w:rPr>
          <w:rFonts w:asciiTheme="minorHAnsi" w:eastAsiaTheme="minorHAnsi" w:hAnsiTheme="minorHAnsi" w:cstheme="minorHAnsi"/>
          <w:b/>
          <w:bCs/>
          <w:color w:val="42558C" w:themeColor="accent1" w:themeShade="BF"/>
        </w:rPr>
        <w:t>Stroke Patient Volume</w:t>
      </w:r>
    </w:p>
    <w:tbl>
      <w:tblPr>
        <w:tblStyle w:val="TableGrid"/>
        <w:tblW w:w="0" w:type="auto"/>
        <w:jc w:val="center"/>
        <w:tblLook w:val="04A0" w:firstRow="1" w:lastRow="0" w:firstColumn="1" w:lastColumn="0" w:noHBand="0" w:noVBand="1"/>
      </w:tblPr>
      <w:tblGrid>
        <w:gridCol w:w="2695"/>
        <w:gridCol w:w="1620"/>
        <w:gridCol w:w="1727"/>
        <w:gridCol w:w="1603"/>
        <w:gridCol w:w="1890"/>
      </w:tblGrid>
      <w:tr w:rsidR="006E42FE" w14:paraId="78EB4F20" w14:textId="77777777" w:rsidTr="00E20A6A">
        <w:trPr>
          <w:jc w:val="center"/>
        </w:trPr>
        <w:tc>
          <w:tcPr>
            <w:tcW w:w="2695" w:type="dxa"/>
            <w:shd w:val="clear" w:color="auto" w:fill="BFC8E1" w:themeFill="accent1" w:themeFillTint="66"/>
          </w:tcPr>
          <w:p w14:paraId="50FD3013"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b/>
                <w:bCs/>
                <w:highlight w:val="yellow"/>
              </w:rPr>
            </w:pPr>
          </w:p>
        </w:tc>
        <w:tc>
          <w:tcPr>
            <w:tcW w:w="1620" w:type="dxa"/>
            <w:shd w:val="clear" w:color="auto" w:fill="BFC8E1" w:themeFill="accent1" w:themeFillTint="66"/>
          </w:tcPr>
          <w:p w14:paraId="1C2A30FB"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b/>
                <w:bCs/>
              </w:rPr>
            </w:pPr>
            <w:r w:rsidRPr="00EB39BD">
              <w:rPr>
                <w:rFonts w:asciiTheme="minorHAnsi" w:eastAsiaTheme="minorHAnsi" w:hAnsiTheme="minorHAnsi" w:cstheme="minorHAnsi"/>
                <w:b/>
                <w:bCs/>
              </w:rPr>
              <w:t>FY2020</w:t>
            </w:r>
          </w:p>
        </w:tc>
        <w:tc>
          <w:tcPr>
            <w:tcW w:w="1727" w:type="dxa"/>
            <w:shd w:val="clear" w:color="auto" w:fill="BFC8E1" w:themeFill="accent1" w:themeFillTint="66"/>
          </w:tcPr>
          <w:p w14:paraId="19A5CC20"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b/>
                <w:bCs/>
              </w:rPr>
            </w:pPr>
            <w:r w:rsidRPr="00EB39BD">
              <w:rPr>
                <w:rFonts w:asciiTheme="minorHAnsi" w:eastAsiaTheme="minorHAnsi" w:hAnsiTheme="minorHAnsi" w:cstheme="minorHAnsi"/>
                <w:b/>
                <w:bCs/>
              </w:rPr>
              <w:t>FY2021</w:t>
            </w:r>
          </w:p>
        </w:tc>
        <w:tc>
          <w:tcPr>
            <w:tcW w:w="1603" w:type="dxa"/>
            <w:shd w:val="clear" w:color="auto" w:fill="BFC8E1" w:themeFill="accent1" w:themeFillTint="66"/>
          </w:tcPr>
          <w:p w14:paraId="0894B149"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b/>
                <w:bCs/>
              </w:rPr>
            </w:pPr>
            <w:r w:rsidRPr="00EB39BD">
              <w:rPr>
                <w:rFonts w:asciiTheme="minorHAnsi" w:eastAsiaTheme="minorHAnsi" w:hAnsiTheme="minorHAnsi" w:cstheme="minorHAnsi"/>
                <w:b/>
                <w:bCs/>
              </w:rPr>
              <w:t>FY2022</w:t>
            </w:r>
          </w:p>
        </w:tc>
        <w:tc>
          <w:tcPr>
            <w:tcW w:w="1890" w:type="dxa"/>
            <w:shd w:val="clear" w:color="auto" w:fill="BFC8E1" w:themeFill="accent1" w:themeFillTint="66"/>
          </w:tcPr>
          <w:p w14:paraId="4B61DFD6"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b/>
                <w:bCs/>
              </w:rPr>
            </w:pPr>
            <w:r w:rsidRPr="00EB39BD">
              <w:rPr>
                <w:rFonts w:asciiTheme="minorHAnsi" w:eastAsiaTheme="minorHAnsi" w:hAnsiTheme="minorHAnsi" w:cstheme="minorHAnsi"/>
                <w:b/>
                <w:bCs/>
              </w:rPr>
              <w:t>FY2023</w:t>
            </w:r>
          </w:p>
          <w:p w14:paraId="04D4F5EE"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b/>
                <w:bCs/>
              </w:rPr>
            </w:pPr>
            <w:r w:rsidRPr="001A48DA">
              <w:rPr>
                <w:rFonts w:asciiTheme="minorHAnsi" w:eastAsiaTheme="minorHAnsi" w:hAnsiTheme="minorHAnsi" w:cstheme="minorHAnsi"/>
                <w:b/>
                <w:bCs/>
                <w:sz w:val="20"/>
                <w:szCs w:val="20"/>
              </w:rPr>
              <w:t>October 1 – July 31</w:t>
            </w:r>
          </w:p>
        </w:tc>
      </w:tr>
      <w:tr w:rsidR="006E42FE" w14:paraId="627514AA" w14:textId="77777777" w:rsidTr="00E20A6A">
        <w:trPr>
          <w:jc w:val="center"/>
        </w:trPr>
        <w:tc>
          <w:tcPr>
            <w:tcW w:w="2695" w:type="dxa"/>
          </w:tcPr>
          <w:p w14:paraId="76476A25" w14:textId="77777777" w:rsidR="006E42FE" w:rsidRPr="001A48DA" w:rsidRDefault="006E42FE" w:rsidP="00E20A6A">
            <w:pPr>
              <w:autoSpaceDE w:val="0"/>
              <w:autoSpaceDN w:val="0"/>
              <w:adjustRightInd w:val="0"/>
              <w:spacing w:after="22"/>
              <w:rPr>
                <w:rFonts w:asciiTheme="minorHAnsi" w:eastAsiaTheme="minorHAnsi" w:hAnsiTheme="minorHAnsi" w:cstheme="minorHAnsi"/>
                <w:b/>
                <w:bCs/>
                <w:highlight w:val="yellow"/>
              </w:rPr>
            </w:pPr>
            <w:r w:rsidRPr="001A48DA">
              <w:rPr>
                <w:rFonts w:asciiTheme="minorHAnsi" w:eastAsiaTheme="minorHAnsi" w:hAnsiTheme="minorHAnsi" w:cstheme="minorHAnsi"/>
                <w:b/>
                <w:bCs/>
              </w:rPr>
              <w:t>Emergency Department Stroke Patients</w:t>
            </w:r>
          </w:p>
        </w:tc>
        <w:tc>
          <w:tcPr>
            <w:tcW w:w="1620" w:type="dxa"/>
          </w:tcPr>
          <w:p w14:paraId="2CC00075"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rPr>
            </w:pPr>
            <w:r w:rsidRPr="00EB39BD">
              <w:rPr>
                <w:rFonts w:asciiTheme="minorHAnsi" w:eastAsiaTheme="minorHAnsi" w:hAnsiTheme="minorHAnsi" w:cstheme="minorHAnsi"/>
              </w:rPr>
              <w:t>97</w:t>
            </w:r>
          </w:p>
        </w:tc>
        <w:tc>
          <w:tcPr>
            <w:tcW w:w="1727" w:type="dxa"/>
          </w:tcPr>
          <w:p w14:paraId="5CDE5B73"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rPr>
            </w:pPr>
            <w:r w:rsidRPr="00EB39BD">
              <w:rPr>
                <w:rFonts w:asciiTheme="minorHAnsi" w:eastAsiaTheme="minorHAnsi" w:hAnsiTheme="minorHAnsi" w:cstheme="minorHAnsi"/>
              </w:rPr>
              <w:t>127</w:t>
            </w:r>
          </w:p>
        </w:tc>
        <w:tc>
          <w:tcPr>
            <w:tcW w:w="1603" w:type="dxa"/>
          </w:tcPr>
          <w:p w14:paraId="5967278A"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rPr>
            </w:pPr>
            <w:r w:rsidRPr="00EB39BD">
              <w:rPr>
                <w:rFonts w:asciiTheme="minorHAnsi" w:eastAsiaTheme="minorHAnsi" w:hAnsiTheme="minorHAnsi" w:cstheme="minorHAnsi"/>
              </w:rPr>
              <w:t>146</w:t>
            </w:r>
          </w:p>
        </w:tc>
        <w:tc>
          <w:tcPr>
            <w:tcW w:w="1890" w:type="dxa"/>
          </w:tcPr>
          <w:p w14:paraId="6564AE06" w14:textId="77777777" w:rsidR="006E42FE" w:rsidRPr="00EB39BD" w:rsidRDefault="006E42FE" w:rsidP="00E20A6A">
            <w:pPr>
              <w:autoSpaceDE w:val="0"/>
              <w:autoSpaceDN w:val="0"/>
              <w:adjustRightInd w:val="0"/>
              <w:spacing w:after="22"/>
              <w:jc w:val="center"/>
              <w:rPr>
                <w:rFonts w:asciiTheme="minorHAnsi" w:eastAsiaTheme="minorHAnsi" w:hAnsiTheme="minorHAnsi" w:cstheme="minorHAnsi"/>
              </w:rPr>
            </w:pPr>
            <w:r w:rsidRPr="00EB39BD">
              <w:rPr>
                <w:rFonts w:asciiTheme="minorHAnsi" w:eastAsiaTheme="minorHAnsi" w:hAnsiTheme="minorHAnsi" w:cstheme="minorHAnsi"/>
              </w:rPr>
              <w:t>152</w:t>
            </w:r>
          </w:p>
        </w:tc>
      </w:tr>
    </w:tbl>
    <w:p w14:paraId="40A69A98" w14:textId="77777777" w:rsidR="006E42FE" w:rsidRDefault="006E42FE" w:rsidP="006E42FE">
      <w:pPr>
        <w:autoSpaceDE w:val="0"/>
        <w:autoSpaceDN w:val="0"/>
        <w:adjustRightInd w:val="0"/>
        <w:spacing w:after="22"/>
        <w:rPr>
          <w:rFonts w:asciiTheme="minorHAnsi" w:eastAsiaTheme="minorHAnsi" w:hAnsiTheme="minorHAnsi" w:cstheme="minorHAnsi"/>
          <w:highlight w:val="yellow"/>
        </w:rPr>
      </w:pPr>
    </w:p>
    <w:p w14:paraId="69B514A1" w14:textId="15D83E94" w:rsidR="006E42FE" w:rsidRPr="007F5C59" w:rsidRDefault="006E42FE" w:rsidP="007F5C59">
      <w:pPr>
        <w:autoSpaceDE w:val="0"/>
        <w:autoSpaceDN w:val="0"/>
        <w:adjustRightInd w:val="0"/>
        <w:spacing w:after="22"/>
        <w:ind w:left="1440"/>
        <w:rPr>
          <w:rFonts w:asciiTheme="minorHAnsi" w:hAnsiTheme="minorHAnsi" w:cstheme="minorBidi"/>
          <w:highlight w:val="yellow"/>
        </w:rPr>
      </w:pPr>
      <w:r w:rsidRPr="004E4068">
        <w:rPr>
          <w:rFonts w:asciiTheme="minorHAnsi" w:hAnsiTheme="minorHAnsi" w:cstheme="minorHAnsi"/>
        </w:rPr>
        <w:t xml:space="preserve">The Applicant states that </w:t>
      </w:r>
      <w:r>
        <w:rPr>
          <w:rFonts w:asciiTheme="minorHAnsi" w:hAnsiTheme="minorHAnsi" w:cstheme="minorHAnsi"/>
        </w:rPr>
        <w:t>i</w:t>
      </w:r>
      <w:r w:rsidRPr="004E4068">
        <w:rPr>
          <w:rFonts w:asciiTheme="minorHAnsi" w:hAnsiTheme="minorHAnsi" w:cstheme="minorHAnsi"/>
        </w:rPr>
        <w:t>n FY</w:t>
      </w:r>
      <w:r w:rsidR="009C08DA">
        <w:rPr>
          <w:rFonts w:asciiTheme="minorHAnsi" w:hAnsiTheme="minorHAnsi" w:cstheme="minorHAnsi"/>
        </w:rPr>
        <w:t>20</w:t>
      </w:r>
      <w:r w:rsidRPr="004E4068">
        <w:rPr>
          <w:rFonts w:asciiTheme="minorHAnsi" w:hAnsiTheme="minorHAnsi" w:cstheme="minorHAnsi"/>
        </w:rPr>
        <w:t>21 and FY</w:t>
      </w:r>
      <w:r w:rsidR="009C08DA">
        <w:rPr>
          <w:rFonts w:asciiTheme="minorHAnsi" w:hAnsiTheme="minorHAnsi" w:cstheme="minorHAnsi"/>
        </w:rPr>
        <w:t>20</w:t>
      </w:r>
      <w:r w:rsidRPr="004E4068">
        <w:rPr>
          <w:rFonts w:asciiTheme="minorHAnsi" w:hAnsiTheme="minorHAnsi" w:cstheme="minorHAnsi"/>
        </w:rPr>
        <w:t xml:space="preserve">22, nine to ten patients each year with stroke symptoms were transferred to another facility because the CT unit was not </w:t>
      </w:r>
      <w:r w:rsidRPr="00306678">
        <w:rPr>
          <w:rFonts w:asciiTheme="minorHAnsi" w:hAnsiTheme="minorHAnsi" w:cstheme="minorHAnsi"/>
        </w:rPr>
        <w:t>available.</w:t>
      </w:r>
      <w:r w:rsidRPr="00306678">
        <w:rPr>
          <w:rFonts w:ascii="Arial" w:hAnsi="Arial" w:cs="Arial"/>
          <w:sz w:val="20"/>
          <w:szCs w:val="20"/>
        </w:rPr>
        <w:t xml:space="preserve"> </w:t>
      </w:r>
      <w:r>
        <w:rPr>
          <w:rFonts w:asciiTheme="minorHAnsi" w:hAnsiTheme="minorHAnsi" w:cstheme="minorBidi"/>
        </w:rPr>
        <w:t>The growth in the volume of stroke patients presenting in the E</w:t>
      </w:r>
      <w:r w:rsidR="009C08DA">
        <w:rPr>
          <w:rFonts w:asciiTheme="minorHAnsi" w:hAnsiTheme="minorHAnsi" w:cstheme="minorBidi"/>
        </w:rPr>
        <w:t xml:space="preserve">D </w:t>
      </w:r>
      <w:r>
        <w:rPr>
          <w:rFonts w:asciiTheme="minorHAnsi" w:hAnsiTheme="minorHAnsi" w:cstheme="minorBidi"/>
        </w:rPr>
        <w:t>reinforces the need to have an operational CT unit available at all times.</w:t>
      </w:r>
    </w:p>
    <w:p w14:paraId="62E541B3" w14:textId="77777777" w:rsidR="006E42FE" w:rsidRPr="006757BA" w:rsidRDefault="006E42FE" w:rsidP="006E42FE">
      <w:pPr>
        <w:pStyle w:val="BodyText"/>
        <w:spacing w:line="259" w:lineRule="auto"/>
        <w:ind w:right="1199"/>
        <w:jc w:val="both"/>
        <w:rPr>
          <w:highlight w:val="yellow"/>
        </w:rPr>
      </w:pPr>
    </w:p>
    <w:p w14:paraId="1016485F" w14:textId="77777777" w:rsidR="006E42FE" w:rsidRPr="00AD57EC" w:rsidRDefault="006E42FE" w:rsidP="006E42FE">
      <w:pPr>
        <w:pStyle w:val="ListParagraph"/>
        <w:numPr>
          <w:ilvl w:val="0"/>
          <w:numId w:val="13"/>
        </w:numPr>
        <w:autoSpaceDE w:val="0"/>
        <w:autoSpaceDN w:val="0"/>
        <w:adjustRightInd w:val="0"/>
        <w:spacing w:after="22"/>
        <w:ind w:left="720"/>
        <w:rPr>
          <w:rFonts w:cstheme="minorHAnsi"/>
          <w:b/>
          <w:bCs/>
          <w:color w:val="000000"/>
          <w:sz w:val="24"/>
          <w:szCs w:val="24"/>
        </w:rPr>
      </w:pPr>
      <w:r w:rsidRPr="00BC16BA">
        <w:rPr>
          <w:rFonts w:cstheme="minorHAnsi"/>
          <w:b/>
          <w:bCs/>
          <w:color w:val="000000"/>
          <w:sz w:val="24"/>
          <w:szCs w:val="24"/>
        </w:rPr>
        <w:t>Projected Increase in Demand</w:t>
      </w:r>
    </w:p>
    <w:p w14:paraId="41E31DE8" w14:textId="26F0BD4E" w:rsidR="006E42FE" w:rsidRPr="00EF5941" w:rsidRDefault="006E42FE" w:rsidP="00CB7282">
      <w:pPr>
        <w:autoSpaceDE w:val="0"/>
        <w:autoSpaceDN w:val="0"/>
        <w:adjustRightInd w:val="0"/>
        <w:spacing w:after="22"/>
        <w:ind w:left="720"/>
        <w:rPr>
          <w:rFonts w:asciiTheme="minorHAnsi" w:hAnsiTheme="minorHAnsi" w:cstheme="minorHAnsi"/>
        </w:rPr>
      </w:pPr>
      <w:r w:rsidRPr="00BC16BA">
        <w:rPr>
          <w:rFonts w:asciiTheme="minorHAnsi" w:hAnsiTheme="minorHAnsi" w:cstheme="minorHAnsi"/>
        </w:rPr>
        <w:t xml:space="preserve">Based on historical volume and projections for future demand, AJH expects CT volume will continue to </w:t>
      </w:r>
      <w:r w:rsidRPr="00BB0317">
        <w:rPr>
          <w:rFonts w:asciiTheme="minorHAnsi" w:hAnsiTheme="minorHAnsi" w:cstheme="minorHAnsi"/>
        </w:rPr>
        <w:t xml:space="preserve">grow as the Hospital’s Primary Service Area experiences sustained growth over the coming years. </w:t>
      </w:r>
      <w:r w:rsidRPr="00BB0317">
        <w:rPr>
          <w:rFonts w:asciiTheme="minorHAnsi" w:hAnsiTheme="minorHAnsi" w:cstheme="minorHAnsi"/>
          <w:bCs/>
          <w:kern w:val="2"/>
        </w:rPr>
        <w:t xml:space="preserve">The population of AJH’s </w:t>
      </w:r>
      <w:r>
        <w:rPr>
          <w:rFonts w:asciiTheme="minorHAnsi" w:hAnsiTheme="minorHAnsi" w:cstheme="minorHAnsi"/>
          <w:bCs/>
          <w:kern w:val="2"/>
        </w:rPr>
        <w:t>P</w:t>
      </w:r>
      <w:r w:rsidRPr="00BB0317">
        <w:rPr>
          <w:rFonts w:asciiTheme="minorHAnsi" w:hAnsiTheme="minorHAnsi" w:cstheme="minorHAnsi"/>
          <w:bCs/>
          <w:kern w:val="2"/>
        </w:rPr>
        <w:t xml:space="preserve">rimary </w:t>
      </w:r>
      <w:r>
        <w:rPr>
          <w:rFonts w:asciiTheme="minorHAnsi" w:hAnsiTheme="minorHAnsi" w:cstheme="minorHAnsi"/>
          <w:bCs/>
          <w:kern w:val="2"/>
        </w:rPr>
        <w:t>S</w:t>
      </w:r>
      <w:r w:rsidRPr="00BB0317">
        <w:rPr>
          <w:rFonts w:asciiTheme="minorHAnsi" w:hAnsiTheme="minorHAnsi" w:cstheme="minorHAnsi"/>
          <w:bCs/>
          <w:kern w:val="2"/>
        </w:rPr>
        <w:t xml:space="preserve">ervice </w:t>
      </w:r>
      <w:r>
        <w:rPr>
          <w:rFonts w:asciiTheme="minorHAnsi" w:hAnsiTheme="minorHAnsi" w:cstheme="minorHAnsi"/>
          <w:bCs/>
          <w:kern w:val="2"/>
        </w:rPr>
        <w:t>A</w:t>
      </w:r>
      <w:r w:rsidRPr="00BB0317">
        <w:rPr>
          <w:rFonts w:asciiTheme="minorHAnsi" w:hAnsiTheme="minorHAnsi" w:cstheme="minorHAnsi"/>
          <w:bCs/>
          <w:kern w:val="2"/>
        </w:rPr>
        <w:t>rea is projected to increase by approximately 2.84% from 2020 to 2035.</w:t>
      </w:r>
      <w:r w:rsidRPr="00BB0317">
        <w:rPr>
          <w:rStyle w:val="EndnoteReference"/>
          <w:rFonts w:asciiTheme="minorHAnsi" w:hAnsiTheme="minorHAnsi" w:cstheme="minorHAnsi"/>
          <w:bCs/>
          <w:kern w:val="2"/>
        </w:rPr>
        <w:endnoteReference w:id="4"/>
      </w:r>
      <w:r w:rsidRPr="00BB0317">
        <w:rPr>
          <w:rFonts w:asciiTheme="minorHAnsi" w:hAnsiTheme="minorHAnsi" w:cstheme="minorHAnsi"/>
          <w:bCs/>
          <w:kern w:val="2"/>
        </w:rPr>
        <w:t xml:space="preserve"> In particular, the age 65 and older cohort is expected to grow by approximately 43.30% from 2020 to 2035.</w:t>
      </w:r>
      <w:r w:rsidRPr="00BB0317">
        <w:rPr>
          <w:rStyle w:val="EndnoteReference"/>
          <w:rFonts w:asciiTheme="minorHAnsi" w:hAnsiTheme="minorHAnsi" w:cstheme="minorHAnsi"/>
          <w:bCs/>
          <w:kern w:val="2"/>
        </w:rPr>
        <w:endnoteReference w:id="5"/>
      </w:r>
      <w:r w:rsidRPr="00BB0317">
        <w:rPr>
          <w:rFonts w:asciiTheme="minorHAnsi" w:hAnsiTheme="minorHAnsi" w:cstheme="minorHAnsi"/>
          <w:bCs/>
          <w:kern w:val="2"/>
        </w:rPr>
        <w:t xml:space="preserve"> </w:t>
      </w:r>
      <w:r w:rsidRPr="00BB0317">
        <w:rPr>
          <w:rFonts w:asciiTheme="minorHAnsi" w:hAnsiTheme="minorHAnsi" w:cstheme="minorHAnsi"/>
          <w:kern w:val="2"/>
        </w:rPr>
        <w:t xml:space="preserve">As the patient population ages, patients will </w:t>
      </w:r>
      <w:r w:rsidR="00CB7282">
        <w:rPr>
          <w:rFonts w:asciiTheme="minorHAnsi" w:hAnsiTheme="minorHAnsi" w:cstheme="minorHAnsi"/>
          <w:kern w:val="2"/>
        </w:rPr>
        <w:t xml:space="preserve">likely </w:t>
      </w:r>
      <w:r w:rsidRPr="00BB0317">
        <w:rPr>
          <w:rFonts w:asciiTheme="minorHAnsi" w:hAnsiTheme="minorHAnsi" w:cstheme="minorHAnsi"/>
          <w:kern w:val="2"/>
        </w:rPr>
        <w:t>present with higher acuity and more frequently require advanced diagnostic imaging, including CT.</w:t>
      </w:r>
      <w:r w:rsidRPr="00807BD1">
        <w:rPr>
          <w:rFonts w:ascii="Arial" w:hAnsi="Arial" w:cs="Arial"/>
          <w:kern w:val="2"/>
          <w:sz w:val="20"/>
          <w:szCs w:val="20"/>
        </w:rPr>
        <w:t xml:space="preserve"> </w:t>
      </w:r>
      <w:r>
        <w:rPr>
          <w:rFonts w:asciiTheme="minorHAnsi" w:hAnsiTheme="minorHAnsi" w:cstheme="minorHAnsi"/>
        </w:rPr>
        <w:t>The Applicant notes that</w:t>
      </w:r>
      <w:r w:rsidRPr="00FE5735">
        <w:rPr>
          <w:rFonts w:asciiTheme="minorHAnsi" w:hAnsiTheme="minorHAnsi" w:cstheme="minorHAnsi"/>
        </w:rPr>
        <w:t xml:space="preserve"> patients in the 65+ age cohort represented over half (53.37%) of the patient population receiving a CT scan in FY</w:t>
      </w:r>
      <w:r w:rsidR="006C060F">
        <w:rPr>
          <w:rFonts w:asciiTheme="minorHAnsi" w:hAnsiTheme="minorHAnsi" w:cstheme="minorHAnsi"/>
        </w:rPr>
        <w:t>20</w:t>
      </w:r>
      <w:r w:rsidRPr="00FE5735">
        <w:rPr>
          <w:rFonts w:asciiTheme="minorHAnsi" w:hAnsiTheme="minorHAnsi" w:cstheme="minorHAnsi"/>
        </w:rPr>
        <w:t xml:space="preserve">22. This increase in utilization by an aging patient population </w:t>
      </w:r>
      <w:r>
        <w:rPr>
          <w:rFonts w:asciiTheme="minorHAnsi" w:hAnsiTheme="minorHAnsi" w:cstheme="minorHAnsi"/>
        </w:rPr>
        <w:t>reflects</w:t>
      </w:r>
      <w:r w:rsidRPr="00FE5735">
        <w:rPr>
          <w:rFonts w:asciiTheme="minorHAnsi" w:hAnsiTheme="minorHAnsi" w:cstheme="minorHAnsi"/>
        </w:rPr>
        <w:t xml:space="preserve"> the growth in the Hospital’s 65+ age cohort, which grew 14.40% between FY</w:t>
      </w:r>
      <w:r>
        <w:rPr>
          <w:rFonts w:asciiTheme="minorHAnsi" w:hAnsiTheme="minorHAnsi" w:cstheme="minorHAnsi"/>
        </w:rPr>
        <w:t>20</w:t>
      </w:r>
      <w:r w:rsidRPr="00FE5735">
        <w:rPr>
          <w:rFonts w:asciiTheme="minorHAnsi" w:hAnsiTheme="minorHAnsi" w:cstheme="minorHAnsi"/>
        </w:rPr>
        <w:t>20 and FY</w:t>
      </w:r>
      <w:r>
        <w:rPr>
          <w:rFonts w:asciiTheme="minorHAnsi" w:hAnsiTheme="minorHAnsi" w:cstheme="minorHAnsi"/>
        </w:rPr>
        <w:t>20</w:t>
      </w:r>
      <w:r w:rsidRPr="00FE5735">
        <w:rPr>
          <w:rFonts w:asciiTheme="minorHAnsi" w:hAnsiTheme="minorHAnsi" w:cstheme="minorHAnsi"/>
        </w:rPr>
        <w:t>22.</w:t>
      </w:r>
      <w:r>
        <w:rPr>
          <w:rFonts w:asciiTheme="minorHAnsi" w:hAnsiTheme="minorHAnsi" w:cstheme="minorHAnsi"/>
        </w:rPr>
        <w:t xml:space="preserve"> </w:t>
      </w:r>
      <w:r w:rsidRPr="004F7766">
        <w:rPr>
          <w:rFonts w:asciiTheme="minorHAnsi" w:hAnsiTheme="minorHAnsi" w:cstheme="minorHAnsi"/>
        </w:rPr>
        <w:t xml:space="preserve">Table </w:t>
      </w:r>
      <w:r w:rsidRPr="003C3F21">
        <w:rPr>
          <w:rFonts w:asciiTheme="minorHAnsi" w:hAnsiTheme="minorHAnsi" w:cstheme="minorHAnsi"/>
        </w:rPr>
        <w:t xml:space="preserve">6 </w:t>
      </w:r>
      <w:r>
        <w:rPr>
          <w:rFonts w:asciiTheme="minorHAnsi" w:hAnsiTheme="minorHAnsi" w:cstheme="minorHAnsi"/>
        </w:rPr>
        <w:t xml:space="preserve">details the historical CT scan volume and Table 7 </w:t>
      </w:r>
      <w:r w:rsidRPr="008226A8">
        <w:rPr>
          <w:rFonts w:asciiTheme="minorHAnsi" w:hAnsiTheme="minorHAnsi" w:cstheme="minorHAnsi"/>
        </w:rPr>
        <w:t>demonstrates the Applicant’s projected increase in CT Scan volume</w:t>
      </w:r>
      <w:r>
        <w:rPr>
          <w:rFonts w:asciiTheme="minorHAnsi" w:hAnsiTheme="minorHAnsi" w:cstheme="minorHAnsi"/>
        </w:rPr>
        <w:t xml:space="preserve"> calculated from the expected implementation date of the Proposed Project.</w:t>
      </w:r>
    </w:p>
    <w:p w14:paraId="40FF2C5E" w14:textId="77777777" w:rsidR="006E42FE" w:rsidRPr="00FE5735" w:rsidRDefault="006E42FE" w:rsidP="006E42FE">
      <w:pPr>
        <w:autoSpaceDE w:val="0"/>
        <w:autoSpaceDN w:val="0"/>
        <w:adjustRightInd w:val="0"/>
        <w:spacing w:after="22"/>
        <w:rPr>
          <w:rFonts w:asciiTheme="minorHAnsi" w:hAnsiTheme="minorHAnsi" w:cstheme="minorHAnsi"/>
        </w:rPr>
      </w:pPr>
    </w:p>
    <w:p w14:paraId="1855D8E2" w14:textId="77777777" w:rsidR="006E42FE" w:rsidRPr="006757BA" w:rsidRDefault="006E42FE" w:rsidP="006E42FE">
      <w:pPr>
        <w:pStyle w:val="Caption"/>
        <w:spacing w:after="0"/>
        <w:contextualSpacing/>
        <w:jc w:val="center"/>
        <w:rPr>
          <w:rFonts w:cstheme="minorHAnsi"/>
          <w:color w:val="42558C" w:themeColor="accent1" w:themeShade="BF"/>
          <w:sz w:val="24"/>
          <w:szCs w:val="24"/>
          <w:highlight w:val="yellow"/>
        </w:rPr>
      </w:pPr>
      <w:r w:rsidRPr="005F2AC8">
        <w:rPr>
          <w:rFonts w:cstheme="minorHAnsi"/>
          <w:color w:val="42558C" w:themeColor="accent1" w:themeShade="BF"/>
          <w:sz w:val="24"/>
          <w:szCs w:val="24"/>
          <w:u w:val="single"/>
        </w:rPr>
        <w:t xml:space="preserve">Table </w:t>
      </w:r>
      <w:r>
        <w:rPr>
          <w:rFonts w:cstheme="minorHAnsi"/>
          <w:color w:val="42558C" w:themeColor="accent1" w:themeShade="BF"/>
          <w:sz w:val="24"/>
          <w:szCs w:val="24"/>
          <w:u w:val="single"/>
        </w:rPr>
        <w:t>6</w:t>
      </w:r>
      <w:r w:rsidRPr="00014C9E">
        <w:rPr>
          <w:rFonts w:cstheme="minorHAnsi"/>
          <w:color w:val="42558C" w:themeColor="accent1" w:themeShade="BF"/>
          <w:sz w:val="24"/>
          <w:szCs w:val="24"/>
        </w:rPr>
        <w:t>: Anna Jaques Hospital Historical CT Scan Volume</w:t>
      </w:r>
    </w:p>
    <w:tbl>
      <w:tblPr>
        <w:tblStyle w:val="TableGrid"/>
        <w:tblW w:w="8455" w:type="dxa"/>
        <w:jc w:val="center"/>
        <w:tblLook w:val="04A0" w:firstRow="1" w:lastRow="0" w:firstColumn="1" w:lastColumn="0" w:noHBand="0" w:noVBand="1"/>
      </w:tblPr>
      <w:tblGrid>
        <w:gridCol w:w="2245"/>
        <w:gridCol w:w="1620"/>
        <w:gridCol w:w="1350"/>
        <w:gridCol w:w="1350"/>
        <w:gridCol w:w="1890"/>
      </w:tblGrid>
      <w:tr w:rsidR="006E42FE" w:rsidRPr="006757BA" w14:paraId="1BB25CC6" w14:textId="77777777" w:rsidTr="00E20A6A">
        <w:trPr>
          <w:jc w:val="center"/>
        </w:trPr>
        <w:tc>
          <w:tcPr>
            <w:tcW w:w="2245" w:type="dxa"/>
            <w:shd w:val="clear" w:color="auto" w:fill="CFDCF0" w:themeFill="text2" w:themeFillTint="33"/>
          </w:tcPr>
          <w:p w14:paraId="306E1B90" w14:textId="77777777" w:rsidR="006E42FE" w:rsidRPr="00EA3CD9" w:rsidRDefault="006E42FE" w:rsidP="00E20A6A">
            <w:pPr>
              <w:autoSpaceDE w:val="0"/>
              <w:autoSpaceDN w:val="0"/>
              <w:adjustRightInd w:val="0"/>
              <w:spacing w:after="22"/>
              <w:jc w:val="center"/>
              <w:rPr>
                <w:rFonts w:asciiTheme="minorHAnsi" w:hAnsiTheme="minorHAnsi" w:cstheme="minorHAnsi"/>
                <w:b/>
                <w:bCs/>
              </w:rPr>
            </w:pPr>
          </w:p>
        </w:tc>
        <w:tc>
          <w:tcPr>
            <w:tcW w:w="1620" w:type="dxa"/>
            <w:shd w:val="clear" w:color="auto" w:fill="CFDCF0" w:themeFill="text2" w:themeFillTint="33"/>
          </w:tcPr>
          <w:p w14:paraId="0B242567" w14:textId="77777777" w:rsidR="006E42FE" w:rsidRPr="00EA3CD9" w:rsidRDefault="006E42FE" w:rsidP="00E20A6A">
            <w:pPr>
              <w:autoSpaceDE w:val="0"/>
              <w:autoSpaceDN w:val="0"/>
              <w:adjustRightInd w:val="0"/>
              <w:spacing w:after="22"/>
              <w:jc w:val="center"/>
              <w:rPr>
                <w:rFonts w:asciiTheme="minorHAnsi" w:hAnsiTheme="minorHAnsi" w:cstheme="minorHAnsi"/>
                <w:b/>
                <w:bCs/>
              </w:rPr>
            </w:pPr>
            <w:r w:rsidRPr="00EA3CD9">
              <w:rPr>
                <w:rFonts w:asciiTheme="minorHAnsi" w:hAnsiTheme="minorHAnsi" w:cstheme="minorHAnsi"/>
                <w:b/>
                <w:bCs/>
              </w:rPr>
              <w:t>FY2020</w:t>
            </w:r>
            <w:r w:rsidRPr="00EA3CD9">
              <w:rPr>
                <w:rStyle w:val="FootnoteReference"/>
                <w:rFonts w:asciiTheme="minorHAnsi" w:hAnsiTheme="minorHAnsi" w:cstheme="minorHAnsi"/>
                <w:b/>
                <w:bCs/>
              </w:rPr>
              <w:footnoteReference w:id="16"/>
            </w:r>
          </w:p>
        </w:tc>
        <w:tc>
          <w:tcPr>
            <w:tcW w:w="1350" w:type="dxa"/>
            <w:shd w:val="clear" w:color="auto" w:fill="CFDCF0" w:themeFill="text2" w:themeFillTint="33"/>
          </w:tcPr>
          <w:p w14:paraId="04BB9BD7" w14:textId="77777777" w:rsidR="006E42FE" w:rsidRPr="00EA3CD9" w:rsidRDefault="006E42FE" w:rsidP="00E20A6A">
            <w:pPr>
              <w:autoSpaceDE w:val="0"/>
              <w:autoSpaceDN w:val="0"/>
              <w:adjustRightInd w:val="0"/>
              <w:spacing w:after="22"/>
              <w:jc w:val="center"/>
              <w:rPr>
                <w:rFonts w:asciiTheme="minorHAnsi" w:hAnsiTheme="minorHAnsi" w:cstheme="minorHAnsi"/>
                <w:b/>
                <w:bCs/>
              </w:rPr>
            </w:pPr>
            <w:r w:rsidRPr="00EA3CD9">
              <w:rPr>
                <w:rFonts w:asciiTheme="minorHAnsi" w:hAnsiTheme="minorHAnsi" w:cstheme="minorHAnsi"/>
                <w:b/>
                <w:bCs/>
              </w:rPr>
              <w:t>FY2021</w:t>
            </w:r>
            <w:r w:rsidRPr="00EA3CD9">
              <w:rPr>
                <w:rStyle w:val="FootnoteReference"/>
                <w:rFonts w:asciiTheme="minorHAnsi" w:hAnsiTheme="minorHAnsi" w:cstheme="minorHAnsi"/>
                <w:b/>
                <w:bCs/>
              </w:rPr>
              <w:footnoteReference w:id="17"/>
            </w:r>
          </w:p>
        </w:tc>
        <w:tc>
          <w:tcPr>
            <w:tcW w:w="1350" w:type="dxa"/>
            <w:shd w:val="clear" w:color="auto" w:fill="CFDCF0" w:themeFill="text2" w:themeFillTint="33"/>
          </w:tcPr>
          <w:p w14:paraId="2C563C28" w14:textId="77777777" w:rsidR="006E42FE" w:rsidRPr="00EA3CD9" w:rsidRDefault="006E42FE" w:rsidP="00E20A6A">
            <w:pPr>
              <w:autoSpaceDE w:val="0"/>
              <w:autoSpaceDN w:val="0"/>
              <w:adjustRightInd w:val="0"/>
              <w:spacing w:after="22"/>
              <w:jc w:val="center"/>
              <w:rPr>
                <w:rFonts w:asciiTheme="minorHAnsi" w:hAnsiTheme="minorHAnsi" w:cstheme="minorHAnsi"/>
                <w:b/>
                <w:bCs/>
              </w:rPr>
            </w:pPr>
            <w:r w:rsidRPr="00EA3CD9">
              <w:rPr>
                <w:rFonts w:asciiTheme="minorHAnsi" w:hAnsiTheme="minorHAnsi" w:cstheme="minorHAnsi"/>
                <w:b/>
                <w:bCs/>
              </w:rPr>
              <w:t>FY2022</w:t>
            </w:r>
          </w:p>
        </w:tc>
        <w:tc>
          <w:tcPr>
            <w:tcW w:w="1890" w:type="dxa"/>
            <w:shd w:val="clear" w:color="auto" w:fill="CFDCF0" w:themeFill="text2" w:themeFillTint="33"/>
          </w:tcPr>
          <w:p w14:paraId="034E9517" w14:textId="77777777" w:rsidR="006E42FE" w:rsidRDefault="006E42FE" w:rsidP="00E20A6A">
            <w:pPr>
              <w:autoSpaceDE w:val="0"/>
              <w:autoSpaceDN w:val="0"/>
              <w:adjustRightInd w:val="0"/>
              <w:spacing w:after="22"/>
              <w:jc w:val="center"/>
            </w:pPr>
            <w:r w:rsidRPr="00EA3CD9">
              <w:rPr>
                <w:rFonts w:asciiTheme="minorHAnsi" w:hAnsiTheme="minorHAnsi" w:cstheme="minorHAnsi"/>
                <w:b/>
                <w:bCs/>
              </w:rPr>
              <w:t>FY2023</w:t>
            </w:r>
            <w:r>
              <w:t xml:space="preserve"> </w:t>
            </w:r>
          </w:p>
          <w:p w14:paraId="78BA3C90" w14:textId="77777777" w:rsidR="006E42FE" w:rsidRPr="00EA3CD9" w:rsidRDefault="006E42FE" w:rsidP="00E20A6A">
            <w:pPr>
              <w:autoSpaceDE w:val="0"/>
              <w:autoSpaceDN w:val="0"/>
              <w:adjustRightInd w:val="0"/>
              <w:spacing w:after="22"/>
              <w:jc w:val="center"/>
              <w:rPr>
                <w:rFonts w:asciiTheme="minorHAnsi" w:hAnsiTheme="minorHAnsi" w:cstheme="minorHAnsi"/>
                <w:b/>
                <w:bCs/>
              </w:rPr>
            </w:pPr>
            <w:r w:rsidRPr="005340C4">
              <w:rPr>
                <w:rFonts w:asciiTheme="minorHAnsi" w:hAnsiTheme="minorHAnsi" w:cstheme="minorHAnsi"/>
                <w:b/>
                <w:bCs/>
                <w:sz w:val="20"/>
                <w:szCs w:val="20"/>
              </w:rPr>
              <w:t>October 1 – April 30</w:t>
            </w:r>
          </w:p>
        </w:tc>
      </w:tr>
      <w:tr w:rsidR="006E42FE" w:rsidRPr="006757BA" w14:paraId="6BD269B0" w14:textId="77777777" w:rsidTr="00E20A6A">
        <w:trPr>
          <w:jc w:val="center"/>
        </w:trPr>
        <w:tc>
          <w:tcPr>
            <w:tcW w:w="2245" w:type="dxa"/>
          </w:tcPr>
          <w:p w14:paraId="249DD719" w14:textId="2E9FC102" w:rsidR="006E42FE" w:rsidRPr="00EA3CD9" w:rsidRDefault="006E42FE" w:rsidP="00E20A6A">
            <w:pPr>
              <w:autoSpaceDE w:val="0"/>
              <w:autoSpaceDN w:val="0"/>
              <w:adjustRightInd w:val="0"/>
              <w:spacing w:after="22"/>
              <w:rPr>
                <w:rFonts w:asciiTheme="minorHAnsi" w:hAnsiTheme="minorHAnsi" w:cstheme="minorHAnsi"/>
                <w:b/>
                <w:bCs/>
              </w:rPr>
            </w:pPr>
            <w:r w:rsidRPr="00EA3CD9">
              <w:rPr>
                <w:rFonts w:asciiTheme="minorHAnsi" w:hAnsiTheme="minorHAnsi" w:cstheme="minorHAnsi"/>
                <w:b/>
                <w:bCs/>
              </w:rPr>
              <w:t>Total</w:t>
            </w:r>
            <w:r>
              <w:rPr>
                <w:rFonts w:asciiTheme="minorHAnsi" w:hAnsiTheme="minorHAnsi" w:cstheme="minorHAnsi"/>
                <w:b/>
                <w:bCs/>
              </w:rPr>
              <w:t xml:space="preserve"> </w:t>
            </w:r>
            <w:r w:rsidR="0093750B">
              <w:rPr>
                <w:rFonts w:asciiTheme="minorHAnsi" w:hAnsiTheme="minorHAnsi" w:cstheme="minorHAnsi"/>
                <w:b/>
                <w:bCs/>
              </w:rPr>
              <w:t>CT scans</w:t>
            </w:r>
          </w:p>
        </w:tc>
        <w:tc>
          <w:tcPr>
            <w:tcW w:w="1620" w:type="dxa"/>
          </w:tcPr>
          <w:p w14:paraId="56519247" w14:textId="77777777" w:rsidR="006E42FE" w:rsidRPr="00EA3CD9" w:rsidRDefault="006E42FE" w:rsidP="00E20A6A">
            <w:pPr>
              <w:autoSpaceDE w:val="0"/>
              <w:autoSpaceDN w:val="0"/>
              <w:adjustRightInd w:val="0"/>
              <w:spacing w:after="22"/>
              <w:jc w:val="center"/>
              <w:rPr>
                <w:rFonts w:asciiTheme="minorHAnsi" w:hAnsiTheme="minorHAnsi" w:cstheme="minorHAnsi"/>
                <w:b/>
                <w:bCs/>
                <w:highlight w:val="yellow"/>
              </w:rPr>
            </w:pPr>
            <w:r w:rsidRPr="00EA3CD9">
              <w:rPr>
                <w:rFonts w:asciiTheme="minorHAnsi" w:hAnsiTheme="minorHAnsi" w:cstheme="minorHAnsi"/>
              </w:rPr>
              <w:t>17,271</w:t>
            </w:r>
          </w:p>
        </w:tc>
        <w:tc>
          <w:tcPr>
            <w:tcW w:w="1350" w:type="dxa"/>
          </w:tcPr>
          <w:p w14:paraId="1265907A" w14:textId="77777777" w:rsidR="006E42FE" w:rsidRPr="00014CEC" w:rsidRDefault="006E42FE" w:rsidP="00E20A6A">
            <w:pPr>
              <w:autoSpaceDE w:val="0"/>
              <w:autoSpaceDN w:val="0"/>
              <w:adjustRightInd w:val="0"/>
              <w:spacing w:after="22"/>
              <w:jc w:val="center"/>
              <w:rPr>
                <w:rFonts w:asciiTheme="minorHAnsi" w:hAnsiTheme="minorHAnsi" w:cstheme="minorHAnsi"/>
              </w:rPr>
            </w:pPr>
            <w:r w:rsidRPr="00014CEC">
              <w:rPr>
                <w:rFonts w:asciiTheme="minorHAnsi" w:hAnsiTheme="minorHAnsi" w:cstheme="minorHAnsi"/>
              </w:rPr>
              <w:t>16,890</w:t>
            </w:r>
          </w:p>
        </w:tc>
        <w:tc>
          <w:tcPr>
            <w:tcW w:w="1350" w:type="dxa"/>
          </w:tcPr>
          <w:p w14:paraId="5D645443" w14:textId="77777777" w:rsidR="006E42FE" w:rsidRPr="00014CEC" w:rsidRDefault="006E42FE" w:rsidP="00E20A6A">
            <w:pPr>
              <w:autoSpaceDE w:val="0"/>
              <w:autoSpaceDN w:val="0"/>
              <w:adjustRightInd w:val="0"/>
              <w:spacing w:after="22"/>
              <w:jc w:val="center"/>
              <w:rPr>
                <w:rFonts w:asciiTheme="minorHAnsi" w:hAnsiTheme="minorHAnsi" w:cstheme="minorHAnsi"/>
              </w:rPr>
            </w:pPr>
            <w:r w:rsidRPr="00014CEC">
              <w:rPr>
                <w:rFonts w:asciiTheme="minorHAnsi" w:hAnsiTheme="minorHAnsi" w:cstheme="minorHAnsi"/>
              </w:rPr>
              <w:t>17,747</w:t>
            </w:r>
          </w:p>
        </w:tc>
        <w:tc>
          <w:tcPr>
            <w:tcW w:w="1890" w:type="dxa"/>
          </w:tcPr>
          <w:p w14:paraId="6D01742A" w14:textId="77777777" w:rsidR="006E42FE" w:rsidRPr="00014CEC" w:rsidRDefault="006E42FE" w:rsidP="00E20A6A">
            <w:pPr>
              <w:autoSpaceDE w:val="0"/>
              <w:autoSpaceDN w:val="0"/>
              <w:adjustRightInd w:val="0"/>
              <w:spacing w:after="22"/>
              <w:jc w:val="center"/>
              <w:rPr>
                <w:rFonts w:asciiTheme="minorHAnsi" w:hAnsiTheme="minorHAnsi" w:cstheme="minorHAnsi"/>
              </w:rPr>
            </w:pPr>
            <w:r w:rsidRPr="00014CEC">
              <w:rPr>
                <w:rFonts w:asciiTheme="minorHAnsi" w:hAnsiTheme="minorHAnsi" w:cstheme="minorHAnsi"/>
              </w:rPr>
              <w:t>10,547</w:t>
            </w:r>
          </w:p>
        </w:tc>
      </w:tr>
    </w:tbl>
    <w:p w14:paraId="022D7DA7" w14:textId="77777777" w:rsidR="006E42FE" w:rsidRPr="006757BA" w:rsidRDefault="006E42FE" w:rsidP="006E42FE">
      <w:pPr>
        <w:autoSpaceDE w:val="0"/>
        <w:autoSpaceDN w:val="0"/>
        <w:adjustRightInd w:val="0"/>
        <w:rPr>
          <w:rFonts w:asciiTheme="minorHAnsi" w:hAnsiTheme="minorHAnsi" w:cstheme="minorHAnsi"/>
          <w:highlight w:val="yellow"/>
        </w:rPr>
      </w:pPr>
    </w:p>
    <w:p w14:paraId="263A14C2" w14:textId="77777777" w:rsidR="006E42FE" w:rsidRPr="00C10A27" w:rsidRDefault="006E42FE" w:rsidP="006E42FE">
      <w:pPr>
        <w:pStyle w:val="BodyText"/>
        <w:spacing w:after="0" w:line="259" w:lineRule="auto"/>
        <w:ind w:right="1199"/>
        <w:jc w:val="center"/>
      </w:pPr>
      <w:r w:rsidRPr="00C10A27">
        <w:rPr>
          <w:rFonts w:cstheme="minorHAnsi"/>
          <w:b/>
          <w:bCs/>
          <w:color w:val="42558C" w:themeColor="accent1" w:themeShade="BF"/>
          <w:sz w:val="24"/>
          <w:szCs w:val="24"/>
          <w:u w:val="single"/>
        </w:rPr>
        <w:t xml:space="preserve">Table </w:t>
      </w:r>
      <w:r>
        <w:rPr>
          <w:rFonts w:cstheme="minorHAnsi"/>
          <w:b/>
          <w:bCs/>
          <w:color w:val="42558C" w:themeColor="accent1" w:themeShade="BF"/>
          <w:sz w:val="24"/>
          <w:szCs w:val="24"/>
          <w:u w:val="single"/>
        </w:rPr>
        <w:t>7</w:t>
      </w:r>
      <w:r w:rsidRPr="00C10A27">
        <w:rPr>
          <w:rFonts w:cstheme="minorHAnsi"/>
          <w:b/>
          <w:bCs/>
          <w:color w:val="42558C" w:themeColor="accent1" w:themeShade="BF"/>
          <w:sz w:val="24"/>
          <w:szCs w:val="24"/>
          <w:u w:val="single"/>
        </w:rPr>
        <w:t>:</w:t>
      </w:r>
      <w:r w:rsidRPr="00C10A27">
        <w:rPr>
          <w:rFonts w:cstheme="minorHAnsi"/>
          <w:b/>
          <w:bCs/>
          <w:color w:val="42558C" w:themeColor="accent1" w:themeShade="BF"/>
          <w:sz w:val="24"/>
          <w:szCs w:val="24"/>
        </w:rPr>
        <w:t xml:space="preserve"> Anna Jaques Hospital Projected CT Scan Volume</w:t>
      </w:r>
    </w:p>
    <w:tbl>
      <w:tblPr>
        <w:tblStyle w:val="TableGrid"/>
        <w:tblW w:w="10260" w:type="dxa"/>
        <w:jc w:val="center"/>
        <w:tblLook w:val="04A0" w:firstRow="1" w:lastRow="0" w:firstColumn="1" w:lastColumn="0" w:noHBand="0" w:noVBand="1"/>
      </w:tblPr>
      <w:tblGrid>
        <w:gridCol w:w="3690"/>
        <w:gridCol w:w="1260"/>
        <w:gridCol w:w="1260"/>
        <w:gridCol w:w="1260"/>
        <w:gridCol w:w="1350"/>
        <w:gridCol w:w="1440"/>
      </w:tblGrid>
      <w:tr w:rsidR="006E42FE" w:rsidRPr="006757BA" w14:paraId="325F01EB" w14:textId="77777777" w:rsidTr="00E20A6A">
        <w:trPr>
          <w:jc w:val="center"/>
        </w:trPr>
        <w:tc>
          <w:tcPr>
            <w:tcW w:w="3690" w:type="dxa"/>
            <w:shd w:val="clear" w:color="auto" w:fill="BFC8E1" w:themeFill="accent1" w:themeFillTint="66"/>
          </w:tcPr>
          <w:p w14:paraId="1D3B2CF3" w14:textId="77777777" w:rsidR="006E42FE" w:rsidRPr="00C10A27" w:rsidRDefault="006E42FE" w:rsidP="00E20A6A">
            <w:pPr>
              <w:autoSpaceDE w:val="0"/>
              <w:autoSpaceDN w:val="0"/>
              <w:adjustRightInd w:val="0"/>
              <w:spacing w:after="22"/>
              <w:rPr>
                <w:rFonts w:asciiTheme="minorHAnsi" w:eastAsiaTheme="minorHAnsi" w:hAnsiTheme="minorHAnsi" w:cstheme="minorHAnsi"/>
                <w:b/>
                <w:bCs/>
              </w:rPr>
            </w:pPr>
          </w:p>
        </w:tc>
        <w:tc>
          <w:tcPr>
            <w:tcW w:w="1260" w:type="dxa"/>
            <w:shd w:val="clear" w:color="auto" w:fill="BFC8E1" w:themeFill="accent1" w:themeFillTint="66"/>
          </w:tcPr>
          <w:p w14:paraId="023821ED" w14:textId="77777777" w:rsidR="006E42FE" w:rsidRPr="00F4007D" w:rsidRDefault="006E42FE" w:rsidP="00E20A6A">
            <w:pPr>
              <w:autoSpaceDE w:val="0"/>
              <w:autoSpaceDN w:val="0"/>
              <w:adjustRightInd w:val="0"/>
              <w:spacing w:after="22"/>
              <w:jc w:val="center"/>
              <w:rPr>
                <w:rFonts w:asciiTheme="minorHAnsi" w:eastAsiaTheme="minorHAnsi" w:hAnsiTheme="minorHAnsi" w:cstheme="minorHAnsi"/>
                <w:b/>
                <w:bCs/>
              </w:rPr>
            </w:pPr>
            <w:r w:rsidRPr="00F4007D">
              <w:rPr>
                <w:rFonts w:asciiTheme="minorHAnsi" w:eastAsiaTheme="minorHAnsi" w:hAnsiTheme="minorHAnsi" w:cstheme="minorHAnsi"/>
                <w:b/>
                <w:bCs/>
              </w:rPr>
              <w:t>FY2024</w:t>
            </w:r>
          </w:p>
        </w:tc>
        <w:tc>
          <w:tcPr>
            <w:tcW w:w="1260" w:type="dxa"/>
            <w:shd w:val="clear" w:color="auto" w:fill="BFC8E1" w:themeFill="accent1" w:themeFillTint="66"/>
          </w:tcPr>
          <w:p w14:paraId="3E7A24B0" w14:textId="77777777" w:rsidR="006E42FE" w:rsidRPr="00F4007D" w:rsidRDefault="006E42FE" w:rsidP="00E20A6A">
            <w:pPr>
              <w:autoSpaceDE w:val="0"/>
              <w:autoSpaceDN w:val="0"/>
              <w:adjustRightInd w:val="0"/>
              <w:spacing w:after="22"/>
              <w:jc w:val="center"/>
              <w:rPr>
                <w:rFonts w:asciiTheme="minorHAnsi" w:eastAsiaTheme="minorHAnsi" w:hAnsiTheme="minorHAnsi" w:cstheme="minorHAnsi"/>
                <w:b/>
                <w:bCs/>
              </w:rPr>
            </w:pPr>
            <w:r w:rsidRPr="00F4007D">
              <w:rPr>
                <w:rFonts w:asciiTheme="minorHAnsi" w:eastAsiaTheme="minorHAnsi" w:hAnsiTheme="minorHAnsi" w:cstheme="minorHAnsi"/>
                <w:b/>
                <w:bCs/>
              </w:rPr>
              <w:t>FY2025</w:t>
            </w:r>
          </w:p>
        </w:tc>
        <w:tc>
          <w:tcPr>
            <w:tcW w:w="1260" w:type="dxa"/>
            <w:shd w:val="clear" w:color="auto" w:fill="BFC8E1" w:themeFill="accent1" w:themeFillTint="66"/>
          </w:tcPr>
          <w:p w14:paraId="6EDE587E" w14:textId="77777777" w:rsidR="006E42FE" w:rsidRPr="00F4007D" w:rsidRDefault="006E42FE" w:rsidP="00E20A6A">
            <w:pPr>
              <w:autoSpaceDE w:val="0"/>
              <w:autoSpaceDN w:val="0"/>
              <w:adjustRightInd w:val="0"/>
              <w:spacing w:after="22"/>
              <w:jc w:val="center"/>
              <w:rPr>
                <w:rFonts w:asciiTheme="minorHAnsi" w:eastAsiaTheme="minorHAnsi" w:hAnsiTheme="minorHAnsi" w:cstheme="minorHAnsi"/>
                <w:b/>
                <w:bCs/>
              </w:rPr>
            </w:pPr>
            <w:r w:rsidRPr="00F4007D">
              <w:rPr>
                <w:rFonts w:asciiTheme="minorHAnsi" w:eastAsiaTheme="minorHAnsi" w:hAnsiTheme="minorHAnsi" w:cstheme="minorHAnsi"/>
                <w:b/>
                <w:bCs/>
              </w:rPr>
              <w:t>FY2026</w:t>
            </w:r>
          </w:p>
        </w:tc>
        <w:tc>
          <w:tcPr>
            <w:tcW w:w="1350" w:type="dxa"/>
            <w:shd w:val="clear" w:color="auto" w:fill="BFC8E1" w:themeFill="accent1" w:themeFillTint="66"/>
          </w:tcPr>
          <w:p w14:paraId="62F5C179" w14:textId="77777777" w:rsidR="006E42FE" w:rsidRPr="00F4007D" w:rsidRDefault="006E42FE" w:rsidP="00E20A6A">
            <w:pPr>
              <w:autoSpaceDE w:val="0"/>
              <w:autoSpaceDN w:val="0"/>
              <w:adjustRightInd w:val="0"/>
              <w:spacing w:after="22"/>
              <w:jc w:val="center"/>
              <w:rPr>
                <w:rFonts w:asciiTheme="minorHAnsi" w:eastAsiaTheme="minorHAnsi" w:hAnsiTheme="minorHAnsi" w:cstheme="minorHAnsi"/>
                <w:b/>
                <w:bCs/>
              </w:rPr>
            </w:pPr>
            <w:r w:rsidRPr="00F4007D">
              <w:rPr>
                <w:rFonts w:asciiTheme="minorHAnsi" w:eastAsiaTheme="minorHAnsi" w:hAnsiTheme="minorHAnsi" w:cstheme="minorHAnsi"/>
                <w:b/>
                <w:bCs/>
              </w:rPr>
              <w:t>FY2027</w:t>
            </w:r>
          </w:p>
        </w:tc>
        <w:tc>
          <w:tcPr>
            <w:tcW w:w="1440" w:type="dxa"/>
            <w:shd w:val="clear" w:color="auto" w:fill="BFC8E1" w:themeFill="accent1" w:themeFillTint="66"/>
          </w:tcPr>
          <w:p w14:paraId="090C27C9" w14:textId="77777777" w:rsidR="006E42FE" w:rsidRPr="00F4007D" w:rsidRDefault="006E42FE" w:rsidP="00E20A6A">
            <w:pPr>
              <w:autoSpaceDE w:val="0"/>
              <w:autoSpaceDN w:val="0"/>
              <w:adjustRightInd w:val="0"/>
              <w:spacing w:after="22"/>
              <w:jc w:val="center"/>
              <w:rPr>
                <w:rFonts w:asciiTheme="minorHAnsi" w:eastAsiaTheme="minorHAnsi" w:hAnsiTheme="minorHAnsi" w:cstheme="minorHAnsi"/>
                <w:b/>
                <w:bCs/>
              </w:rPr>
            </w:pPr>
            <w:r w:rsidRPr="00F4007D">
              <w:rPr>
                <w:rFonts w:asciiTheme="minorHAnsi" w:eastAsiaTheme="minorHAnsi" w:hAnsiTheme="minorHAnsi" w:cstheme="minorHAnsi"/>
                <w:b/>
                <w:bCs/>
              </w:rPr>
              <w:t>FY2028</w:t>
            </w:r>
          </w:p>
        </w:tc>
      </w:tr>
      <w:tr w:rsidR="006E42FE" w:rsidRPr="006757BA" w14:paraId="60F6E5D5" w14:textId="77777777" w:rsidTr="00E20A6A">
        <w:trPr>
          <w:jc w:val="center"/>
        </w:trPr>
        <w:tc>
          <w:tcPr>
            <w:tcW w:w="3690" w:type="dxa"/>
          </w:tcPr>
          <w:p w14:paraId="01D95B2F" w14:textId="238B888E" w:rsidR="006E42FE" w:rsidRPr="0082360B" w:rsidRDefault="006E42FE" w:rsidP="00E20A6A">
            <w:pPr>
              <w:autoSpaceDE w:val="0"/>
              <w:autoSpaceDN w:val="0"/>
              <w:adjustRightInd w:val="0"/>
              <w:spacing w:after="22"/>
              <w:rPr>
                <w:rFonts w:asciiTheme="minorHAnsi" w:hAnsiTheme="minorHAnsi" w:cstheme="minorHAnsi"/>
                <w:b/>
                <w:bCs/>
              </w:rPr>
            </w:pPr>
            <w:r w:rsidRPr="0082360B">
              <w:rPr>
                <w:rFonts w:asciiTheme="minorHAnsi" w:hAnsiTheme="minorHAnsi" w:cstheme="minorHAnsi"/>
                <w:b/>
                <w:bCs/>
              </w:rPr>
              <w:t xml:space="preserve">Total Projected </w:t>
            </w:r>
            <w:r w:rsidR="0093750B">
              <w:rPr>
                <w:rFonts w:asciiTheme="minorHAnsi" w:hAnsiTheme="minorHAnsi" w:cstheme="minorHAnsi"/>
                <w:b/>
                <w:bCs/>
              </w:rPr>
              <w:t xml:space="preserve">CT </w:t>
            </w:r>
            <w:r w:rsidR="0093750B" w:rsidRPr="0082360B">
              <w:rPr>
                <w:rFonts w:asciiTheme="minorHAnsi" w:hAnsiTheme="minorHAnsi" w:cstheme="minorHAnsi"/>
                <w:b/>
                <w:bCs/>
              </w:rPr>
              <w:t>scans</w:t>
            </w:r>
          </w:p>
        </w:tc>
        <w:tc>
          <w:tcPr>
            <w:tcW w:w="1260" w:type="dxa"/>
          </w:tcPr>
          <w:p w14:paraId="0A8BC024" w14:textId="77777777" w:rsidR="006E42FE" w:rsidRPr="00D412AF" w:rsidRDefault="006E42FE" w:rsidP="00E20A6A">
            <w:pPr>
              <w:autoSpaceDE w:val="0"/>
              <w:autoSpaceDN w:val="0"/>
              <w:adjustRightInd w:val="0"/>
              <w:spacing w:after="22"/>
              <w:jc w:val="center"/>
              <w:rPr>
                <w:rFonts w:asciiTheme="minorHAnsi" w:eastAsiaTheme="minorHAnsi" w:hAnsiTheme="minorHAnsi" w:cstheme="minorHAnsi"/>
              </w:rPr>
            </w:pPr>
            <w:r w:rsidRPr="00D412AF">
              <w:rPr>
                <w:rFonts w:asciiTheme="minorHAnsi" w:hAnsiTheme="minorHAnsi" w:cstheme="minorHAnsi"/>
                <w:spacing w:val="-2"/>
              </w:rPr>
              <w:t>18,017</w:t>
            </w:r>
          </w:p>
        </w:tc>
        <w:tc>
          <w:tcPr>
            <w:tcW w:w="1260" w:type="dxa"/>
            <w:shd w:val="clear" w:color="auto" w:fill="auto"/>
          </w:tcPr>
          <w:p w14:paraId="2E56E30C" w14:textId="77777777" w:rsidR="006E42FE" w:rsidRPr="00D412AF" w:rsidRDefault="006E42FE" w:rsidP="00E20A6A">
            <w:pPr>
              <w:autoSpaceDE w:val="0"/>
              <w:autoSpaceDN w:val="0"/>
              <w:adjustRightInd w:val="0"/>
              <w:spacing w:after="22"/>
              <w:jc w:val="center"/>
              <w:rPr>
                <w:rFonts w:asciiTheme="minorHAnsi" w:eastAsiaTheme="minorHAnsi" w:hAnsiTheme="minorHAnsi" w:cstheme="minorHAnsi"/>
              </w:rPr>
            </w:pPr>
            <w:r w:rsidRPr="00D412AF">
              <w:rPr>
                <w:rFonts w:asciiTheme="minorHAnsi" w:hAnsiTheme="minorHAnsi" w:cstheme="minorHAnsi"/>
                <w:spacing w:val="-2"/>
              </w:rPr>
              <w:t>18,400</w:t>
            </w:r>
          </w:p>
        </w:tc>
        <w:tc>
          <w:tcPr>
            <w:tcW w:w="1260" w:type="dxa"/>
            <w:shd w:val="clear" w:color="auto" w:fill="auto"/>
          </w:tcPr>
          <w:p w14:paraId="56511625" w14:textId="77777777" w:rsidR="006E42FE" w:rsidRPr="00D412AF" w:rsidRDefault="006E42FE" w:rsidP="00E20A6A">
            <w:pPr>
              <w:autoSpaceDE w:val="0"/>
              <w:autoSpaceDN w:val="0"/>
              <w:adjustRightInd w:val="0"/>
              <w:spacing w:after="22"/>
              <w:jc w:val="center"/>
              <w:rPr>
                <w:rFonts w:asciiTheme="minorHAnsi" w:eastAsiaTheme="minorHAnsi" w:hAnsiTheme="minorHAnsi" w:cstheme="minorHAnsi"/>
              </w:rPr>
            </w:pPr>
            <w:r w:rsidRPr="00D412AF">
              <w:rPr>
                <w:rFonts w:asciiTheme="minorHAnsi" w:hAnsiTheme="minorHAnsi" w:cstheme="minorHAnsi"/>
                <w:spacing w:val="-2"/>
              </w:rPr>
              <w:t>18,700</w:t>
            </w:r>
          </w:p>
        </w:tc>
        <w:tc>
          <w:tcPr>
            <w:tcW w:w="1350" w:type="dxa"/>
          </w:tcPr>
          <w:p w14:paraId="7FCB6F61" w14:textId="77777777" w:rsidR="006E42FE" w:rsidRPr="00D412AF" w:rsidRDefault="006E42FE" w:rsidP="00E20A6A">
            <w:pPr>
              <w:autoSpaceDE w:val="0"/>
              <w:autoSpaceDN w:val="0"/>
              <w:adjustRightInd w:val="0"/>
              <w:spacing w:after="22"/>
              <w:jc w:val="center"/>
              <w:rPr>
                <w:rFonts w:asciiTheme="minorHAnsi" w:eastAsiaTheme="minorHAnsi" w:hAnsiTheme="minorHAnsi" w:cstheme="minorHAnsi"/>
              </w:rPr>
            </w:pPr>
            <w:r w:rsidRPr="00D412AF">
              <w:rPr>
                <w:rFonts w:asciiTheme="minorHAnsi" w:hAnsiTheme="minorHAnsi" w:cstheme="minorHAnsi"/>
                <w:spacing w:val="-2"/>
              </w:rPr>
              <w:t>18,700</w:t>
            </w:r>
          </w:p>
        </w:tc>
        <w:tc>
          <w:tcPr>
            <w:tcW w:w="1440" w:type="dxa"/>
          </w:tcPr>
          <w:p w14:paraId="3A7CCDFB" w14:textId="77777777" w:rsidR="006E42FE" w:rsidRPr="00D412AF" w:rsidRDefault="006E42FE" w:rsidP="00E20A6A">
            <w:pPr>
              <w:autoSpaceDE w:val="0"/>
              <w:autoSpaceDN w:val="0"/>
              <w:adjustRightInd w:val="0"/>
              <w:spacing w:after="22"/>
              <w:jc w:val="center"/>
              <w:rPr>
                <w:rFonts w:asciiTheme="minorHAnsi" w:eastAsiaTheme="minorHAnsi" w:hAnsiTheme="minorHAnsi" w:cstheme="minorHAnsi"/>
              </w:rPr>
            </w:pPr>
            <w:r w:rsidRPr="00D412AF">
              <w:rPr>
                <w:rFonts w:asciiTheme="minorHAnsi" w:hAnsiTheme="minorHAnsi" w:cstheme="minorHAnsi"/>
                <w:spacing w:val="-2"/>
              </w:rPr>
              <w:t>18,700</w:t>
            </w:r>
          </w:p>
        </w:tc>
      </w:tr>
    </w:tbl>
    <w:p w14:paraId="7ADBF970" w14:textId="77777777" w:rsidR="006E42FE" w:rsidRPr="006757BA" w:rsidRDefault="006E42FE" w:rsidP="006E42FE">
      <w:pPr>
        <w:autoSpaceDE w:val="0"/>
        <w:autoSpaceDN w:val="0"/>
        <w:adjustRightInd w:val="0"/>
        <w:spacing w:after="22"/>
        <w:rPr>
          <w:rFonts w:asciiTheme="minorHAnsi" w:eastAsiaTheme="minorHAnsi" w:hAnsiTheme="minorHAnsi" w:cstheme="minorHAnsi"/>
          <w:highlight w:val="yellow"/>
        </w:rPr>
      </w:pPr>
    </w:p>
    <w:p w14:paraId="63FD2E74" w14:textId="6B889B41" w:rsidR="006E42FE" w:rsidRPr="003D658E" w:rsidRDefault="006E42FE" w:rsidP="002E045A">
      <w:pPr>
        <w:autoSpaceDE w:val="0"/>
        <w:autoSpaceDN w:val="0"/>
        <w:adjustRightInd w:val="0"/>
        <w:spacing w:after="22"/>
        <w:ind w:left="720"/>
        <w:rPr>
          <w:rFonts w:asciiTheme="minorHAnsi" w:hAnsiTheme="minorHAnsi" w:cstheme="minorHAnsi"/>
        </w:rPr>
      </w:pPr>
      <w:r w:rsidRPr="003D658E">
        <w:rPr>
          <w:rFonts w:asciiTheme="minorHAnsi" w:hAnsiTheme="minorHAnsi" w:cstheme="minorHAnsi"/>
        </w:rPr>
        <w:lastRenderedPageBreak/>
        <w:t xml:space="preserve">In addition to the projected growth in scan volume due to a growing and aging population, the Applicant’s intention to expand the low-dose CT (LDCT) lung cancer screenings will also increase demand for CT. AJH offers LDCT lung cancer screenings of high-risk patients, which can significantly decrease lung cancer mortality. The Applicant states AJH does not currently market LDCT lung cancer screening due to capacity constraints. Despite this, AJH saw a 53% increase in LDCT lung cancer screenings from FY2020-FY2022, as detailed in Table </w:t>
      </w:r>
      <w:r>
        <w:rPr>
          <w:rFonts w:asciiTheme="minorHAnsi" w:hAnsiTheme="minorHAnsi" w:cstheme="minorHAnsi"/>
        </w:rPr>
        <w:t>8</w:t>
      </w:r>
      <w:r w:rsidRPr="003D658E">
        <w:rPr>
          <w:rFonts w:asciiTheme="minorHAnsi" w:hAnsiTheme="minorHAnsi" w:cstheme="minorHAnsi"/>
        </w:rPr>
        <w:t>.</w:t>
      </w:r>
    </w:p>
    <w:p w14:paraId="02EC0038" w14:textId="77777777" w:rsidR="006E42FE" w:rsidRPr="006757BA" w:rsidRDefault="006E42FE" w:rsidP="006E42FE">
      <w:pPr>
        <w:autoSpaceDE w:val="0"/>
        <w:autoSpaceDN w:val="0"/>
        <w:adjustRightInd w:val="0"/>
        <w:spacing w:after="22"/>
        <w:rPr>
          <w:rFonts w:asciiTheme="minorHAnsi" w:hAnsiTheme="minorHAnsi" w:cstheme="minorHAnsi"/>
          <w:highlight w:val="yellow"/>
        </w:rPr>
      </w:pPr>
    </w:p>
    <w:p w14:paraId="32D12349" w14:textId="77777777" w:rsidR="006E42FE" w:rsidRPr="006757BA" w:rsidRDefault="006E42FE" w:rsidP="006E42FE">
      <w:pPr>
        <w:pStyle w:val="Heading6"/>
        <w:spacing w:before="1"/>
        <w:jc w:val="center"/>
        <w:rPr>
          <w:rFonts w:asciiTheme="minorHAnsi" w:eastAsiaTheme="minorHAnsi" w:hAnsiTheme="minorHAnsi" w:cstheme="minorHAnsi"/>
          <w:b/>
          <w:bCs/>
          <w:i w:val="0"/>
          <w:iCs w:val="0"/>
          <w:color w:val="42558C" w:themeColor="accent1" w:themeShade="BF"/>
          <w:sz w:val="24"/>
          <w:szCs w:val="24"/>
          <w:highlight w:val="yellow"/>
        </w:rPr>
      </w:pPr>
      <w:r w:rsidRPr="00DE605C">
        <w:rPr>
          <w:rFonts w:asciiTheme="minorHAnsi" w:eastAsiaTheme="minorHAnsi" w:hAnsiTheme="minorHAnsi" w:cstheme="minorHAnsi"/>
          <w:b/>
          <w:bCs/>
          <w:i w:val="0"/>
          <w:iCs w:val="0"/>
          <w:color w:val="42558C" w:themeColor="accent1" w:themeShade="BF"/>
          <w:sz w:val="24"/>
          <w:szCs w:val="24"/>
          <w:u w:val="single"/>
        </w:rPr>
        <w:t>Table 8:</w:t>
      </w:r>
      <w:r w:rsidRPr="00B36A00">
        <w:rPr>
          <w:rFonts w:asciiTheme="minorHAnsi" w:eastAsiaTheme="minorHAnsi" w:hAnsiTheme="minorHAnsi" w:cstheme="minorHAnsi"/>
          <w:b/>
          <w:bCs/>
          <w:i w:val="0"/>
          <w:iCs w:val="0"/>
          <w:color w:val="42558C" w:themeColor="accent1" w:themeShade="BF"/>
          <w:sz w:val="24"/>
          <w:szCs w:val="24"/>
        </w:rPr>
        <w:t xml:space="preserve"> Anna Jaques Hospital</w:t>
      </w:r>
      <w:r w:rsidRPr="00B36A00">
        <w:rPr>
          <w:rFonts w:cstheme="minorHAnsi"/>
          <w:color w:val="42558C" w:themeColor="accent1" w:themeShade="BF"/>
          <w:sz w:val="24"/>
          <w:szCs w:val="24"/>
        </w:rPr>
        <w:t xml:space="preserve"> </w:t>
      </w:r>
      <w:r w:rsidRPr="00B36A00">
        <w:rPr>
          <w:rFonts w:asciiTheme="minorHAnsi" w:eastAsiaTheme="minorHAnsi" w:hAnsiTheme="minorHAnsi" w:cstheme="minorHAnsi"/>
          <w:b/>
          <w:bCs/>
          <w:i w:val="0"/>
          <w:iCs w:val="0"/>
          <w:color w:val="42558C" w:themeColor="accent1" w:themeShade="BF"/>
          <w:sz w:val="24"/>
          <w:szCs w:val="24"/>
        </w:rPr>
        <w:t xml:space="preserve">Historical </w:t>
      </w:r>
      <w:r>
        <w:rPr>
          <w:rFonts w:asciiTheme="minorHAnsi" w:eastAsiaTheme="minorHAnsi" w:hAnsiTheme="minorHAnsi" w:cstheme="minorHAnsi"/>
          <w:b/>
          <w:bCs/>
          <w:i w:val="0"/>
          <w:iCs w:val="0"/>
          <w:color w:val="42558C" w:themeColor="accent1" w:themeShade="BF"/>
          <w:sz w:val="24"/>
          <w:szCs w:val="24"/>
        </w:rPr>
        <w:t xml:space="preserve">LDCT Lung Cancer </w:t>
      </w:r>
      <w:r w:rsidRPr="00B36A00">
        <w:rPr>
          <w:rFonts w:asciiTheme="minorHAnsi" w:eastAsiaTheme="minorHAnsi" w:hAnsiTheme="minorHAnsi" w:cstheme="minorHAnsi"/>
          <w:b/>
          <w:bCs/>
          <w:i w:val="0"/>
          <w:iCs w:val="0"/>
          <w:color w:val="42558C" w:themeColor="accent1" w:themeShade="BF"/>
          <w:sz w:val="24"/>
          <w:szCs w:val="24"/>
        </w:rPr>
        <w:t>Screening Volume</w:t>
      </w:r>
    </w:p>
    <w:tbl>
      <w:tblPr>
        <w:tblStyle w:val="TableGrid1"/>
        <w:tblW w:w="10165" w:type="dxa"/>
        <w:tblLayout w:type="fixed"/>
        <w:tblLook w:val="01E0" w:firstRow="1" w:lastRow="1" w:firstColumn="1" w:lastColumn="1" w:noHBand="0" w:noVBand="0"/>
      </w:tblPr>
      <w:tblGrid>
        <w:gridCol w:w="3145"/>
        <w:gridCol w:w="1530"/>
        <w:gridCol w:w="1530"/>
        <w:gridCol w:w="1440"/>
        <w:gridCol w:w="2520"/>
      </w:tblGrid>
      <w:tr w:rsidR="006E42FE" w:rsidRPr="006757BA" w14:paraId="45718525" w14:textId="77777777" w:rsidTr="00E20A6A">
        <w:trPr>
          <w:trHeight w:val="438"/>
        </w:trPr>
        <w:tc>
          <w:tcPr>
            <w:tcW w:w="3145" w:type="dxa"/>
            <w:shd w:val="clear" w:color="auto" w:fill="BFC8E1" w:themeFill="accent1" w:themeFillTint="66"/>
          </w:tcPr>
          <w:p w14:paraId="1C43712E" w14:textId="77777777" w:rsidR="006E42FE" w:rsidRPr="00B36A00" w:rsidRDefault="006E42FE" w:rsidP="00E20A6A">
            <w:pPr>
              <w:pStyle w:val="TableParagraph"/>
              <w:jc w:val="center"/>
              <w:rPr>
                <w:rFonts w:asciiTheme="minorHAnsi" w:hAnsiTheme="minorHAnsi" w:cstheme="minorHAnsi"/>
                <w:b/>
                <w:bCs/>
                <w:sz w:val="24"/>
                <w:szCs w:val="24"/>
              </w:rPr>
            </w:pPr>
          </w:p>
        </w:tc>
        <w:tc>
          <w:tcPr>
            <w:tcW w:w="1530" w:type="dxa"/>
            <w:shd w:val="clear" w:color="auto" w:fill="BFC8E1" w:themeFill="accent1" w:themeFillTint="66"/>
          </w:tcPr>
          <w:p w14:paraId="6259AB08" w14:textId="77777777" w:rsidR="006E42FE" w:rsidRPr="00145EAE" w:rsidRDefault="006E42FE" w:rsidP="00E20A6A">
            <w:pPr>
              <w:pStyle w:val="TableParagraph"/>
              <w:spacing w:before="109"/>
              <w:ind w:right="351"/>
              <w:jc w:val="center"/>
              <w:rPr>
                <w:rFonts w:asciiTheme="minorHAnsi" w:hAnsiTheme="minorHAnsi" w:cstheme="minorHAnsi"/>
                <w:b/>
                <w:bCs/>
                <w:sz w:val="24"/>
                <w:szCs w:val="24"/>
              </w:rPr>
            </w:pPr>
            <w:r w:rsidRPr="00145EAE">
              <w:rPr>
                <w:rFonts w:asciiTheme="minorHAnsi" w:hAnsiTheme="minorHAnsi" w:cstheme="minorHAnsi"/>
                <w:b/>
                <w:bCs/>
                <w:spacing w:val="-4"/>
                <w:sz w:val="24"/>
                <w:szCs w:val="24"/>
              </w:rPr>
              <w:t>FY2020</w:t>
            </w:r>
          </w:p>
        </w:tc>
        <w:tc>
          <w:tcPr>
            <w:tcW w:w="1530" w:type="dxa"/>
            <w:shd w:val="clear" w:color="auto" w:fill="BFC8E1" w:themeFill="accent1" w:themeFillTint="66"/>
          </w:tcPr>
          <w:p w14:paraId="25032A06" w14:textId="77777777" w:rsidR="006E42FE" w:rsidRPr="00145EAE" w:rsidRDefault="006E42FE" w:rsidP="00E20A6A">
            <w:pPr>
              <w:pStyle w:val="TableParagraph"/>
              <w:spacing w:before="109"/>
              <w:ind w:right="354"/>
              <w:jc w:val="center"/>
              <w:rPr>
                <w:rFonts w:asciiTheme="minorHAnsi" w:hAnsiTheme="minorHAnsi" w:cstheme="minorHAnsi"/>
                <w:b/>
                <w:bCs/>
                <w:sz w:val="24"/>
                <w:szCs w:val="24"/>
              </w:rPr>
            </w:pPr>
            <w:r>
              <w:rPr>
                <w:rFonts w:asciiTheme="minorHAnsi" w:hAnsiTheme="minorHAnsi" w:cstheme="minorHAnsi"/>
                <w:b/>
                <w:bCs/>
                <w:spacing w:val="-4"/>
                <w:sz w:val="24"/>
                <w:szCs w:val="24"/>
              </w:rPr>
              <w:t xml:space="preserve"> </w:t>
            </w:r>
            <w:r w:rsidRPr="00145EAE">
              <w:rPr>
                <w:rFonts w:asciiTheme="minorHAnsi" w:hAnsiTheme="minorHAnsi" w:cstheme="minorHAnsi"/>
                <w:b/>
                <w:bCs/>
                <w:spacing w:val="-4"/>
                <w:sz w:val="24"/>
                <w:szCs w:val="24"/>
              </w:rPr>
              <w:t>FY2021</w:t>
            </w:r>
          </w:p>
        </w:tc>
        <w:tc>
          <w:tcPr>
            <w:tcW w:w="1440" w:type="dxa"/>
            <w:shd w:val="clear" w:color="auto" w:fill="BFC8E1" w:themeFill="accent1" w:themeFillTint="66"/>
          </w:tcPr>
          <w:p w14:paraId="056FF309" w14:textId="77777777" w:rsidR="006E42FE" w:rsidRPr="00145EAE" w:rsidRDefault="006E42FE" w:rsidP="00E20A6A">
            <w:pPr>
              <w:pStyle w:val="TableParagraph"/>
              <w:spacing w:before="109"/>
              <w:jc w:val="center"/>
              <w:rPr>
                <w:rFonts w:asciiTheme="minorHAnsi" w:hAnsiTheme="minorHAnsi" w:cstheme="minorHAnsi"/>
                <w:b/>
                <w:bCs/>
                <w:sz w:val="24"/>
                <w:szCs w:val="24"/>
              </w:rPr>
            </w:pPr>
            <w:r w:rsidRPr="00145EAE">
              <w:rPr>
                <w:rFonts w:asciiTheme="minorHAnsi" w:hAnsiTheme="minorHAnsi" w:cstheme="minorHAnsi"/>
                <w:b/>
                <w:bCs/>
                <w:spacing w:val="-4"/>
                <w:sz w:val="24"/>
                <w:szCs w:val="24"/>
              </w:rPr>
              <w:t>FY2022</w:t>
            </w:r>
          </w:p>
        </w:tc>
        <w:tc>
          <w:tcPr>
            <w:tcW w:w="2520" w:type="dxa"/>
            <w:shd w:val="clear" w:color="auto" w:fill="BFC8E1" w:themeFill="accent1" w:themeFillTint="66"/>
          </w:tcPr>
          <w:p w14:paraId="32CB655B" w14:textId="77777777" w:rsidR="006E42FE" w:rsidRDefault="006E42FE" w:rsidP="00E20A6A">
            <w:pPr>
              <w:pStyle w:val="TableParagraph"/>
              <w:spacing w:before="1" w:line="199" w:lineRule="exact"/>
              <w:ind w:right="83"/>
              <w:jc w:val="center"/>
              <w:rPr>
                <w:rFonts w:asciiTheme="minorHAnsi" w:hAnsiTheme="minorHAnsi" w:cstheme="minorHAnsi"/>
                <w:b/>
                <w:bCs/>
                <w:spacing w:val="-4"/>
                <w:sz w:val="24"/>
                <w:szCs w:val="24"/>
              </w:rPr>
            </w:pPr>
            <w:r>
              <w:rPr>
                <w:rFonts w:asciiTheme="minorHAnsi" w:hAnsiTheme="minorHAnsi" w:cstheme="minorHAnsi"/>
                <w:b/>
                <w:bCs/>
                <w:spacing w:val="-4"/>
                <w:sz w:val="24"/>
                <w:szCs w:val="24"/>
              </w:rPr>
              <w:t xml:space="preserve">FY2023 </w:t>
            </w:r>
          </w:p>
          <w:p w14:paraId="3FFC19AB" w14:textId="77777777" w:rsidR="006E42FE" w:rsidRPr="006757BA" w:rsidRDefault="006E42FE" w:rsidP="00E20A6A">
            <w:pPr>
              <w:pStyle w:val="TableParagraph"/>
              <w:spacing w:before="1" w:line="199" w:lineRule="exact"/>
              <w:ind w:right="83"/>
              <w:jc w:val="center"/>
              <w:rPr>
                <w:rFonts w:asciiTheme="minorHAnsi" w:hAnsiTheme="minorHAnsi" w:cstheme="minorHAnsi"/>
                <w:b/>
                <w:bCs/>
                <w:sz w:val="24"/>
                <w:szCs w:val="24"/>
                <w:highlight w:val="yellow"/>
              </w:rPr>
            </w:pPr>
            <w:r w:rsidRPr="00DE605C">
              <w:rPr>
                <w:rFonts w:asciiTheme="minorHAnsi" w:hAnsiTheme="minorHAnsi" w:cstheme="minorHAnsi"/>
                <w:b/>
                <w:bCs/>
                <w:spacing w:val="-4"/>
              </w:rPr>
              <w:t>October 1 – July 31</w:t>
            </w:r>
          </w:p>
        </w:tc>
      </w:tr>
      <w:tr w:rsidR="006E42FE" w:rsidRPr="006757BA" w14:paraId="0A418A0A" w14:textId="77777777" w:rsidTr="00E20A6A">
        <w:trPr>
          <w:trHeight w:val="522"/>
        </w:trPr>
        <w:tc>
          <w:tcPr>
            <w:tcW w:w="3145" w:type="dxa"/>
          </w:tcPr>
          <w:p w14:paraId="2F0DB5FB" w14:textId="77777777" w:rsidR="006E42FE" w:rsidRPr="00B36A00" w:rsidRDefault="006E42FE" w:rsidP="00E20A6A">
            <w:pPr>
              <w:pStyle w:val="TableParagraph"/>
              <w:spacing w:before="152"/>
              <w:jc w:val="center"/>
              <w:rPr>
                <w:rFonts w:asciiTheme="minorHAnsi" w:hAnsiTheme="minorHAnsi" w:cstheme="minorHAnsi"/>
                <w:b/>
                <w:bCs/>
                <w:sz w:val="24"/>
                <w:szCs w:val="24"/>
              </w:rPr>
            </w:pPr>
            <w:r w:rsidRPr="00B36A00">
              <w:rPr>
                <w:rFonts w:asciiTheme="minorHAnsi" w:hAnsiTheme="minorHAnsi" w:cstheme="minorHAnsi"/>
                <w:b/>
                <w:bCs/>
                <w:sz w:val="24"/>
                <w:szCs w:val="24"/>
              </w:rPr>
              <w:t>Annual</w:t>
            </w:r>
            <w:r w:rsidRPr="00B36A00">
              <w:rPr>
                <w:rFonts w:asciiTheme="minorHAnsi" w:hAnsiTheme="minorHAnsi" w:cstheme="minorHAnsi"/>
                <w:b/>
                <w:bCs/>
                <w:spacing w:val="1"/>
                <w:sz w:val="24"/>
                <w:szCs w:val="24"/>
              </w:rPr>
              <w:t xml:space="preserve"> </w:t>
            </w:r>
            <w:r w:rsidRPr="00B36A00">
              <w:rPr>
                <w:rFonts w:asciiTheme="minorHAnsi" w:hAnsiTheme="minorHAnsi" w:cstheme="minorHAnsi"/>
                <w:b/>
                <w:bCs/>
                <w:spacing w:val="-2"/>
                <w:sz w:val="24"/>
                <w:szCs w:val="24"/>
              </w:rPr>
              <w:t>Screenings Completed</w:t>
            </w:r>
          </w:p>
        </w:tc>
        <w:tc>
          <w:tcPr>
            <w:tcW w:w="1530" w:type="dxa"/>
          </w:tcPr>
          <w:p w14:paraId="3C0B3A59" w14:textId="77777777" w:rsidR="006E42FE" w:rsidRPr="006E5916" w:rsidRDefault="006E42FE" w:rsidP="00E20A6A">
            <w:pPr>
              <w:pStyle w:val="TableParagraph"/>
              <w:spacing w:before="152"/>
              <w:ind w:right="351"/>
              <w:jc w:val="center"/>
              <w:rPr>
                <w:rFonts w:asciiTheme="minorHAnsi" w:hAnsiTheme="minorHAnsi" w:cstheme="minorHAnsi"/>
                <w:sz w:val="24"/>
                <w:szCs w:val="24"/>
              </w:rPr>
            </w:pPr>
            <w:r w:rsidRPr="006E5916">
              <w:rPr>
                <w:rFonts w:asciiTheme="minorHAnsi" w:hAnsiTheme="minorHAnsi" w:cstheme="minorHAnsi"/>
                <w:spacing w:val="-5"/>
                <w:sz w:val="24"/>
                <w:szCs w:val="24"/>
              </w:rPr>
              <w:t>287</w:t>
            </w:r>
          </w:p>
        </w:tc>
        <w:tc>
          <w:tcPr>
            <w:tcW w:w="1530" w:type="dxa"/>
          </w:tcPr>
          <w:p w14:paraId="15CA2BD8" w14:textId="77777777" w:rsidR="006E42FE" w:rsidRPr="006E5916" w:rsidRDefault="006E42FE" w:rsidP="00E20A6A">
            <w:pPr>
              <w:pStyle w:val="TableParagraph"/>
              <w:spacing w:before="152"/>
              <w:ind w:right="354"/>
              <w:jc w:val="center"/>
              <w:rPr>
                <w:rFonts w:asciiTheme="minorHAnsi" w:hAnsiTheme="minorHAnsi" w:cstheme="minorHAnsi"/>
                <w:sz w:val="24"/>
                <w:szCs w:val="24"/>
              </w:rPr>
            </w:pPr>
            <w:r w:rsidRPr="006E5916">
              <w:rPr>
                <w:rFonts w:asciiTheme="minorHAnsi" w:hAnsiTheme="minorHAnsi" w:cstheme="minorHAnsi"/>
                <w:spacing w:val="-5"/>
                <w:sz w:val="24"/>
                <w:szCs w:val="24"/>
              </w:rPr>
              <w:t>379</w:t>
            </w:r>
          </w:p>
        </w:tc>
        <w:tc>
          <w:tcPr>
            <w:tcW w:w="1440" w:type="dxa"/>
          </w:tcPr>
          <w:p w14:paraId="0800CA33" w14:textId="77777777" w:rsidR="006E42FE" w:rsidRPr="006E5916" w:rsidRDefault="006E42FE" w:rsidP="00E20A6A">
            <w:pPr>
              <w:pStyle w:val="TableParagraph"/>
              <w:spacing w:before="152"/>
              <w:jc w:val="center"/>
              <w:rPr>
                <w:rFonts w:asciiTheme="minorHAnsi" w:hAnsiTheme="minorHAnsi" w:cstheme="minorHAnsi"/>
                <w:sz w:val="24"/>
                <w:szCs w:val="24"/>
              </w:rPr>
            </w:pPr>
            <w:r w:rsidRPr="006E5916">
              <w:rPr>
                <w:rFonts w:asciiTheme="minorHAnsi" w:hAnsiTheme="minorHAnsi" w:cstheme="minorHAnsi"/>
                <w:spacing w:val="-5"/>
                <w:sz w:val="24"/>
                <w:szCs w:val="24"/>
              </w:rPr>
              <w:t>440</w:t>
            </w:r>
          </w:p>
        </w:tc>
        <w:tc>
          <w:tcPr>
            <w:tcW w:w="2520" w:type="dxa"/>
          </w:tcPr>
          <w:p w14:paraId="2159BA01" w14:textId="77777777" w:rsidR="006E42FE" w:rsidRPr="006757BA" w:rsidRDefault="006E42FE" w:rsidP="00E20A6A">
            <w:pPr>
              <w:pStyle w:val="TableParagraph"/>
              <w:spacing w:before="152"/>
              <w:ind w:left="94" w:right="83"/>
              <w:jc w:val="center"/>
              <w:rPr>
                <w:rFonts w:asciiTheme="minorHAnsi" w:hAnsiTheme="minorHAnsi" w:cstheme="minorHAnsi"/>
                <w:sz w:val="24"/>
                <w:szCs w:val="24"/>
                <w:highlight w:val="yellow"/>
              </w:rPr>
            </w:pPr>
            <w:r>
              <w:rPr>
                <w:rFonts w:asciiTheme="minorHAnsi" w:hAnsiTheme="minorHAnsi" w:cstheme="minorHAnsi"/>
                <w:spacing w:val="-5"/>
                <w:sz w:val="24"/>
                <w:szCs w:val="24"/>
              </w:rPr>
              <w:t>535</w:t>
            </w:r>
          </w:p>
        </w:tc>
      </w:tr>
    </w:tbl>
    <w:p w14:paraId="0F5954AA" w14:textId="77777777" w:rsidR="006E42FE" w:rsidRPr="006757BA" w:rsidRDefault="006E42FE" w:rsidP="006E42FE">
      <w:pPr>
        <w:pStyle w:val="BodyText"/>
        <w:spacing w:before="1" w:line="259" w:lineRule="auto"/>
        <w:rPr>
          <w:rFonts w:cstheme="minorHAnsi"/>
          <w:sz w:val="24"/>
          <w:szCs w:val="24"/>
          <w:highlight w:val="yellow"/>
        </w:rPr>
      </w:pPr>
    </w:p>
    <w:p w14:paraId="7111A59E" w14:textId="0DA94887" w:rsidR="006E42FE" w:rsidRPr="00CB629A" w:rsidRDefault="006E42FE" w:rsidP="002E045A">
      <w:pPr>
        <w:pStyle w:val="BodyText"/>
        <w:spacing w:before="1" w:line="259" w:lineRule="auto"/>
        <w:ind w:left="720"/>
        <w:rPr>
          <w:sz w:val="24"/>
          <w:szCs w:val="24"/>
          <w:highlight w:val="yellow"/>
        </w:rPr>
      </w:pPr>
      <w:r w:rsidRPr="00B36A00">
        <w:rPr>
          <w:sz w:val="24"/>
          <w:szCs w:val="24"/>
        </w:rPr>
        <w:t>In 2022, Centers for Medicare &amp; Medicaid Services (CMS) expanded eligibility for these screenings by lowering the starting age for lung cancer screening and reducing requirements around tobacco smoking history, which</w:t>
      </w:r>
      <w:r w:rsidRPr="00B36A00">
        <w:rPr>
          <w:spacing w:val="-14"/>
          <w:sz w:val="24"/>
          <w:szCs w:val="24"/>
        </w:rPr>
        <w:t xml:space="preserve"> </w:t>
      </w:r>
      <w:r w:rsidRPr="00B36A00">
        <w:rPr>
          <w:sz w:val="24"/>
          <w:szCs w:val="24"/>
        </w:rPr>
        <w:t>will</w:t>
      </w:r>
      <w:r w:rsidRPr="00B36A00">
        <w:rPr>
          <w:spacing w:val="-14"/>
          <w:sz w:val="24"/>
          <w:szCs w:val="24"/>
        </w:rPr>
        <w:t xml:space="preserve"> </w:t>
      </w:r>
      <w:r w:rsidRPr="00B36A00">
        <w:rPr>
          <w:sz w:val="24"/>
          <w:szCs w:val="24"/>
        </w:rPr>
        <w:t>increase</w:t>
      </w:r>
      <w:r w:rsidRPr="00B36A00">
        <w:rPr>
          <w:spacing w:val="-11"/>
          <w:sz w:val="24"/>
          <w:szCs w:val="24"/>
        </w:rPr>
        <w:t xml:space="preserve"> </w:t>
      </w:r>
      <w:r w:rsidRPr="00B36A00">
        <w:rPr>
          <w:sz w:val="24"/>
          <w:szCs w:val="24"/>
        </w:rPr>
        <w:t>access</w:t>
      </w:r>
      <w:r w:rsidRPr="00B36A00">
        <w:rPr>
          <w:spacing w:val="-12"/>
          <w:sz w:val="24"/>
          <w:szCs w:val="24"/>
        </w:rPr>
        <w:t xml:space="preserve"> </w:t>
      </w:r>
      <w:r w:rsidRPr="00B36A00">
        <w:rPr>
          <w:sz w:val="24"/>
          <w:szCs w:val="24"/>
        </w:rPr>
        <w:t>to</w:t>
      </w:r>
      <w:r w:rsidRPr="00B36A00">
        <w:rPr>
          <w:spacing w:val="-14"/>
          <w:sz w:val="24"/>
          <w:szCs w:val="24"/>
        </w:rPr>
        <w:t xml:space="preserve"> </w:t>
      </w:r>
      <w:r w:rsidRPr="00B36A00">
        <w:rPr>
          <w:sz w:val="24"/>
          <w:szCs w:val="24"/>
        </w:rPr>
        <w:t>lung</w:t>
      </w:r>
      <w:r w:rsidRPr="00B36A00">
        <w:rPr>
          <w:spacing w:val="-11"/>
          <w:sz w:val="24"/>
          <w:szCs w:val="24"/>
        </w:rPr>
        <w:t xml:space="preserve"> </w:t>
      </w:r>
      <w:r w:rsidRPr="00B36A00">
        <w:rPr>
          <w:sz w:val="24"/>
          <w:szCs w:val="24"/>
        </w:rPr>
        <w:t>cancer</w:t>
      </w:r>
      <w:r w:rsidRPr="00B36A00">
        <w:rPr>
          <w:spacing w:val="-13"/>
          <w:sz w:val="24"/>
          <w:szCs w:val="24"/>
        </w:rPr>
        <w:t xml:space="preserve"> </w:t>
      </w:r>
      <w:r w:rsidRPr="00B36A00">
        <w:rPr>
          <w:sz w:val="24"/>
          <w:szCs w:val="24"/>
        </w:rPr>
        <w:t>screening</w:t>
      </w:r>
      <w:r w:rsidRPr="00B36A00">
        <w:rPr>
          <w:spacing w:val="-11"/>
          <w:sz w:val="24"/>
          <w:szCs w:val="24"/>
        </w:rPr>
        <w:t xml:space="preserve"> </w:t>
      </w:r>
      <w:r w:rsidRPr="00B36A00">
        <w:rPr>
          <w:sz w:val="24"/>
          <w:szCs w:val="24"/>
        </w:rPr>
        <w:t>for</w:t>
      </w:r>
      <w:r w:rsidRPr="00B36A00">
        <w:rPr>
          <w:spacing w:val="-12"/>
          <w:sz w:val="24"/>
          <w:szCs w:val="24"/>
        </w:rPr>
        <w:t xml:space="preserve"> </w:t>
      </w:r>
      <w:r w:rsidRPr="00B36A00">
        <w:rPr>
          <w:sz w:val="24"/>
          <w:szCs w:val="24"/>
        </w:rPr>
        <w:t>at-risk</w:t>
      </w:r>
      <w:r w:rsidRPr="00B36A00">
        <w:rPr>
          <w:spacing w:val="-12"/>
          <w:sz w:val="24"/>
          <w:szCs w:val="24"/>
        </w:rPr>
        <w:t xml:space="preserve"> </w:t>
      </w:r>
      <w:r w:rsidRPr="00B36A00">
        <w:rPr>
          <w:sz w:val="24"/>
          <w:szCs w:val="24"/>
        </w:rPr>
        <w:t>populations.</w:t>
      </w:r>
      <w:r w:rsidRPr="00B36A00">
        <w:rPr>
          <w:spacing w:val="-13"/>
          <w:sz w:val="24"/>
          <w:szCs w:val="24"/>
        </w:rPr>
        <w:t xml:space="preserve"> </w:t>
      </w:r>
      <w:r w:rsidRPr="00B36A00">
        <w:rPr>
          <w:sz w:val="24"/>
          <w:szCs w:val="24"/>
        </w:rPr>
        <w:t xml:space="preserve">The Applicant notes that </w:t>
      </w:r>
      <w:r>
        <w:rPr>
          <w:sz w:val="24"/>
          <w:szCs w:val="24"/>
        </w:rPr>
        <w:t xml:space="preserve">they </w:t>
      </w:r>
      <w:r w:rsidR="00C93447" w:rsidRPr="00B36A00">
        <w:rPr>
          <w:sz w:val="24"/>
          <w:szCs w:val="24"/>
        </w:rPr>
        <w:t>plan</w:t>
      </w:r>
      <w:r w:rsidRPr="00B36A00">
        <w:rPr>
          <w:sz w:val="24"/>
          <w:szCs w:val="24"/>
        </w:rPr>
        <w:t xml:space="preserve"> to increase volume of LDCT screenings with a second CT machine available. </w:t>
      </w:r>
    </w:p>
    <w:p w14:paraId="4D0B9084" w14:textId="77777777" w:rsidR="006E42FE" w:rsidRPr="006757BA" w:rsidRDefault="006E42FE" w:rsidP="006E42FE">
      <w:pPr>
        <w:autoSpaceDE w:val="0"/>
        <w:autoSpaceDN w:val="0"/>
        <w:adjustRightInd w:val="0"/>
        <w:spacing w:after="22"/>
        <w:rPr>
          <w:rFonts w:asciiTheme="minorHAnsi" w:eastAsiaTheme="minorHAnsi" w:hAnsiTheme="minorHAnsi" w:cstheme="minorHAnsi"/>
          <w:highlight w:val="yellow"/>
        </w:rPr>
      </w:pPr>
    </w:p>
    <w:p w14:paraId="4FB3E401" w14:textId="77777777" w:rsidR="006E42FE" w:rsidRPr="00CB629A" w:rsidRDefault="006E42FE" w:rsidP="006E42FE">
      <w:pPr>
        <w:pStyle w:val="ListParagraph"/>
        <w:spacing w:after="0" w:line="240" w:lineRule="auto"/>
        <w:ind w:left="0"/>
        <w:rPr>
          <w:rFonts w:cstheme="minorHAnsi"/>
          <w:b/>
          <w:i/>
          <w:sz w:val="24"/>
          <w:szCs w:val="24"/>
        </w:rPr>
      </w:pPr>
      <w:r w:rsidRPr="00CB629A">
        <w:rPr>
          <w:rFonts w:cstheme="minorHAnsi"/>
          <w:b/>
          <w:i/>
          <w:sz w:val="24"/>
          <w:szCs w:val="24"/>
        </w:rPr>
        <w:t>Analysis</w:t>
      </w:r>
    </w:p>
    <w:p w14:paraId="433EE237" w14:textId="72B90206" w:rsidR="006E42FE" w:rsidRPr="00991202" w:rsidRDefault="006E42FE" w:rsidP="006E42FE">
      <w:pPr>
        <w:rPr>
          <w:rFonts w:asciiTheme="minorHAnsi" w:hAnsiTheme="minorHAnsi" w:cstheme="minorHAnsi"/>
        </w:rPr>
      </w:pPr>
      <w:r w:rsidRPr="00CB629A">
        <w:rPr>
          <w:rFonts w:asciiTheme="minorHAnsi" w:eastAsiaTheme="minorHAnsi" w:hAnsiTheme="minorHAnsi" w:cstheme="minorHAnsi"/>
        </w:rPr>
        <w:t xml:space="preserve">Staff finds that the historic and projected growth in CT scan volume demonstrate sufficient need for a second CT unit at AJH. </w:t>
      </w:r>
      <w:r w:rsidRPr="00CB629A">
        <w:rPr>
          <w:rFonts w:asciiTheme="minorHAnsi" w:hAnsiTheme="minorHAnsi" w:cstheme="minorHAnsi"/>
        </w:rPr>
        <w:t>By reducing over-utilization of the current unit, AJH will be</w:t>
      </w:r>
      <w:r w:rsidRPr="00CB629A">
        <w:rPr>
          <w:rFonts w:asciiTheme="minorHAnsi" w:hAnsiTheme="minorHAnsi" w:cstheme="minorHAnsi"/>
          <w:spacing w:val="-7"/>
        </w:rPr>
        <w:t xml:space="preserve"> </w:t>
      </w:r>
      <w:r w:rsidRPr="00CB629A">
        <w:rPr>
          <w:rFonts w:asciiTheme="minorHAnsi" w:hAnsiTheme="minorHAnsi" w:cstheme="minorHAnsi"/>
        </w:rPr>
        <w:t>able</w:t>
      </w:r>
      <w:r w:rsidRPr="00CB629A">
        <w:rPr>
          <w:rFonts w:asciiTheme="minorHAnsi" w:hAnsiTheme="minorHAnsi" w:cstheme="minorHAnsi"/>
          <w:spacing w:val="-7"/>
        </w:rPr>
        <w:t xml:space="preserve"> </w:t>
      </w:r>
      <w:r w:rsidRPr="00CB629A">
        <w:rPr>
          <w:rFonts w:asciiTheme="minorHAnsi" w:hAnsiTheme="minorHAnsi" w:cstheme="minorHAnsi"/>
        </w:rPr>
        <w:t>to</w:t>
      </w:r>
      <w:r w:rsidRPr="00CB629A">
        <w:rPr>
          <w:rFonts w:asciiTheme="minorHAnsi" w:hAnsiTheme="minorHAnsi" w:cstheme="minorHAnsi"/>
          <w:spacing w:val="-7"/>
        </w:rPr>
        <w:t xml:space="preserve"> </w:t>
      </w:r>
      <w:r w:rsidRPr="00CB629A">
        <w:rPr>
          <w:rFonts w:asciiTheme="minorHAnsi" w:hAnsiTheme="minorHAnsi" w:cstheme="minorHAnsi"/>
        </w:rPr>
        <w:t>extend</w:t>
      </w:r>
      <w:r w:rsidRPr="00CB629A">
        <w:rPr>
          <w:rFonts w:asciiTheme="minorHAnsi" w:hAnsiTheme="minorHAnsi" w:cstheme="minorHAnsi"/>
          <w:spacing w:val="-4"/>
        </w:rPr>
        <w:t xml:space="preserve"> </w:t>
      </w:r>
      <w:r w:rsidRPr="00CB629A">
        <w:rPr>
          <w:rFonts w:asciiTheme="minorHAnsi" w:hAnsiTheme="minorHAnsi" w:cstheme="minorHAnsi"/>
        </w:rPr>
        <w:t>its</w:t>
      </w:r>
      <w:r w:rsidRPr="00CB629A">
        <w:rPr>
          <w:rFonts w:asciiTheme="minorHAnsi" w:hAnsiTheme="minorHAnsi" w:cstheme="minorHAnsi"/>
          <w:spacing w:val="-5"/>
        </w:rPr>
        <w:t xml:space="preserve"> </w:t>
      </w:r>
      <w:r w:rsidRPr="00CB629A">
        <w:rPr>
          <w:rFonts w:asciiTheme="minorHAnsi" w:hAnsiTheme="minorHAnsi" w:cstheme="minorHAnsi"/>
        </w:rPr>
        <w:t>useful</w:t>
      </w:r>
      <w:r w:rsidRPr="00CB629A">
        <w:rPr>
          <w:rFonts w:asciiTheme="minorHAnsi" w:hAnsiTheme="minorHAnsi" w:cstheme="minorHAnsi"/>
          <w:spacing w:val="-5"/>
        </w:rPr>
        <w:t xml:space="preserve"> </w:t>
      </w:r>
      <w:r w:rsidRPr="00CB629A">
        <w:rPr>
          <w:rFonts w:asciiTheme="minorHAnsi" w:hAnsiTheme="minorHAnsi" w:cstheme="minorHAnsi"/>
        </w:rPr>
        <w:t>life,</w:t>
      </w:r>
      <w:r w:rsidRPr="00CB629A">
        <w:rPr>
          <w:rFonts w:asciiTheme="minorHAnsi" w:hAnsiTheme="minorHAnsi" w:cstheme="minorHAnsi"/>
          <w:spacing w:val="-6"/>
        </w:rPr>
        <w:t xml:space="preserve"> </w:t>
      </w:r>
      <w:r w:rsidRPr="00CB629A">
        <w:rPr>
          <w:rFonts w:asciiTheme="minorHAnsi" w:hAnsiTheme="minorHAnsi" w:cstheme="minorHAnsi"/>
        </w:rPr>
        <w:t>delaying</w:t>
      </w:r>
      <w:r w:rsidRPr="00CB629A">
        <w:rPr>
          <w:rFonts w:asciiTheme="minorHAnsi" w:hAnsiTheme="minorHAnsi" w:cstheme="minorHAnsi"/>
          <w:spacing w:val="-7"/>
        </w:rPr>
        <w:t xml:space="preserve"> </w:t>
      </w:r>
      <w:r w:rsidRPr="00CB629A">
        <w:rPr>
          <w:rFonts w:asciiTheme="minorHAnsi" w:hAnsiTheme="minorHAnsi" w:cstheme="minorHAnsi"/>
        </w:rPr>
        <w:t>the</w:t>
      </w:r>
      <w:r w:rsidRPr="00CB629A">
        <w:rPr>
          <w:rFonts w:asciiTheme="minorHAnsi" w:hAnsiTheme="minorHAnsi" w:cstheme="minorHAnsi"/>
          <w:spacing w:val="-7"/>
        </w:rPr>
        <w:t xml:space="preserve"> </w:t>
      </w:r>
      <w:r w:rsidRPr="00CB629A">
        <w:rPr>
          <w:rFonts w:asciiTheme="minorHAnsi" w:hAnsiTheme="minorHAnsi" w:cstheme="minorHAnsi"/>
        </w:rPr>
        <w:t>need</w:t>
      </w:r>
      <w:r w:rsidRPr="00CB629A">
        <w:rPr>
          <w:rFonts w:asciiTheme="minorHAnsi" w:hAnsiTheme="minorHAnsi" w:cstheme="minorHAnsi"/>
          <w:spacing w:val="-4"/>
        </w:rPr>
        <w:t xml:space="preserve"> </w:t>
      </w:r>
      <w:r w:rsidRPr="00CB629A">
        <w:rPr>
          <w:rFonts w:asciiTheme="minorHAnsi" w:hAnsiTheme="minorHAnsi" w:cstheme="minorHAnsi"/>
        </w:rPr>
        <w:t>for</w:t>
      </w:r>
      <w:r w:rsidRPr="00CB629A">
        <w:rPr>
          <w:rFonts w:asciiTheme="minorHAnsi" w:hAnsiTheme="minorHAnsi" w:cstheme="minorHAnsi"/>
          <w:spacing w:val="-5"/>
        </w:rPr>
        <w:t xml:space="preserve"> </w:t>
      </w:r>
      <w:r w:rsidRPr="00CB629A">
        <w:rPr>
          <w:rFonts w:asciiTheme="minorHAnsi" w:hAnsiTheme="minorHAnsi" w:cstheme="minorHAnsi"/>
        </w:rPr>
        <w:t>replacement</w:t>
      </w:r>
      <w:r w:rsidRPr="00CB629A">
        <w:rPr>
          <w:rFonts w:asciiTheme="minorHAnsi" w:hAnsiTheme="minorHAnsi" w:cstheme="minorHAnsi"/>
          <w:spacing w:val="-5"/>
        </w:rPr>
        <w:t xml:space="preserve"> </w:t>
      </w:r>
      <w:r w:rsidRPr="00CB629A">
        <w:rPr>
          <w:rFonts w:asciiTheme="minorHAnsi" w:hAnsiTheme="minorHAnsi" w:cstheme="minorHAnsi"/>
        </w:rPr>
        <w:t>and</w:t>
      </w:r>
      <w:r w:rsidRPr="00CB629A">
        <w:rPr>
          <w:rFonts w:asciiTheme="minorHAnsi" w:hAnsiTheme="minorHAnsi" w:cstheme="minorHAnsi"/>
          <w:spacing w:val="-7"/>
        </w:rPr>
        <w:t xml:space="preserve"> </w:t>
      </w:r>
      <w:r w:rsidRPr="00CB629A">
        <w:rPr>
          <w:rFonts w:asciiTheme="minorHAnsi" w:hAnsiTheme="minorHAnsi" w:cstheme="minorHAnsi"/>
        </w:rPr>
        <w:t>significant</w:t>
      </w:r>
      <w:r w:rsidRPr="00CB629A">
        <w:rPr>
          <w:rFonts w:asciiTheme="minorHAnsi" w:hAnsiTheme="minorHAnsi" w:cstheme="minorHAnsi"/>
          <w:spacing w:val="-4"/>
        </w:rPr>
        <w:t xml:space="preserve"> </w:t>
      </w:r>
      <w:r w:rsidRPr="00CB629A">
        <w:rPr>
          <w:rFonts w:asciiTheme="minorHAnsi" w:hAnsiTheme="minorHAnsi" w:cstheme="minorHAnsi"/>
        </w:rPr>
        <w:t>disruption</w:t>
      </w:r>
      <w:r w:rsidRPr="00CB629A">
        <w:rPr>
          <w:rFonts w:asciiTheme="minorHAnsi" w:hAnsiTheme="minorHAnsi" w:cstheme="minorHAnsi"/>
          <w:spacing w:val="-7"/>
        </w:rPr>
        <w:t xml:space="preserve"> </w:t>
      </w:r>
      <w:r w:rsidRPr="00CB629A">
        <w:rPr>
          <w:rFonts w:asciiTheme="minorHAnsi" w:hAnsiTheme="minorHAnsi" w:cstheme="minorHAnsi"/>
        </w:rPr>
        <w:t>for</w:t>
      </w:r>
      <w:r w:rsidRPr="00CB629A">
        <w:rPr>
          <w:rFonts w:asciiTheme="minorHAnsi" w:hAnsiTheme="minorHAnsi" w:cstheme="minorHAnsi"/>
          <w:spacing w:val="-5"/>
        </w:rPr>
        <w:t xml:space="preserve"> </w:t>
      </w:r>
      <w:r w:rsidRPr="00CB629A">
        <w:rPr>
          <w:rFonts w:asciiTheme="minorHAnsi" w:hAnsiTheme="minorHAnsi" w:cstheme="minorHAnsi"/>
        </w:rPr>
        <w:t>patients.</w:t>
      </w:r>
      <w:r w:rsidRPr="00CB629A">
        <w:rPr>
          <w:rFonts w:asciiTheme="minorHAnsi" w:hAnsiTheme="minorHAnsi" w:cstheme="minorHAnsi"/>
          <w:spacing w:val="-6"/>
        </w:rPr>
        <w:t xml:space="preserve"> </w:t>
      </w:r>
      <w:r w:rsidRPr="00CB629A">
        <w:rPr>
          <w:rFonts w:asciiTheme="minorHAnsi" w:hAnsiTheme="minorHAnsi" w:cstheme="minorHAnsi"/>
        </w:rPr>
        <w:t>Acquiring a</w:t>
      </w:r>
      <w:r w:rsidRPr="00CB629A">
        <w:rPr>
          <w:rFonts w:asciiTheme="minorHAnsi" w:hAnsiTheme="minorHAnsi" w:cstheme="minorHAnsi"/>
          <w:spacing w:val="-2"/>
        </w:rPr>
        <w:t xml:space="preserve"> </w:t>
      </w:r>
      <w:r w:rsidRPr="00CB629A">
        <w:rPr>
          <w:rFonts w:asciiTheme="minorHAnsi" w:hAnsiTheme="minorHAnsi" w:cstheme="minorHAnsi"/>
        </w:rPr>
        <w:t>second CT</w:t>
      </w:r>
      <w:r w:rsidRPr="00CB629A">
        <w:rPr>
          <w:rFonts w:asciiTheme="minorHAnsi" w:hAnsiTheme="minorHAnsi" w:cstheme="minorHAnsi"/>
          <w:spacing w:val="-3"/>
        </w:rPr>
        <w:t xml:space="preserve"> </w:t>
      </w:r>
      <w:r w:rsidRPr="00CB629A">
        <w:rPr>
          <w:rFonts w:asciiTheme="minorHAnsi" w:hAnsiTheme="minorHAnsi" w:cstheme="minorHAnsi"/>
        </w:rPr>
        <w:t>unit will also decrease the amount of downtime</w:t>
      </w:r>
      <w:r w:rsidRPr="00CB629A">
        <w:rPr>
          <w:rFonts w:asciiTheme="minorHAnsi" w:hAnsiTheme="minorHAnsi" w:cstheme="minorHAnsi"/>
          <w:spacing w:val="-1"/>
        </w:rPr>
        <w:t xml:space="preserve"> </w:t>
      </w:r>
      <w:r w:rsidRPr="00CB629A">
        <w:rPr>
          <w:rFonts w:asciiTheme="minorHAnsi" w:hAnsiTheme="minorHAnsi" w:cstheme="minorHAnsi"/>
        </w:rPr>
        <w:t>on the existing unit, in turn prolonging the life of both units. In addition, the second unit will ensure redundancy if either unit requires repair or maintenance. A</w:t>
      </w:r>
      <w:r w:rsidRPr="00CB629A">
        <w:rPr>
          <w:rFonts w:asciiTheme="minorHAnsi" w:hAnsiTheme="minorHAnsi" w:cstheme="minorHAnsi"/>
          <w:spacing w:val="-14"/>
        </w:rPr>
        <w:t xml:space="preserve"> </w:t>
      </w:r>
      <w:r w:rsidRPr="00CB629A">
        <w:rPr>
          <w:rFonts w:asciiTheme="minorHAnsi" w:hAnsiTheme="minorHAnsi" w:cstheme="minorHAnsi"/>
        </w:rPr>
        <w:t>second unit will provide capacity to accommodate emergent patients without disrupting access to CT for inpatients</w:t>
      </w:r>
      <w:r w:rsidRPr="00CB629A">
        <w:rPr>
          <w:rFonts w:asciiTheme="minorHAnsi" w:hAnsiTheme="minorHAnsi" w:cstheme="minorHAnsi"/>
          <w:spacing w:val="-8"/>
        </w:rPr>
        <w:t xml:space="preserve"> </w:t>
      </w:r>
      <w:r w:rsidRPr="00CB629A">
        <w:rPr>
          <w:rFonts w:asciiTheme="minorHAnsi" w:hAnsiTheme="minorHAnsi" w:cstheme="minorHAnsi"/>
        </w:rPr>
        <w:t>and</w:t>
      </w:r>
      <w:r w:rsidRPr="00CB629A">
        <w:rPr>
          <w:rFonts w:asciiTheme="minorHAnsi" w:hAnsiTheme="minorHAnsi" w:cstheme="minorHAnsi"/>
          <w:spacing w:val="-10"/>
        </w:rPr>
        <w:t xml:space="preserve"> </w:t>
      </w:r>
      <w:r w:rsidRPr="00CB629A">
        <w:rPr>
          <w:rFonts w:asciiTheme="minorHAnsi" w:hAnsiTheme="minorHAnsi" w:cstheme="minorHAnsi"/>
        </w:rPr>
        <w:t>outpatients. As a hospital designated as a Primary Stroke Service, a second CT unit will provide the timely access to a CT scan, which is essential to the swift diagnosis and treatment of patients showing signs of a stroke. Having the capacity to perform necessary CT scans will</w:t>
      </w:r>
      <w:r w:rsidRPr="00CB629A">
        <w:rPr>
          <w:rFonts w:asciiTheme="minorHAnsi" w:hAnsiTheme="minorHAnsi" w:cstheme="minorHAnsi"/>
          <w:spacing w:val="-10"/>
        </w:rPr>
        <w:t xml:space="preserve"> also </w:t>
      </w:r>
      <w:r w:rsidRPr="00CB629A">
        <w:rPr>
          <w:rFonts w:asciiTheme="minorHAnsi" w:hAnsiTheme="minorHAnsi" w:cstheme="minorHAnsi"/>
        </w:rPr>
        <w:t>eliminate</w:t>
      </w:r>
      <w:r w:rsidRPr="00CB629A">
        <w:rPr>
          <w:rFonts w:asciiTheme="minorHAnsi" w:hAnsiTheme="minorHAnsi" w:cstheme="minorHAnsi"/>
          <w:spacing w:val="-10"/>
        </w:rPr>
        <w:t xml:space="preserve"> </w:t>
      </w:r>
      <w:r w:rsidRPr="00CB629A">
        <w:rPr>
          <w:rFonts w:asciiTheme="minorHAnsi" w:hAnsiTheme="minorHAnsi" w:cstheme="minorHAnsi"/>
        </w:rPr>
        <w:t>the</w:t>
      </w:r>
      <w:r w:rsidRPr="00CB629A">
        <w:rPr>
          <w:rFonts w:asciiTheme="minorHAnsi" w:hAnsiTheme="minorHAnsi" w:cstheme="minorHAnsi"/>
          <w:spacing w:val="-10"/>
        </w:rPr>
        <w:t xml:space="preserve"> </w:t>
      </w:r>
      <w:r w:rsidRPr="00CB629A">
        <w:rPr>
          <w:rFonts w:asciiTheme="minorHAnsi" w:hAnsiTheme="minorHAnsi" w:cstheme="minorHAnsi"/>
        </w:rPr>
        <w:t>costs</w:t>
      </w:r>
      <w:r w:rsidRPr="00CB629A">
        <w:rPr>
          <w:rFonts w:asciiTheme="minorHAnsi" w:hAnsiTheme="minorHAnsi" w:cstheme="minorHAnsi"/>
          <w:spacing w:val="-8"/>
        </w:rPr>
        <w:t xml:space="preserve"> </w:t>
      </w:r>
      <w:r w:rsidRPr="00CB629A">
        <w:rPr>
          <w:rFonts w:asciiTheme="minorHAnsi" w:hAnsiTheme="minorHAnsi" w:cstheme="minorHAnsi"/>
        </w:rPr>
        <w:t>associated</w:t>
      </w:r>
      <w:r w:rsidRPr="00CB629A">
        <w:rPr>
          <w:rFonts w:asciiTheme="minorHAnsi" w:hAnsiTheme="minorHAnsi" w:cstheme="minorHAnsi"/>
          <w:spacing w:val="-7"/>
        </w:rPr>
        <w:t xml:space="preserve"> </w:t>
      </w:r>
      <w:r w:rsidRPr="00CB629A">
        <w:rPr>
          <w:rFonts w:asciiTheme="minorHAnsi" w:hAnsiTheme="minorHAnsi" w:cstheme="minorHAnsi"/>
        </w:rPr>
        <w:t>with</w:t>
      </w:r>
      <w:r w:rsidRPr="00CB629A">
        <w:rPr>
          <w:rFonts w:asciiTheme="minorHAnsi" w:hAnsiTheme="minorHAnsi" w:cstheme="minorHAnsi"/>
          <w:spacing w:val="-10"/>
        </w:rPr>
        <w:t xml:space="preserve"> </w:t>
      </w:r>
      <w:r w:rsidRPr="00CB629A">
        <w:rPr>
          <w:rFonts w:asciiTheme="minorHAnsi" w:hAnsiTheme="minorHAnsi" w:cstheme="minorHAnsi"/>
        </w:rPr>
        <w:t>transferring</w:t>
      </w:r>
      <w:r w:rsidRPr="00CB629A">
        <w:rPr>
          <w:rFonts w:asciiTheme="minorHAnsi" w:hAnsiTheme="minorHAnsi" w:cstheme="minorHAnsi"/>
          <w:spacing w:val="-10"/>
        </w:rPr>
        <w:t xml:space="preserve"> </w:t>
      </w:r>
      <w:r w:rsidRPr="00CB629A">
        <w:rPr>
          <w:rFonts w:asciiTheme="minorHAnsi" w:hAnsiTheme="minorHAnsi" w:cstheme="minorHAnsi"/>
        </w:rPr>
        <w:t>patients</w:t>
      </w:r>
      <w:r w:rsidRPr="00CB629A">
        <w:rPr>
          <w:rFonts w:asciiTheme="minorHAnsi" w:hAnsiTheme="minorHAnsi" w:cstheme="minorHAnsi"/>
          <w:spacing w:val="-8"/>
        </w:rPr>
        <w:t xml:space="preserve"> </w:t>
      </w:r>
      <w:r w:rsidRPr="00CB629A">
        <w:rPr>
          <w:rFonts w:asciiTheme="minorHAnsi" w:hAnsiTheme="minorHAnsi" w:cstheme="minorHAnsi"/>
        </w:rPr>
        <w:t>to</w:t>
      </w:r>
      <w:r w:rsidRPr="00CB629A">
        <w:rPr>
          <w:rFonts w:asciiTheme="minorHAnsi" w:hAnsiTheme="minorHAnsi" w:cstheme="minorHAnsi"/>
          <w:spacing w:val="-7"/>
        </w:rPr>
        <w:t xml:space="preserve"> </w:t>
      </w:r>
      <w:r w:rsidRPr="00CB629A">
        <w:rPr>
          <w:rFonts w:asciiTheme="minorHAnsi" w:hAnsiTheme="minorHAnsi" w:cstheme="minorHAnsi"/>
        </w:rPr>
        <w:t>another hospital.</w:t>
      </w:r>
      <w:r w:rsidRPr="00CB629A">
        <w:rPr>
          <w:rFonts w:asciiTheme="minorHAnsi" w:hAnsiTheme="minorHAnsi" w:cstheme="minorHAnsi"/>
          <w:spacing w:val="-11"/>
        </w:rPr>
        <w:t xml:space="preserve"> </w:t>
      </w:r>
      <w:r w:rsidRPr="00CB629A">
        <w:rPr>
          <w:rFonts w:asciiTheme="minorHAnsi" w:hAnsiTheme="minorHAnsi" w:cstheme="minorHAnsi"/>
        </w:rPr>
        <w:t>The Proposed Project will also accommodate additional demand for CT services and allow improved access for LDCT lung screenings in adherence with recommended timelines. As a result, Staff finds that the Proposed Project meets the requirements of Factor 1a.</w:t>
      </w:r>
    </w:p>
    <w:p w14:paraId="5E792861" w14:textId="77777777" w:rsidR="006E42FE" w:rsidRPr="00102597" w:rsidRDefault="006E42FE" w:rsidP="006E42FE">
      <w:pPr>
        <w:autoSpaceDE w:val="0"/>
        <w:autoSpaceDN w:val="0"/>
        <w:adjustRightInd w:val="0"/>
        <w:spacing w:after="22"/>
        <w:rPr>
          <w:rFonts w:asciiTheme="minorHAnsi" w:eastAsiaTheme="minorHAnsi" w:hAnsiTheme="minorHAnsi" w:cstheme="minorHAnsi"/>
        </w:rPr>
      </w:pPr>
    </w:p>
    <w:p w14:paraId="31B4C752" w14:textId="77777777" w:rsidR="009407E7" w:rsidRPr="00187FC3" w:rsidRDefault="009407E7" w:rsidP="009407E7">
      <w:pPr>
        <w:autoSpaceDE w:val="0"/>
        <w:autoSpaceDN w:val="0"/>
        <w:adjustRightInd w:val="0"/>
        <w:spacing w:after="22"/>
        <w:rPr>
          <w:rFonts w:asciiTheme="minorHAnsi" w:eastAsiaTheme="minorHAnsi" w:hAnsiTheme="minorHAnsi" w:cstheme="minorHAnsi"/>
        </w:rPr>
      </w:pPr>
    </w:p>
    <w:p w14:paraId="12C958E8" w14:textId="77777777" w:rsidR="000D6ED1" w:rsidRPr="00187FC3" w:rsidRDefault="000D6ED1" w:rsidP="000D6ED1">
      <w:pPr>
        <w:pStyle w:val="Heading1"/>
        <w:spacing w:before="0" w:line="240" w:lineRule="auto"/>
        <w:rPr>
          <w:rFonts w:asciiTheme="minorHAnsi" w:hAnsiTheme="minorHAnsi" w:cstheme="minorHAnsi"/>
        </w:rPr>
      </w:pPr>
      <w:bookmarkStart w:id="20" w:name="_Toc99993053"/>
      <w:bookmarkStart w:id="21" w:name="_Toc145424488"/>
      <w:r w:rsidRPr="00187FC3">
        <w:rPr>
          <w:rFonts w:asciiTheme="minorHAnsi" w:hAnsiTheme="minorHAnsi" w:cstheme="minorHAnsi"/>
        </w:rPr>
        <w:t>Factor 1: b) Public Health Value, Improved Health Outcomes and Quality of Life; Assurances of Health Equity</w:t>
      </w:r>
      <w:bookmarkEnd w:id="20"/>
      <w:bookmarkEnd w:id="21"/>
    </w:p>
    <w:p w14:paraId="10B3D09D" w14:textId="2513E292" w:rsidR="00187FC3" w:rsidRPr="002B0EFA" w:rsidRDefault="00187FC3" w:rsidP="00187FC3">
      <w:pPr>
        <w:autoSpaceDE w:val="0"/>
        <w:autoSpaceDN w:val="0"/>
        <w:adjustRightInd w:val="0"/>
        <w:rPr>
          <w:rFonts w:asciiTheme="minorHAnsi" w:hAnsiTheme="minorHAnsi" w:cstheme="minorHAnsi"/>
          <w:color w:val="000000"/>
        </w:rPr>
      </w:pPr>
      <w:bookmarkStart w:id="22" w:name="_Toc17149377"/>
      <w:bookmarkStart w:id="23" w:name="_Toc17151181"/>
      <w:r w:rsidRPr="002B0EFA">
        <w:rPr>
          <w:rFonts w:asciiTheme="minorHAnsi" w:hAnsiTheme="minorHAnsi" w:cstheme="minorHAnsi"/>
          <w:color w:val="000000"/>
        </w:rPr>
        <w:t>In</w:t>
      </w:r>
      <w:r w:rsidRPr="002B0EFA">
        <w:rPr>
          <w:rFonts w:asciiTheme="minorHAnsi" w:hAnsiTheme="minorHAnsi" w:cstheme="minorHAnsi"/>
        </w:rPr>
        <w:t xml:space="preserve"> this section</w:t>
      </w:r>
      <w:r w:rsidR="003B539B">
        <w:rPr>
          <w:rFonts w:asciiTheme="minorHAnsi" w:hAnsiTheme="minorHAnsi" w:cstheme="minorHAnsi"/>
        </w:rPr>
        <w:t>,</w:t>
      </w:r>
      <w:r w:rsidRPr="002B0EFA">
        <w:rPr>
          <w:rFonts w:asciiTheme="minorHAnsi" w:hAnsiTheme="minorHAnsi" w:cstheme="minorHAnsi"/>
        </w:rPr>
        <w:t xml:space="preserve"> staff will assess if the Proposed Project </w:t>
      </w:r>
      <w:r w:rsidRPr="002B0EFA">
        <w:rPr>
          <w:rFonts w:asciiTheme="minorHAnsi" w:hAnsiTheme="minorHAnsi" w:cstheme="minorHAnsi"/>
          <w:color w:val="000000"/>
        </w:rPr>
        <w:t xml:space="preserve">adds measurable public health value in terms of improved health outcomes and quality of life for the Applicant’s existing Patient Panel, while providing reasonable assurances of health equity. </w:t>
      </w:r>
    </w:p>
    <w:p w14:paraId="5D56C39E" w14:textId="77777777" w:rsidR="00187FC3" w:rsidRPr="002B0EFA" w:rsidRDefault="00187FC3" w:rsidP="00187FC3">
      <w:pPr>
        <w:autoSpaceDE w:val="0"/>
        <w:autoSpaceDN w:val="0"/>
        <w:adjustRightInd w:val="0"/>
        <w:rPr>
          <w:rFonts w:asciiTheme="minorHAnsi" w:hAnsiTheme="minorHAnsi" w:cstheme="minorHAnsi"/>
        </w:rPr>
      </w:pPr>
    </w:p>
    <w:p w14:paraId="649B6128" w14:textId="77777777" w:rsidR="00187FC3" w:rsidRPr="002B0EFA" w:rsidRDefault="00187FC3" w:rsidP="00187FC3">
      <w:pPr>
        <w:contextualSpacing/>
        <w:rPr>
          <w:rFonts w:asciiTheme="minorHAnsi" w:hAnsiTheme="minorHAnsi" w:cstheme="minorHAnsi"/>
          <w:b/>
          <w:bCs/>
        </w:rPr>
      </w:pPr>
      <w:r w:rsidRPr="002B0EFA">
        <w:rPr>
          <w:rFonts w:asciiTheme="minorHAnsi" w:hAnsiTheme="minorHAnsi" w:cstheme="minorHAnsi"/>
          <w:b/>
          <w:bCs/>
        </w:rPr>
        <w:t>Public Health Value and Health Outcomes</w:t>
      </w:r>
    </w:p>
    <w:p w14:paraId="37EB36CA" w14:textId="77777777" w:rsidR="00187FC3" w:rsidRPr="002B0EFA" w:rsidRDefault="00187FC3" w:rsidP="00187FC3">
      <w:pPr>
        <w:rPr>
          <w:rFonts w:asciiTheme="minorHAnsi" w:hAnsiTheme="minorHAnsi" w:cstheme="minorHAnsi"/>
        </w:rPr>
      </w:pPr>
      <w:r w:rsidRPr="002B0EFA">
        <w:rPr>
          <w:rFonts w:asciiTheme="minorHAnsi" w:hAnsiTheme="minorHAnsi" w:cstheme="minorHAnsi"/>
        </w:rPr>
        <w:lastRenderedPageBreak/>
        <w:t>The Applicant asserts that the Proposed Project aims to improve health outcomes and quality of life through the provision of timely CT imaging, which will lead to earlier diagnosis and treatment, thereby improving quality of life. To demonstrate improved public health value and quality of life, the Applicant provided well documented clinical utility of CT technology overall, and why it is the preferred imaging modality for a number of clinical concerns.</w:t>
      </w:r>
    </w:p>
    <w:p w14:paraId="55A1B581" w14:textId="77777777" w:rsidR="00187FC3" w:rsidRPr="002B0EFA" w:rsidRDefault="00187FC3" w:rsidP="00187FC3">
      <w:pPr>
        <w:rPr>
          <w:rFonts w:asciiTheme="minorHAnsi" w:hAnsiTheme="minorHAnsi" w:cstheme="minorHAnsi"/>
        </w:rPr>
      </w:pPr>
    </w:p>
    <w:p w14:paraId="37BCF2B3" w14:textId="24EC39AA" w:rsidR="00187FC3" w:rsidRPr="002B0EFA" w:rsidRDefault="00187FC3" w:rsidP="00187FC3">
      <w:pPr>
        <w:rPr>
          <w:rFonts w:asciiTheme="minorHAnsi" w:hAnsiTheme="minorHAnsi" w:cstheme="minorHAnsi"/>
        </w:rPr>
      </w:pPr>
      <w:r w:rsidRPr="002B0EFA">
        <w:rPr>
          <w:rFonts w:asciiTheme="minorHAnsi" w:hAnsiTheme="minorHAnsi" w:cstheme="minorHAnsi"/>
        </w:rPr>
        <w:t>A Computed Tomography (CT) is an imaging tool that utilizes x-ray beams to generate cross-sectional images - or “slices” - of the bones, blood vessels and soft tissue.</w:t>
      </w:r>
      <w:r w:rsidRPr="002B0EFA">
        <w:rPr>
          <w:rStyle w:val="EndnoteReference"/>
          <w:rFonts w:asciiTheme="minorHAnsi" w:hAnsiTheme="minorHAnsi" w:cstheme="minorHAnsi"/>
        </w:rPr>
        <w:endnoteReference w:id="6"/>
      </w:r>
      <w:r w:rsidRPr="002B0EFA">
        <w:rPr>
          <w:rStyle w:val="EndnoteReference"/>
          <w:rFonts w:asciiTheme="minorHAnsi" w:hAnsiTheme="minorHAnsi" w:cstheme="minorHAnsi"/>
        </w:rPr>
        <w:t xml:space="preserve"> </w:t>
      </w:r>
      <w:r w:rsidRPr="002B0EFA">
        <w:rPr>
          <w:rFonts w:asciiTheme="minorHAnsi" w:hAnsiTheme="minorHAnsi" w:cstheme="minorHAnsi"/>
        </w:rPr>
        <w:t>As a result, CT scans produce more clear, detailed images than conventional x-rays, making CTs extremely useful in detecting tumors or lesions within the abdomen and lungs; detecting heart disease or abnormalities of the heart; head injuries; and blood clots and embolisms.</w:t>
      </w:r>
      <w:r w:rsidRPr="002B0EFA">
        <w:rPr>
          <w:rStyle w:val="EndnoteReference"/>
          <w:rFonts w:asciiTheme="minorHAnsi" w:hAnsiTheme="minorHAnsi" w:cstheme="minorHAnsi"/>
        </w:rPr>
        <w:endnoteReference w:id="7"/>
      </w:r>
      <w:r w:rsidRPr="002B0EFA">
        <w:rPr>
          <w:rFonts w:asciiTheme="minorHAnsi" w:hAnsiTheme="minorHAnsi" w:cstheme="minorHAnsi"/>
        </w:rPr>
        <w:t xml:space="preserve"> CT scans can generally be performed in minutes, which means providers can quickly detect and diagnose emergent conditions such as strokes and consequently, reduce the chances of brain damage and disability.</w:t>
      </w:r>
      <w:r w:rsidRPr="002B0EFA">
        <w:rPr>
          <w:rStyle w:val="EndnoteReference"/>
          <w:rFonts w:asciiTheme="minorHAnsi" w:hAnsiTheme="minorHAnsi" w:cstheme="minorHAnsi"/>
        </w:rPr>
        <w:endnoteReference w:id="8"/>
      </w:r>
    </w:p>
    <w:p w14:paraId="66B798E3" w14:textId="77777777" w:rsidR="00187FC3" w:rsidRPr="00B00991" w:rsidRDefault="00187FC3" w:rsidP="00187FC3"/>
    <w:p w14:paraId="2C7130D4" w14:textId="7442080C" w:rsidR="00187FC3" w:rsidRPr="00B00991" w:rsidRDefault="00187FC3" w:rsidP="00187FC3">
      <w:pPr>
        <w:rPr>
          <w:rFonts w:asciiTheme="minorHAnsi" w:hAnsiTheme="minorHAnsi" w:cstheme="minorHAnsi"/>
        </w:rPr>
      </w:pPr>
      <w:r w:rsidRPr="00B00991">
        <w:rPr>
          <w:rFonts w:asciiTheme="minorHAnsi" w:hAnsiTheme="minorHAnsi" w:cstheme="minorHAnsi"/>
        </w:rPr>
        <w:t>With AJH serving as a Primary Stroke Service, the Hospital must have adequate CT capacity to serve stroke patients within the recommended timeframe.</w:t>
      </w:r>
      <w:r w:rsidRPr="00B00991">
        <w:rPr>
          <w:rStyle w:val="FootnoteReference"/>
          <w:rFonts w:asciiTheme="minorHAnsi" w:hAnsiTheme="minorHAnsi" w:cstheme="minorHAnsi"/>
        </w:rPr>
        <w:footnoteReference w:id="18"/>
      </w:r>
      <w:r w:rsidRPr="00B00991">
        <w:rPr>
          <w:rFonts w:asciiTheme="minorHAnsi" w:hAnsiTheme="minorHAnsi" w:cstheme="minorHAnsi"/>
        </w:rPr>
        <w:t xml:space="preserve"> The addition of a second CT unit at AJH will provide </w:t>
      </w:r>
      <w:r w:rsidR="008C459B">
        <w:rPr>
          <w:rFonts w:asciiTheme="minorHAnsi" w:hAnsiTheme="minorHAnsi" w:cstheme="minorHAnsi"/>
        </w:rPr>
        <w:t xml:space="preserve">improved access to </w:t>
      </w:r>
      <w:r w:rsidRPr="00B00991">
        <w:rPr>
          <w:rFonts w:asciiTheme="minorHAnsi" w:hAnsiTheme="minorHAnsi" w:cstheme="minorHAnsi"/>
        </w:rPr>
        <w:t>CT imaging</w:t>
      </w:r>
      <w:r w:rsidR="004F2956">
        <w:rPr>
          <w:rFonts w:asciiTheme="minorHAnsi" w:hAnsiTheme="minorHAnsi" w:cstheme="minorHAnsi"/>
        </w:rPr>
        <w:t xml:space="preserve"> by expanding the</w:t>
      </w:r>
      <w:r w:rsidR="001743D3">
        <w:rPr>
          <w:rFonts w:asciiTheme="minorHAnsi" w:hAnsiTheme="minorHAnsi" w:cstheme="minorHAnsi"/>
        </w:rPr>
        <w:t xml:space="preserve"> </w:t>
      </w:r>
      <w:r w:rsidR="0082090B">
        <w:rPr>
          <w:rFonts w:asciiTheme="minorHAnsi" w:hAnsiTheme="minorHAnsi" w:cstheme="minorHAnsi"/>
        </w:rPr>
        <w:t>machine’s availability</w:t>
      </w:r>
      <w:r w:rsidR="004F2956">
        <w:rPr>
          <w:rFonts w:asciiTheme="minorHAnsi" w:hAnsiTheme="minorHAnsi" w:cstheme="minorHAnsi"/>
        </w:rPr>
        <w:t xml:space="preserve"> to patients and </w:t>
      </w:r>
      <w:r w:rsidR="001743D3">
        <w:rPr>
          <w:rFonts w:asciiTheme="minorHAnsi" w:hAnsiTheme="minorHAnsi" w:cstheme="minorHAnsi"/>
        </w:rPr>
        <w:t>maintaining an in-house CT imaging option when one machine is in downtime</w:t>
      </w:r>
      <w:r w:rsidRPr="00B00991">
        <w:rPr>
          <w:rFonts w:asciiTheme="minorHAnsi" w:hAnsiTheme="minorHAnsi" w:cstheme="minorHAnsi"/>
        </w:rPr>
        <w:t xml:space="preserve">. This will enable AJH to </w:t>
      </w:r>
      <w:r w:rsidRPr="00B00991">
        <w:rPr>
          <w:rFonts w:asciiTheme="minorHAnsi" w:hAnsiTheme="minorHAnsi" w:cstheme="minorHAnsi"/>
          <w:color w:val="000000"/>
        </w:rPr>
        <w:t xml:space="preserve">have the CT capacity to expand its Lung Cancer screening program, </w:t>
      </w:r>
      <w:r w:rsidR="00806B42">
        <w:rPr>
          <w:rFonts w:asciiTheme="minorHAnsi" w:hAnsiTheme="minorHAnsi" w:cstheme="minorHAnsi"/>
          <w:color w:val="000000"/>
        </w:rPr>
        <w:t>which has been increasing in volume</w:t>
      </w:r>
      <w:r w:rsidR="00016CED">
        <w:rPr>
          <w:rFonts w:asciiTheme="minorHAnsi" w:hAnsiTheme="minorHAnsi" w:cstheme="minorHAnsi"/>
          <w:color w:val="000000"/>
        </w:rPr>
        <w:t xml:space="preserve"> (as detailed in Factor 1b)</w:t>
      </w:r>
      <w:r w:rsidR="00713C9C">
        <w:rPr>
          <w:rFonts w:asciiTheme="minorHAnsi" w:hAnsiTheme="minorHAnsi" w:cstheme="minorHAnsi"/>
          <w:color w:val="000000"/>
        </w:rPr>
        <w:t>. Th</w:t>
      </w:r>
      <w:r w:rsidRPr="00B00991">
        <w:rPr>
          <w:rFonts w:asciiTheme="minorHAnsi" w:hAnsiTheme="minorHAnsi" w:cstheme="minorHAnsi"/>
          <w:color w:val="000000"/>
        </w:rPr>
        <w:t xml:space="preserve">e Applicant predicts </w:t>
      </w:r>
      <w:r w:rsidR="00713C9C">
        <w:rPr>
          <w:rFonts w:asciiTheme="minorHAnsi" w:hAnsiTheme="minorHAnsi" w:cstheme="minorHAnsi"/>
          <w:color w:val="000000"/>
        </w:rPr>
        <w:t xml:space="preserve">that the </w:t>
      </w:r>
      <w:r w:rsidR="00854FA0">
        <w:rPr>
          <w:rFonts w:asciiTheme="minorHAnsi" w:hAnsiTheme="minorHAnsi" w:cstheme="minorHAnsi"/>
          <w:color w:val="000000"/>
        </w:rPr>
        <w:t xml:space="preserve">availability of a second CT unit </w:t>
      </w:r>
      <w:r w:rsidRPr="00B00991">
        <w:rPr>
          <w:rFonts w:asciiTheme="minorHAnsi" w:hAnsiTheme="minorHAnsi" w:cstheme="minorHAnsi"/>
          <w:color w:val="000000"/>
        </w:rPr>
        <w:t xml:space="preserve">will increase screening rates and early identification </w:t>
      </w:r>
      <w:r w:rsidRPr="00EA623D">
        <w:rPr>
          <w:rFonts w:asciiTheme="minorHAnsi" w:hAnsiTheme="minorHAnsi" w:cstheme="minorHAnsi"/>
          <w:color w:val="000000"/>
        </w:rPr>
        <w:t>of lung cancer. The Applicant noted that a</w:t>
      </w:r>
      <w:r w:rsidRPr="00EA623D">
        <w:rPr>
          <w:rFonts w:asciiTheme="minorHAnsi" w:hAnsiTheme="minorHAnsi" w:cstheme="minorHAnsi"/>
          <w:color w:val="1E1E23"/>
          <w:shd w:val="clear" w:color="auto" w:fill="FFFFFF"/>
        </w:rPr>
        <w:t>pproximately 8 million Americans qualify as high risk for lung cancer and are recommended to receive annual screening with low-dose CT scans.</w:t>
      </w:r>
      <w:r w:rsidR="009A32E3" w:rsidRPr="00EA623D">
        <w:rPr>
          <w:rStyle w:val="EndnoteReference"/>
          <w:rFonts w:asciiTheme="minorHAnsi" w:hAnsiTheme="minorHAnsi" w:cstheme="minorHAnsi"/>
          <w:color w:val="1E1E23"/>
          <w:shd w:val="clear" w:color="auto" w:fill="FFFFFF"/>
        </w:rPr>
        <w:endnoteReference w:id="9"/>
      </w:r>
      <w:r w:rsidR="009A32E3" w:rsidRPr="00EA623D">
        <w:rPr>
          <w:rFonts w:asciiTheme="minorHAnsi" w:hAnsiTheme="minorHAnsi" w:cstheme="minorHAnsi"/>
          <w:color w:val="1E1E23"/>
          <w:shd w:val="clear" w:color="auto" w:fill="FFFFFF"/>
        </w:rPr>
        <w:t xml:space="preserve"> </w:t>
      </w:r>
      <w:r w:rsidRPr="00EA623D">
        <w:rPr>
          <w:rFonts w:asciiTheme="minorHAnsi" w:hAnsiTheme="minorHAnsi" w:cstheme="minorHAnsi"/>
          <w:color w:val="1E1E23"/>
          <w:shd w:val="clear" w:color="auto" w:fill="FFFFFF"/>
        </w:rPr>
        <w:t>Screening with LDCT for those at high risk can decrease lung cancer mortality by 14% to 20%.</w:t>
      </w:r>
      <w:r w:rsidR="009A32E3" w:rsidRPr="00EA623D">
        <w:rPr>
          <w:rStyle w:val="EndnoteReference"/>
          <w:rFonts w:asciiTheme="minorHAnsi" w:hAnsiTheme="minorHAnsi" w:cstheme="minorHAnsi"/>
          <w:color w:val="1E1E23"/>
          <w:shd w:val="clear" w:color="auto" w:fill="FFFFFF"/>
        </w:rPr>
        <w:endnoteReference w:id="10"/>
      </w:r>
      <w:r w:rsidR="009A32E3" w:rsidRPr="00C7661C">
        <w:rPr>
          <w:rFonts w:ascii="Arial" w:hAnsi="Arial" w:cs="Arial"/>
          <w:color w:val="1E1E23"/>
          <w:sz w:val="20"/>
          <w:szCs w:val="20"/>
          <w:shd w:val="clear" w:color="auto" w:fill="FFFFFF"/>
        </w:rPr>
        <w:t xml:space="preserve"> </w:t>
      </w:r>
      <w:r w:rsidRPr="00B00991">
        <w:rPr>
          <w:rFonts w:asciiTheme="minorHAnsi" w:hAnsiTheme="minorHAnsi" w:cstheme="minorHAnsi"/>
          <w:color w:val="000000"/>
        </w:rPr>
        <w:t xml:space="preserve">Early identification can lead to treatment when disease can be more easily treated at lower costs than advanced disease, ultimately improving health outcomes. </w:t>
      </w:r>
    </w:p>
    <w:p w14:paraId="0D6B123B" w14:textId="77777777" w:rsidR="00187FC3" w:rsidRPr="002B0EFA" w:rsidRDefault="00187FC3" w:rsidP="00187FC3">
      <w:pPr>
        <w:autoSpaceDE w:val="0"/>
        <w:autoSpaceDN w:val="0"/>
        <w:adjustRightInd w:val="0"/>
        <w:rPr>
          <w:rFonts w:asciiTheme="minorHAnsi" w:hAnsiTheme="minorHAnsi" w:cstheme="minorHAnsi"/>
          <w:color w:val="000000"/>
          <w:highlight w:val="yellow"/>
        </w:rPr>
      </w:pPr>
    </w:p>
    <w:p w14:paraId="5FA71369" w14:textId="77777777" w:rsidR="00187FC3" w:rsidRPr="00EA623D" w:rsidRDefault="00187FC3" w:rsidP="00187FC3">
      <w:pPr>
        <w:rPr>
          <w:rFonts w:asciiTheme="minorHAnsi" w:hAnsiTheme="minorHAnsi" w:cstheme="minorHAnsi"/>
          <w:b/>
          <w:i/>
        </w:rPr>
      </w:pPr>
      <w:r w:rsidRPr="00EA623D">
        <w:rPr>
          <w:rFonts w:asciiTheme="minorHAnsi" w:hAnsiTheme="minorHAnsi" w:cstheme="minorHAnsi"/>
          <w:b/>
          <w:i/>
        </w:rPr>
        <w:t>Analysis: Public Health Value, Health Outcomes, and Quality of Life</w:t>
      </w:r>
    </w:p>
    <w:p w14:paraId="27A082E8" w14:textId="77777777" w:rsidR="00187FC3" w:rsidRPr="002B0EFA" w:rsidRDefault="00187FC3" w:rsidP="00187FC3">
      <w:pPr>
        <w:rPr>
          <w:rFonts w:asciiTheme="minorHAnsi" w:hAnsiTheme="minorHAnsi" w:cstheme="minorHAnsi"/>
          <w:bCs/>
          <w:highlight w:val="yellow"/>
        </w:rPr>
      </w:pPr>
      <w:r w:rsidRPr="00EA623D">
        <w:rPr>
          <w:rFonts w:asciiTheme="minorHAnsi" w:hAnsiTheme="minorHAnsi" w:cstheme="minorHAnsi"/>
          <w:bCs/>
        </w:rPr>
        <w:t xml:space="preserve">Staff finds that timely access to CT imaging contributes to improved health outcomes for all patients. </w:t>
      </w:r>
      <w:r w:rsidRPr="00EA623D">
        <w:rPr>
          <w:rFonts w:asciiTheme="minorHAnsi" w:hAnsiTheme="minorHAnsi" w:cstheme="minorHAnsi"/>
        </w:rPr>
        <w:t>Not having adequate access to CT scans can lead to delays in diagnosis and treatment. Unimpeded access to a CT scan is a particular concern for AJH as a designated Primary Stroke Service, which requires expedient patient imaging for proper diagnosis and treatment of patients.</w:t>
      </w:r>
      <w:r w:rsidRPr="00EA623D">
        <w:rPr>
          <w:rFonts w:asciiTheme="minorHAnsi" w:hAnsiTheme="minorHAnsi" w:cstheme="minorHAnsi"/>
          <w:bCs/>
        </w:rPr>
        <w:t xml:space="preserve"> </w:t>
      </w:r>
      <w:r w:rsidRPr="00EA623D">
        <w:rPr>
          <w:rFonts w:asciiTheme="minorHAnsi" w:hAnsiTheme="minorHAnsi" w:cstheme="minorHAnsi"/>
        </w:rPr>
        <w:t xml:space="preserve">DoN Staff finds that a second CT unit will allow a greater capacity for CT imaging and potential for greater emphasis on prevention and early treatment through its Lung Cancer Screenings. </w:t>
      </w:r>
      <w:r w:rsidRPr="00EA623D">
        <w:rPr>
          <w:rFonts w:asciiTheme="minorHAnsi" w:hAnsiTheme="minorHAnsi" w:cstheme="minorHAnsi"/>
          <w:color w:val="000000"/>
        </w:rPr>
        <w:t>Staff finds that the Proposed Project has potential to add to</w:t>
      </w:r>
      <w:r w:rsidRPr="00EA623D">
        <w:rPr>
          <w:rFonts w:asciiTheme="minorHAnsi" w:hAnsiTheme="minorHAnsi" w:cstheme="minorHAnsi"/>
        </w:rPr>
        <w:t xml:space="preserve"> public health value in terms of improved health outcomes and quality of life for the Applicant's Patient Panel. As a result, Staff finds that the Applicant meets the requirements of the Public Health Value: Health Outcomes part of Factor 1b.</w:t>
      </w:r>
    </w:p>
    <w:p w14:paraId="53CAB700" w14:textId="77777777" w:rsidR="00187FC3" w:rsidRPr="002B0EFA" w:rsidRDefault="00187FC3" w:rsidP="00187FC3">
      <w:pPr>
        <w:contextualSpacing/>
        <w:rPr>
          <w:rFonts w:asciiTheme="minorHAnsi" w:hAnsiTheme="minorHAnsi" w:cstheme="minorHAnsi"/>
          <w:b/>
          <w:bCs/>
          <w:highlight w:val="yellow"/>
        </w:rPr>
      </w:pPr>
    </w:p>
    <w:p w14:paraId="22DB6819" w14:textId="77777777" w:rsidR="00187FC3" w:rsidRPr="00EB6316" w:rsidRDefault="00187FC3" w:rsidP="00187FC3">
      <w:pPr>
        <w:contextualSpacing/>
        <w:rPr>
          <w:rFonts w:asciiTheme="minorHAnsi" w:hAnsiTheme="minorHAnsi" w:cstheme="minorHAnsi"/>
          <w:b/>
          <w:bCs/>
        </w:rPr>
      </w:pPr>
      <w:r w:rsidRPr="00EB6316">
        <w:rPr>
          <w:rFonts w:asciiTheme="minorHAnsi" w:hAnsiTheme="minorHAnsi" w:cstheme="minorHAnsi"/>
          <w:b/>
          <w:bCs/>
        </w:rPr>
        <w:t xml:space="preserve">Health Equity and Social Determinants of Health (SDoH) </w:t>
      </w:r>
    </w:p>
    <w:p w14:paraId="56354C8A" w14:textId="023F1CB2" w:rsidR="00187FC3" w:rsidRPr="00EB6316" w:rsidRDefault="00187FC3" w:rsidP="0013018D">
      <w:pPr>
        <w:pStyle w:val="BodyText"/>
        <w:rPr>
          <w:rFonts w:cstheme="minorHAnsi"/>
          <w:sz w:val="24"/>
          <w:szCs w:val="24"/>
          <w:highlight w:val="yellow"/>
        </w:rPr>
      </w:pPr>
      <w:r w:rsidRPr="00A80914">
        <w:rPr>
          <w:rFonts w:cstheme="minorHAnsi"/>
          <w:sz w:val="24"/>
          <w:szCs w:val="24"/>
        </w:rPr>
        <w:t xml:space="preserve">AJH </w:t>
      </w:r>
      <w:r>
        <w:rPr>
          <w:rFonts w:cstheme="minorHAnsi"/>
          <w:sz w:val="24"/>
          <w:szCs w:val="24"/>
        </w:rPr>
        <w:t xml:space="preserve">states that they </w:t>
      </w:r>
      <w:r w:rsidRPr="00A80914">
        <w:rPr>
          <w:rFonts w:cstheme="minorHAnsi"/>
          <w:sz w:val="24"/>
          <w:szCs w:val="24"/>
        </w:rPr>
        <w:t xml:space="preserve">continually strive to ensure health equity to all populations, including vulnerable and underserved populations. The Proposed Project will increase access to hospital-based CT services and will ensure accessibility of AJH services for low income, medically indigent and/or Medicaid </w:t>
      </w:r>
      <w:r w:rsidRPr="00A80914">
        <w:rPr>
          <w:rFonts w:cstheme="minorHAnsi"/>
          <w:sz w:val="24"/>
          <w:szCs w:val="24"/>
        </w:rPr>
        <w:lastRenderedPageBreak/>
        <w:t xml:space="preserve">beneficiaries. AJH </w:t>
      </w:r>
      <w:r>
        <w:rPr>
          <w:rFonts w:cstheme="minorHAnsi"/>
          <w:sz w:val="24"/>
          <w:szCs w:val="24"/>
        </w:rPr>
        <w:t>asserts its</w:t>
      </w:r>
      <w:r w:rsidRPr="00A80914">
        <w:rPr>
          <w:rFonts w:cstheme="minorHAnsi"/>
          <w:sz w:val="24"/>
          <w:szCs w:val="24"/>
        </w:rPr>
        <w:t xml:space="preserve"> commit</w:t>
      </w:r>
      <w:r>
        <w:rPr>
          <w:rFonts w:cstheme="minorHAnsi"/>
          <w:sz w:val="24"/>
          <w:szCs w:val="24"/>
        </w:rPr>
        <w:t>ment</w:t>
      </w:r>
      <w:r w:rsidRPr="00A80914">
        <w:rPr>
          <w:rFonts w:cstheme="minorHAnsi"/>
          <w:sz w:val="24"/>
          <w:szCs w:val="24"/>
        </w:rPr>
        <w:t xml:space="preserve"> to </w:t>
      </w:r>
      <w:r w:rsidRPr="007C46EE">
        <w:rPr>
          <w:rFonts w:cstheme="minorHAnsi"/>
          <w:sz w:val="24"/>
          <w:szCs w:val="24"/>
        </w:rPr>
        <w:t>serving the community regardless of an individual’s ability to pay and does not discriminate based on payor source.</w:t>
      </w:r>
      <w:r w:rsidR="0013018D">
        <w:rPr>
          <w:rFonts w:cstheme="minorHAnsi"/>
          <w:sz w:val="24"/>
          <w:szCs w:val="24"/>
        </w:rPr>
        <w:t xml:space="preserve"> </w:t>
      </w:r>
      <w:r w:rsidRPr="007C46EE">
        <w:rPr>
          <w:rFonts w:cstheme="minorHAnsi"/>
          <w:sz w:val="24"/>
          <w:szCs w:val="24"/>
        </w:rPr>
        <w:t>The</w:t>
      </w:r>
      <w:r w:rsidRPr="007C46EE">
        <w:rPr>
          <w:rFonts w:cstheme="minorHAnsi"/>
          <w:spacing w:val="-2"/>
          <w:sz w:val="24"/>
          <w:szCs w:val="24"/>
        </w:rPr>
        <w:t xml:space="preserve"> </w:t>
      </w:r>
      <w:r w:rsidRPr="007C46EE">
        <w:rPr>
          <w:rFonts w:cstheme="minorHAnsi"/>
          <w:sz w:val="24"/>
          <w:szCs w:val="24"/>
        </w:rPr>
        <w:t>Applicant</w:t>
      </w:r>
      <w:r w:rsidRPr="007C46EE">
        <w:rPr>
          <w:rFonts w:cstheme="minorHAnsi"/>
          <w:spacing w:val="-4"/>
          <w:sz w:val="24"/>
          <w:szCs w:val="24"/>
        </w:rPr>
        <w:t xml:space="preserve"> </w:t>
      </w:r>
      <w:r w:rsidRPr="007C46EE">
        <w:rPr>
          <w:rFonts w:cstheme="minorHAnsi"/>
          <w:sz w:val="24"/>
          <w:szCs w:val="24"/>
        </w:rPr>
        <w:t>states that AJH has ongoing efforts in Language Accessibility and Data Collection to facilitate equitable access to its services.</w:t>
      </w:r>
    </w:p>
    <w:p w14:paraId="55C63295" w14:textId="14538A9C" w:rsidR="00187FC3" w:rsidRPr="00442616" w:rsidRDefault="00187FC3" w:rsidP="00187FC3">
      <w:pPr>
        <w:widowControl w:val="0"/>
        <w:tabs>
          <w:tab w:val="left" w:pos="839"/>
          <w:tab w:val="left" w:pos="840"/>
        </w:tabs>
        <w:autoSpaceDE w:val="0"/>
        <w:autoSpaceDN w:val="0"/>
        <w:spacing w:before="78"/>
        <w:ind w:left="720" w:right="191"/>
        <w:rPr>
          <w:rFonts w:asciiTheme="minorHAnsi" w:hAnsiTheme="minorHAnsi" w:cstheme="minorHAnsi"/>
        </w:rPr>
      </w:pPr>
      <w:r w:rsidRPr="00B93BAF">
        <w:rPr>
          <w:rFonts w:asciiTheme="minorHAnsi" w:hAnsiTheme="minorHAnsi" w:cstheme="minorHAnsi"/>
          <w:b/>
          <w:bCs/>
        </w:rPr>
        <w:t>Language Accessibility:</w:t>
      </w:r>
      <w:r w:rsidRPr="00B93BAF">
        <w:rPr>
          <w:rFonts w:asciiTheme="minorHAnsi" w:hAnsiTheme="minorHAnsi" w:cstheme="minorHAnsi"/>
        </w:rPr>
        <w:t xml:space="preserve"> Interpretation services are available at no charge. Services are offered in person, by video, and by telephone, are available for over 300 different languages, and can be used 24 hours a day. </w:t>
      </w:r>
      <w:r w:rsidRPr="00497CE1">
        <w:rPr>
          <w:rFonts w:asciiTheme="minorHAnsi" w:hAnsiTheme="minorHAnsi" w:cstheme="minorHAnsi"/>
        </w:rPr>
        <w:t>AJH has one per diem interpreter, and 6 video remote interpreting (VRI) devices across in-patient/outpatient settings.</w:t>
      </w:r>
      <w:r w:rsidRPr="0079665F">
        <w:rPr>
          <w:rFonts w:asciiTheme="minorHAnsi" w:hAnsiTheme="minorHAnsi" w:cstheme="minorHAnsi"/>
        </w:rPr>
        <w:t xml:space="preserve"> AJH has a designated Spanish interpreter available on site as well as in-person interpretation through the vendor. </w:t>
      </w:r>
      <w:r w:rsidRPr="00B93BAF">
        <w:rPr>
          <w:rFonts w:asciiTheme="minorHAnsi" w:hAnsiTheme="minorHAnsi" w:cstheme="minorHAnsi"/>
        </w:rPr>
        <w:t xml:space="preserve">Trained interpreters assist during hospitalization and inform patients and their </w:t>
      </w:r>
      <w:r w:rsidRPr="00497CE1">
        <w:rPr>
          <w:rFonts w:asciiTheme="minorHAnsi" w:hAnsiTheme="minorHAnsi" w:cstheme="minorHAnsi"/>
        </w:rPr>
        <w:t xml:space="preserve">facilities about procedures, </w:t>
      </w:r>
      <w:r w:rsidR="00742009" w:rsidRPr="00497CE1">
        <w:rPr>
          <w:rFonts w:asciiTheme="minorHAnsi" w:hAnsiTheme="minorHAnsi" w:cstheme="minorHAnsi"/>
        </w:rPr>
        <w:t>medication,</w:t>
      </w:r>
      <w:r w:rsidRPr="00497CE1">
        <w:rPr>
          <w:rFonts w:asciiTheme="minorHAnsi" w:hAnsiTheme="minorHAnsi" w:cstheme="minorHAnsi"/>
        </w:rPr>
        <w:t xml:space="preserve"> and other important information. </w:t>
      </w:r>
      <w:r w:rsidRPr="00497CE1">
        <w:rPr>
          <w:rFonts w:asciiTheme="minorHAnsi" w:eastAsiaTheme="minorHAnsi" w:hAnsiTheme="minorHAnsi" w:cstheme="minorHAnsi"/>
        </w:rPr>
        <w:t xml:space="preserve">AJH has two language vendors providing </w:t>
      </w:r>
      <w:r w:rsidRPr="00497CE1">
        <w:rPr>
          <w:rFonts w:asciiTheme="minorHAnsi" w:hAnsiTheme="minorHAnsi" w:cstheme="minorHAnsi"/>
          <w:color w:val="000000"/>
          <w:shd w:val="clear" w:color="auto" w:fill="FFFFFF"/>
        </w:rPr>
        <w:t xml:space="preserve">24/7 phone interpretation and document </w:t>
      </w:r>
      <w:r w:rsidRPr="00442616">
        <w:rPr>
          <w:rFonts w:asciiTheme="minorHAnsi" w:hAnsiTheme="minorHAnsi" w:cstheme="minorHAnsi"/>
        </w:rPr>
        <w:t xml:space="preserve">translation as well as video interpretation for specific languages. Services are </w:t>
      </w:r>
      <w:r>
        <w:rPr>
          <w:rFonts w:asciiTheme="minorHAnsi" w:hAnsiTheme="minorHAnsi" w:cstheme="minorHAnsi"/>
        </w:rPr>
        <w:t xml:space="preserve">also </w:t>
      </w:r>
      <w:r w:rsidRPr="00442616">
        <w:rPr>
          <w:rFonts w:asciiTheme="minorHAnsi" w:hAnsiTheme="minorHAnsi" w:cstheme="minorHAnsi"/>
        </w:rPr>
        <w:t>available to facilitate communication for deaf and hard of hearing patients. A Certified Deaf Interpreter (CDI) is available on-call when needed in-person. American Sign Language interpreters are available 24/7 on the VRIs</w:t>
      </w:r>
      <w:r>
        <w:rPr>
          <w:rFonts w:asciiTheme="minorHAnsi" w:hAnsiTheme="minorHAnsi" w:cstheme="minorHAnsi"/>
        </w:rPr>
        <w:t xml:space="preserve"> and A</w:t>
      </w:r>
      <w:r w:rsidRPr="00442616">
        <w:rPr>
          <w:rFonts w:asciiTheme="minorHAnsi" w:hAnsiTheme="minorHAnsi" w:cstheme="minorHAnsi"/>
        </w:rPr>
        <w:t>ssistive Devices are available to patients. The Hospital’s Telecommunications Device for the Deaf (TDD) is available for patients 24 hours a day.</w:t>
      </w:r>
    </w:p>
    <w:p w14:paraId="2F8F5FE9" w14:textId="77777777" w:rsidR="00187FC3" w:rsidRPr="00442616" w:rsidRDefault="00187FC3" w:rsidP="00187FC3">
      <w:pPr>
        <w:widowControl w:val="0"/>
        <w:tabs>
          <w:tab w:val="left" w:pos="839"/>
          <w:tab w:val="left" w:pos="840"/>
        </w:tabs>
        <w:autoSpaceDE w:val="0"/>
        <w:autoSpaceDN w:val="0"/>
        <w:spacing w:before="78"/>
        <w:ind w:left="720" w:right="191"/>
        <w:rPr>
          <w:rFonts w:asciiTheme="minorHAnsi" w:hAnsiTheme="minorHAnsi" w:cstheme="minorHAnsi"/>
        </w:rPr>
      </w:pPr>
    </w:p>
    <w:p w14:paraId="2A5F490F" w14:textId="7D069E05" w:rsidR="00187FC3" w:rsidRPr="00510C47" w:rsidRDefault="00187FC3" w:rsidP="00187FC3">
      <w:pPr>
        <w:widowControl w:val="0"/>
        <w:tabs>
          <w:tab w:val="left" w:pos="839"/>
          <w:tab w:val="left" w:pos="840"/>
        </w:tabs>
        <w:autoSpaceDE w:val="0"/>
        <w:autoSpaceDN w:val="0"/>
        <w:ind w:left="720" w:right="289"/>
        <w:rPr>
          <w:rFonts w:asciiTheme="minorHAnsi" w:hAnsiTheme="minorHAnsi" w:cstheme="minorHAnsi"/>
        </w:rPr>
      </w:pPr>
      <w:r w:rsidRPr="00510C47">
        <w:rPr>
          <w:rFonts w:asciiTheme="minorHAnsi" w:hAnsiTheme="minorHAnsi" w:cstheme="minorHAnsi"/>
          <w:b/>
          <w:bCs/>
        </w:rPr>
        <w:t>Data Collection:</w:t>
      </w:r>
      <w:r w:rsidRPr="00510C47">
        <w:rPr>
          <w:rFonts w:asciiTheme="minorHAnsi" w:hAnsiTheme="minorHAnsi" w:cstheme="minorHAnsi"/>
        </w:rPr>
        <w:t xml:space="preserve"> BILH</w:t>
      </w:r>
      <w:r w:rsidRPr="00510C47">
        <w:rPr>
          <w:rFonts w:asciiTheme="minorHAnsi" w:hAnsiTheme="minorHAnsi" w:cstheme="minorHAnsi"/>
          <w:spacing w:val="-3"/>
        </w:rPr>
        <w:t xml:space="preserve"> </w:t>
      </w:r>
      <w:r w:rsidRPr="00510C47">
        <w:rPr>
          <w:rFonts w:asciiTheme="minorHAnsi" w:hAnsiTheme="minorHAnsi" w:cstheme="minorHAnsi"/>
        </w:rPr>
        <w:t>is</w:t>
      </w:r>
      <w:r w:rsidRPr="00510C47">
        <w:rPr>
          <w:rFonts w:asciiTheme="minorHAnsi" w:hAnsiTheme="minorHAnsi" w:cstheme="minorHAnsi"/>
          <w:spacing w:val="-3"/>
        </w:rPr>
        <w:t xml:space="preserve"> </w:t>
      </w:r>
      <w:r w:rsidRPr="00510C47">
        <w:rPr>
          <w:rFonts w:asciiTheme="minorHAnsi" w:hAnsiTheme="minorHAnsi" w:cstheme="minorHAnsi"/>
        </w:rPr>
        <w:t>working</w:t>
      </w:r>
      <w:r w:rsidRPr="00510C47">
        <w:rPr>
          <w:rFonts w:asciiTheme="minorHAnsi" w:hAnsiTheme="minorHAnsi" w:cstheme="minorHAnsi"/>
          <w:spacing w:val="-5"/>
        </w:rPr>
        <w:t xml:space="preserve"> </w:t>
      </w:r>
      <w:r w:rsidRPr="00510C47">
        <w:rPr>
          <w:rFonts w:asciiTheme="minorHAnsi" w:hAnsiTheme="minorHAnsi" w:cstheme="minorHAnsi"/>
        </w:rPr>
        <w:t>to</w:t>
      </w:r>
      <w:r w:rsidRPr="00510C47">
        <w:rPr>
          <w:rFonts w:asciiTheme="minorHAnsi" w:hAnsiTheme="minorHAnsi" w:cstheme="minorHAnsi"/>
          <w:spacing w:val="-2"/>
        </w:rPr>
        <w:t xml:space="preserve"> </w:t>
      </w:r>
      <w:r w:rsidRPr="00510C47">
        <w:rPr>
          <w:rFonts w:asciiTheme="minorHAnsi" w:hAnsiTheme="minorHAnsi" w:cstheme="minorHAnsi"/>
        </w:rPr>
        <w:t>reduce</w:t>
      </w:r>
      <w:r w:rsidRPr="00510C47">
        <w:rPr>
          <w:rFonts w:asciiTheme="minorHAnsi" w:hAnsiTheme="minorHAnsi" w:cstheme="minorHAnsi"/>
          <w:spacing w:val="-2"/>
        </w:rPr>
        <w:t xml:space="preserve"> </w:t>
      </w:r>
      <w:r w:rsidRPr="00510C47">
        <w:rPr>
          <w:rFonts w:asciiTheme="minorHAnsi" w:hAnsiTheme="minorHAnsi" w:cstheme="minorHAnsi"/>
        </w:rPr>
        <w:t>health</w:t>
      </w:r>
      <w:r w:rsidRPr="00510C47">
        <w:rPr>
          <w:rFonts w:asciiTheme="minorHAnsi" w:hAnsiTheme="minorHAnsi" w:cstheme="minorHAnsi"/>
          <w:spacing w:val="-4"/>
        </w:rPr>
        <w:t xml:space="preserve"> </w:t>
      </w:r>
      <w:r w:rsidRPr="00510C47">
        <w:rPr>
          <w:rFonts w:asciiTheme="minorHAnsi" w:hAnsiTheme="minorHAnsi" w:cstheme="minorHAnsi"/>
        </w:rPr>
        <w:t>inequities</w:t>
      </w:r>
      <w:r w:rsidRPr="00510C47">
        <w:rPr>
          <w:rFonts w:asciiTheme="minorHAnsi" w:hAnsiTheme="minorHAnsi" w:cstheme="minorHAnsi"/>
          <w:spacing w:val="-5"/>
        </w:rPr>
        <w:t xml:space="preserve"> </w:t>
      </w:r>
      <w:r w:rsidRPr="00510C47">
        <w:rPr>
          <w:rFonts w:asciiTheme="minorHAnsi" w:hAnsiTheme="minorHAnsi" w:cstheme="minorHAnsi"/>
        </w:rPr>
        <w:t>through</w:t>
      </w:r>
      <w:r w:rsidRPr="00510C47">
        <w:rPr>
          <w:rFonts w:asciiTheme="minorHAnsi" w:hAnsiTheme="minorHAnsi" w:cstheme="minorHAnsi"/>
          <w:spacing w:val="-2"/>
        </w:rPr>
        <w:t xml:space="preserve"> </w:t>
      </w:r>
      <w:r w:rsidRPr="00510C47">
        <w:rPr>
          <w:rFonts w:asciiTheme="minorHAnsi" w:hAnsiTheme="minorHAnsi" w:cstheme="minorHAnsi"/>
        </w:rPr>
        <w:t>the</w:t>
      </w:r>
      <w:r w:rsidRPr="00510C47">
        <w:rPr>
          <w:rFonts w:asciiTheme="minorHAnsi" w:hAnsiTheme="minorHAnsi" w:cstheme="minorHAnsi"/>
          <w:spacing w:val="-2"/>
        </w:rPr>
        <w:t xml:space="preserve"> </w:t>
      </w:r>
      <w:r w:rsidRPr="00510C47">
        <w:rPr>
          <w:rFonts w:asciiTheme="minorHAnsi" w:hAnsiTheme="minorHAnsi" w:cstheme="minorHAnsi"/>
        </w:rPr>
        <w:t>collection</w:t>
      </w:r>
      <w:r w:rsidRPr="00510C47">
        <w:rPr>
          <w:rFonts w:asciiTheme="minorHAnsi" w:hAnsiTheme="minorHAnsi" w:cstheme="minorHAnsi"/>
          <w:spacing w:val="-2"/>
        </w:rPr>
        <w:t xml:space="preserve"> </w:t>
      </w:r>
      <w:r w:rsidRPr="00510C47">
        <w:rPr>
          <w:rFonts w:asciiTheme="minorHAnsi" w:hAnsiTheme="minorHAnsi" w:cstheme="minorHAnsi"/>
        </w:rPr>
        <w:t>of</w:t>
      </w:r>
      <w:r w:rsidRPr="00510C47">
        <w:rPr>
          <w:rFonts w:asciiTheme="minorHAnsi" w:hAnsiTheme="minorHAnsi" w:cstheme="minorHAnsi"/>
          <w:spacing w:val="-4"/>
        </w:rPr>
        <w:t xml:space="preserve"> </w:t>
      </w:r>
      <w:r w:rsidRPr="00510C47">
        <w:rPr>
          <w:rFonts w:asciiTheme="minorHAnsi" w:hAnsiTheme="minorHAnsi" w:cstheme="minorHAnsi"/>
        </w:rPr>
        <w:t>demographic</w:t>
      </w:r>
      <w:r w:rsidRPr="00510C47">
        <w:rPr>
          <w:rFonts w:asciiTheme="minorHAnsi" w:hAnsiTheme="minorHAnsi" w:cstheme="minorHAnsi"/>
          <w:spacing w:val="-6"/>
        </w:rPr>
        <w:t xml:space="preserve"> </w:t>
      </w:r>
      <w:r w:rsidRPr="00510C47">
        <w:rPr>
          <w:rFonts w:asciiTheme="minorHAnsi" w:hAnsiTheme="minorHAnsi" w:cstheme="minorHAnsi"/>
        </w:rPr>
        <w:t>data (Race, Ethnicity and Language (REAL) data). BILH launched a new initiative to request more detailed and complete demographic information from patients and created a multidisciplinary team of representatives from across the System to develop best practices</w:t>
      </w:r>
      <w:r w:rsidRPr="00510C47">
        <w:rPr>
          <w:rFonts w:asciiTheme="minorHAnsi" w:hAnsiTheme="minorHAnsi" w:cstheme="minorHAnsi"/>
          <w:spacing w:val="-2"/>
        </w:rPr>
        <w:t xml:space="preserve"> </w:t>
      </w:r>
      <w:r w:rsidRPr="00510C47">
        <w:rPr>
          <w:rFonts w:asciiTheme="minorHAnsi" w:hAnsiTheme="minorHAnsi" w:cstheme="minorHAnsi"/>
        </w:rPr>
        <w:t>and</w:t>
      </w:r>
      <w:r w:rsidRPr="00510C47">
        <w:rPr>
          <w:rFonts w:asciiTheme="minorHAnsi" w:hAnsiTheme="minorHAnsi" w:cstheme="minorHAnsi"/>
          <w:spacing w:val="-3"/>
        </w:rPr>
        <w:t xml:space="preserve"> </w:t>
      </w:r>
      <w:r w:rsidRPr="00510C47">
        <w:rPr>
          <w:rFonts w:asciiTheme="minorHAnsi" w:hAnsiTheme="minorHAnsi" w:cstheme="minorHAnsi"/>
        </w:rPr>
        <w:t>processes</w:t>
      </w:r>
      <w:r w:rsidRPr="00510C47">
        <w:rPr>
          <w:rFonts w:asciiTheme="minorHAnsi" w:hAnsiTheme="minorHAnsi" w:cstheme="minorHAnsi"/>
          <w:spacing w:val="-4"/>
        </w:rPr>
        <w:t xml:space="preserve"> </w:t>
      </w:r>
      <w:r w:rsidRPr="00510C47">
        <w:rPr>
          <w:rFonts w:asciiTheme="minorHAnsi" w:hAnsiTheme="minorHAnsi" w:cstheme="minorHAnsi"/>
        </w:rPr>
        <w:t>to</w:t>
      </w:r>
      <w:r w:rsidRPr="00510C47">
        <w:rPr>
          <w:rFonts w:asciiTheme="minorHAnsi" w:hAnsiTheme="minorHAnsi" w:cstheme="minorHAnsi"/>
          <w:spacing w:val="-1"/>
        </w:rPr>
        <w:t xml:space="preserve"> </w:t>
      </w:r>
      <w:r w:rsidRPr="00510C47">
        <w:rPr>
          <w:rFonts w:asciiTheme="minorHAnsi" w:hAnsiTheme="minorHAnsi" w:cstheme="minorHAnsi"/>
        </w:rPr>
        <w:t>support consistent</w:t>
      </w:r>
      <w:r w:rsidRPr="00510C47">
        <w:rPr>
          <w:rFonts w:asciiTheme="minorHAnsi" w:hAnsiTheme="minorHAnsi" w:cstheme="minorHAnsi"/>
          <w:spacing w:val="-3"/>
        </w:rPr>
        <w:t xml:space="preserve"> </w:t>
      </w:r>
      <w:r w:rsidRPr="00510C47">
        <w:rPr>
          <w:rFonts w:asciiTheme="minorHAnsi" w:hAnsiTheme="minorHAnsi" w:cstheme="minorHAnsi"/>
        </w:rPr>
        <w:t>capture</w:t>
      </w:r>
      <w:r w:rsidRPr="00510C47">
        <w:rPr>
          <w:rFonts w:asciiTheme="minorHAnsi" w:hAnsiTheme="minorHAnsi" w:cstheme="minorHAnsi"/>
          <w:spacing w:val="-3"/>
        </w:rPr>
        <w:t xml:space="preserve"> </w:t>
      </w:r>
      <w:r w:rsidRPr="00510C47">
        <w:rPr>
          <w:rFonts w:asciiTheme="minorHAnsi" w:hAnsiTheme="minorHAnsi" w:cstheme="minorHAnsi"/>
        </w:rPr>
        <w:t>of</w:t>
      </w:r>
      <w:r w:rsidRPr="00510C47">
        <w:rPr>
          <w:rFonts w:asciiTheme="minorHAnsi" w:hAnsiTheme="minorHAnsi" w:cstheme="minorHAnsi"/>
          <w:spacing w:val="-3"/>
        </w:rPr>
        <w:t xml:space="preserve"> </w:t>
      </w:r>
      <w:r w:rsidRPr="00510C47">
        <w:rPr>
          <w:rFonts w:asciiTheme="minorHAnsi" w:hAnsiTheme="minorHAnsi" w:cstheme="minorHAnsi"/>
        </w:rPr>
        <w:t>data</w:t>
      </w:r>
      <w:r w:rsidRPr="00510C47">
        <w:rPr>
          <w:rFonts w:asciiTheme="minorHAnsi" w:hAnsiTheme="minorHAnsi" w:cstheme="minorHAnsi"/>
          <w:spacing w:val="-1"/>
        </w:rPr>
        <w:t xml:space="preserve"> </w:t>
      </w:r>
      <w:r w:rsidRPr="00510C47">
        <w:rPr>
          <w:rFonts w:asciiTheme="minorHAnsi" w:hAnsiTheme="minorHAnsi" w:cstheme="minorHAnsi"/>
        </w:rPr>
        <w:t>in</w:t>
      </w:r>
      <w:r w:rsidRPr="00510C47">
        <w:rPr>
          <w:rFonts w:asciiTheme="minorHAnsi" w:hAnsiTheme="minorHAnsi" w:cstheme="minorHAnsi"/>
          <w:spacing w:val="-2"/>
        </w:rPr>
        <w:t xml:space="preserve"> </w:t>
      </w:r>
      <w:r w:rsidRPr="00510C47">
        <w:rPr>
          <w:rFonts w:asciiTheme="minorHAnsi" w:hAnsiTheme="minorHAnsi" w:cstheme="minorHAnsi"/>
        </w:rPr>
        <w:t>the</w:t>
      </w:r>
      <w:r w:rsidRPr="00510C47">
        <w:rPr>
          <w:rFonts w:asciiTheme="minorHAnsi" w:hAnsiTheme="minorHAnsi" w:cstheme="minorHAnsi"/>
          <w:spacing w:val="-3"/>
        </w:rPr>
        <w:t xml:space="preserve"> </w:t>
      </w:r>
      <w:r w:rsidRPr="00510C47">
        <w:rPr>
          <w:rFonts w:asciiTheme="minorHAnsi" w:hAnsiTheme="minorHAnsi" w:cstheme="minorHAnsi"/>
        </w:rPr>
        <w:t>electronic</w:t>
      </w:r>
      <w:r w:rsidRPr="00510C47">
        <w:rPr>
          <w:rFonts w:asciiTheme="minorHAnsi" w:hAnsiTheme="minorHAnsi" w:cstheme="minorHAnsi"/>
          <w:spacing w:val="-2"/>
        </w:rPr>
        <w:t xml:space="preserve"> </w:t>
      </w:r>
      <w:r w:rsidRPr="00510C47">
        <w:rPr>
          <w:rFonts w:asciiTheme="minorHAnsi" w:hAnsiTheme="minorHAnsi" w:cstheme="minorHAnsi"/>
        </w:rPr>
        <w:t>medical record (EMR).</w:t>
      </w:r>
    </w:p>
    <w:p w14:paraId="24828F01" w14:textId="77777777" w:rsidR="00187FC3" w:rsidRPr="00EB6316" w:rsidRDefault="00187FC3" w:rsidP="00187FC3">
      <w:pPr>
        <w:widowControl w:val="0"/>
        <w:tabs>
          <w:tab w:val="left" w:pos="839"/>
          <w:tab w:val="left" w:pos="840"/>
        </w:tabs>
        <w:autoSpaceDE w:val="0"/>
        <w:autoSpaceDN w:val="0"/>
        <w:ind w:left="480" w:right="289"/>
        <w:rPr>
          <w:rFonts w:asciiTheme="minorHAnsi" w:hAnsiTheme="minorHAnsi" w:cstheme="minorHAnsi"/>
          <w:highlight w:val="yellow"/>
        </w:rPr>
      </w:pPr>
    </w:p>
    <w:p w14:paraId="3FB4E8F0" w14:textId="77777777" w:rsidR="00187FC3" w:rsidRPr="00EB6316" w:rsidRDefault="00187FC3" w:rsidP="00187FC3">
      <w:pPr>
        <w:contextualSpacing/>
        <w:rPr>
          <w:rFonts w:asciiTheme="minorHAnsi" w:hAnsiTheme="minorHAnsi" w:cstheme="minorHAnsi"/>
          <w:b/>
          <w:i/>
          <w:highlight w:val="yellow"/>
        </w:rPr>
      </w:pPr>
    </w:p>
    <w:p w14:paraId="1A591548" w14:textId="77777777" w:rsidR="00187FC3" w:rsidRPr="00510C47" w:rsidRDefault="00187FC3" w:rsidP="00187FC3">
      <w:pPr>
        <w:contextualSpacing/>
        <w:rPr>
          <w:rFonts w:asciiTheme="minorHAnsi" w:hAnsiTheme="minorHAnsi" w:cstheme="minorHAnsi"/>
          <w:b/>
          <w:i/>
        </w:rPr>
      </w:pPr>
      <w:r w:rsidRPr="00510C47">
        <w:rPr>
          <w:rFonts w:asciiTheme="minorHAnsi" w:hAnsiTheme="minorHAnsi" w:cstheme="minorHAnsi"/>
          <w:b/>
          <w:i/>
        </w:rPr>
        <w:t>Analysis: Health Equity and SDoH</w:t>
      </w:r>
    </w:p>
    <w:p w14:paraId="669239AE" w14:textId="1E121D7D" w:rsidR="00187FC3" w:rsidRPr="008E45E3" w:rsidRDefault="00187FC3" w:rsidP="00187FC3">
      <w:pPr>
        <w:rPr>
          <w:rFonts w:asciiTheme="minorHAnsi" w:hAnsiTheme="minorHAnsi" w:cstheme="minorHAnsi"/>
          <w:bCs/>
        </w:rPr>
      </w:pPr>
      <w:r w:rsidRPr="008E45E3">
        <w:rPr>
          <w:rFonts w:asciiTheme="minorHAnsi" w:hAnsiTheme="minorHAnsi" w:cstheme="minorHAnsi"/>
          <w:color w:val="000000"/>
        </w:rPr>
        <w:t>The DoN Staff reviewed the Applicant’s efforts to ensure equitable care.</w:t>
      </w:r>
      <w:r>
        <w:rPr>
          <w:rFonts w:asciiTheme="minorHAnsi" w:hAnsiTheme="minorHAnsi" w:cstheme="minorHAnsi"/>
          <w:color w:val="000000"/>
        </w:rPr>
        <w:t xml:space="preserve"> </w:t>
      </w:r>
      <w:r w:rsidRPr="00136EF3">
        <w:rPr>
          <w:rFonts w:asciiTheme="minorHAnsi" w:hAnsiTheme="minorHAnsi" w:cstheme="minorHAnsi"/>
          <w:color w:val="000000"/>
        </w:rPr>
        <w:t>The Applicant demonstrates efforts to achieve health equity through language accessibility</w:t>
      </w:r>
      <w:r>
        <w:rPr>
          <w:rFonts w:asciiTheme="minorHAnsi" w:hAnsiTheme="minorHAnsi" w:cstheme="minorHAnsi"/>
          <w:color w:val="000000"/>
        </w:rPr>
        <w:t>,</w:t>
      </w:r>
      <w:r w:rsidRPr="00136EF3">
        <w:rPr>
          <w:rFonts w:asciiTheme="minorHAnsi" w:hAnsiTheme="minorHAnsi" w:cstheme="minorHAnsi"/>
          <w:color w:val="000000"/>
        </w:rPr>
        <w:t xml:space="preserve"> and data collection</w:t>
      </w:r>
      <w:r w:rsidR="00355970">
        <w:rPr>
          <w:rFonts w:asciiTheme="minorHAnsi" w:hAnsiTheme="minorHAnsi" w:cstheme="minorHAnsi"/>
          <w:color w:val="000000"/>
        </w:rPr>
        <w:t xml:space="preserve"> that provides</w:t>
      </w:r>
      <w:r>
        <w:rPr>
          <w:rFonts w:asciiTheme="minorHAnsi" w:hAnsiTheme="minorHAnsi" w:cstheme="minorHAnsi"/>
          <w:color w:val="000000"/>
        </w:rPr>
        <w:t xml:space="preserve"> a more accurate understanding of</w:t>
      </w:r>
      <w:r w:rsidRPr="00136EF3">
        <w:rPr>
          <w:rFonts w:asciiTheme="minorHAnsi" w:hAnsiTheme="minorHAnsi" w:cstheme="minorHAnsi"/>
          <w:color w:val="000000"/>
        </w:rPr>
        <w:t xml:space="preserve"> the race, ethnicity, and language of their patient population.</w:t>
      </w:r>
      <w:r>
        <w:rPr>
          <w:rFonts w:asciiTheme="minorHAnsi" w:hAnsiTheme="minorHAnsi" w:cstheme="minorHAnsi"/>
          <w:color w:val="000000"/>
        </w:rPr>
        <w:t xml:space="preserve"> </w:t>
      </w:r>
      <w:r w:rsidRPr="008E45E3">
        <w:rPr>
          <w:rFonts w:asciiTheme="minorHAnsi" w:hAnsiTheme="minorHAnsi" w:cstheme="minorHAnsi"/>
          <w:color w:val="000000"/>
        </w:rPr>
        <w:t xml:space="preserve">Staff finds that the Applicant has sufficiently outlined ongoing efforts to achieve health equity. </w:t>
      </w:r>
      <w:r w:rsidRPr="008E45E3">
        <w:rPr>
          <w:rFonts w:asciiTheme="minorHAnsi" w:hAnsiTheme="minorHAnsi" w:cstheme="minorHAnsi"/>
        </w:rPr>
        <w:t>As a result, Staff finds that the Applicant meets the requirements of the Public Health Value: Health Equity part of Factor 1b.</w:t>
      </w:r>
    </w:p>
    <w:p w14:paraId="12BBAFD7" w14:textId="77777777" w:rsidR="00187FC3" w:rsidRPr="00EB6316" w:rsidRDefault="00187FC3" w:rsidP="00187FC3">
      <w:pPr>
        <w:contextualSpacing/>
        <w:rPr>
          <w:rFonts w:asciiTheme="minorHAnsi" w:hAnsiTheme="minorHAnsi" w:cstheme="minorHAnsi"/>
          <w:color w:val="000000"/>
          <w:highlight w:val="yellow"/>
        </w:rPr>
      </w:pPr>
    </w:p>
    <w:p w14:paraId="1369A844" w14:textId="77777777" w:rsidR="000D6ED1" w:rsidRPr="00734A85" w:rsidRDefault="000D6ED1" w:rsidP="000D6ED1">
      <w:pPr>
        <w:rPr>
          <w:rFonts w:asciiTheme="minorHAnsi" w:hAnsiTheme="minorHAnsi" w:cstheme="minorHAnsi"/>
        </w:rPr>
      </w:pPr>
    </w:p>
    <w:p w14:paraId="01CD7785" w14:textId="77777777" w:rsidR="0041647C" w:rsidRPr="00734A85" w:rsidRDefault="0041647C" w:rsidP="0041647C">
      <w:pPr>
        <w:pStyle w:val="Heading1"/>
        <w:spacing w:before="0"/>
        <w:rPr>
          <w:rFonts w:asciiTheme="minorHAnsi" w:hAnsiTheme="minorHAnsi" w:cstheme="minorHAnsi"/>
        </w:rPr>
      </w:pPr>
      <w:bookmarkStart w:id="24" w:name="_Toc99993054"/>
      <w:bookmarkStart w:id="25" w:name="_Toc145424489"/>
      <w:bookmarkEnd w:id="10"/>
      <w:bookmarkEnd w:id="11"/>
      <w:bookmarkEnd w:id="12"/>
      <w:bookmarkEnd w:id="22"/>
      <w:bookmarkEnd w:id="23"/>
      <w:r w:rsidRPr="00734A85">
        <w:rPr>
          <w:rFonts w:asciiTheme="minorHAnsi" w:hAnsiTheme="minorHAnsi" w:cstheme="minorHAnsi"/>
        </w:rPr>
        <w:t>Factor 1: c) Efficiency, Continuity of Care, Coordination of Care</w:t>
      </w:r>
      <w:bookmarkEnd w:id="24"/>
      <w:bookmarkEnd w:id="25"/>
    </w:p>
    <w:p w14:paraId="523B6A02" w14:textId="77777777" w:rsidR="005A1E43" w:rsidRPr="00E97C3F" w:rsidRDefault="005A1E43" w:rsidP="005A1E43">
      <w:pPr>
        <w:spacing w:before="160"/>
        <w:ind w:right="295"/>
        <w:jc w:val="both"/>
        <w:rPr>
          <w:rFonts w:asciiTheme="minorHAnsi" w:hAnsiTheme="minorHAnsi" w:cstheme="minorHAnsi"/>
        </w:rPr>
      </w:pPr>
      <w:r w:rsidRPr="00E97C3F">
        <w:rPr>
          <w:rFonts w:asciiTheme="minorHAnsi" w:hAnsiTheme="minorHAnsi" w:cstheme="minorHAnsi"/>
        </w:rPr>
        <w:t>The Applicant states that the Proposed Project promotes continuity and coordination of care for its patients through timely access to CT imaging</w:t>
      </w:r>
      <w:r>
        <w:rPr>
          <w:rFonts w:asciiTheme="minorHAnsi" w:hAnsiTheme="minorHAnsi" w:cstheme="minorHAnsi"/>
        </w:rPr>
        <w:t xml:space="preserve">, </w:t>
      </w:r>
      <w:r w:rsidRPr="00E97C3F">
        <w:rPr>
          <w:rFonts w:asciiTheme="minorHAnsi" w:hAnsiTheme="minorHAnsi" w:cstheme="minorHAnsi"/>
        </w:rPr>
        <w:t>utilization of technology infrastructure</w:t>
      </w:r>
      <w:r>
        <w:rPr>
          <w:rFonts w:asciiTheme="minorHAnsi" w:hAnsiTheme="minorHAnsi" w:cstheme="minorHAnsi"/>
        </w:rPr>
        <w:t>, and MassHealth ACO Program</w:t>
      </w:r>
      <w:r w:rsidRPr="00E97C3F">
        <w:rPr>
          <w:rFonts w:asciiTheme="minorHAnsi" w:hAnsiTheme="minorHAnsi" w:cstheme="minorHAnsi"/>
        </w:rPr>
        <w:t xml:space="preserve">. </w:t>
      </w:r>
    </w:p>
    <w:p w14:paraId="4C5EA066" w14:textId="77777777" w:rsidR="005A1E43" w:rsidRPr="0062137E" w:rsidRDefault="005A1E43" w:rsidP="005A1E43">
      <w:pPr>
        <w:spacing w:before="160"/>
        <w:ind w:right="295"/>
        <w:jc w:val="both"/>
        <w:rPr>
          <w:rFonts w:asciiTheme="minorHAnsi" w:hAnsiTheme="minorHAnsi" w:cstheme="minorHAnsi"/>
          <w:highlight w:val="yellow"/>
        </w:rPr>
      </w:pPr>
    </w:p>
    <w:p w14:paraId="653C4271" w14:textId="2E264D68" w:rsidR="005A1E43" w:rsidRPr="00146746" w:rsidRDefault="005A1E43" w:rsidP="005A1E43">
      <w:pPr>
        <w:pStyle w:val="BodyText2"/>
        <w:widowControl w:val="0"/>
        <w:spacing w:line="240" w:lineRule="auto"/>
        <w:rPr>
          <w:rFonts w:asciiTheme="minorHAnsi" w:eastAsia="Calibri" w:hAnsiTheme="minorHAnsi" w:cstheme="minorHAnsi"/>
        </w:rPr>
      </w:pPr>
      <w:r w:rsidRPr="00146746">
        <w:rPr>
          <w:rFonts w:asciiTheme="minorHAnsi" w:hAnsiTheme="minorHAnsi" w:cstheme="minorHAnsi"/>
          <w:b/>
          <w:bCs/>
        </w:rPr>
        <w:t>Timely Access to CT Imaging:</w:t>
      </w:r>
      <w:r w:rsidRPr="00146746">
        <w:rPr>
          <w:rFonts w:asciiTheme="minorHAnsi" w:hAnsiTheme="minorHAnsi" w:cstheme="minorHAnsi"/>
        </w:rPr>
        <w:t xml:space="preserve"> As noted in previous sections, the Proposed Project allows capacity expansion for the AJH Patient Panel. AJH currently has only one CT unit and cannot perform CT- guided procedures without impeding access to CT imaging for urgent stroke and emergency department patients. In addition, downtime to perform CT maintenance leaves AJH without CT capability and </w:t>
      </w:r>
      <w:r w:rsidRPr="00146746">
        <w:rPr>
          <w:rFonts w:asciiTheme="minorHAnsi" w:hAnsiTheme="minorHAnsi" w:cstheme="minorHAnsi"/>
        </w:rPr>
        <w:lastRenderedPageBreak/>
        <w:t>patients may be rescheduled or transported to another facility, further delaying timely treatment. The addition of a second CT unit will provide the Patient Panel with uninterrupted and increased local access to CT imaging and CT-guided procedures.</w:t>
      </w:r>
      <w:r w:rsidRPr="00146746">
        <w:rPr>
          <w:rFonts w:asciiTheme="minorHAnsi" w:eastAsia="Calibri" w:hAnsiTheme="minorHAnsi" w:cstheme="minorHAnsi"/>
        </w:rPr>
        <w:t xml:space="preserve"> </w:t>
      </w:r>
    </w:p>
    <w:p w14:paraId="53CDDDA3" w14:textId="77777777" w:rsidR="005A1E43" w:rsidRPr="0062137E" w:rsidRDefault="005A1E43" w:rsidP="005A1E43">
      <w:pPr>
        <w:spacing w:before="160"/>
        <w:ind w:right="295"/>
        <w:jc w:val="both"/>
        <w:rPr>
          <w:rFonts w:asciiTheme="minorHAnsi" w:hAnsiTheme="minorHAnsi" w:cstheme="minorHAnsi"/>
          <w:color w:val="231F20"/>
          <w:spacing w:val="39"/>
          <w:highlight w:val="yellow"/>
        </w:rPr>
      </w:pPr>
    </w:p>
    <w:p w14:paraId="1BBCA855" w14:textId="716D3C55" w:rsidR="005A1E43" w:rsidRDefault="005A1E43" w:rsidP="005A1E43">
      <w:pPr>
        <w:pStyle w:val="BodyText"/>
        <w:spacing w:line="240" w:lineRule="auto"/>
        <w:ind w:right="136"/>
        <w:rPr>
          <w:rFonts w:ascii="Arial" w:hAnsi="Arial" w:cs="Arial"/>
          <w:bCs/>
          <w:kern w:val="2"/>
          <w:sz w:val="20"/>
          <w:szCs w:val="20"/>
        </w:rPr>
      </w:pPr>
      <w:r w:rsidRPr="00796E63">
        <w:rPr>
          <w:rFonts w:cstheme="minorHAnsi"/>
          <w:b/>
          <w:bCs/>
          <w:sz w:val="24"/>
          <w:szCs w:val="24"/>
        </w:rPr>
        <w:t>Technology Infrastructure:</w:t>
      </w:r>
      <w:r w:rsidRPr="00796E63">
        <w:rPr>
          <w:rFonts w:cstheme="minorHAnsi"/>
          <w:color w:val="231F20"/>
          <w:spacing w:val="39"/>
          <w:sz w:val="24"/>
          <w:szCs w:val="24"/>
        </w:rPr>
        <w:t xml:space="preserve"> </w:t>
      </w:r>
      <w:r w:rsidRPr="00796E63">
        <w:rPr>
          <w:rFonts w:eastAsia="Times New Roman" w:cstheme="minorHAnsi"/>
          <w:sz w:val="24"/>
          <w:szCs w:val="24"/>
        </w:rPr>
        <w:t xml:space="preserve">The technology infrastructure for the Proposed Project streamlines access for patients and facilitates improved coordination of care among physicians and other professionals on a patient’s care team. </w:t>
      </w:r>
      <w:r w:rsidRPr="00796E63">
        <w:rPr>
          <w:rFonts w:cstheme="minorHAnsi"/>
          <w:bCs/>
          <w:kern w:val="2"/>
          <w:sz w:val="24"/>
          <w:szCs w:val="24"/>
        </w:rPr>
        <w:t>AJH’s EMR serves as the primary link between Radiology, AJH’s specialists, and community primary care provide</w:t>
      </w:r>
      <w:r w:rsidRPr="005605C1">
        <w:rPr>
          <w:rFonts w:cstheme="minorHAnsi"/>
          <w:bCs/>
          <w:kern w:val="2"/>
          <w:sz w:val="24"/>
          <w:szCs w:val="24"/>
        </w:rPr>
        <w:t>rs.</w:t>
      </w:r>
      <w:r w:rsidRPr="005605C1">
        <w:rPr>
          <w:rFonts w:ascii="Arial" w:hAnsi="Arial" w:cs="Arial"/>
          <w:bCs/>
          <w:kern w:val="2"/>
          <w:sz w:val="20"/>
          <w:szCs w:val="20"/>
        </w:rPr>
        <w:t xml:space="preserve"> </w:t>
      </w:r>
      <w:r w:rsidRPr="005605C1">
        <w:rPr>
          <w:rFonts w:eastAsia="Times New Roman" w:cstheme="minorHAnsi"/>
          <w:sz w:val="24"/>
          <w:szCs w:val="24"/>
        </w:rPr>
        <w:t xml:space="preserve">The EMR provides AJH radiologists </w:t>
      </w:r>
      <w:r w:rsidR="00BC1F7C">
        <w:rPr>
          <w:rFonts w:eastAsia="Times New Roman" w:cstheme="minorHAnsi"/>
          <w:sz w:val="24"/>
          <w:szCs w:val="24"/>
        </w:rPr>
        <w:t xml:space="preserve">with </w:t>
      </w:r>
      <w:r w:rsidRPr="005605C1">
        <w:rPr>
          <w:rFonts w:eastAsia="Times New Roman" w:cstheme="minorHAnsi"/>
          <w:sz w:val="24"/>
          <w:szCs w:val="24"/>
        </w:rPr>
        <w:t xml:space="preserve">real-time access to a patient’s comprehensive medical information, including medical history, lab results, and clinical notes while they are protocoling or reading a </w:t>
      </w:r>
      <w:r w:rsidRPr="001D3B68">
        <w:rPr>
          <w:rFonts w:eastAsia="Times New Roman" w:cstheme="minorHAnsi"/>
          <w:sz w:val="24"/>
          <w:szCs w:val="24"/>
        </w:rPr>
        <w:t>CT study. Once the radiologist’s report is complete, the EMR enables CT imaging results and information to be available to primary care and specialty physicians across the system and integrated into the patient’s EMR. The EMR also allows authorized providers outside of AJH to view patient records and send progress notes back for continuity of care.</w:t>
      </w:r>
    </w:p>
    <w:p w14:paraId="2F9290DC" w14:textId="77777777" w:rsidR="005A1E43" w:rsidRDefault="005A1E43" w:rsidP="005A1E43">
      <w:pPr>
        <w:pStyle w:val="BodyText"/>
        <w:spacing w:line="240" w:lineRule="auto"/>
        <w:ind w:right="136"/>
        <w:rPr>
          <w:rFonts w:ascii="Arial" w:hAnsi="Arial" w:cs="Arial"/>
          <w:bCs/>
          <w:kern w:val="2"/>
          <w:sz w:val="20"/>
          <w:szCs w:val="20"/>
        </w:rPr>
      </w:pPr>
    </w:p>
    <w:p w14:paraId="24CC0271" w14:textId="06BCB8CA" w:rsidR="005A1E43" w:rsidRPr="00CE310B" w:rsidRDefault="005A1E43" w:rsidP="005A1E43">
      <w:pPr>
        <w:pStyle w:val="BodyText"/>
        <w:spacing w:line="240" w:lineRule="auto"/>
        <w:ind w:right="136"/>
        <w:rPr>
          <w:rFonts w:eastAsia="Times New Roman" w:cstheme="minorHAnsi"/>
          <w:sz w:val="24"/>
          <w:szCs w:val="24"/>
        </w:rPr>
      </w:pPr>
      <w:r w:rsidRPr="00CE310B">
        <w:rPr>
          <w:rFonts w:eastAsia="Times New Roman" w:cstheme="minorHAnsi"/>
          <w:b/>
          <w:bCs/>
          <w:sz w:val="24"/>
          <w:szCs w:val="24"/>
        </w:rPr>
        <w:t>MassHealth ACO Program:</w:t>
      </w:r>
      <w:r w:rsidRPr="00CE310B">
        <w:rPr>
          <w:rFonts w:eastAsia="Times New Roman" w:cstheme="minorHAnsi"/>
          <w:sz w:val="24"/>
          <w:szCs w:val="24"/>
        </w:rPr>
        <w:t xml:space="preserve"> AJH participates in the MassHealth ACO Program through </w:t>
      </w:r>
      <w:r>
        <w:rPr>
          <w:rFonts w:eastAsia="Times New Roman" w:cstheme="minorHAnsi"/>
          <w:sz w:val="24"/>
          <w:szCs w:val="24"/>
        </w:rPr>
        <w:t>Beth Israel Deaconness Care Organization (</w:t>
      </w:r>
      <w:r w:rsidRPr="00CE310B">
        <w:rPr>
          <w:rFonts w:eastAsia="Times New Roman" w:cstheme="minorHAnsi"/>
          <w:sz w:val="24"/>
          <w:szCs w:val="24"/>
        </w:rPr>
        <w:t>BIDC</w:t>
      </w:r>
      <w:r>
        <w:rPr>
          <w:rFonts w:eastAsia="Times New Roman" w:cstheme="minorHAnsi"/>
          <w:sz w:val="24"/>
          <w:szCs w:val="24"/>
        </w:rPr>
        <w:t>O</w:t>
      </w:r>
      <w:r w:rsidRPr="00361314">
        <w:rPr>
          <w:rFonts w:eastAsia="Times New Roman" w:cstheme="minorHAnsi"/>
          <w:sz w:val="24"/>
          <w:szCs w:val="24"/>
        </w:rPr>
        <w:t xml:space="preserve">), part of </w:t>
      </w:r>
      <w:r w:rsidRPr="00361314">
        <w:rPr>
          <w:rFonts w:cstheme="minorHAnsi"/>
          <w:sz w:val="24"/>
          <w:szCs w:val="24"/>
        </w:rPr>
        <w:t>Beth Israel Lahey Health Performance Network (</w:t>
      </w:r>
      <w:r w:rsidRPr="00361314">
        <w:rPr>
          <w:rFonts w:eastAsia="Times New Roman" w:cstheme="minorHAnsi"/>
          <w:sz w:val="24"/>
          <w:szCs w:val="24"/>
        </w:rPr>
        <w:t xml:space="preserve">BILHPN) and its clinically integrated network. BIDCO strives to increase access to high quality care for </w:t>
      </w:r>
      <w:r w:rsidRPr="00CE310B">
        <w:rPr>
          <w:rFonts w:eastAsia="Times New Roman" w:cstheme="minorHAnsi"/>
          <w:sz w:val="24"/>
          <w:szCs w:val="24"/>
        </w:rPr>
        <w:t>members who are more likely to have unmet SDoH needs than the commercially insured population.</w:t>
      </w:r>
      <w:r w:rsidR="0013018D">
        <w:rPr>
          <w:rFonts w:eastAsia="Times New Roman" w:cstheme="minorHAnsi"/>
          <w:sz w:val="24"/>
          <w:szCs w:val="24"/>
        </w:rPr>
        <w:t xml:space="preserve"> </w:t>
      </w:r>
      <w:r>
        <w:rPr>
          <w:rFonts w:eastAsia="Times New Roman" w:cstheme="minorHAnsi"/>
          <w:sz w:val="24"/>
          <w:szCs w:val="24"/>
        </w:rPr>
        <w:t>The Applicant notes that a</w:t>
      </w:r>
      <w:r w:rsidRPr="00CE310B">
        <w:rPr>
          <w:rFonts w:eastAsia="Times New Roman" w:cstheme="minorHAnsi"/>
          <w:sz w:val="24"/>
          <w:szCs w:val="24"/>
        </w:rPr>
        <w:t xml:space="preserve"> significant portion of BIDCO’s efforts to improve health care are accomplished through care coordination. Specifically, BIDCO’s data analysis and risk management tools are provided to AJH providers, including a Population Health Management Tool that helps primary care physicians monitor patients’ health and manage chronic conditions. These primary care linkages will continue to enhance care for AJH’s patients, including timely access to radiology services that will be achieved through the Proposed Project.</w:t>
      </w:r>
    </w:p>
    <w:p w14:paraId="41867D92" w14:textId="77777777" w:rsidR="005A1E43" w:rsidRPr="00146746" w:rsidRDefault="005A1E43" w:rsidP="005A1E43">
      <w:pPr>
        <w:contextualSpacing/>
        <w:rPr>
          <w:rFonts w:asciiTheme="minorHAnsi" w:hAnsiTheme="minorHAnsi" w:cstheme="minorHAnsi"/>
        </w:rPr>
      </w:pPr>
    </w:p>
    <w:p w14:paraId="5F8C1FAE" w14:textId="77777777" w:rsidR="005A1E43" w:rsidRPr="00146746" w:rsidRDefault="005A1E43" w:rsidP="005A1E43">
      <w:pPr>
        <w:ind w:right="540"/>
        <w:contextualSpacing/>
        <w:rPr>
          <w:rFonts w:asciiTheme="minorHAnsi" w:eastAsia="Calibri" w:hAnsiTheme="minorHAnsi" w:cstheme="minorHAnsi"/>
          <w:b/>
          <w:i/>
        </w:rPr>
      </w:pPr>
      <w:r w:rsidRPr="00146746">
        <w:rPr>
          <w:rFonts w:asciiTheme="minorHAnsi" w:eastAsia="Calibri" w:hAnsiTheme="minorHAnsi" w:cstheme="minorHAnsi"/>
          <w:b/>
          <w:i/>
        </w:rPr>
        <w:t xml:space="preserve">Analysis </w:t>
      </w:r>
    </w:p>
    <w:p w14:paraId="1DA847A8" w14:textId="77777777" w:rsidR="005A1E43" w:rsidRPr="00146746" w:rsidRDefault="005A1E43" w:rsidP="005A1E43">
      <w:pPr>
        <w:pStyle w:val="BodyText2"/>
        <w:widowControl w:val="0"/>
        <w:spacing w:line="240" w:lineRule="auto"/>
        <w:rPr>
          <w:rFonts w:asciiTheme="minorHAnsi" w:hAnsiTheme="minorHAnsi" w:cstheme="minorHAnsi"/>
        </w:rPr>
      </w:pPr>
      <w:r w:rsidRPr="00146746">
        <w:rPr>
          <w:rFonts w:asciiTheme="minorHAnsi" w:hAnsiTheme="minorHAnsi" w:cstheme="minorHAnsi"/>
        </w:rPr>
        <w:t>Staff finds that timely access to CT imaging and use of technology infrastructure will contribute positively to efficiency, continuity, and coordination of care. The Applicant sufficiently demonstrates the need for a second CT unit to expand the Hospital’s capacity to serve both urgent and routine CT imaging needs without interruption. Review of the literature points to evidence which suggests access to integrated health information technology systems directly impacts health outcomes through reducing fragmentation and improving coordination among care providers.</w:t>
      </w:r>
      <w:r w:rsidRPr="00146746">
        <w:rPr>
          <w:rStyle w:val="FootnoteReference"/>
          <w:rFonts w:asciiTheme="minorHAnsi" w:hAnsiTheme="minorHAnsi" w:cstheme="minorHAnsi"/>
        </w:rPr>
        <w:endnoteReference w:id="11"/>
      </w:r>
      <w:r w:rsidRPr="00146746">
        <w:rPr>
          <w:rFonts w:asciiTheme="minorHAnsi" w:hAnsiTheme="minorHAnsi" w:cstheme="minorHAnsi"/>
        </w:rPr>
        <w:t xml:space="preserve"> Similarly, other studies show that integrated health information technology systems directly affect health outcomes, as access to a single, integrated health record, can reduce errors, improve patient safety, and support better patient outcomes.</w:t>
      </w:r>
      <w:r w:rsidRPr="00146746">
        <w:rPr>
          <w:rStyle w:val="FootnoteReference"/>
          <w:rFonts w:asciiTheme="minorHAnsi" w:hAnsiTheme="minorHAnsi" w:cstheme="minorHAnsi"/>
        </w:rPr>
        <w:endnoteReference w:id="12"/>
      </w:r>
      <w:r w:rsidRPr="00146746">
        <w:rPr>
          <w:rFonts w:asciiTheme="minorHAnsi" w:hAnsiTheme="minorHAnsi" w:cstheme="minorHAnsi"/>
        </w:rPr>
        <w:t xml:space="preserve"> AJH’s EMR supports communication between the patient, physician, and all care team members that can foster better collaboration. As a result, Staff finds that the Proposed Project meets the requirements of Factor 1c.</w:t>
      </w:r>
    </w:p>
    <w:p w14:paraId="0A1658DE" w14:textId="77777777" w:rsidR="009F6F3E" w:rsidRPr="00AC3A42" w:rsidRDefault="009F6F3E" w:rsidP="007A57C4">
      <w:pPr>
        <w:autoSpaceDE w:val="0"/>
        <w:autoSpaceDN w:val="0"/>
        <w:adjustRightInd w:val="0"/>
        <w:contextualSpacing/>
        <w:rPr>
          <w:rFonts w:asciiTheme="minorHAnsi" w:hAnsiTheme="minorHAnsi" w:cstheme="minorHAnsi"/>
          <w:bCs/>
          <w:highlight w:val="yellow"/>
        </w:rPr>
      </w:pPr>
    </w:p>
    <w:p w14:paraId="5612975D" w14:textId="77777777" w:rsidR="00A47D0D" w:rsidRPr="005A1E43" w:rsidRDefault="00A47D0D" w:rsidP="00A47D0D">
      <w:pPr>
        <w:pStyle w:val="Heading1"/>
        <w:spacing w:before="0" w:line="240" w:lineRule="auto"/>
        <w:rPr>
          <w:rFonts w:asciiTheme="minorHAnsi" w:hAnsiTheme="minorHAnsi" w:cstheme="minorHAnsi"/>
        </w:rPr>
      </w:pPr>
      <w:bookmarkStart w:id="26" w:name="_Toc18922415"/>
      <w:bookmarkStart w:id="27" w:name="_Toc99993055"/>
      <w:bookmarkStart w:id="28" w:name="_Toc145424490"/>
      <w:bookmarkStart w:id="29" w:name="_Toc18922416"/>
      <w:r w:rsidRPr="005A1E43">
        <w:rPr>
          <w:rFonts w:asciiTheme="minorHAnsi" w:hAnsiTheme="minorHAnsi" w:cstheme="minorHAnsi"/>
        </w:rPr>
        <w:t>Factor 1: d) Consultatio</w:t>
      </w:r>
      <w:bookmarkEnd w:id="26"/>
      <w:r w:rsidRPr="005A1E43">
        <w:rPr>
          <w:rFonts w:asciiTheme="minorHAnsi" w:hAnsiTheme="minorHAnsi" w:cstheme="minorHAnsi"/>
        </w:rPr>
        <w:t>n</w:t>
      </w:r>
      <w:bookmarkEnd w:id="27"/>
      <w:bookmarkEnd w:id="28"/>
    </w:p>
    <w:p w14:paraId="36F23B26" w14:textId="77777777" w:rsidR="0099681E" w:rsidRPr="005E0FCF" w:rsidRDefault="0099681E" w:rsidP="0099681E">
      <w:pPr>
        <w:autoSpaceDE w:val="0"/>
        <w:autoSpaceDN w:val="0"/>
        <w:adjustRightInd w:val="0"/>
        <w:rPr>
          <w:rFonts w:asciiTheme="minorHAnsi" w:hAnsiTheme="minorHAnsi" w:cstheme="minorHAnsi"/>
          <w:color w:val="000000"/>
        </w:rPr>
      </w:pPr>
      <w:r w:rsidRPr="005E0FCF">
        <w:rPr>
          <w:rFonts w:asciiTheme="minorHAnsi" w:hAnsiTheme="minorHAnsi" w:cstheme="minorHAnsi"/>
          <w:color w:val="000000"/>
        </w:rPr>
        <w:t>The Applicant has provided evidence of consultation, both prior to and after the Filing Date, with the following government agencies that have licensure, certification, or other regulatory oversight:</w:t>
      </w:r>
    </w:p>
    <w:p w14:paraId="05D3E285" w14:textId="77777777" w:rsidR="0099681E" w:rsidRPr="00AE20EC" w:rsidRDefault="0099681E" w:rsidP="0099681E">
      <w:pPr>
        <w:autoSpaceDE w:val="0"/>
        <w:autoSpaceDN w:val="0"/>
        <w:adjustRightInd w:val="0"/>
        <w:rPr>
          <w:rStyle w:val="Heading1Char"/>
          <w:rFonts w:asciiTheme="minorHAnsi" w:eastAsia="Times New Roman" w:hAnsiTheme="minorHAnsi" w:cstheme="minorHAnsi"/>
          <w:b w:val="0"/>
          <w:bCs w:val="0"/>
          <w:color w:val="000000"/>
          <w:sz w:val="24"/>
          <w:szCs w:val="24"/>
        </w:rPr>
      </w:pPr>
    </w:p>
    <w:p w14:paraId="2CA5C742" w14:textId="77777777" w:rsidR="0099681E" w:rsidRPr="00AE20EC" w:rsidRDefault="0099681E" w:rsidP="0099681E">
      <w:pPr>
        <w:pStyle w:val="ListParagraph"/>
        <w:numPr>
          <w:ilvl w:val="3"/>
          <w:numId w:val="4"/>
        </w:numPr>
        <w:spacing w:after="0" w:line="240" w:lineRule="auto"/>
        <w:ind w:left="1440" w:hanging="360"/>
        <w:jc w:val="both"/>
        <w:rPr>
          <w:rFonts w:cstheme="minorHAnsi"/>
          <w:kern w:val="2"/>
          <w:sz w:val="24"/>
          <w:szCs w:val="24"/>
        </w:rPr>
      </w:pPr>
      <w:r w:rsidRPr="00AE20EC">
        <w:rPr>
          <w:rFonts w:cstheme="minorHAnsi"/>
          <w:kern w:val="2"/>
          <w:sz w:val="24"/>
          <w:szCs w:val="24"/>
        </w:rPr>
        <w:t>Director, Determination of Need Program, Department of Public Health</w:t>
      </w:r>
    </w:p>
    <w:p w14:paraId="6ED9F8A1" w14:textId="77777777" w:rsidR="0099681E" w:rsidRPr="00AE20EC" w:rsidRDefault="0099681E" w:rsidP="0099681E">
      <w:pPr>
        <w:pStyle w:val="ListParagraph"/>
        <w:numPr>
          <w:ilvl w:val="3"/>
          <w:numId w:val="4"/>
        </w:numPr>
        <w:spacing w:after="0" w:line="240" w:lineRule="auto"/>
        <w:ind w:left="1440" w:hanging="360"/>
        <w:jc w:val="both"/>
        <w:rPr>
          <w:rFonts w:cstheme="minorHAnsi"/>
          <w:kern w:val="2"/>
          <w:sz w:val="24"/>
          <w:szCs w:val="24"/>
        </w:rPr>
      </w:pPr>
      <w:r w:rsidRPr="00AE20EC">
        <w:rPr>
          <w:rFonts w:cstheme="minorHAnsi"/>
          <w:kern w:val="2"/>
          <w:sz w:val="24"/>
          <w:szCs w:val="24"/>
        </w:rPr>
        <w:t>Office of Community Health Planning and Engagement, Department of Public Health</w:t>
      </w:r>
    </w:p>
    <w:p w14:paraId="3B242788" w14:textId="77777777" w:rsidR="0099681E" w:rsidRPr="00E62328" w:rsidRDefault="0099681E" w:rsidP="0099681E">
      <w:pPr>
        <w:pStyle w:val="ListParagraph"/>
        <w:numPr>
          <w:ilvl w:val="3"/>
          <w:numId w:val="4"/>
        </w:numPr>
        <w:spacing w:after="0" w:line="240" w:lineRule="auto"/>
        <w:ind w:left="1440" w:hanging="360"/>
        <w:jc w:val="both"/>
        <w:rPr>
          <w:rFonts w:cstheme="minorHAnsi"/>
          <w:kern w:val="2"/>
          <w:sz w:val="24"/>
          <w:szCs w:val="24"/>
        </w:rPr>
      </w:pPr>
      <w:r w:rsidRPr="00E62328">
        <w:rPr>
          <w:rFonts w:cstheme="minorHAnsi"/>
          <w:kern w:val="2"/>
          <w:sz w:val="24"/>
          <w:szCs w:val="24"/>
        </w:rPr>
        <w:t>Center for Health Information and Analysis</w:t>
      </w:r>
    </w:p>
    <w:p w14:paraId="750D6DBC" w14:textId="77777777" w:rsidR="0099681E" w:rsidRPr="00E62328" w:rsidRDefault="0099681E" w:rsidP="0099681E">
      <w:pPr>
        <w:pStyle w:val="ListParagraph"/>
        <w:numPr>
          <w:ilvl w:val="3"/>
          <w:numId w:val="4"/>
        </w:numPr>
        <w:spacing w:after="0" w:line="240" w:lineRule="auto"/>
        <w:ind w:left="1440" w:hanging="360"/>
        <w:contextualSpacing w:val="0"/>
        <w:jc w:val="both"/>
        <w:rPr>
          <w:rFonts w:cstheme="minorHAnsi"/>
          <w:b/>
          <w:kern w:val="2"/>
          <w:sz w:val="24"/>
          <w:szCs w:val="24"/>
        </w:rPr>
      </w:pPr>
      <w:r w:rsidRPr="00E62328">
        <w:rPr>
          <w:rFonts w:cstheme="minorHAnsi"/>
          <w:kern w:val="2"/>
          <w:sz w:val="24"/>
          <w:szCs w:val="24"/>
        </w:rPr>
        <w:t>The Centers for Medicare &amp; Medicaid Services</w:t>
      </w:r>
    </w:p>
    <w:p w14:paraId="1F37C3A1" w14:textId="77777777" w:rsidR="0099681E" w:rsidRPr="00483D64" w:rsidRDefault="0099681E" w:rsidP="0099681E">
      <w:pPr>
        <w:jc w:val="both"/>
        <w:rPr>
          <w:rFonts w:ascii="Arial" w:hAnsi="Arial" w:cs="Arial"/>
          <w:b/>
          <w:kern w:val="2"/>
          <w:sz w:val="20"/>
          <w:szCs w:val="20"/>
          <w:highlight w:val="yellow"/>
        </w:rPr>
      </w:pPr>
    </w:p>
    <w:p w14:paraId="3958B48E" w14:textId="77777777" w:rsidR="0099681E" w:rsidRPr="00DA43D5" w:rsidRDefault="0099681E" w:rsidP="0099681E">
      <w:pPr>
        <w:autoSpaceDE w:val="0"/>
        <w:autoSpaceDN w:val="0"/>
        <w:adjustRightInd w:val="0"/>
        <w:rPr>
          <w:rFonts w:asciiTheme="minorHAnsi" w:hAnsiTheme="minorHAnsi" w:cstheme="minorHAnsi"/>
          <w:color w:val="000000"/>
        </w:rPr>
      </w:pPr>
      <w:r w:rsidRPr="00E62328">
        <w:rPr>
          <w:rFonts w:asciiTheme="minorHAnsi" w:hAnsiTheme="minorHAnsi" w:cstheme="minorHAnsi"/>
          <w:color w:val="000000"/>
        </w:rPr>
        <w:t>As a result, Staff finds that the Proposed Project meets the requirements of Factor 1d.</w:t>
      </w:r>
    </w:p>
    <w:p w14:paraId="59CB87EC" w14:textId="77777777" w:rsidR="009F6F3E" w:rsidRPr="00AC3A42" w:rsidRDefault="009F6F3E" w:rsidP="009F6F3E">
      <w:pPr>
        <w:rPr>
          <w:rFonts w:eastAsiaTheme="majorEastAsia"/>
          <w:highlight w:val="yellow"/>
        </w:rPr>
      </w:pPr>
    </w:p>
    <w:p w14:paraId="2540E20E" w14:textId="77777777" w:rsidR="0080330F" w:rsidRPr="0099681E" w:rsidRDefault="0080330F" w:rsidP="0080330F">
      <w:pPr>
        <w:pStyle w:val="Heading1"/>
        <w:spacing w:before="0" w:line="240" w:lineRule="auto"/>
        <w:rPr>
          <w:rFonts w:asciiTheme="minorHAnsi" w:hAnsiTheme="minorHAnsi" w:cstheme="minorHAnsi"/>
        </w:rPr>
      </w:pPr>
      <w:bookmarkStart w:id="30" w:name="_Toc99993056"/>
      <w:bookmarkStart w:id="31" w:name="_Toc145424491"/>
      <w:bookmarkStart w:id="32" w:name="_Toc18922417"/>
      <w:bookmarkStart w:id="33" w:name="_Toc17322399"/>
      <w:bookmarkEnd w:id="29"/>
      <w:r w:rsidRPr="0099681E">
        <w:rPr>
          <w:rStyle w:val="Heading1Char"/>
          <w:rFonts w:asciiTheme="minorHAnsi" w:hAnsiTheme="minorHAnsi" w:cstheme="minorHAnsi"/>
          <w:b/>
          <w:bCs/>
        </w:rPr>
        <w:t>Factor 1: e) Evidence of Sound Community Engagement through the Patient Panel</w:t>
      </w:r>
      <w:bookmarkEnd w:id="30"/>
      <w:bookmarkEnd w:id="31"/>
      <w:r w:rsidRPr="0099681E">
        <w:rPr>
          <w:rFonts w:asciiTheme="minorHAnsi" w:hAnsiTheme="minorHAnsi" w:cstheme="minorHAnsi"/>
        </w:rPr>
        <w:t xml:space="preserve"> </w:t>
      </w:r>
    </w:p>
    <w:p w14:paraId="718F61BE" w14:textId="77777777" w:rsidR="005C77C2" w:rsidRPr="00BE5A3C" w:rsidRDefault="005C77C2" w:rsidP="005C77C2">
      <w:pPr>
        <w:contextualSpacing/>
        <w:rPr>
          <w:rFonts w:asciiTheme="minorHAnsi" w:hAnsiTheme="minorHAnsi" w:cstheme="minorHAnsi"/>
        </w:rPr>
      </w:pPr>
      <w:r w:rsidRPr="00BE5A3C">
        <w:rPr>
          <w:rFonts w:asciiTheme="minorHAnsi" w:eastAsia="Calibri" w:hAnsiTheme="minorHAnsi" w:cstheme="minorHAnsi"/>
        </w:rPr>
        <w:t>The Department’s Guideline</w:t>
      </w:r>
      <w:r w:rsidRPr="00BE5A3C">
        <w:rPr>
          <w:rFonts w:asciiTheme="minorHAnsi" w:eastAsia="Calibri" w:hAnsiTheme="minorHAnsi" w:cstheme="minorHAnsi"/>
          <w:vertAlign w:val="superscript"/>
        </w:rPr>
        <w:footnoteReference w:id="19"/>
      </w:r>
      <w:r w:rsidRPr="00BE5A3C">
        <w:rPr>
          <w:rFonts w:asciiTheme="minorHAnsi" w:eastAsia="Calibri" w:hAnsiTheme="minorHAnsi" w:cstheme="minorHAnsi"/>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BE5A3C">
        <w:rPr>
          <w:rFonts w:asciiTheme="minorHAnsi" w:hAnsiTheme="minorHAnsi" w:cstheme="minorHAnsi"/>
        </w:rPr>
        <w:t>“community coalitions statistically representative of the Patient Panel.”</w:t>
      </w:r>
      <w:r w:rsidRPr="00BE5A3C">
        <w:rPr>
          <w:rFonts w:asciiTheme="minorHAnsi" w:hAnsiTheme="minorHAnsi" w:cstheme="minorHAnsi"/>
          <w:vertAlign w:val="superscript"/>
        </w:rPr>
        <w:footnoteReference w:id="20"/>
      </w:r>
      <w:r w:rsidRPr="00BE5A3C">
        <w:rPr>
          <w:rFonts w:asciiTheme="minorHAnsi" w:hAnsiTheme="minorHAnsi" w:cstheme="minorHAnsi"/>
        </w:rPr>
        <w:t xml:space="preserve"> </w:t>
      </w:r>
    </w:p>
    <w:p w14:paraId="24A5A212" w14:textId="77777777" w:rsidR="005C77C2" w:rsidRPr="00820F51" w:rsidRDefault="005C77C2" w:rsidP="005C77C2">
      <w:pPr>
        <w:contextualSpacing/>
        <w:rPr>
          <w:rFonts w:asciiTheme="minorHAnsi" w:hAnsiTheme="minorHAnsi" w:cstheme="minorHAnsi"/>
          <w:highlight w:val="yellow"/>
        </w:rPr>
      </w:pPr>
    </w:p>
    <w:p w14:paraId="014763AF" w14:textId="77777777" w:rsidR="005C77C2" w:rsidRPr="00BE5A3C" w:rsidRDefault="005C77C2" w:rsidP="005C77C2">
      <w:pPr>
        <w:jc w:val="both"/>
        <w:rPr>
          <w:rFonts w:asciiTheme="minorHAnsi" w:eastAsia="Arial" w:hAnsiTheme="minorHAnsi" w:cstheme="minorHAnsi"/>
          <w:kern w:val="2"/>
        </w:rPr>
      </w:pPr>
      <w:r w:rsidRPr="00BE5A3C">
        <w:rPr>
          <w:rFonts w:asciiTheme="minorHAnsi" w:eastAsia="Arial" w:hAnsiTheme="minorHAnsi" w:cstheme="minorHAnsi"/>
          <w:kern w:val="2"/>
        </w:rPr>
        <w:t>The Applicant presented the Proposed Project</w:t>
      </w:r>
      <w:r w:rsidRPr="00BE5A3C">
        <w:rPr>
          <w:rFonts w:asciiTheme="minorHAnsi" w:eastAsia="Arial" w:hAnsiTheme="minorHAnsi" w:cstheme="minorHAnsi"/>
        </w:rPr>
        <w:t xml:space="preserve"> presented </w:t>
      </w:r>
      <w:r w:rsidRPr="00BE5A3C">
        <w:rPr>
          <w:rFonts w:asciiTheme="minorHAnsi" w:eastAsia="Arial" w:hAnsiTheme="minorHAnsi" w:cstheme="minorHAnsi"/>
          <w:kern w:val="2"/>
        </w:rPr>
        <w:t>to the following groups:</w:t>
      </w:r>
    </w:p>
    <w:p w14:paraId="2AC7ED91" w14:textId="77777777" w:rsidR="005C77C2" w:rsidRPr="00C96F76" w:rsidRDefault="005C77C2" w:rsidP="005C77C2">
      <w:pPr>
        <w:jc w:val="both"/>
        <w:rPr>
          <w:rFonts w:asciiTheme="minorHAnsi" w:eastAsia="Arial" w:hAnsiTheme="minorHAnsi" w:cstheme="minorHAnsi"/>
          <w:kern w:val="2"/>
        </w:rPr>
      </w:pPr>
    </w:p>
    <w:p w14:paraId="52F1A7F8" w14:textId="77777777" w:rsidR="005C77C2" w:rsidRPr="00C96F76" w:rsidRDefault="005C77C2" w:rsidP="005C77C2">
      <w:pPr>
        <w:pStyle w:val="ListParagraph"/>
        <w:numPr>
          <w:ilvl w:val="0"/>
          <w:numId w:val="5"/>
        </w:numPr>
        <w:spacing w:after="0" w:line="240" w:lineRule="auto"/>
        <w:jc w:val="both"/>
        <w:rPr>
          <w:rFonts w:eastAsia="Arial" w:cstheme="minorHAnsi"/>
          <w:kern w:val="2"/>
          <w:sz w:val="24"/>
          <w:szCs w:val="24"/>
        </w:rPr>
      </w:pPr>
      <w:r w:rsidRPr="00C96F76">
        <w:rPr>
          <w:rFonts w:eastAsia="Arial" w:cstheme="minorHAnsi"/>
          <w:kern w:val="2"/>
          <w:sz w:val="24"/>
          <w:szCs w:val="24"/>
        </w:rPr>
        <w:t>The Hospital’s Community Benefits Advisory Council (CBAC)</w:t>
      </w:r>
    </w:p>
    <w:p w14:paraId="1BC5C7B3" w14:textId="77777777" w:rsidR="005C77C2" w:rsidRPr="00C96F76" w:rsidRDefault="005C77C2" w:rsidP="005C77C2">
      <w:pPr>
        <w:pStyle w:val="ListParagraph"/>
        <w:numPr>
          <w:ilvl w:val="0"/>
          <w:numId w:val="5"/>
        </w:numPr>
        <w:spacing w:after="0" w:line="240" w:lineRule="auto"/>
        <w:jc w:val="both"/>
        <w:rPr>
          <w:rFonts w:eastAsia="Arial" w:cstheme="minorHAnsi"/>
          <w:kern w:val="2"/>
          <w:sz w:val="24"/>
          <w:szCs w:val="24"/>
        </w:rPr>
      </w:pPr>
      <w:r w:rsidRPr="00C96F76">
        <w:rPr>
          <w:rFonts w:eastAsia="Arial" w:cstheme="minorHAnsi"/>
          <w:sz w:val="24"/>
          <w:szCs w:val="24"/>
        </w:rPr>
        <w:t>The Hospital’s Patient Family Advisory Council (PFAC)</w:t>
      </w:r>
    </w:p>
    <w:p w14:paraId="0D8ADDB8" w14:textId="77777777" w:rsidR="005C77C2" w:rsidRPr="00C96F76" w:rsidRDefault="005C77C2" w:rsidP="005C77C2">
      <w:pPr>
        <w:pStyle w:val="ListParagraph"/>
        <w:numPr>
          <w:ilvl w:val="0"/>
          <w:numId w:val="5"/>
        </w:numPr>
        <w:spacing w:after="0" w:line="240" w:lineRule="auto"/>
        <w:jc w:val="both"/>
        <w:rPr>
          <w:rFonts w:eastAsia="Arial" w:cstheme="minorHAnsi"/>
          <w:kern w:val="2"/>
          <w:sz w:val="24"/>
          <w:szCs w:val="24"/>
        </w:rPr>
      </w:pPr>
      <w:r w:rsidRPr="00C96F76">
        <w:rPr>
          <w:rFonts w:eastAsia="Arial" w:cstheme="minorHAnsi"/>
          <w:sz w:val="24"/>
          <w:szCs w:val="24"/>
        </w:rPr>
        <w:t>Community Meeting</w:t>
      </w:r>
    </w:p>
    <w:p w14:paraId="23689E75" w14:textId="77777777" w:rsidR="005C77C2" w:rsidRPr="005A63FC" w:rsidRDefault="005C77C2" w:rsidP="005C77C2">
      <w:pPr>
        <w:jc w:val="both"/>
        <w:rPr>
          <w:rFonts w:asciiTheme="minorHAnsi" w:eastAsia="Arial" w:hAnsiTheme="minorHAnsi" w:cstheme="minorHAnsi"/>
          <w:kern w:val="2"/>
        </w:rPr>
      </w:pPr>
    </w:p>
    <w:p w14:paraId="7F93B455" w14:textId="3A95893E" w:rsidR="005C77C2" w:rsidRPr="00C35D69" w:rsidRDefault="005C77C2" w:rsidP="005C77C2">
      <w:pPr>
        <w:pStyle w:val="xmsonormal"/>
        <w:jc w:val="both"/>
        <w:rPr>
          <w:rFonts w:asciiTheme="minorHAnsi" w:eastAsia="Arial" w:hAnsiTheme="minorHAnsi" w:cstheme="minorHAnsi"/>
          <w:kern w:val="2"/>
          <w:sz w:val="24"/>
          <w:szCs w:val="24"/>
        </w:rPr>
      </w:pPr>
      <w:r w:rsidRPr="007553AD">
        <w:rPr>
          <w:rFonts w:asciiTheme="minorHAnsi" w:eastAsia="Arial" w:hAnsiTheme="minorHAnsi" w:cstheme="minorHAnsi"/>
          <w:kern w:val="2"/>
          <w:sz w:val="24"/>
          <w:szCs w:val="24"/>
        </w:rPr>
        <w:t xml:space="preserve">The presentations reviewed the purpose of the Proposed Project, what it would mean for patients and the community, and provided a general overview of the Proposed Project’s process. </w:t>
      </w:r>
    </w:p>
    <w:p w14:paraId="607A2C2B" w14:textId="77777777" w:rsidR="005C77C2" w:rsidRPr="00C35D69" w:rsidRDefault="005C77C2" w:rsidP="005C77C2">
      <w:pPr>
        <w:jc w:val="both"/>
        <w:rPr>
          <w:rFonts w:asciiTheme="minorHAnsi" w:eastAsia="Arial" w:hAnsiTheme="minorHAnsi" w:cstheme="minorHAnsi"/>
          <w:kern w:val="2"/>
        </w:rPr>
      </w:pPr>
    </w:p>
    <w:p w14:paraId="49FD613C" w14:textId="77777777" w:rsidR="005C77C2" w:rsidRPr="00566B97" w:rsidRDefault="005C77C2" w:rsidP="005C77C2">
      <w:pPr>
        <w:pStyle w:val="ListParagraph"/>
        <w:numPr>
          <w:ilvl w:val="0"/>
          <w:numId w:val="3"/>
        </w:numPr>
        <w:spacing w:after="0" w:line="240" w:lineRule="auto"/>
        <w:rPr>
          <w:rFonts w:cstheme="minorHAnsi"/>
          <w:color w:val="231F20"/>
        </w:rPr>
      </w:pPr>
      <w:r w:rsidRPr="00566B97">
        <w:rPr>
          <w:rFonts w:eastAsia="Arial" w:cstheme="minorHAnsi"/>
          <w:b/>
          <w:bCs/>
          <w:kern w:val="2"/>
          <w:sz w:val="24"/>
          <w:szCs w:val="24"/>
        </w:rPr>
        <w:t xml:space="preserve">The Hospital’s Community Benefits Advisory Council (CBAC): </w:t>
      </w:r>
      <w:r w:rsidRPr="00566B97">
        <w:rPr>
          <w:rFonts w:cstheme="minorHAnsi"/>
          <w:color w:val="231F20"/>
          <w:sz w:val="24"/>
          <w:szCs w:val="24"/>
        </w:rPr>
        <w:t>The Proposed Project was presented a AJH’s CBAC in March 2023 with 11 individuals in attendance.</w:t>
      </w:r>
    </w:p>
    <w:p w14:paraId="18881F0E" w14:textId="77777777" w:rsidR="005C77C2" w:rsidRPr="00566B97" w:rsidRDefault="005C77C2" w:rsidP="005C77C2">
      <w:pPr>
        <w:spacing w:line="259" w:lineRule="auto"/>
        <w:ind w:right="114"/>
        <w:jc w:val="both"/>
        <w:rPr>
          <w:rFonts w:cstheme="minorHAnsi"/>
          <w:color w:val="231F20"/>
          <w:spacing w:val="-2"/>
        </w:rPr>
      </w:pPr>
    </w:p>
    <w:p w14:paraId="391C10E9" w14:textId="77777777" w:rsidR="005C77C2" w:rsidRPr="00566B97" w:rsidRDefault="005C77C2" w:rsidP="005C77C2">
      <w:pPr>
        <w:pStyle w:val="ListParagraph"/>
        <w:numPr>
          <w:ilvl w:val="0"/>
          <w:numId w:val="3"/>
        </w:numPr>
        <w:spacing w:after="0" w:line="240" w:lineRule="auto"/>
        <w:rPr>
          <w:rFonts w:eastAsia="Arial" w:cstheme="minorHAnsi"/>
          <w:kern w:val="2"/>
          <w:sz w:val="24"/>
          <w:szCs w:val="24"/>
        </w:rPr>
      </w:pPr>
      <w:r w:rsidRPr="00566B97">
        <w:rPr>
          <w:rFonts w:eastAsia="Arial" w:cstheme="minorHAnsi"/>
          <w:b/>
          <w:bCs/>
          <w:sz w:val="24"/>
          <w:szCs w:val="24"/>
        </w:rPr>
        <w:t>The Hospital’s Patient Family Advisory Council (PFAC):</w:t>
      </w:r>
      <w:r w:rsidRPr="00566B97">
        <w:rPr>
          <w:rFonts w:eastAsia="Arial" w:cstheme="minorHAnsi"/>
          <w:sz w:val="24"/>
          <w:szCs w:val="24"/>
        </w:rPr>
        <w:t xml:space="preserve"> </w:t>
      </w:r>
      <w:r w:rsidRPr="00566B97">
        <w:rPr>
          <w:rFonts w:cstheme="minorHAnsi"/>
          <w:color w:val="231F20"/>
          <w:sz w:val="24"/>
          <w:szCs w:val="24"/>
        </w:rPr>
        <w:t>The Proposed Project was presented to the AJH’s PFAC in February 2023 with 16 individuals in attendance.</w:t>
      </w:r>
      <w:r w:rsidRPr="00566B97">
        <w:rPr>
          <w:rFonts w:cstheme="minorHAnsi"/>
          <w:color w:val="231F20"/>
          <w:spacing w:val="40"/>
          <w:sz w:val="24"/>
          <w:szCs w:val="24"/>
        </w:rPr>
        <w:t xml:space="preserve"> </w:t>
      </w:r>
    </w:p>
    <w:p w14:paraId="04C196A9" w14:textId="77777777" w:rsidR="005C77C2" w:rsidRPr="00566B97" w:rsidRDefault="005C77C2" w:rsidP="005C77C2">
      <w:pPr>
        <w:rPr>
          <w:rFonts w:eastAsia="Arial" w:cstheme="minorHAnsi"/>
          <w:kern w:val="2"/>
        </w:rPr>
      </w:pPr>
    </w:p>
    <w:p w14:paraId="11BD86F9" w14:textId="77777777" w:rsidR="005C77C2" w:rsidRPr="00566B97" w:rsidRDefault="005C77C2" w:rsidP="005C77C2">
      <w:pPr>
        <w:pStyle w:val="ListParagraph"/>
        <w:numPr>
          <w:ilvl w:val="0"/>
          <w:numId w:val="3"/>
        </w:numPr>
        <w:spacing w:after="0" w:line="240" w:lineRule="auto"/>
        <w:rPr>
          <w:rFonts w:eastAsia="Arial" w:cstheme="minorHAnsi"/>
          <w:kern w:val="2"/>
          <w:sz w:val="24"/>
          <w:szCs w:val="24"/>
        </w:rPr>
      </w:pPr>
      <w:r w:rsidRPr="00566B97">
        <w:rPr>
          <w:rFonts w:eastAsia="Arial" w:cstheme="minorHAnsi"/>
          <w:b/>
          <w:bCs/>
          <w:sz w:val="24"/>
          <w:szCs w:val="24"/>
        </w:rPr>
        <w:t>Community Meeting:</w:t>
      </w:r>
      <w:r w:rsidRPr="00566B97">
        <w:rPr>
          <w:rFonts w:eastAsia="Arial" w:cstheme="minorHAnsi"/>
          <w:sz w:val="24"/>
          <w:szCs w:val="24"/>
        </w:rPr>
        <w:t xml:space="preserve"> </w:t>
      </w:r>
      <w:r w:rsidRPr="00566B97">
        <w:rPr>
          <w:rFonts w:cstheme="minorHAnsi"/>
          <w:color w:val="231F20"/>
          <w:sz w:val="24"/>
          <w:szCs w:val="24"/>
        </w:rPr>
        <w:t xml:space="preserve">The Proposed Project was presented to a Community Meeting in March 2023 with 11 individuals in attendance. </w:t>
      </w:r>
    </w:p>
    <w:p w14:paraId="2EEFAD10" w14:textId="77777777" w:rsidR="005C77C2" w:rsidRDefault="005C77C2" w:rsidP="005C77C2">
      <w:pPr>
        <w:rPr>
          <w:rFonts w:asciiTheme="minorHAnsi" w:hAnsiTheme="minorHAnsi" w:cstheme="minorHAnsi"/>
          <w:highlight w:val="yellow"/>
        </w:rPr>
      </w:pPr>
    </w:p>
    <w:p w14:paraId="3BCF17E7" w14:textId="77777777" w:rsidR="005C77C2" w:rsidRPr="00C35D69" w:rsidRDefault="005C77C2" w:rsidP="005C77C2">
      <w:pPr>
        <w:pStyle w:val="xmsonormal"/>
        <w:jc w:val="both"/>
        <w:rPr>
          <w:rFonts w:asciiTheme="minorHAnsi" w:eastAsia="Arial" w:hAnsiTheme="minorHAnsi" w:cstheme="minorHAnsi"/>
          <w:kern w:val="2"/>
          <w:sz w:val="24"/>
          <w:szCs w:val="24"/>
        </w:rPr>
      </w:pPr>
      <w:r w:rsidRPr="007553AD">
        <w:rPr>
          <w:rFonts w:asciiTheme="minorHAnsi" w:eastAsia="Arial" w:hAnsiTheme="minorHAnsi" w:cstheme="minorHAnsi"/>
          <w:kern w:val="2"/>
          <w:sz w:val="24"/>
          <w:szCs w:val="24"/>
        </w:rPr>
        <w:t>At each of the presentations</w:t>
      </w:r>
      <w:r>
        <w:rPr>
          <w:rFonts w:asciiTheme="minorHAnsi" w:eastAsia="Arial" w:hAnsiTheme="minorHAnsi" w:cstheme="minorHAnsi"/>
          <w:kern w:val="2"/>
          <w:sz w:val="24"/>
          <w:szCs w:val="24"/>
        </w:rPr>
        <w:t>,</w:t>
      </w:r>
      <w:r w:rsidRPr="007553AD">
        <w:rPr>
          <w:rFonts w:asciiTheme="minorHAnsi" w:eastAsia="Arial" w:hAnsiTheme="minorHAnsi" w:cstheme="minorHAnsi"/>
          <w:kern w:val="2"/>
          <w:sz w:val="24"/>
          <w:szCs w:val="24"/>
        </w:rPr>
        <w:t xml:space="preserve"> the feedback was resolute in the need for a second CT unit and unanimously recognized that lack of redundancy is leading to increased patient access concerns. There was also a significant </w:t>
      </w:r>
      <w:r w:rsidRPr="00C35D69">
        <w:rPr>
          <w:rFonts w:asciiTheme="minorHAnsi" w:eastAsia="Arial" w:hAnsiTheme="minorHAnsi" w:cstheme="minorHAnsi"/>
          <w:kern w:val="2"/>
          <w:sz w:val="24"/>
          <w:szCs w:val="24"/>
        </w:rPr>
        <w:t>concern about the overall perception of care that could be provided by AJH given the limitations of having one CT unit at AJH.</w:t>
      </w:r>
    </w:p>
    <w:p w14:paraId="12D4D1A3" w14:textId="77777777" w:rsidR="005C77C2" w:rsidRPr="00566B97" w:rsidRDefault="005C77C2" w:rsidP="005C77C2">
      <w:pPr>
        <w:rPr>
          <w:rFonts w:asciiTheme="minorHAnsi" w:hAnsiTheme="minorHAnsi" w:cstheme="minorHAnsi"/>
        </w:rPr>
      </w:pPr>
    </w:p>
    <w:p w14:paraId="097B1018" w14:textId="77777777" w:rsidR="005C77C2" w:rsidRPr="00566B97" w:rsidRDefault="005C77C2" w:rsidP="005C77C2">
      <w:pPr>
        <w:contextualSpacing/>
        <w:rPr>
          <w:rFonts w:asciiTheme="minorHAnsi" w:hAnsiTheme="minorHAnsi" w:cstheme="minorHAnsi"/>
          <w:b/>
          <w:i/>
        </w:rPr>
      </w:pPr>
      <w:r w:rsidRPr="00566B97">
        <w:rPr>
          <w:rFonts w:asciiTheme="minorHAnsi" w:hAnsiTheme="minorHAnsi" w:cstheme="minorHAnsi"/>
          <w:b/>
          <w:i/>
        </w:rPr>
        <w:t>Analysis</w:t>
      </w:r>
    </w:p>
    <w:p w14:paraId="2D32CD62" w14:textId="1301404F" w:rsidR="009F6F3E" w:rsidRDefault="005C77C2" w:rsidP="009F6F3E">
      <w:pPr>
        <w:rPr>
          <w:rFonts w:asciiTheme="minorHAnsi" w:hAnsiTheme="minorHAnsi" w:cstheme="minorHAnsi"/>
        </w:rPr>
      </w:pPr>
      <w:r w:rsidRPr="00566B97">
        <w:rPr>
          <w:rFonts w:asciiTheme="minorHAnsi" w:hAnsiTheme="minorHAnsi" w:cstheme="minorHAnsi"/>
          <w:color w:val="000000"/>
        </w:rPr>
        <w:t xml:space="preserve">Staff reviewed the information on the Applicant’s community engagement and finds that the Applicant has met the required community engagement standard of Consult in the planning phase of the Proposed Project. </w:t>
      </w:r>
      <w:r w:rsidRPr="00566B97">
        <w:rPr>
          <w:rFonts w:asciiTheme="minorHAnsi" w:hAnsiTheme="minorHAnsi" w:cstheme="minorHAnsi"/>
        </w:rPr>
        <w:t>As a result, Staff finds that the Proposed Project meets the requirements of Factor 1e.</w:t>
      </w:r>
    </w:p>
    <w:p w14:paraId="320CD6C4" w14:textId="77777777" w:rsidR="00C57660" w:rsidRPr="005C77C2" w:rsidRDefault="00C57660" w:rsidP="009F6F3E">
      <w:pPr>
        <w:rPr>
          <w:rFonts w:asciiTheme="minorHAnsi" w:hAnsiTheme="minorHAnsi" w:cstheme="minorHAnsi"/>
        </w:rPr>
      </w:pPr>
    </w:p>
    <w:p w14:paraId="145E2119" w14:textId="77777777" w:rsidR="0024620F" w:rsidRPr="005C77C2" w:rsidRDefault="0024620F" w:rsidP="0024620F">
      <w:pPr>
        <w:pStyle w:val="Heading1"/>
        <w:spacing w:before="0" w:line="240" w:lineRule="auto"/>
        <w:rPr>
          <w:rFonts w:asciiTheme="minorHAnsi" w:hAnsiTheme="minorHAnsi" w:cstheme="minorHAnsi"/>
        </w:rPr>
      </w:pPr>
      <w:bookmarkStart w:id="34" w:name="_Toc99993057"/>
      <w:bookmarkStart w:id="35" w:name="_Toc145424492"/>
      <w:bookmarkStart w:id="36" w:name="_Hlk17663634"/>
      <w:bookmarkEnd w:id="32"/>
      <w:bookmarkEnd w:id="33"/>
      <w:r w:rsidRPr="005C77C2">
        <w:rPr>
          <w:rFonts w:asciiTheme="minorHAnsi" w:hAnsiTheme="minorHAnsi" w:cstheme="minorHAnsi"/>
        </w:rPr>
        <w:t>Factor 1: f) Competition on price, total medical expenses (TME), costs and other measures of health care spending</w:t>
      </w:r>
      <w:bookmarkEnd w:id="34"/>
      <w:bookmarkEnd w:id="35"/>
    </w:p>
    <w:p w14:paraId="412EA267" w14:textId="6215938B" w:rsidR="00C94980" w:rsidRDefault="00C94980" w:rsidP="00A27F46">
      <w:pPr>
        <w:pStyle w:val="BodyText"/>
        <w:spacing w:after="0"/>
        <w:rPr>
          <w:rFonts w:cstheme="minorHAnsi"/>
          <w:kern w:val="2"/>
          <w:sz w:val="24"/>
          <w:szCs w:val="24"/>
          <w:highlight w:val="yellow"/>
        </w:rPr>
      </w:pPr>
      <w:bookmarkStart w:id="37" w:name="_Hlk90565809"/>
      <w:bookmarkEnd w:id="36"/>
      <w:r w:rsidRPr="000108AC">
        <w:rPr>
          <w:rFonts w:cstheme="minorHAnsi"/>
          <w:kern w:val="2"/>
          <w:sz w:val="24"/>
          <w:szCs w:val="24"/>
        </w:rPr>
        <w:t>The Applicant states that the Proposed Project will compete on the basis of price, total medical expenses (TME), provider costs, and other recognized measures of health care spending by ensuring timely access to CT services.</w:t>
      </w:r>
      <w:bookmarkEnd w:id="37"/>
      <w:r w:rsidRPr="000108AC">
        <w:rPr>
          <w:rFonts w:cstheme="minorHAnsi"/>
          <w:kern w:val="2"/>
          <w:sz w:val="24"/>
          <w:szCs w:val="24"/>
        </w:rPr>
        <w:t xml:space="preserve"> The Applicant expects that with a second CT unit, the Hospital will always be able to provide access to CT, eliminating ambulance transport costs that occur when a patient is sent to another facility during AJH’s CT downtime. </w:t>
      </w:r>
      <w:r w:rsidRPr="00FF2053">
        <w:rPr>
          <w:rFonts w:cstheme="minorHAnsi"/>
          <w:kern w:val="2"/>
          <w:sz w:val="24"/>
          <w:szCs w:val="24"/>
        </w:rPr>
        <w:t>The new CT unit will be reimbursed at the same rate as the existing scanner and will not impact costs for payers or patients.</w:t>
      </w:r>
    </w:p>
    <w:p w14:paraId="70CA38C6" w14:textId="77777777" w:rsidR="00A27F46" w:rsidRPr="00912259" w:rsidRDefault="00A27F46" w:rsidP="00A27F46">
      <w:pPr>
        <w:pStyle w:val="BodyText"/>
        <w:spacing w:after="0"/>
        <w:rPr>
          <w:rFonts w:cstheme="minorHAnsi"/>
          <w:kern w:val="2"/>
          <w:sz w:val="24"/>
          <w:szCs w:val="24"/>
          <w:highlight w:val="yellow"/>
        </w:rPr>
      </w:pPr>
    </w:p>
    <w:p w14:paraId="351933AB" w14:textId="3D7E4147" w:rsidR="00C94980" w:rsidRDefault="00C94980" w:rsidP="00A27F46">
      <w:pPr>
        <w:pStyle w:val="BodyText"/>
        <w:spacing w:after="0"/>
        <w:rPr>
          <w:kern w:val="2"/>
          <w:sz w:val="24"/>
          <w:szCs w:val="24"/>
        </w:rPr>
      </w:pPr>
      <w:r w:rsidRPr="002155ED">
        <w:rPr>
          <w:rFonts w:cstheme="minorHAnsi"/>
          <w:kern w:val="2"/>
          <w:sz w:val="24"/>
          <w:szCs w:val="24"/>
        </w:rPr>
        <w:t xml:space="preserve">The Applicant notes that the Hospital and its physicians follow the American College of Radiology’s Appropriateness Criteria. AJH physicians are encouraged to consult the Appropriateness Criteria as well as the radiologist on-call anytime there is a question of whether CT is the most appropriate tool. </w:t>
      </w:r>
      <w:r w:rsidRPr="002155ED">
        <w:rPr>
          <w:kern w:val="2"/>
          <w:sz w:val="24"/>
          <w:szCs w:val="24"/>
        </w:rPr>
        <w:t xml:space="preserve">The </w:t>
      </w:r>
      <w:r>
        <w:rPr>
          <w:kern w:val="2"/>
          <w:sz w:val="24"/>
          <w:szCs w:val="24"/>
        </w:rPr>
        <w:t>H</w:t>
      </w:r>
      <w:r w:rsidRPr="002155ED">
        <w:rPr>
          <w:kern w:val="2"/>
          <w:sz w:val="24"/>
          <w:szCs w:val="24"/>
        </w:rPr>
        <w:t xml:space="preserve">ospital adheres to all regulatory requirements regarding </w:t>
      </w:r>
      <w:r>
        <w:rPr>
          <w:kern w:val="2"/>
          <w:sz w:val="24"/>
          <w:szCs w:val="24"/>
        </w:rPr>
        <w:t>Appropriate Use Criteria (AUC)</w:t>
      </w:r>
      <w:r w:rsidRPr="002155ED">
        <w:rPr>
          <w:kern w:val="2"/>
          <w:sz w:val="24"/>
          <w:szCs w:val="24"/>
        </w:rPr>
        <w:t xml:space="preserve">. </w:t>
      </w:r>
      <w:r>
        <w:rPr>
          <w:kern w:val="2"/>
          <w:sz w:val="24"/>
          <w:szCs w:val="24"/>
        </w:rPr>
        <w:t>T</w:t>
      </w:r>
      <w:r w:rsidRPr="002155ED">
        <w:rPr>
          <w:kern w:val="2"/>
          <w:sz w:val="24"/>
          <w:szCs w:val="24"/>
        </w:rPr>
        <w:t>he Applicant</w:t>
      </w:r>
      <w:r>
        <w:rPr>
          <w:kern w:val="2"/>
          <w:sz w:val="24"/>
          <w:szCs w:val="24"/>
        </w:rPr>
        <w:t xml:space="preserve"> notes that Medicare does not currently require</w:t>
      </w:r>
      <w:r w:rsidRPr="002155ED">
        <w:rPr>
          <w:kern w:val="2"/>
          <w:sz w:val="24"/>
          <w:szCs w:val="24"/>
        </w:rPr>
        <w:t xml:space="preserve"> implement</w:t>
      </w:r>
      <w:r>
        <w:rPr>
          <w:kern w:val="2"/>
          <w:sz w:val="24"/>
          <w:szCs w:val="24"/>
        </w:rPr>
        <w:t>ation</w:t>
      </w:r>
      <w:r w:rsidRPr="002155ED">
        <w:rPr>
          <w:kern w:val="2"/>
          <w:sz w:val="24"/>
          <w:szCs w:val="24"/>
        </w:rPr>
        <w:t xml:space="preserve"> AUC programs.</w:t>
      </w:r>
    </w:p>
    <w:p w14:paraId="22DFF054" w14:textId="77777777" w:rsidR="00C94980" w:rsidRPr="002155ED" w:rsidRDefault="00C94980" w:rsidP="00C94980">
      <w:pPr>
        <w:pStyle w:val="BodyText"/>
        <w:rPr>
          <w:kern w:val="2"/>
          <w:sz w:val="24"/>
          <w:szCs w:val="24"/>
        </w:rPr>
      </w:pPr>
    </w:p>
    <w:p w14:paraId="04138BC1" w14:textId="77777777" w:rsidR="00C94980" w:rsidRPr="000108AC" w:rsidRDefault="00C94980" w:rsidP="00C94980">
      <w:pPr>
        <w:contextualSpacing/>
        <w:rPr>
          <w:rFonts w:asciiTheme="minorHAnsi" w:hAnsiTheme="minorHAnsi" w:cstheme="minorHAnsi"/>
          <w:b/>
          <w:i/>
        </w:rPr>
      </w:pPr>
      <w:r w:rsidRPr="000108AC">
        <w:rPr>
          <w:rFonts w:asciiTheme="minorHAnsi" w:hAnsiTheme="minorHAnsi" w:cstheme="minorHAnsi"/>
          <w:b/>
          <w:i/>
        </w:rPr>
        <w:t>Analysis</w:t>
      </w:r>
    </w:p>
    <w:p w14:paraId="7CE5184B" w14:textId="1ABB1090" w:rsidR="00C94980" w:rsidRPr="00124049" w:rsidRDefault="00C94980" w:rsidP="00C94980">
      <w:pPr>
        <w:spacing w:line="259" w:lineRule="auto"/>
        <w:ind w:right="114"/>
        <w:rPr>
          <w:rFonts w:asciiTheme="minorHAnsi" w:hAnsiTheme="minorHAnsi" w:cstheme="minorHAnsi"/>
          <w:highlight w:val="yellow"/>
        </w:rPr>
      </w:pPr>
      <w:r w:rsidRPr="000108AC">
        <w:rPr>
          <w:rFonts w:asciiTheme="minorHAnsi" w:hAnsiTheme="minorHAnsi" w:cstheme="minorHAnsi"/>
        </w:rPr>
        <w:t>The Proposed Project has the potential to reduce costs by providing CT imaging services on site at AJH, saving the expense of transporting to another facility to complete imaging services</w:t>
      </w:r>
      <w:r w:rsidRPr="00FC166E">
        <w:rPr>
          <w:rFonts w:asciiTheme="minorHAnsi" w:hAnsiTheme="minorHAnsi" w:cstheme="minorHAnsi"/>
        </w:rPr>
        <w:t>. While advanced imaging improves clinical care, it is also the source of overuse and added healthcare costs.</w:t>
      </w:r>
      <w:r w:rsidRPr="00FC166E">
        <w:rPr>
          <w:rStyle w:val="EndnoteReference"/>
          <w:rFonts w:asciiTheme="minorHAnsi" w:hAnsiTheme="minorHAnsi" w:cstheme="minorHAnsi"/>
        </w:rPr>
        <w:endnoteReference w:id="13"/>
      </w:r>
      <w:r w:rsidRPr="00FC166E">
        <w:rPr>
          <w:rFonts w:asciiTheme="minorHAnsi" w:hAnsiTheme="minorHAnsi" w:cstheme="minorHAnsi"/>
        </w:rPr>
        <w:t xml:space="preserve"> Staff notes that the Applicant and Hospital follow Appropriate Use Criteria for CT imaging to minimize overuse. Staff finds that, on balance, the Proposed Project will likely compete on the basis of price, TME provider costs, and other measures of health care spending</w:t>
      </w:r>
      <w:r w:rsidR="004525E0">
        <w:rPr>
          <w:rFonts w:asciiTheme="minorHAnsi" w:hAnsiTheme="minorHAnsi" w:cstheme="minorHAnsi"/>
        </w:rPr>
        <w:t xml:space="preserve"> and meets the requirements for Factor 1f</w:t>
      </w:r>
      <w:r w:rsidRPr="00FC166E">
        <w:rPr>
          <w:rFonts w:asciiTheme="minorHAnsi" w:hAnsiTheme="minorHAnsi" w:cstheme="minorHAnsi"/>
        </w:rPr>
        <w:t>.</w:t>
      </w:r>
    </w:p>
    <w:p w14:paraId="7BE1E363" w14:textId="77777777" w:rsidR="00C94980" w:rsidRPr="00124049" w:rsidRDefault="00C94980" w:rsidP="00C94980">
      <w:pPr>
        <w:rPr>
          <w:highlight w:val="yellow"/>
        </w:rPr>
      </w:pPr>
    </w:p>
    <w:p w14:paraId="23DD4DC5" w14:textId="77777777" w:rsidR="00C94980" w:rsidRPr="002B5B84" w:rsidRDefault="00C94980" w:rsidP="00AA18F6">
      <w:pPr>
        <w:pStyle w:val="Heading2"/>
        <w:spacing w:before="0" w:line="240" w:lineRule="auto"/>
        <w:ind w:left="360"/>
        <w:contextualSpacing/>
        <w:rPr>
          <w:rFonts w:asciiTheme="minorHAnsi" w:hAnsiTheme="minorHAnsi" w:cstheme="minorHAnsi"/>
          <w:color w:val="42558C" w:themeColor="accent1" w:themeShade="BF"/>
          <w:sz w:val="24"/>
          <w:szCs w:val="24"/>
        </w:rPr>
      </w:pPr>
      <w:bookmarkStart w:id="38" w:name="_Toc125371246"/>
      <w:bookmarkStart w:id="39" w:name="_Toc145424493"/>
      <w:r w:rsidRPr="002B5B84">
        <w:rPr>
          <w:rFonts w:asciiTheme="minorHAnsi" w:hAnsiTheme="minorHAnsi" w:cstheme="minorHAnsi"/>
          <w:color w:val="42558C" w:themeColor="accent1" w:themeShade="BF"/>
          <w:sz w:val="24"/>
          <w:szCs w:val="24"/>
        </w:rPr>
        <w:t>Summary, FACTOR 1</w:t>
      </w:r>
      <w:bookmarkEnd w:id="38"/>
      <w:bookmarkEnd w:id="39"/>
      <w:r w:rsidRPr="002B5B84">
        <w:rPr>
          <w:rFonts w:asciiTheme="minorHAnsi" w:hAnsiTheme="minorHAnsi" w:cstheme="minorHAnsi"/>
          <w:color w:val="42558C" w:themeColor="accent1" w:themeShade="BF"/>
          <w:sz w:val="24"/>
          <w:szCs w:val="24"/>
        </w:rPr>
        <w:t xml:space="preserve"> </w:t>
      </w:r>
    </w:p>
    <w:p w14:paraId="7BFD3B54" w14:textId="77777777" w:rsidR="00C94980" w:rsidRPr="002B5B84" w:rsidRDefault="00C94980" w:rsidP="00AA18F6">
      <w:pPr>
        <w:ind w:left="360"/>
        <w:rPr>
          <w:rFonts w:asciiTheme="minorHAnsi" w:hAnsiTheme="minorHAnsi" w:cstheme="minorBidi"/>
        </w:rPr>
      </w:pPr>
      <w:r w:rsidRPr="002B5B84">
        <w:rPr>
          <w:rFonts w:asciiTheme="minorHAnsi" w:hAnsiTheme="minorHAnsi" w:cstheme="minorBidi"/>
        </w:rPr>
        <w:t xml:space="preserve">As a result of the information provided by the Applicant and additional analysis, staff finds that the Applicant has demonstrated that the Proposed Project meets Factor 1. </w:t>
      </w:r>
    </w:p>
    <w:p w14:paraId="2FA4936F" w14:textId="10FDEAEB" w:rsidR="00503E04" w:rsidRPr="00AC3A42" w:rsidRDefault="00503E04" w:rsidP="00503E04">
      <w:pPr>
        <w:rPr>
          <w:highlight w:val="yellow"/>
        </w:rPr>
      </w:pPr>
    </w:p>
    <w:p w14:paraId="7829E354" w14:textId="77777777" w:rsidR="009F6F3E" w:rsidRPr="00AC3A42" w:rsidRDefault="009F6F3E" w:rsidP="00503E04">
      <w:pPr>
        <w:rPr>
          <w:highlight w:val="yellow"/>
        </w:rPr>
      </w:pPr>
    </w:p>
    <w:p w14:paraId="45BBC394" w14:textId="77777777" w:rsidR="00D90513" w:rsidRPr="00C94980" w:rsidRDefault="00D90513" w:rsidP="00D90513">
      <w:pPr>
        <w:pStyle w:val="Heading1"/>
        <w:spacing w:before="0" w:line="240" w:lineRule="auto"/>
        <w:rPr>
          <w:rFonts w:asciiTheme="minorHAnsi" w:hAnsiTheme="minorHAnsi" w:cstheme="minorHAnsi"/>
        </w:rPr>
      </w:pPr>
      <w:bookmarkStart w:id="40" w:name="_Toc99993059"/>
      <w:bookmarkStart w:id="41" w:name="_Toc145424494"/>
      <w:bookmarkStart w:id="42" w:name="_Toc17748725"/>
      <w:bookmarkStart w:id="43" w:name="_Toc17748726"/>
      <w:r w:rsidRPr="00C94980">
        <w:rPr>
          <w:rFonts w:asciiTheme="minorHAnsi" w:hAnsiTheme="minorHAnsi" w:cstheme="minorHAnsi"/>
        </w:rPr>
        <w:t>Factor 2: Cost containment, Improved Public Health Outcomes and Delivery System Transformation</w:t>
      </w:r>
      <w:bookmarkEnd w:id="40"/>
      <w:bookmarkEnd w:id="41"/>
      <w:r w:rsidRPr="00C94980">
        <w:rPr>
          <w:rFonts w:asciiTheme="minorHAnsi" w:hAnsiTheme="minorHAnsi" w:cstheme="minorHAnsi"/>
        </w:rPr>
        <w:t xml:space="preserve"> </w:t>
      </w:r>
      <w:bookmarkStart w:id="44" w:name="_Toc17731329"/>
      <w:bookmarkStart w:id="45" w:name="_Toc17748249"/>
      <w:bookmarkStart w:id="46" w:name="_Toc17748476"/>
      <w:bookmarkStart w:id="47" w:name="_Toc17748720"/>
      <w:bookmarkStart w:id="48" w:name="_Toc18420199"/>
      <w:bookmarkStart w:id="49" w:name="_Toc18922420"/>
    </w:p>
    <w:bookmarkEnd w:id="44"/>
    <w:bookmarkEnd w:id="45"/>
    <w:bookmarkEnd w:id="46"/>
    <w:bookmarkEnd w:id="47"/>
    <w:bookmarkEnd w:id="48"/>
    <w:bookmarkEnd w:id="49"/>
    <w:p w14:paraId="4E67116B" w14:textId="77777777" w:rsidR="00AA7374" w:rsidRPr="00E32A8B" w:rsidRDefault="00AA7374" w:rsidP="00AA7374">
      <w:pPr>
        <w:spacing w:before="240"/>
        <w:rPr>
          <w:rFonts w:asciiTheme="minorHAnsi" w:hAnsiTheme="minorHAnsi" w:cstheme="minorHAnsi"/>
        </w:rPr>
      </w:pPr>
      <w:r w:rsidRPr="00E32A8B">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631410C2" w14:textId="77777777" w:rsidR="00AA7374" w:rsidRPr="00040A42" w:rsidRDefault="00AA7374" w:rsidP="00AA7374">
      <w:pPr>
        <w:rPr>
          <w:highlight w:val="yellow"/>
        </w:rPr>
      </w:pPr>
    </w:p>
    <w:p w14:paraId="13D3C8FB" w14:textId="77777777" w:rsidR="00AA7374" w:rsidRPr="005B446B" w:rsidRDefault="00AA7374" w:rsidP="00AA7374">
      <w:pPr>
        <w:contextualSpacing/>
        <w:rPr>
          <w:rFonts w:asciiTheme="minorHAnsi" w:hAnsiTheme="minorHAnsi" w:cstheme="minorHAnsi"/>
          <w:b/>
          <w:bCs/>
        </w:rPr>
      </w:pPr>
      <w:r w:rsidRPr="005B446B">
        <w:rPr>
          <w:rFonts w:asciiTheme="minorHAnsi" w:hAnsiTheme="minorHAnsi" w:cstheme="minorHAnsi"/>
          <w:b/>
          <w:bCs/>
        </w:rPr>
        <w:t xml:space="preserve">Cost Containment </w:t>
      </w:r>
    </w:p>
    <w:p w14:paraId="3ED20B3E" w14:textId="2F9B068D" w:rsidR="00AA7374" w:rsidRPr="004B57C3" w:rsidRDefault="00AA7374" w:rsidP="00AA7374">
      <w:pPr>
        <w:contextualSpacing/>
        <w:rPr>
          <w:rFonts w:asciiTheme="minorHAnsi" w:hAnsiTheme="minorHAnsi" w:cstheme="minorHAnsi"/>
          <w:b/>
          <w:bCs/>
        </w:rPr>
      </w:pPr>
      <w:r w:rsidRPr="004B57C3">
        <w:rPr>
          <w:rFonts w:asciiTheme="minorHAnsi" w:hAnsiTheme="minorHAnsi" w:cstheme="minorHAnsi"/>
        </w:rPr>
        <w:t xml:space="preserve">The Applicant asserts that the Proposed Project will contribute to the Commonwealth’s goals for cost containment by reducing costs through increased efficiencies in operations. The Applicant anticipates that timely access to CT imaging services will reduce wait-times for CT, potentially saving costs through </w:t>
      </w:r>
      <w:r w:rsidRPr="004B57C3">
        <w:rPr>
          <w:rFonts w:asciiTheme="minorHAnsi" w:hAnsiTheme="minorHAnsi" w:cstheme="minorHAnsi"/>
        </w:rPr>
        <w:lastRenderedPageBreak/>
        <w:t>the gained efficiencies of earlier diagnosis and treatment. The Applicant states that the Proposed Project ensures that the Patient Panel has prompt and equitable access to CT imaging services. The Applicant asserts that there will be no change in AJH’s contracted rates for CT services</w:t>
      </w:r>
      <w:r>
        <w:rPr>
          <w:rFonts w:asciiTheme="minorHAnsi" w:hAnsiTheme="minorHAnsi" w:cstheme="minorHAnsi"/>
        </w:rPr>
        <w:t xml:space="preserve">, and no impact on costs, </w:t>
      </w:r>
      <w:r w:rsidRPr="004B57C3">
        <w:rPr>
          <w:rFonts w:asciiTheme="minorHAnsi" w:hAnsiTheme="minorHAnsi" w:cstheme="minorHAnsi"/>
        </w:rPr>
        <w:t xml:space="preserve">while ensuring timely access to care. </w:t>
      </w:r>
    </w:p>
    <w:p w14:paraId="1B061CFF" w14:textId="77777777" w:rsidR="00AA7374" w:rsidRPr="00987138" w:rsidRDefault="00AA7374" w:rsidP="00AA7374">
      <w:pPr>
        <w:contextualSpacing/>
        <w:rPr>
          <w:rFonts w:asciiTheme="minorHAnsi" w:hAnsiTheme="minorHAnsi" w:cstheme="minorHAnsi"/>
        </w:rPr>
      </w:pPr>
    </w:p>
    <w:p w14:paraId="54932373" w14:textId="77777777" w:rsidR="00AA7374" w:rsidRPr="00987138" w:rsidRDefault="00AA7374" w:rsidP="00AA7374">
      <w:pPr>
        <w:contextualSpacing/>
        <w:rPr>
          <w:rFonts w:asciiTheme="minorHAnsi" w:hAnsiTheme="minorHAnsi" w:cstheme="minorHAnsi"/>
          <w:b/>
          <w:i/>
          <w:iCs/>
        </w:rPr>
      </w:pPr>
      <w:r w:rsidRPr="00987138">
        <w:rPr>
          <w:rFonts w:asciiTheme="minorHAnsi" w:hAnsiTheme="minorHAnsi" w:cstheme="minorHAnsi"/>
          <w:b/>
          <w:i/>
          <w:iCs/>
        </w:rPr>
        <w:t>Analysis: Cost Containment</w:t>
      </w:r>
    </w:p>
    <w:p w14:paraId="2BC3D130" w14:textId="77777777" w:rsidR="00AA7374" w:rsidRPr="00987138" w:rsidRDefault="00AA7374" w:rsidP="00AA7374">
      <w:pPr>
        <w:spacing w:line="259" w:lineRule="auto"/>
        <w:ind w:right="114"/>
        <w:rPr>
          <w:rFonts w:asciiTheme="minorHAnsi" w:hAnsiTheme="minorHAnsi" w:cstheme="minorHAnsi"/>
        </w:rPr>
      </w:pPr>
      <w:r w:rsidRPr="00987138">
        <w:rPr>
          <w:rFonts w:asciiTheme="minorHAnsi" w:hAnsiTheme="minorHAnsi" w:cstheme="minorHAnsi"/>
        </w:rPr>
        <w:t>Staff finds that the Applicant has adequately explained how it aligns with cost containment goals through the expansion of imaging services provided on site at AJH with no change in contracted rates. Therefore, DoN Staff can conclude that the Proposed Project will likely meet the cost containment component of Factor 2.</w:t>
      </w:r>
    </w:p>
    <w:p w14:paraId="123CF32F" w14:textId="77777777" w:rsidR="00AA7374" w:rsidRPr="00040A42" w:rsidRDefault="00AA7374" w:rsidP="00AA7374">
      <w:pPr>
        <w:rPr>
          <w:rFonts w:asciiTheme="minorHAnsi" w:hAnsiTheme="minorHAnsi" w:cstheme="minorHAnsi"/>
          <w:b/>
          <w:bCs/>
          <w:highlight w:val="yellow"/>
        </w:rPr>
      </w:pPr>
    </w:p>
    <w:p w14:paraId="474A1642" w14:textId="77777777" w:rsidR="00AA7374" w:rsidRPr="00D34E44" w:rsidRDefault="00AA7374" w:rsidP="00AA7374">
      <w:pPr>
        <w:rPr>
          <w:rFonts w:asciiTheme="minorHAnsi" w:hAnsiTheme="minorHAnsi" w:cstheme="minorHAnsi"/>
          <w:b/>
          <w:bCs/>
        </w:rPr>
      </w:pPr>
      <w:r w:rsidRPr="00D34E44">
        <w:rPr>
          <w:rFonts w:asciiTheme="minorHAnsi" w:hAnsiTheme="minorHAnsi" w:cstheme="minorHAnsi"/>
          <w:b/>
          <w:bCs/>
        </w:rPr>
        <w:t xml:space="preserve">Improved Public Health Outcomes </w:t>
      </w:r>
    </w:p>
    <w:p w14:paraId="0044C70F" w14:textId="69572D2E" w:rsidR="00AA7374" w:rsidRPr="00D34E44" w:rsidRDefault="00AA7374" w:rsidP="00AA7374">
      <w:pPr>
        <w:spacing w:line="259" w:lineRule="auto"/>
        <w:ind w:right="114"/>
        <w:rPr>
          <w:rFonts w:asciiTheme="minorHAnsi" w:hAnsiTheme="minorHAnsi" w:cstheme="minorHAnsi"/>
        </w:rPr>
      </w:pPr>
      <w:r w:rsidRPr="00D34E44">
        <w:rPr>
          <w:rFonts w:asciiTheme="minorHAnsi" w:hAnsiTheme="minorHAnsi" w:cstheme="minorHAnsi"/>
        </w:rPr>
        <w:t>The Applicant anticipates the Proposed Project will improve public health outcomes by ensuring timely emergency access to CT imaging. Early intervention CT imaging is essential for trauma, stroke, cardiac and other emergency patients. A second CT unit will provide AJH with adequate capacity to provide CT imaging for both emergency and non-emergency circumstances. The Applicant predicts that the Patient Panel will achieve better health outcomes by eliminating the delay in diagnosis and intervention for those requiring CT. The second unit will also allow an expansion of the preventative LDCT services, which has the potential to improve Patient Panel outcomes through early detection of lung cancer.</w:t>
      </w:r>
    </w:p>
    <w:p w14:paraId="69953F32" w14:textId="77777777" w:rsidR="00AA7374" w:rsidRPr="00040A42" w:rsidRDefault="00AA7374" w:rsidP="00AA7374">
      <w:pPr>
        <w:rPr>
          <w:rFonts w:asciiTheme="minorHAnsi" w:hAnsiTheme="minorHAnsi" w:cstheme="minorHAnsi"/>
          <w:bCs/>
          <w:highlight w:val="yellow"/>
        </w:rPr>
      </w:pPr>
    </w:p>
    <w:p w14:paraId="1DA65C93" w14:textId="77777777" w:rsidR="00AA7374" w:rsidRPr="005A6BE5" w:rsidRDefault="00AA7374" w:rsidP="00AA7374">
      <w:pPr>
        <w:contextualSpacing/>
        <w:rPr>
          <w:rFonts w:asciiTheme="minorHAnsi" w:hAnsiTheme="minorHAnsi" w:cstheme="minorHAnsi"/>
          <w:b/>
          <w:i/>
          <w:iCs/>
        </w:rPr>
      </w:pPr>
      <w:bookmarkStart w:id="50" w:name="_Toc17731331"/>
      <w:bookmarkStart w:id="51" w:name="_Toc17748251"/>
      <w:bookmarkStart w:id="52" w:name="_Toc17748479"/>
      <w:bookmarkStart w:id="53" w:name="_Toc17748723"/>
      <w:bookmarkStart w:id="54" w:name="_Toc18420202"/>
      <w:bookmarkStart w:id="55" w:name="_Toc18922423"/>
      <w:r w:rsidRPr="005A6BE5">
        <w:rPr>
          <w:rFonts w:asciiTheme="minorHAnsi" w:hAnsiTheme="minorHAnsi" w:cstheme="minorHAnsi"/>
          <w:b/>
          <w:i/>
          <w:iCs/>
        </w:rPr>
        <w:t>Analysis: Public Health Outcomes</w:t>
      </w:r>
    </w:p>
    <w:p w14:paraId="123A3B7D" w14:textId="77777777" w:rsidR="00AA7374" w:rsidRPr="005A6BE5" w:rsidRDefault="00AA7374" w:rsidP="00AA7374">
      <w:pPr>
        <w:spacing w:line="259" w:lineRule="auto"/>
        <w:ind w:right="114"/>
        <w:rPr>
          <w:rFonts w:asciiTheme="minorHAnsi" w:hAnsiTheme="minorHAnsi" w:cstheme="minorHAnsi"/>
        </w:rPr>
      </w:pPr>
      <w:r w:rsidRPr="005A6BE5">
        <w:rPr>
          <w:rFonts w:asciiTheme="minorHAnsi" w:hAnsiTheme="minorHAnsi" w:cstheme="minorHAnsi"/>
        </w:rPr>
        <w:t>Staff finds that the Proposed Project will provide the Patient Population more timely access to imaging services that has the potential to improve health outcomes. Timely access can reduce delays in diagnosis and treatment that can adversely impact health outcomes</w:t>
      </w:r>
      <w:r w:rsidRPr="005A6BE5">
        <w:rPr>
          <w:rFonts w:asciiTheme="minorHAnsi" w:hAnsiTheme="minorHAnsi" w:cstheme="minorHAnsi"/>
          <w:color w:val="000000"/>
        </w:rPr>
        <w:t xml:space="preserve">. With ample access to CT services, AJH will be able to simultaneously provide emergency CT scans as well as routine diagnostic and preventative scans. </w:t>
      </w:r>
      <w:r w:rsidRPr="005A6BE5">
        <w:rPr>
          <w:rFonts w:asciiTheme="minorHAnsi" w:hAnsiTheme="minorHAnsi" w:cstheme="minorHAnsi"/>
        </w:rPr>
        <w:t>Therefore, DoN Staff can conclude that the Proposed Project will likely meet the Public Health Outcomes component of Factor 2.</w:t>
      </w:r>
    </w:p>
    <w:p w14:paraId="5F08D3D8" w14:textId="77777777" w:rsidR="00AA7374" w:rsidRPr="00040A42" w:rsidRDefault="00AA7374" w:rsidP="00AA7374">
      <w:pPr>
        <w:autoSpaceDE w:val="0"/>
        <w:autoSpaceDN w:val="0"/>
        <w:adjustRightInd w:val="0"/>
        <w:rPr>
          <w:rFonts w:asciiTheme="minorHAnsi" w:hAnsiTheme="minorHAnsi" w:cstheme="minorHAnsi"/>
          <w:color w:val="000000"/>
          <w:highlight w:val="yellow"/>
        </w:rPr>
      </w:pPr>
    </w:p>
    <w:p w14:paraId="70B3F077" w14:textId="77777777" w:rsidR="00AA7374" w:rsidRPr="00A53CE8" w:rsidRDefault="00AA7374" w:rsidP="00AA7374">
      <w:pPr>
        <w:contextualSpacing/>
        <w:rPr>
          <w:rFonts w:asciiTheme="minorHAnsi" w:hAnsiTheme="minorHAnsi" w:cstheme="minorHAnsi"/>
          <w:b/>
          <w:bCs/>
        </w:rPr>
      </w:pPr>
      <w:r w:rsidRPr="00A53CE8">
        <w:rPr>
          <w:rFonts w:asciiTheme="minorHAnsi" w:hAnsiTheme="minorHAnsi" w:cstheme="minorHAnsi"/>
          <w:b/>
          <w:bCs/>
        </w:rPr>
        <w:t>Delivery System Transformation</w:t>
      </w:r>
      <w:bookmarkEnd w:id="50"/>
      <w:bookmarkEnd w:id="51"/>
      <w:bookmarkEnd w:id="52"/>
      <w:bookmarkEnd w:id="53"/>
      <w:bookmarkEnd w:id="54"/>
      <w:bookmarkEnd w:id="55"/>
      <w:r w:rsidRPr="00A53CE8">
        <w:rPr>
          <w:rFonts w:asciiTheme="minorHAnsi" w:hAnsiTheme="minorHAnsi" w:cstheme="minorHAnsi"/>
          <w:b/>
          <w:bCs/>
        </w:rPr>
        <w:t xml:space="preserve"> </w:t>
      </w:r>
    </w:p>
    <w:p w14:paraId="421CEDC1" w14:textId="2AB1AAED" w:rsidR="00AA7374" w:rsidRPr="00A53CE8" w:rsidRDefault="00AA7374" w:rsidP="00AA7374">
      <w:pPr>
        <w:jc w:val="both"/>
        <w:rPr>
          <w:rFonts w:asciiTheme="minorHAnsi" w:hAnsiTheme="minorHAnsi" w:cstheme="minorHAnsi"/>
        </w:rPr>
      </w:pPr>
      <w:r w:rsidRPr="00A53CE8">
        <w:rPr>
          <w:rFonts w:asciiTheme="minorHAnsi" w:hAnsiTheme="minorHAnsi" w:cstheme="minorHAnsi"/>
        </w:rPr>
        <w:t>AJH screens patients for the following SD</w:t>
      </w:r>
      <w:r w:rsidR="00A21625">
        <w:rPr>
          <w:rFonts w:asciiTheme="minorHAnsi" w:hAnsiTheme="minorHAnsi" w:cstheme="minorHAnsi"/>
        </w:rPr>
        <w:t>o</w:t>
      </w:r>
      <w:r w:rsidRPr="00A53CE8">
        <w:rPr>
          <w:rFonts w:asciiTheme="minorHAnsi" w:hAnsiTheme="minorHAnsi" w:cstheme="minorHAnsi"/>
        </w:rPr>
        <w:t xml:space="preserve">H needs during each encounter: Housing, Interpersonal Safety, Social Support, Health Behaviors (e.g., alcohol consumption, smoking, drug use, etc.), and Financial Stability. Employment and Transportation are also screened on a case-by-case basis as determined by the patient’s care team. Additionally, certain patient characteristics, such as specific diseases (e.g., diabetes) and high intensity resource utilization may also prompt a needs screening. If a need is identified, a referral is made to a community-based organization or to a resource within the Hospital and/or BILH. Within the emergency department, direct referrals are made for behavioral health and substance use to embedded community partners, such as Recovery Coaches and LinkHouse. </w:t>
      </w:r>
    </w:p>
    <w:p w14:paraId="6AD9EDF0" w14:textId="77777777" w:rsidR="00AA7374" w:rsidRPr="00A53CE8" w:rsidRDefault="00AA7374" w:rsidP="00AA7374">
      <w:pPr>
        <w:jc w:val="both"/>
        <w:rPr>
          <w:rFonts w:asciiTheme="minorHAnsi" w:hAnsiTheme="minorHAnsi" w:cstheme="minorHAnsi"/>
        </w:rPr>
      </w:pPr>
    </w:p>
    <w:p w14:paraId="4589EE73" w14:textId="4CAC464D" w:rsidR="00AA7374" w:rsidRPr="00A53CE8" w:rsidRDefault="00AA7374" w:rsidP="00AA7374">
      <w:pPr>
        <w:jc w:val="both"/>
        <w:rPr>
          <w:rFonts w:asciiTheme="minorHAnsi" w:hAnsiTheme="minorHAnsi" w:cstheme="minorHAnsi"/>
        </w:rPr>
      </w:pPr>
      <w:r w:rsidRPr="00A53CE8">
        <w:rPr>
          <w:rFonts w:asciiTheme="minorHAnsi" w:hAnsiTheme="minorHAnsi" w:cstheme="minorHAnsi"/>
        </w:rPr>
        <w:t xml:space="preserve">In addition, the Applicant’s Beth Israel Lahey Healthcare primary care practice locations in Amesbury, Haverhill, </w:t>
      </w:r>
      <w:r w:rsidR="00742009" w:rsidRPr="00A53CE8">
        <w:rPr>
          <w:rFonts w:asciiTheme="minorHAnsi" w:hAnsiTheme="minorHAnsi" w:cstheme="minorHAnsi"/>
        </w:rPr>
        <w:t>Newburyport,</w:t>
      </w:r>
      <w:r w:rsidRPr="00A53CE8">
        <w:rPr>
          <w:rFonts w:asciiTheme="minorHAnsi" w:hAnsiTheme="minorHAnsi" w:cstheme="minorHAnsi"/>
        </w:rPr>
        <w:t xml:space="preserve"> and Seabrook, screen all patients for Social Determinants of Health as part of their annual wellness exam. The screener form is modified from the Protocols for Responding to and Assessing Patients’ Assets, Risks, and Experiences (PRAPARE). The screener is filled out before the </w:t>
      </w:r>
      <w:r w:rsidRPr="00A53CE8">
        <w:rPr>
          <w:rFonts w:asciiTheme="minorHAnsi" w:hAnsiTheme="minorHAnsi" w:cstheme="minorHAnsi"/>
        </w:rPr>
        <w:lastRenderedPageBreak/>
        <w:t>patient’s visit on a tablet or paper. If a safety concern is flagged through the screener, the provider is notified immediately to address the issue during the visit. </w:t>
      </w:r>
    </w:p>
    <w:p w14:paraId="578D78BC" w14:textId="77777777" w:rsidR="00AA7374" w:rsidRPr="00A53CE8" w:rsidRDefault="00AA7374" w:rsidP="00AA7374">
      <w:pPr>
        <w:rPr>
          <w:rFonts w:cstheme="minorHAnsi"/>
          <w:b/>
          <w:bCs/>
        </w:rPr>
      </w:pPr>
    </w:p>
    <w:p w14:paraId="695D9EA8" w14:textId="77777777" w:rsidR="00AA7374" w:rsidRPr="00A53CE8" w:rsidRDefault="00AA7374" w:rsidP="00AA7374">
      <w:pPr>
        <w:rPr>
          <w:rFonts w:asciiTheme="minorHAnsi" w:hAnsiTheme="minorHAnsi" w:cstheme="minorHAnsi"/>
          <w:b/>
          <w:bCs/>
        </w:rPr>
      </w:pPr>
      <w:r w:rsidRPr="00A53CE8">
        <w:rPr>
          <w:rFonts w:asciiTheme="minorHAnsi" w:hAnsiTheme="minorHAnsi" w:cstheme="minorHAnsi"/>
          <w:b/>
          <w:i/>
          <w:iCs/>
        </w:rPr>
        <w:t xml:space="preserve">Analysis: </w:t>
      </w:r>
      <w:r w:rsidRPr="00A53CE8">
        <w:rPr>
          <w:rFonts w:asciiTheme="minorHAnsi" w:hAnsiTheme="minorHAnsi" w:cstheme="minorHAnsi"/>
          <w:b/>
          <w:bCs/>
          <w:i/>
          <w:iCs/>
        </w:rPr>
        <w:t>Delivery System Transformation</w:t>
      </w:r>
    </w:p>
    <w:p w14:paraId="479C957B" w14:textId="77777777" w:rsidR="00AA7374" w:rsidRPr="00A53CE8" w:rsidRDefault="00AA7374" w:rsidP="00AA7374">
      <w:pPr>
        <w:spacing w:line="259" w:lineRule="auto"/>
        <w:ind w:right="114"/>
        <w:rPr>
          <w:rFonts w:asciiTheme="minorHAnsi" w:hAnsiTheme="minorHAnsi" w:cstheme="minorHAnsi"/>
        </w:rPr>
      </w:pPr>
      <w:r w:rsidRPr="00A53CE8">
        <w:rPr>
          <w:rFonts w:asciiTheme="minorHAnsi" w:hAnsiTheme="minorHAnsi" w:cstheme="minorHAnsi"/>
          <w:bCs/>
        </w:rPr>
        <w:t xml:space="preserve">Central to the goal of Delivery System Transformation is the integration of social services and community-based expertise. The Applicant screens patients on relevant SDoH factors and demonstrates a variety of methods for linking patients to needed community resources. Staff notes that AJH has embedded screenings and referrals into their patient care procedures, ensuring that necessary connections occur. </w:t>
      </w:r>
      <w:r w:rsidRPr="00A53CE8">
        <w:rPr>
          <w:rFonts w:asciiTheme="minorHAnsi" w:hAnsiTheme="minorHAnsi" w:cstheme="minorHAnsi"/>
        </w:rPr>
        <w:t>Therefore, DoN Staff can conclude that the Proposed Project will likely meet the Delivery System Transformation component of Factor 2.</w:t>
      </w:r>
    </w:p>
    <w:p w14:paraId="5D1F7296" w14:textId="77777777" w:rsidR="00AA7374" w:rsidRPr="00A53CE8" w:rsidRDefault="00AA7374" w:rsidP="00AA7374">
      <w:pPr>
        <w:rPr>
          <w:rFonts w:asciiTheme="minorHAnsi" w:hAnsiTheme="minorHAnsi" w:cstheme="minorHAnsi"/>
        </w:rPr>
      </w:pPr>
    </w:p>
    <w:p w14:paraId="1A7BDBB5" w14:textId="77777777" w:rsidR="00AA7374" w:rsidRPr="00A53CE8" w:rsidRDefault="00AA7374" w:rsidP="00A21625">
      <w:pPr>
        <w:pStyle w:val="Heading1"/>
        <w:spacing w:before="0" w:line="240" w:lineRule="auto"/>
        <w:ind w:left="360"/>
        <w:rPr>
          <w:rFonts w:asciiTheme="minorHAnsi" w:hAnsiTheme="minorHAnsi" w:cstheme="minorHAnsi"/>
          <w:sz w:val="24"/>
          <w:szCs w:val="24"/>
        </w:rPr>
      </w:pPr>
      <w:bookmarkStart w:id="56" w:name="_Toc125371248"/>
      <w:bookmarkStart w:id="57" w:name="_Toc145424495"/>
      <w:r w:rsidRPr="00A53CE8">
        <w:rPr>
          <w:rFonts w:asciiTheme="minorHAnsi" w:hAnsiTheme="minorHAnsi" w:cstheme="minorHAnsi"/>
          <w:sz w:val="24"/>
          <w:szCs w:val="24"/>
        </w:rPr>
        <w:t>Summary, FACTOR 2</w:t>
      </w:r>
      <w:bookmarkEnd w:id="56"/>
      <w:bookmarkEnd w:id="57"/>
      <w:r w:rsidRPr="00A53CE8">
        <w:rPr>
          <w:rFonts w:asciiTheme="minorHAnsi" w:hAnsiTheme="minorHAnsi" w:cstheme="minorHAnsi"/>
          <w:sz w:val="24"/>
          <w:szCs w:val="24"/>
        </w:rPr>
        <w:t xml:space="preserve"> </w:t>
      </w:r>
    </w:p>
    <w:p w14:paraId="1CA861DC" w14:textId="77777777" w:rsidR="00AA7374" w:rsidRPr="00A53CE8" w:rsidRDefault="00AA7374" w:rsidP="00A21625">
      <w:pPr>
        <w:tabs>
          <w:tab w:val="left" w:pos="3240"/>
        </w:tabs>
        <w:ind w:left="360"/>
        <w:rPr>
          <w:rFonts w:asciiTheme="minorHAnsi" w:hAnsiTheme="minorHAnsi" w:cstheme="minorHAnsi"/>
        </w:rPr>
      </w:pPr>
      <w:r w:rsidRPr="00A53CE8">
        <w:rPr>
          <w:rFonts w:asciiTheme="minorHAnsi" w:hAnsiTheme="minorHAnsi" w:cstheme="minorHAnsi"/>
        </w:rPr>
        <w:t>As a result of information provided, staff finds that the Proposed Project has sufficiently met the requirements of Factor 2.</w:t>
      </w:r>
    </w:p>
    <w:p w14:paraId="31A3DB3E" w14:textId="77777777" w:rsidR="00D90513" w:rsidRPr="00AC3A42" w:rsidRDefault="00D90513" w:rsidP="00D90513">
      <w:pPr>
        <w:tabs>
          <w:tab w:val="left" w:pos="3240"/>
        </w:tabs>
        <w:ind w:left="232"/>
        <w:rPr>
          <w:rFonts w:asciiTheme="minorHAnsi" w:hAnsiTheme="minorHAnsi" w:cstheme="minorHAnsi"/>
          <w:highlight w:val="yellow"/>
        </w:rPr>
      </w:pPr>
    </w:p>
    <w:p w14:paraId="24122D67" w14:textId="77777777" w:rsidR="001C7134" w:rsidRPr="00AA7374" w:rsidRDefault="001C7134" w:rsidP="001C7134">
      <w:pPr>
        <w:pStyle w:val="Heading1"/>
        <w:spacing w:before="0" w:line="240" w:lineRule="auto"/>
        <w:contextualSpacing/>
        <w:rPr>
          <w:rFonts w:asciiTheme="minorHAnsi" w:hAnsiTheme="minorHAnsi" w:cstheme="minorHAnsi"/>
        </w:rPr>
      </w:pPr>
      <w:bookmarkStart w:id="58" w:name="_Toc99993061"/>
      <w:bookmarkStart w:id="59" w:name="_Toc145424496"/>
      <w:bookmarkEnd w:id="42"/>
      <w:r w:rsidRPr="00AA7374">
        <w:rPr>
          <w:rFonts w:asciiTheme="minorHAnsi" w:hAnsiTheme="minorHAnsi" w:cstheme="minorHAnsi"/>
        </w:rPr>
        <w:t>Factor 3: Relevant Licensure/Oversight Compliance</w:t>
      </w:r>
      <w:bookmarkEnd w:id="58"/>
      <w:bookmarkEnd w:id="59"/>
    </w:p>
    <w:p w14:paraId="08DC2602" w14:textId="77777777" w:rsidR="00D34B2C" w:rsidRPr="00B742AF" w:rsidRDefault="00D34B2C" w:rsidP="00D34B2C">
      <w:pPr>
        <w:contextualSpacing/>
        <w:rPr>
          <w:rFonts w:asciiTheme="minorHAnsi" w:hAnsiTheme="minorHAnsi" w:cstheme="minorHAnsi"/>
        </w:rPr>
      </w:pPr>
      <w:r w:rsidRPr="00BB04F3">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380D0009" w14:textId="77777777" w:rsidR="009F6F3E" w:rsidRPr="00AC3A42" w:rsidRDefault="009F6F3E" w:rsidP="009F6F3E">
      <w:pPr>
        <w:rPr>
          <w:highlight w:val="yellow"/>
        </w:rPr>
      </w:pPr>
    </w:p>
    <w:p w14:paraId="129814CE" w14:textId="77777777" w:rsidR="00C07C5E" w:rsidRPr="00D34B2C" w:rsidRDefault="00C07C5E" w:rsidP="00C07C5E">
      <w:pPr>
        <w:pStyle w:val="Heading1"/>
        <w:spacing w:before="0" w:line="240" w:lineRule="auto"/>
        <w:contextualSpacing/>
        <w:rPr>
          <w:rFonts w:asciiTheme="minorHAnsi" w:hAnsiTheme="minorHAnsi" w:cstheme="minorHAnsi"/>
        </w:rPr>
      </w:pPr>
      <w:bookmarkStart w:id="60" w:name="_Toc99993062"/>
      <w:bookmarkStart w:id="61" w:name="_Toc145424497"/>
      <w:bookmarkEnd w:id="43"/>
      <w:r w:rsidRPr="00D34B2C">
        <w:rPr>
          <w:rFonts w:asciiTheme="minorHAnsi" w:hAnsiTheme="minorHAnsi" w:cstheme="minorHAnsi"/>
        </w:rPr>
        <w:t>Factor 4: Demonstration of Sufficient Funds as Supported by an Independent CPA Analysis</w:t>
      </w:r>
      <w:bookmarkEnd w:id="60"/>
      <w:bookmarkEnd w:id="61"/>
    </w:p>
    <w:p w14:paraId="11386441" w14:textId="77777777" w:rsidR="00C87497" w:rsidRPr="00E81503" w:rsidRDefault="00C87497" w:rsidP="00C87497">
      <w:pPr>
        <w:rPr>
          <w:rFonts w:asciiTheme="minorHAnsi" w:hAnsiTheme="minorHAnsi" w:cstheme="minorHAnsi"/>
        </w:rPr>
      </w:pPr>
      <w:r w:rsidRPr="00E81503">
        <w:rPr>
          <w:rFonts w:asciiTheme="minorHAnsi" w:hAnsiTheme="minorHAnsi" w:cs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3B6AD7BF" w14:textId="77777777" w:rsidR="00C87497" w:rsidRPr="00E81503" w:rsidRDefault="00C87497" w:rsidP="00C87497">
      <w:pPr>
        <w:rPr>
          <w:rFonts w:asciiTheme="minorHAnsi" w:hAnsiTheme="minorHAnsi" w:cstheme="minorHAnsi"/>
          <w:highlight w:val="yellow"/>
        </w:rPr>
      </w:pPr>
    </w:p>
    <w:p w14:paraId="0CE394D4" w14:textId="784FA756" w:rsidR="00C87497" w:rsidRPr="00BE79F4" w:rsidRDefault="00C87497" w:rsidP="00C87497">
      <w:pPr>
        <w:autoSpaceDE w:val="0"/>
        <w:autoSpaceDN w:val="0"/>
        <w:adjustRightInd w:val="0"/>
        <w:rPr>
          <w:rFonts w:asciiTheme="minorHAnsi" w:hAnsiTheme="minorHAnsi" w:cstheme="minorHAnsi"/>
        </w:rPr>
      </w:pPr>
      <w:r w:rsidRPr="006B6809">
        <w:rPr>
          <w:rFonts w:asciiTheme="minorHAnsi" w:hAnsiTheme="minorHAnsi" w:cstheme="minorHAnsi"/>
        </w:rPr>
        <w:t xml:space="preserve">The Applicant submitted a CPA report compiled by </w:t>
      </w:r>
      <w:r>
        <w:rPr>
          <w:rFonts w:asciiTheme="minorHAnsi" w:hAnsiTheme="minorHAnsi" w:cstheme="minorHAnsi"/>
        </w:rPr>
        <w:t>Meyers Brother</w:t>
      </w:r>
      <w:r w:rsidR="00617094">
        <w:rPr>
          <w:rFonts w:asciiTheme="minorHAnsi" w:hAnsiTheme="minorHAnsi" w:cstheme="minorHAnsi"/>
        </w:rPr>
        <w:t>s</w:t>
      </w:r>
      <w:r>
        <w:rPr>
          <w:rFonts w:asciiTheme="minorHAnsi" w:hAnsiTheme="minorHAnsi" w:cstheme="minorHAnsi"/>
        </w:rPr>
        <w:t xml:space="preserve"> Kalicka. </w:t>
      </w:r>
      <w:r w:rsidRPr="00A22A8E">
        <w:rPr>
          <w:rFonts w:asciiTheme="minorHAnsi" w:hAnsiTheme="minorHAnsi" w:cstheme="minorHAnsi"/>
        </w:rPr>
        <w:t xml:space="preserve">The scope of the analysis included review of the audited financial statements of BILH, Inc for the fiscal years ended </w:t>
      </w:r>
      <w:r w:rsidRPr="00A9107E">
        <w:rPr>
          <w:rFonts w:asciiTheme="minorHAnsi" w:hAnsiTheme="minorHAnsi" w:cstheme="minorHAnsi"/>
        </w:rPr>
        <w:t xml:space="preserve">2021 and 2022, </w:t>
      </w:r>
      <w:r w:rsidRPr="00244CCB">
        <w:rPr>
          <w:rFonts w:asciiTheme="minorHAnsi" w:hAnsiTheme="minorHAnsi" w:cstheme="minorHAnsi"/>
        </w:rPr>
        <w:t>the five-year financial projections and income statements prepared by BILH, Inc. including detailed assumptions and supporting documentation for the fiscal years 2024 through 2028,</w:t>
      </w:r>
      <w:r w:rsidRPr="00BE79F4">
        <w:rPr>
          <w:rFonts w:asciiTheme="minorHAnsi" w:hAnsiTheme="minorHAnsi" w:cstheme="minorHAnsi"/>
        </w:rPr>
        <w:t xml:space="preserve"> </w:t>
      </w:r>
      <w:r>
        <w:rPr>
          <w:rFonts w:asciiTheme="minorHAnsi" w:hAnsiTheme="minorHAnsi" w:cstheme="minorHAnsi"/>
        </w:rPr>
        <w:t>an</w:t>
      </w:r>
      <w:r w:rsidRPr="00BE79F4">
        <w:rPr>
          <w:rFonts w:asciiTheme="minorHAnsi" w:hAnsiTheme="minorHAnsi" w:cstheme="minorHAnsi"/>
        </w:rPr>
        <w:t xml:space="preserve"> analysis of existing results of</w:t>
      </w:r>
      <w:r>
        <w:rPr>
          <w:rFonts w:asciiTheme="minorHAnsi" w:hAnsiTheme="minorHAnsi" w:cstheme="minorHAnsi"/>
        </w:rPr>
        <w:t xml:space="preserve"> </w:t>
      </w:r>
      <w:r w:rsidRPr="00BE79F4">
        <w:rPr>
          <w:rFonts w:asciiTheme="minorHAnsi" w:hAnsiTheme="minorHAnsi" w:cstheme="minorHAnsi"/>
        </w:rPr>
        <w:t>the current CT scanner for FY20</w:t>
      </w:r>
      <w:r>
        <w:rPr>
          <w:rFonts w:asciiTheme="minorHAnsi" w:hAnsiTheme="minorHAnsi" w:cstheme="minorHAnsi"/>
        </w:rPr>
        <w:t>20</w:t>
      </w:r>
      <w:r w:rsidRPr="00BE79F4">
        <w:rPr>
          <w:rFonts w:asciiTheme="minorHAnsi" w:hAnsiTheme="minorHAnsi" w:cstheme="minorHAnsi"/>
        </w:rPr>
        <w:t xml:space="preserve"> through FY2022, and the related supporting documentation.</w:t>
      </w:r>
      <w:r>
        <w:rPr>
          <w:rFonts w:asciiTheme="minorHAnsi" w:hAnsiTheme="minorHAnsi" w:cstheme="minorHAnsi"/>
        </w:rPr>
        <w:t xml:space="preserve"> The CPA </w:t>
      </w:r>
      <w:r w:rsidRPr="009D2BBF">
        <w:rPr>
          <w:rFonts w:asciiTheme="minorHAnsi" w:hAnsiTheme="minorHAnsi" w:cstheme="minorHAnsi"/>
        </w:rPr>
        <w:t>assess</w:t>
      </w:r>
      <w:r>
        <w:rPr>
          <w:rFonts w:asciiTheme="minorHAnsi" w:hAnsiTheme="minorHAnsi" w:cstheme="minorHAnsi"/>
        </w:rPr>
        <w:t>ed</w:t>
      </w:r>
      <w:r w:rsidRPr="009D2BBF">
        <w:rPr>
          <w:rFonts w:asciiTheme="minorHAnsi" w:hAnsiTheme="minorHAnsi" w:cstheme="minorHAnsi"/>
        </w:rPr>
        <w:t xml:space="preserve"> the reasonableness</w:t>
      </w:r>
      <w:r>
        <w:rPr>
          <w:rStyle w:val="FootnoteReference"/>
          <w:rFonts w:asciiTheme="minorHAnsi" w:hAnsiTheme="minorHAnsi" w:cstheme="minorHAnsi"/>
        </w:rPr>
        <w:footnoteReference w:id="21"/>
      </w:r>
      <w:r w:rsidRPr="009D2BBF">
        <w:rPr>
          <w:rFonts w:asciiTheme="minorHAnsi" w:hAnsiTheme="minorHAnsi" w:cstheme="minorHAnsi"/>
        </w:rPr>
        <w:t xml:space="preserve"> of assumptions used in the</w:t>
      </w:r>
      <w:r>
        <w:rPr>
          <w:rFonts w:asciiTheme="minorHAnsi" w:hAnsiTheme="minorHAnsi" w:cstheme="minorHAnsi"/>
        </w:rPr>
        <w:t xml:space="preserve"> </w:t>
      </w:r>
      <w:r w:rsidRPr="009D2BBF">
        <w:rPr>
          <w:rFonts w:asciiTheme="minorHAnsi" w:hAnsiTheme="minorHAnsi" w:cstheme="minorHAnsi"/>
        </w:rPr>
        <w:t>preparation and feasibility</w:t>
      </w:r>
      <w:r>
        <w:rPr>
          <w:rStyle w:val="FootnoteReference"/>
          <w:rFonts w:asciiTheme="minorHAnsi" w:hAnsiTheme="minorHAnsi" w:cstheme="minorHAnsi"/>
        </w:rPr>
        <w:footnoteReference w:id="22"/>
      </w:r>
      <w:r>
        <w:rPr>
          <w:rFonts w:asciiTheme="minorHAnsi" w:hAnsiTheme="minorHAnsi" w:cstheme="minorHAnsi"/>
        </w:rPr>
        <w:t xml:space="preserve"> </w:t>
      </w:r>
      <w:r w:rsidRPr="009D2BBF">
        <w:rPr>
          <w:rFonts w:asciiTheme="minorHAnsi" w:hAnsiTheme="minorHAnsi" w:cstheme="minorHAnsi"/>
        </w:rPr>
        <w:t xml:space="preserve">of the projections with regards to the </w:t>
      </w:r>
      <w:r>
        <w:rPr>
          <w:rFonts w:asciiTheme="minorHAnsi" w:hAnsiTheme="minorHAnsi" w:cstheme="minorHAnsi"/>
        </w:rPr>
        <w:t xml:space="preserve">Proposed </w:t>
      </w:r>
      <w:r w:rsidRPr="009D2BBF">
        <w:rPr>
          <w:rFonts w:asciiTheme="minorHAnsi" w:hAnsiTheme="minorHAnsi" w:cstheme="minorHAnsi"/>
        </w:rPr>
        <w:t>Project.</w:t>
      </w:r>
    </w:p>
    <w:p w14:paraId="11D145B6" w14:textId="77777777" w:rsidR="00C87497" w:rsidRPr="00E81503" w:rsidRDefault="00C87497" w:rsidP="00C87497">
      <w:pPr>
        <w:rPr>
          <w:rFonts w:asciiTheme="minorHAnsi" w:hAnsiTheme="minorHAnsi" w:cstheme="minorHAnsi"/>
          <w:b/>
          <w:highlight w:val="yellow"/>
        </w:rPr>
      </w:pPr>
    </w:p>
    <w:p w14:paraId="246C0F8A" w14:textId="77777777" w:rsidR="00C87497" w:rsidRPr="00454C95" w:rsidRDefault="00C87497" w:rsidP="00C87497">
      <w:pPr>
        <w:rPr>
          <w:rFonts w:asciiTheme="minorHAnsi" w:hAnsiTheme="minorHAnsi" w:cstheme="minorHAnsi"/>
          <w:b/>
        </w:rPr>
      </w:pPr>
      <w:r w:rsidRPr="00454C95">
        <w:rPr>
          <w:rFonts w:asciiTheme="minorHAnsi" w:hAnsiTheme="minorHAnsi" w:cstheme="minorHAnsi"/>
          <w:b/>
        </w:rPr>
        <w:t>Revenues</w:t>
      </w:r>
    </w:p>
    <w:p w14:paraId="609CF25A" w14:textId="48908A0E" w:rsidR="00C87497" w:rsidRPr="00666A7B" w:rsidRDefault="00C87497" w:rsidP="00C87497">
      <w:pPr>
        <w:autoSpaceDE w:val="0"/>
        <w:autoSpaceDN w:val="0"/>
        <w:adjustRightInd w:val="0"/>
        <w:rPr>
          <w:rFonts w:asciiTheme="minorHAnsi" w:eastAsiaTheme="minorHAnsi" w:hAnsiTheme="minorHAnsi" w:cstheme="minorHAnsi"/>
        </w:rPr>
      </w:pPr>
      <w:r w:rsidRPr="009E1C35">
        <w:rPr>
          <w:rFonts w:asciiTheme="minorHAnsi" w:eastAsiaTheme="minorHAnsi" w:hAnsiTheme="minorHAnsi" w:cstheme="minorHAnsi"/>
        </w:rPr>
        <w:t xml:space="preserve">The CPA Report analyzed the net operating revenues in the historical and projected financial information. </w:t>
      </w:r>
      <w:r w:rsidRPr="009D5F08">
        <w:rPr>
          <w:rFonts w:asciiTheme="minorHAnsi" w:eastAsiaTheme="minorHAnsi" w:hAnsiTheme="minorHAnsi" w:cstheme="minorHAnsi"/>
        </w:rPr>
        <w:t xml:space="preserve">The CPA analyzed the projected/pro-forma revenue for FY2024 through FY2028 using historical results of </w:t>
      </w:r>
      <w:r w:rsidRPr="00B2450B">
        <w:rPr>
          <w:rFonts w:asciiTheme="minorHAnsi" w:eastAsiaTheme="minorHAnsi" w:hAnsiTheme="minorHAnsi" w:cstheme="minorHAnsi"/>
        </w:rPr>
        <w:t xml:space="preserve">one existing CT </w:t>
      </w:r>
      <w:r w:rsidRPr="00454C95">
        <w:rPr>
          <w:rFonts w:asciiTheme="minorHAnsi" w:eastAsiaTheme="minorHAnsi" w:hAnsiTheme="minorHAnsi" w:cstheme="minorHAnsi"/>
        </w:rPr>
        <w:t>scanner at AJH for FY2021</w:t>
      </w:r>
      <w:r>
        <w:rPr>
          <w:rFonts w:asciiTheme="minorHAnsi" w:eastAsiaTheme="minorHAnsi" w:hAnsiTheme="minorHAnsi" w:cstheme="minorHAnsi"/>
        </w:rPr>
        <w:t>-</w:t>
      </w:r>
      <w:r w:rsidRPr="00454C95">
        <w:rPr>
          <w:rFonts w:asciiTheme="minorHAnsi" w:eastAsiaTheme="minorHAnsi" w:hAnsiTheme="minorHAnsi" w:cstheme="minorHAnsi"/>
        </w:rPr>
        <w:t xml:space="preserve">FY2022, </w:t>
      </w:r>
      <w:r w:rsidRPr="00454C95">
        <w:rPr>
          <w:rFonts w:asciiTheme="minorHAnsi" w:hAnsiTheme="minorHAnsi" w:cstheme="minorHAnsi"/>
        </w:rPr>
        <w:t xml:space="preserve">the Medicare OPPS Addendum B </w:t>
      </w:r>
      <w:r w:rsidRPr="00454C95">
        <w:rPr>
          <w:rFonts w:asciiTheme="minorHAnsi" w:hAnsiTheme="minorHAnsi" w:cstheme="minorHAnsi"/>
        </w:rPr>
        <w:lastRenderedPageBreak/>
        <w:t xml:space="preserve">Report and the corresponding Outpatient CT Schedule Report, </w:t>
      </w:r>
      <w:r w:rsidRPr="00454C95">
        <w:rPr>
          <w:rFonts w:asciiTheme="minorHAnsi" w:eastAsiaTheme="minorHAnsi" w:hAnsiTheme="minorHAnsi" w:cstheme="minorHAnsi"/>
        </w:rPr>
        <w:t xml:space="preserve">and </w:t>
      </w:r>
      <w:r w:rsidRPr="00454C95">
        <w:rPr>
          <w:rFonts w:asciiTheme="minorHAnsi" w:hAnsiTheme="minorHAnsi" w:cstheme="minorHAnsi"/>
        </w:rPr>
        <w:t>historical average reimbursements for all other insurance providers</w:t>
      </w:r>
      <w:r w:rsidRPr="00454C95">
        <w:rPr>
          <w:rFonts w:asciiTheme="minorHAnsi" w:eastAsiaTheme="minorHAnsi" w:hAnsiTheme="minorHAnsi" w:cstheme="minorHAnsi"/>
        </w:rPr>
        <w:t>. The CPA stated that the revenue projected by Management is a reasonable estimation and conservative based primarily upon historical volume of operations. The CPA also stated that the pro-forma operating revenues were reasonable.</w:t>
      </w:r>
    </w:p>
    <w:p w14:paraId="000A6301" w14:textId="77777777" w:rsidR="00C87497" w:rsidRPr="00E81503" w:rsidRDefault="00C87497" w:rsidP="00C87497">
      <w:pPr>
        <w:rPr>
          <w:rFonts w:asciiTheme="minorHAnsi" w:hAnsiTheme="minorHAnsi" w:cstheme="minorHAnsi"/>
          <w:b/>
          <w:highlight w:val="yellow"/>
        </w:rPr>
      </w:pPr>
    </w:p>
    <w:p w14:paraId="2984DDF4" w14:textId="77777777" w:rsidR="00C87497" w:rsidRPr="007D045E" w:rsidRDefault="00C87497" w:rsidP="00C87497">
      <w:pPr>
        <w:rPr>
          <w:rFonts w:asciiTheme="minorHAnsi" w:hAnsiTheme="minorHAnsi" w:cstheme="minorHAnsi"/>
          <w:b/>
        </w:rPr>
      </w:pPr>
      <w:r w:rsidRPr="007D045E">
        <w:rPr>
          <w:rFonts w:asciiTheme="minorHAnsi" w:hAnsiTheme="minorHAnsi" w:cstheme="minorHAnsi"/>
          <w:b/>
        </w:rPr>
        <w:t>Operating Expenses</w:t>
      </w:r>
    </w:p>
    <w:p w14:paraId="6943A325" w14:textId="77777777" w:rsidR="00C87497" w:rsidRPr="0032469B" w:rsidRDefault="00C87497" w:rsidP="00C87497">
      <w:pPr>
        <w:rPr>
          <w:rFonts w:asciiTheme="minorHAnsi" w:eastAsiaTheme="minorHAnsi" w:hAnsiTheme="minorHAnsi" w:cstheme="minorHAnsi"/>
        </w:rPr>
      </w:pPr>
      <w:r w:rsidRPr="0081580E">
        <w:rPr>
          <w:rFonts w:asciiTheme="minorHAnsi" w:hAnsiTheme="minorHAnsi" w:cstheme="minorHAnsi"/>
        </w:rPr>
        <w:t xml:space="preserve">The CPA Report analyzed each of the categorized operating expenses for reasonableness and feasibility </w:t>
      </w:r>
      <w:r w:rsidRPr="00414EC8">
        <w:rPr>
          <w:rFonts w:asciiTheme="minorHAnsi" w:hAnsiTheme="minorHAnsi" w:cstheme="minorHAnsi"/>
        </w:rPr>
        <w:t xml:space="preserve">related to the projections. The operating expenses in the analysis include salary and wages, fringe benefits, </w:t>
      </w:r>
      <w:r>
        <w:rPr>
          <w:rFonts w:asciiTheme="minorHAnsi" w:hAnsiTheme="minorHAnsi" w:cstheme="minorHAnsi"/>
        </w:rPr>
        <w:t>o</w:t>
      </w:r>
      <w:r w:rsidRPr="00414EC8">
        <w:rPr>
          <w:rFonts w:asciiTheme="minorHAnsi" w:hAnsiTheme="minorHAnsi" w:cstheme="minorHAnsi"/>
        </w:rPr>
        <w:t>ther expenses</w:t>
      </w:r>
      <w:r w:rsidRPr="00414EC8">
        <w:rPr>
          <w:rStyle w:val="FootnoteReference"/>
          <w:rFonts w:asciiTheme="minorHAnsi" w:hAnsiTheme="minorHAnsi" w:cstheme="minorHAnsi"/>
        </w:rPr>
        <w:footnoteReference w:id="23"/>
      </w:r>
      <w:r w:rsidRPr="00FA7D6E">
        <w:rPr>
          <w:rFonts w:asciiTheme="minorHAnsi" w:hAnsiTheme="minorHAnsi" w:cstheme="minorHAnsi"/>
        </w:rPr>
        <w:t xml:space="preserve">, </w:t>
      </w:r>
      <w:r>
        <w:rPr>
          <w:rFonts w:asciiTheme="minorHAnsi" w:hAnsiTheme="minorHAnsi" w:cstheme="minorHAnsi"/>
        </w:rPr>
        <w:t>equipment lease and maintenance, construction costs and depreciation.</w:t>
      </w:r>
      <w:r w:rsidRPr="00FA7D6E">
        <w:rPr>
          <w:rFonts w:asciiTheme="minorHAnsi" w:hAnsiTheme="minorHAnsi" w:cstheme="minorHAnsi"/>
        </w:rPr>
        <w:t xml:space="preserve"> </w:t>
      </w:r>
      <w:r w:rsidRPr="002D7F44">
        <w:rPr>
          <w:rFonts w:asciiTheme="minorHAnsi" w:hAnsiTheme="minorHAnsi" w:cstheme="minorHAnsi"/>
        </w:rPr>
        <w:t>Salaries and wages in fiscal year 2023 include the addition of 2 full-time equivalents (FTE) to operate the second CT scanner.</w:t>
      </w:r>
      <w:r w:rsidRPr="00E4003E">
        <w:rPr>
          <w:rFonts w:asciiTheme="minorHAnsi" w:hAnsiTheme="minorHAnsi" w:cstheme="minorHAnsi"/>
        </w:rPr>
        <w:t xml:space="preserve"> </w:t>
      </w:r>
      <w:r w:rsidRPr="00544903">
        <w:rPr>
          <w:rFonts w:asciiTheme="minorHAnsi" w:eastAsiaTheme="minorHAnsi" w:hAnsiTheme="minorHAnsi" w:cstheme="minorHAnsi"/>
        </w:rPr>
        <w:t>Based on the CPA’s</w:t>
      </w:r>
      <w:r>
        <w:rPr>
          <w:rFonts w:asciiTheme="minorHAnsi" w:eastAsiaTheme="minorHAnsi" w:hAnsiTheme="minorHAnsi" w:cstheme="minorHAnsi"/>
        </w:rPr>
        <w:t xml:space="preserve"> </w:t>
      </w:r>
      <w:r w:rsidRPr="00544903">
        <w:rPr>
          <w:rFonts w:asciiTheme="minorHAnsi" w:eastAsiaTheme="minorHAnsi" w:hAnsiTheme="minorHAnsi" w:cstheme="minorHAnsi"/>
        </w:rPr>
        <w:t xml:space="preserve">analysis of the projected/pro-forma expenses for </w:t>
      </w:r>
      <w:r>
        <w:rPr>
          <w:rFonts w:asciiTheme="minorHAnsi" w:eastAsiaTheme="minorHAnsi" w:hAnsiTheme="minorHAnsi" w:cstheme="minorHAnsi"/>
        </w:rPr>
        <w:t>FY</w:t>
      </w:r>
      <w:r w:rsidRPr="00544903">
        <w:rPr>
          <w:rFonts w:asciiTheme="minorHAnsi" w:eastAsiaTheme="minorHAnsi" w:hAnsiTheme="minorHAnsi" w:cstheme="minorHAnsi"/>
        </w:rPr>
        <w:t xml:space="preserve">2024 through </w:t>
      </w:r>
      <w:r>
        <w:rPr>
          <w:rFonts w:asciiTheme="minorHAnsi" w:eastAsiaTheme="minorHAnsi" w:hAnsiTheme="minorHAnsi" w:cstheme="minorHAnsi"/>
        </w:rPr>
        <w:t>FY</w:t>
      </w:r>
      <w:r w:rsidRPr="00544903">
        <w:rPr>
          <w:rFonts w:asciiTheme="minorHAnsi" w:eastAsiaTheme="minorHAnsi" w:hAnsiTheme="minorHAnsi" w:cstheme="minorHAnsi"/>
        </w:rPr>
        <w:t>2028, the CPA finds th</w:t>
      </w:r>
      <w:r>
        <w:rPr>
          <w:rFonts w:asciiTheme="minorHAnsi" w:eastAsiaTheme="minorHAnsi" w:hAnsiTheme="minorHAnsi" w:cstheme="minorHAnsi"/>
        </w:rPr>
        <w:t>at the</w:t>
      </w:r>
      <w:r w:rsidRPr="00544903">
        <w:rPr>
          <w:rFonts w:asciiTheme="minorHAnsi" w:eastAsiaTheme="minorHAnsi" w:hAnsiTheme="minorHAnsi" w:cstheme="minorHAnsi"/>
        </w:rPr>
        <w:t xml:space="preserve"> pro-fo</w:t>
      </w:r>
      <w:r>
        <w:rPr>
          <w:rFonts w:asciiTheme="minorHAnsi" w:eastAsiaTheme="minorHAnsi" w:hAnsiTheme="minorHAnsi" w:cstheme="minorHAnsi"/>
        </w:rPr>
        <w:t>rm</w:t>
      </w:r>
      <w:r w:rsidRPr="00544903">
        <w:rPr>
          <w:rFonts w:asciiTheme="minorHAnsi" w:eastAsiaTheme="minorHAnsi" w:hAnsiTheme="minorHAnsi" w:cstheme="minorHAnsi"/>
        </w:rPr>
        <w:t>a total expenses are reasonable.</w:t>
      </w:r>
      <w:r>
        <w:rPr>
          <w:rFonts w:asciiTheme="minorHAnsi" w:eastAsiaTheme="minorHAnsi" w:hAnsiTheme="minorHAnsi" w:cstheme="minorHAnsi"/>
        </w:rPr>
        <w:t xml:space="preserve"> </w:t>
      </w:r>
    </w:p>
    <w:p w14:paraId="62D6B12F" w14:textId="77777777" w:rsidR="00C87497" w:rsidRPr="00E81503" w:rsidRDefault="00C87497" w:rsidP="00C87497">
      <w:pPr>
        <w:rPr>
          <w:rFonts w:asciiTheme="minorHAnsi" w:hAnsiTheme="minorHAnsi" w:cstheme="minorHAnsi"/>
          <w:b/>
          <w:highlight w:val="yellow"/>
        </w:rPr>
      </w:pPr>
    </w:p>
    <w:p w14:paraId="615843BF" w14:textId="77777777" w:rsidR="00C87497" w:rsidRPr="006E0BDF" w:rsidRDefault="00C87497" w:rsidP="00C87497">
      <w:pPr>
        <w:rPr>
          <w:rFonts w:asciiTheme="minorHAnsi" w:hAnsiTheme="minorHAnsi" w:cstheme="minorHAnsi"/>
          <w:b/>
        </w:rPr>
      </w:pPr>
      <w:r w:rsidRPr="006E0BDF">
        <w:rPr>
          <w:rFonts w:asciiTheme="minorHAnsi" w:hAnsiTheme="minorHAnsi" w:cstheme="minorHAnsi"/>
          <w:b/>
        </w:rPr>
        <w:t>Capital Expenditures</w:t>
      </w:r>
      <w:r>
        <w:rPr>
          <w:rFonts w:asciiTheme="minorHAnsi" w:hAnsiTheme="minorHAnsi" w:cstheme="minorHAnsi"/>
          <w:b/>
        </w:rPr>
        <w:t xml:space="preserve"> and Cash Flows</w:t>
      </w:r>
    </w:p>
    <w:p w14:paraId="122BD0E7" w14:textId="6C0D18AB" w:rsidR="00C87497" w:rsidRPr="008B13CE" w:rsidRDefault="00C87497" w:rsidP="00C87497">
      <w:pPr>
        <w:rPr>
          <w:rFonts w:asciiTheme="minorHAnsi" w:hAnsiTheme="minorHAnsi" w:cstheme="minorHAnsi"/>
        </w:rPr>
      </w:pPr>
      <w:r w:rsidRPr="008B13CE">
        <w:rPr>
          <w:rFonts w:asciiTheme="minorHAnsi" w:hAnsiTheme="minorHAnsi" w:cstheme="minorHAnsi"/>
        </w:rPr>
        <w:t>The CPA reviewed the total capital expenditures and the cash flows for the project. The total capital expenditures for the project excluding the lease will be funded by available capital funds of the Applicant. The CPA determined that the capital needs and ongoing operating costs required to support the addition of a second CT scanner are not likely to result in a scenario where there is negative cash flow and states that the Applicant has the financial resources to fund the initial capital requirements.</w:t>
      </w:r>
    </w:p>
    <w:p w14:paraId="35F9F194" w14:textId="77777777" w:rsidR="00C87497" w:rsidRPr="00E81503" w:rsidRDefault="00C87497" w:rsidP="00C87497">
      <w:pPr>
        <w:rPr>
          <w:rFonts w:asciiTheme="minorHAnsi" w:hAnsiTheme="minorHAnsi" w:cstheme="minorHAnsi"/>
          <w:highlight w:val="yellow"/>
        </w:rPr>
      </w:pPr>
    </w:p>
    <w:p w14:paraId="50B5956E" w14:textId="77777777" w:rsidR="00C87497" w:rsidRPr="00674495" w:rsidRDefault="00C87497" w:rsidP="00C87497">
      <w:pPr>
        <w:rPr>
          <w:rFonts w:asciiTheme="minorHAnsi" w:hAnsiTheme="minorHAnsi" w:cstheme="minorHAnsi"/>
        </w:rPr>
      </w:pPr>
      <w:r w:rsidRPr="00674495">
        <w:rPr>
          <w:rFonts w:asciiTheme="minorHAnsi" w:hAnsiTheme="minorHAnsi" w:cstheme="minorHAnsi"/>
        </w:rPr>
        <w:t xml:space="preserve">As a result of its analysis, the CPA concluded the following: </w:t>
      </w:r>
    </w:p>
    <w:p w14:paraId="61326E8E" w14:textId="0AE571BE" w:rsidR="00C87497" w:rsidRPr="00674495" w:rsidRDefault="00C87497" w:rsidP="00C87497">
      <w:pPr>
        <w:ind w:left="720"/>
        <w:jc w:val="both"/>
        <w:rPr>
          <w:rFonts w:asciiTheme="minorHAnsi" w:hAnsiTheme="minorHAnsi" w:cstheme="minorHAnsi"/>
          <w:i/>
          <w:iCs/>
        </w:rPr>
      </w:pPr>
      <w:r w:rsidRPr="00674495">
        <w:rPr>
          <w:rFonts w:asciiTheme="minorHAnsi" w:hAnsiTheme="minorHAnsi" w:cstheme="minorHAnsi"/>
          <w:i/>
          <w:iCs/>
        </w:rPr>
        <w:t>We determined that the projections were not likely to result in insufficient funds available for ongoing operating costs necessary to support the Project. Based upon our review of the projections and relevant supporting documentation, we determined the Project and its projected operating revenue, expenses and cash flow are reasonable and based upon feasible financial assumptions</w:t>
      </w:r>
      <w:r w:rsidR="0013018D">
        <w:rPr>
          <w:rFonts w:asciiTheme="minorHAnsi" w:hAnsiTheme="minorHAnsi" w:cstheme="minorHAnsi"/>
          <w:i/>
          <w:iCs/>
        </w:rPr>
        <w:t xml:space="preserve">. </w:t>
      </w:r>
      <w:r w:rsidRPr="00674495">
        <w:rPr>
          <w:rFonts w:asciiTheme="minorHAnsi" w:hAnsiTheme="minorHAnsi" w:cstheme="minorHAnsi"/>
          <w:i/>
          <w:iCs/>
        </w:rPr>
        <w:t>Therefore, the addition of a second CT scanner at AJH and the capital needs associated with this service is financially feasible and within the financial capability of BILH.</w:t>
      </w:r>
    </w:p>
    <w:p w14:paraId="66C8365E" w14:textId="77777777" w:rsidR="00C87497" w:rsidRPr="00E81503" w:rsidRDefault="00C87497" w:rsidP="00C87497">
      <w:pPr>
        <w:pStyle w:val="NormalWeb"/>
        <w:rPr>
          <w:rFonts w:asciiTheme="minorHAnsi" w:hAnsiTheme="minorHAnsi" w:cstheme="minorHAnsi"/>
          <w:b/>
          <w:bCs/>
          <w:highlight w:val="yellow"/>
        </w:rPr>
      </w:pPr>
    </w:p>
    <w:p w14:paraId="29DAACDC" w14:textId="77777777" w:rsidR="00C87497" w:rsidRPr="00674495" w:rsidRDefault="00C87497" w:rsidP="00C87497">
      <w:pPr>
        <w:pStyle w:val="NormalWeb"/>
        <w:rPr>
          <w:rFonts w:asciiTheme="minorHAnsi" w:hAnsiTheme="minorHAnsi" w:cstheme="minorHAnsi"/>
          <w:b/>
          <w:bCs/>
          <w:i/>
          <w:iCs/>
        </w:rPr>
      </w:pPr>
      <w:r w:rsidRPr="00674495">
        <w:rPr>
          <w:rFonts w:asciiTheme="minorHAnsi" w:hAnsiTheme="minorHAnsi" w:cstheme="minorHAnsi"/>
          <w:b/>
          <w:bCs/>
          <w:i/>
          <w:iCs/>
        </w:rPr>
        <w:t xml:space="preserve">Factor 4 Analysis </w:t>
      </w:r>
    </w:p>
    <w:p w14:paraId="45263F4D" w14:textId="77777777" w:rsidR="00C87497" w:rsidRPr="00FC5C4A" w:rsidRDefault="00C87497" w:rsidP="00C87497">
      <w:pPr>
        <w:rPr>
          <w:rFonts w:asciiTheme="minorHAnsi" w:hAnsiTheme="minorHAnsi" w:cstheme="minorHAnsi"/>
        </w:rPr>
      </w:pPr>
      <w:r w:rsidRPr="00674495">
        <w:rPr>
          <w:rFonts w:asciiTheme="minorHAnsi" w:hAnsiTheme="minorHAnsi" w:cstheme="minorBidi"/>
        </w:rPr>
        <w:t xml:space="preserve">Staff is satisfied with the CPA’s analysis of the Proposed Project’s projections. </w:t>
      </w:r>
      <w:r w:rsidRPr="00674495">
        <w:rPr>
          <w:rFonts w:asciiTheme="minorHAnsi" w:hAnsiTheme="minorHAnsi" w:cstheme="minorHAnsi"/>
        </w:rPr>
        <w:t>As a result of information provided by the Applicant and additional analysis, staff finds that the Applicant has demonstrated that the Proposed Project has met Factor 4.</w:t>
      </w:r>
    </w:p>
    <w:p w14:paraId="19A9E522" w14:textId="77777777" w:rsidR="00203911" w:rsidRPr="00AC3A42" w:rsidRDefault="00203911" w:rsidP="007B50D6">
      <w:pPr>
        <w:rPr>
          <w:rFonts w:asciiTheme="minorHAnsi" w:hAnsiTheme="minorHAnsi" w:cstheme="minorHAnsi"/>
          <w:highlight w:val="yellow"/>
        </w:rPr>
      </w:pPr>
    </w:p>
    <w:p w14:paraId="0DFF44A4" w14:textId="77777777" w:rsidR="00C0720C" w:rsidRPr="00C87497" w:rsidRDefault="00C0720C" w:rsidP="00C0720C">
      <w:pPr>
        <w:pStyle w:val="Heading1"/>
        <w:spacing w:before="0" w:line="240" w:lineRule="auto"/>
        <w:contextualSpacing/>
        <w:rPr>
          <w:rFonts w:asciiTheme="minorHAnsi" w:hAnsiTheme="minorHAnsi" w:cstheme="minorHAnsi"/>
        </w:rPr>
      </w:pPr>
      <w:bookmarkStart w:id="62" w:name="_Toc99993063"/>
      <w:bookmarkStart w:id="63" w:name="_Toc145424498"/>
      <w:bookmarkStart w:id="64" w:name="_Toc17151192"/>
      <w:bookmarkStart w:id="65" w:name="_Toc17322410"/>
      <w:r w:rsidRPr="00C87497">
        <w:rPr>
          <w:rFonts w:asciiTheme="minorHAnsi" w:hAnsiTheme="minorHAnsi" w:cstheme="minorHAnsi"/>
        </w:rPr>
        <w:t>Factor 5: Assessment of the Proposed Project’s Relative Merit</w:t>
      </w:r>
      <w:bookmarkEnd w:id="62"/>
      <w:bookmarkEnd w:id="63"/>
    </w:p>
    <w:p w14:paraId="09BA8B1D" w14:textId="77777777" w:rsidR="0017419D" w:rsidRPr="003040FB" w:rsidRDefault="0017419D" w:rsidP="0017419D">
      <w:pPr>
        <w:rPr>
          <w:rFonts w:asciiTheme="minorHAnsi" w:hAnsiTheme="minorHAnsi" w:cstheme="minorHAnsi"/>
        </w:rPr>
      </w:pPr>
      <w:r w:rsidRPr="003040FB">
        <w:rPr>
          <w:rFonts w:asciiTheme="minorHAnsi" w:hAnsiTheme="minorHAnsi" w:cstheme="minorHAnsi"/>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54778577" w14:textId="77777777" w:rsidR="0017419D" w:rsidRPr="003040FB" w:rsidRDefault="0017419D" w:rsidP="0017419D">
      <w:pPr>
        <w:rPr>
          <w:rFonts w:asciiTheme="minorHAnsi" w:hAnsiTheme="minorHAnsi" w:cstheme="minorHAnsi"/>
        </w:rPr>
      </w:pPr>
    </w:p>
    <w:p w14:paraId="08480D56" w14:textId="77777777" w:rsidR="0017419D" w:rsidRPr="003040FB" w:rsidRDefault="0017419D" w:rsidP="0017419D">
      <w:pPr>
        <w:rPr>
          <w:rFonts w:asciiTheme="minorHAnsi" w:hAnsiTheme="minorHAnsi" w:cstheme="minorHAnsi"/>
        </w:rPr>
      </w:pPr>
      <w:r w:rsidRPr="003040FB">
        <w:rPr>
          <w:rFonts w:asciiTheme="minorHAnsi" w:hAnsiTheme="minorHAnsi" w:cstheme="minorHAnsi"/>
        </w:rPr>
        <w:t>The Applicant considered and rejected one alternative to the Proposed Project.</w:t>
      </w:r>
    </w:p>
    <w:p w14:paraId="4F344D52" w14:textId="77777777" w:rsidR="0017419D" w:rsidRPr="00AB09C3" w:rsidRDefault="0017419D" w:rsidP="0017419D">
      <w:pPr>
        <w:autoSpaceDE w:val="0"/>
        <w:autoSpaceDN w:val="0"/>
        <w:adjustRightInd w:val="0"/>
        <w:rPr>
          <w:rFonts w:asciiTheme="minorHAnsi" w:hAnsiTheme="minorHAnsi" w:cstheme="minorHAnsi"/>
          <w:b/>
          <w:bCs/>
          <w:color w:val="000000"/>
        </w:rPr>
      </w:pPr>
    </w:p>
    <w:p w14:paraId="24871BA8" w14:textId="77777777" w:rsidR="0017419D" w:rsidRPr="00AB09C3" w:rsidRDefault="0017419D" w:rsidP="0017419D">
      <w:pPr>
        <w:autoSpaceDE w:val="0"/>
        <w:autoSpaceDN w:val="0"/>
        <w:adjustRightInd w:val="0"/>
        <w:jc w:val="both"/>
        <w:rPr>
          <w:rFonts w:asciiTheme="minorHAnsi" w:hAnsiTheme="minorHAnsi" w:cstheme="minorBidi"/>
          <w:kern w:val="2"/>
        </w:rPr>
      </w:pPr>
      <w:r w:rsidRPr="00AB09C3">
        <w:rPr>
          <w:rFonts w:asciiTheme="minorHAnsi" w:hAnsiTheme="minorHAnsi" w:cstheme="minorBidi"/>
          <w:b/>
          <w:bCs/>
          <w:color w:val="000000"/>
        </w:rPr>
        <w:t xml:space="preserve">Alternative Option: </w:t>
      </w:r>
      <w:r w:rsidRPr="00AB09C3">
        <w:rPr>
          <w:rFonts w:asciiTheme="minorHAnsi" w:hAnsiTheme="minorHAnsi" w:cstheme="minorBidi"/>
          <w:kern w:val="2"/>
        </w:rPr>
        <w:t xml:space="preserve">Do not acquire a second CT unit and continue to serve patients with a single CT unit. This alternative was rejected because it does not address the need of AJH’s </w:t>
      </w:r>
      <w:r>
        <w:rPr>
          <w:rFonts w:asciiTheme="minorHAnsi" w:hAnsiTheme="minorHAnsi" w:cstheme="minorBidi"/>
          <w:kern w:val="2"/>
        </w:rPr>
        <w:t>p</w:t>
      </w:r>
      <w:r w:rsidRPr="00AB09C3">
        <w:rPr>
          <w:rFonts w:asciiTheme="minorHAnsi" w:hAnsiTheme="minorHAnsi" w:cstheme="minorBidi"/>
          <w:kern w:val="2"/>
        </w:rPr>
        <w:t xml:space="preserve">atient </w:t>
      </w:r>
      <w:r>
        <w:rPr>
          <w:rFonts w:asciiTheme="minorHAnsi" w:hAnsiTheme="minorHAnsi" w:cstheme="minorBidi"/>
          <w:kern w:val="2"/>
        </w:rPr>
        <w:t>p</w:t>
      </w:r>
      <w:r w:rsidRPr="00AB09C3">
        <w:rPr>
          <w:rFonts w:asciiTheme="minorHAnsi" w:hAnsiTheme="minorHAnsi" w:cstheme="minorBidi"/>
          <w:kern w:val="2"/>
        </w:rPr>
        <w:t xml:space="preserve">opulation to have </w:t>
      </w:r>
      <w:r w:rsidRPr="00AB09C3">
        <w:rPr>
          <w:rFonts w:asciiTheme="minorHAnsi" w:hAnsiTheme="minorHAnsi" w:cstheme="minorBidi"/>
          <w:kern w:val="2"/>
        </w:rPr>
        <w:lastRenderedPageBreak/>
        <w:t>timely access to CT imaging, both currently and as demand increases in the future.</w:t>
      </w:r>
      <w:r w:rsidRPr="00AB09C3">
        <w:rPr>
          <w:rFonts w:asciiTheme="minorHAnsi" w:hAnsiTheme="minorHAnsi" w:cstheme="minorBidi"/>
          <w:color w:val="000000"/>
        </w:rPr>
        <w:t xml:space="preserve"> This option carries no capital expenses or additional operating costs. However, </w:t>
      </w:r>
      <w:r w:rsidRPr="00AB09C3">
        <w:rPr>
          <w:rFonts w:asciiTheme="minorHAnsi" w:hAnsiTheme="minorHAnsi" w:cstheme="minorBidi"/>
          <w:kern w:val="2"/>
        </w:rPr>
        <w:t>AJH resources will continue to be strained under this alternative, which will result in delays in diagnosis and treatment, and could adversely impact patient outcomes and quality of life.</w:t>
      </w:r>
    </w:p>
    <w:p w14:paraId="6E3CBFD7" w14:textId="77777777" w:rsidR="0017419D" w:rsidRPr="00AB09C3" w:rsidRDefault="0017419D" w:rsidP="0017419D">
      <w:pPr>
        <w:rPr>
          <w:rFonts w:asciiTheme="minorHAnsi" w:hAnsiTheme="minorHAnsi" w:cstheme="minorHAnsi"/>
          <w:b/>
          <w:bCs/>
          <w:i/>
          <w:iCs/>
        </w:rPr>
      </w:pPr>
    </w:p>
    <w:p w14:paraId="2B9883B5" w14:textId="77777777" w:rsidR="0017419D" w:rsidRPr="00AB09C3" w:rsidRDefault="0017419D" w:rsidP="0017419D">
      <w:pPr>
        <w:rPr>
          <w:rFonts w:asciiTheme="minorHAnsi" w:hAnsiTheme="minorHAnsi" w:cstheme="minorHAnsi"/>
          <w:b/>
          <w:bCs/>
          <w:i/>
          <w:iCs/>
        </w:rPr>
      </w:pPr>
      <w:r w:rsidRPr="00AB09C3">
        <w:rPr>
          <w:rFonts w:asciiTheme="minorHAnsi" w:hAnsiTheme="minorHAnsi" w:cstheme="minorHAnsi"/>
          <w:b/>
          <w:bCs/>
          <w:i/>
          <w:iCs/>
        </w:rPr>
        <w:t>Analysis</w:t>
      </w:r>
    </w:p>
    <w:p w14:paraId="1501801D" w14:textId="77777777" w:rsidR="0017419D" w:rsidRPr="00AB09C3" w:rsidRDefault="0017419D" w:rsidP="0017419D">
      <w:pPr>
        <w:rPr>
          <w:rFonts w:asciiTheme="minorHAnsi" w:hAnsiTheme="minorHAnsi" w:cstheme="minorHAnsi"/>
        </w:rPr>
      </w:pPr>
      <w:r w:rsidRPr="00AB09C3">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080F2E7A" w14:textId="083AB62F" w:rsidR="00EC5D62" w:rsidRPr="00AC3A42" w:rsidRDefault="00EC5D62" w:rsidP="00EC5D62">
      <w:pPr>
        <w:rPr>
          <w:highlight w:val="yellow"/>
        </w:rPr>
      </w:pPr>
    </w:p>
    <w:p w14:paraId="4F6BF068" w14:textId="77777777" w:rsidR="00D931A6" w:rsidRPr="00AC3A42" w:rsidRDefault="00D931A6" w:rsidP="00EC5D62">
      <w:pPr>
        <w:rPr>
          <w:highlight w:val="yellow"/>
        </w:rPr>
      </w:pPr>
    </w:p>
    <w:p w14:paraId="4880F0EE" w14:textId="5C5133A2" w:rsidR="000C03E8" w:rsidRPr="0017419D" w:rsidRDefault="002D535F" w:rsidP="009F6F3E">
      <w:pPr>
        <w:pStyle w:val="Heading1"/>
        <w:spacing w:before="0" w:line="240" w:lineRule="auto"/>
        <w:rPr>
          <w:rFonts w:asciiTheme="minorHAnsi" w:eastAsia="Times New Roman" w:hAnsiTheme="minorHAnsi" w:cstheme="minorHAnsi"/>
        </w:rPr>
      </w:pPr>
      <w:bookmarkStart w:id="66" w:name="_Toc145424499"/>
      <w:r w:rsidRPr="0017419D">
        <w:rPr>
          <w:rFonts w:asciiTheme="minorHAnsi" w:eastAsia="Times New Roman" w:hAnsiTheme="minorHAnsi" w:cstheme="minorHAnsi"/>
        </w:rPr>
        <w:t>Factor 6: Fulfillment of DPH Community-based Health Initiatives Guideline</w:t>
      </w:r>
      <w:bookmarkEnd w:id="66"/>
    </w:p>
    <w:p w14:paraId="3B1C852C" w14:textId="77777777" w:rsidR="00923E7D" w:rsidRPr="0019742D" w:rsidRDefault="00923E7D" w:rsidP="00923E7D">
      <w:pPr>
        <w:ind w:right="540"/>
        <w:rPr>
          <w:rFonts w:ascii="Calibri" w:eastAsia="Calibri" w:hAnsi="Calibri" w:cs="Calibri"/>
          <w:color w:val="000000" w:themeColor="text1"/>
        </w:rPr>
      </w:pPr>
      <w:bookmarkStart w:id="67" w:name="_Toc117581170"/>
      <w:bookmarkEnd w:id="64"/>
      <w:bookmarkEnd w:id="65"/>
      <w:r w:rsidRPr="0019742D">
        <w:rPr>
          <w:rStyle w:val="normaltextrun"/>
          <w:rFonts w:ascii="Calibri" w:eastAsia="Calibri" w:hAnsi="Calibri" w:cs="Calibri"/>
          <w:b/>
          <w:bCs/>
          <w:i/>
          <w:iCs/>
          <w:color w:val="000000" w:themeColor="text1"/>
        </w:rPr>
        <w:t>Summary and relevant background and context for this application:</w:t>
      </w:r>
      <w:r w:rsidRPr="0019742D">
        <w:rPr>
          <w:rStyle w:val="normaltextrun"/>
          <w:rFonts w:ascii="Calibri" w:eastAsia="Calibri" w:hAnsi="Calibri" w:cs="Calibri"/>
          <w:color w:val="000000" w:themeColor="text1"/>
        </w:rPr>
        <w:t xml:space="preserve"> This is a DoN project that will result in a Tier 1 Community-based Health Initiative (CHI). The Applicant, Beth Israel Lahey Health at Anna Jaques Hospital (AJH) Newburyport, plans to acquire a computed tomography (CT) machine. This project constitutes as DoN-Required Equipment obtained by a hospital. Standard practice is to contribute the CHI dollars to a local CHI project and the Statewide Community Health and Healthy Aging Funds.</w:t>
      </w:r>
    </w:p>
    <w:p w14:paraId="502DCF09" w14:textId="77777777" w:rsidR="00923E7D" w:rsidRPr="0019742D" w:rsidRDefault="00923E7D" w:rsidP="00923E7D">
      <w:pPr>
        <w:ind w:right="540"/>
        <w:rPr>
          <w:rFonts w:ascii="Calibri" w:eastAsia="Calibri" w:hAnsi="Calibri" w:cs="Calibri"/>
          <w:color w:val="000000" w:themeColor="text1"/>
        </w:rPr>
      </w:pPr>
      <w:r w:rsidRPr="0019742D">
        <w:rPr>
          <w:rStyle w:val="eop"/>
          <w:rFonts w:ascii="Calibri" w:eastAsia="Calibri" w:hAnsi="Calibri" w:cs="Calibri"/>
          <w:color w:val="000000" w:themeColor="text1"/>
        </w:rPr>
        <w:t> </w:t>
      </w:r>
    </w:p>
    <w:p w14:paraId="086C753F" w14:textId="77777777" w:rsidR="00923E7D" w:rsidRPr="0019742D" w:rsidRDefault="00923E7D" w:rsidP="00923E7D">
      <w:pPr>
        <w:ind w:right="540"/>
        <w:rPr>
          <w:rFonts w:ascii="Calibri" w:eastAsia="Calibri" w:hAnsi="Calibri" w:cs="Calibri"/>
          <w:color w:val="000000" w:themeColor="text1"/>
        </w:rPr>
      </w:pPr>
      <w:r w:rsidRPr="0019742D">
        <w:rPr>
          <w:rStyle w:val="normaltextrun"/>
          <w:rFonts w:ascii="Calibri" w:eastAsia="Calibri" w:hAnsi="Calibri" w:cs="Calibri"/>
          <w:color w:val="000000" w:themeColor="text1"/>
        </w:rPr>
        <w:t>To fulfill Factor 6 requirements, the Applicant submitted a CHI Narrative, its 2022 Community Health Needs Assessment, a Self-Assessment, and Stakeholder Assessments.</w:t>
      </w:r>
    </w:p>
    <w:p w14:paraId="43DAB7B8" w14:textId="77777777" w:rsidR="00923E7D" w:rsidRPr="0019742D" w:rsidRDefault="00923E7D" w:rsidP="00923E7D">
      <w:pPr>
        <w:rPr>
          <w:rFonts w:ascii="Calibri" w:eastAsia="Calibri" w:hAnsi="Calibri" w:cs="Calibri"/>
          <w:color w:val="000000" w:themeColor="text1"/>
        </w:rPr>
      </w:pPr>
    </w:p>
    <w:p w14:paraId="38C6F2C6" w14:textId="5E4EA195" w:rsidR="00923E7D" w:rsidRPr="0019742D" w:rsidRDefault="00923E7D" w:rsidP="00923E7D">
      <w:pPr>
        <w:rPr>
          <w:rFonts w:ascii="Calibri" w:eastAsia="Calibri" w:hAnsi="Calibri" w:cs="Calibri"/>
          <w:color w:val="000000" w:themeColor="text1"/>
        </w:rPr>
      </w:pPr>
      <w:r w:rsidRPr="0019742D">
        <w:rPr>
          <w:rStyle w:val="normaltextrun"/>
          <w:rFonts w:ascii="Calibri" w:eastAsia="Calibri" w:hAnsi="Calibri" w:cs="Calibri"/>
          <w:b/>
          <w:bCs/>
          <w:color w:val="000000" w:themeColor="text1"/>
        </w:rPr>
        <w:t>The 2022 Community Health Needs Assessment</w:t>
      </w:r>
      <w:r w:rsidRPr="0019742D">
        <w:rPr>
          <w:rStyle w:val="normaltextrun"/>
          <w:rFonts w:ascii="Calibri" w:eastAsia="Calibri" w:hAnsi="Calibri" w:cs="Calibri"/>
          <w:color w:val="000000" w:themeColor="text1"/>
        </w:rPr>
        <w:t xml:space="preserve"> (CHNA) engaged over 800 people across the Community Benefits primary service areas of Amesbury, Haverhill, Merrimac, </w:t>
      </w:r>
      <w:r w:rsidR="00742009" w:rsidRPr="0019742D">
        <w:rPr>
          <w:rStyle w:val="normaltextrun"/>
          <w:rFonts w:ascii="Calibri" w:eastAsia="Calibri" w:hAnsi="Calibri" w:cs="Calibri"/>
          <w:color w:val="000000" w:themeColor="text1"/>
        </w:rPr>
        <w:t>Newburyport,</w:t>
      </w:r>
      <w:r w:rsidRPr="0019742D">
        <w:rPr>
          <w:rStyle w:val="normaltextrun"/>
          <w:rFonts w:ascii="Calibri" w:eastAsia="Calibri" w:hAnsi="Calibri" w:cs="Calibri"/>
          <w:color w:val="000000" w:themeColor="text1"/>
        </w:rPr>
        <w:t xml:space="preserve"> and Salisbury. The assessment included extensive data collection and the engagement of AJH’s community partners and residents through interviews, surveys and focus groups. </w:t>
      </w:r>
      <w:r w:rsidRPr="0019742D">
        <w:rPr>
          <w:rFonts w:ascii="Calibri" w:eastAsia="Calibri" w:hAnsi="Calibri" w:cs="Calibri"/>
          <w:color w:val="000000" w:themeColor="text1"/>
        </w:rPr>
        <w:t>The Applicant prioritized community engagement efforts to include voices of community members who have been historically underserved, such as individuals who experience housing instability and/or experience health inequities due to race, ethnicity, gender identity, age, disability status or other characteristics.</w:t>
      </w:r>
    </w:p>
    <w:p w14:paraId="435C631B" w14:textId="77777777" w:rsidR="00923E7D" w:rsidRPr="0019742D" w:rsidRDefault="00923E7D" w:rsidP="00923E7D">
      <w:pPr>
        <w:rPr>
          <w:rFonts w:ascii="Calibri" w:eastAsia="Calibri" w:hAnsi="Calibri" w:cs="Calibri"/>
          <w:color w:val="000000" w:themeColor="text1"/>
        </w:rPr>
      </w:pPr>
    </w:p>
    <w:p w14:paraId="4A52E018" w14:textId="77777777" w:rsidR="00923E7D" w:rsidRPr="0019742D" w:rsidRDefault="00923E7D" w:rsidP="00923E7D">
      <w:pPr>
        <w:ind w:right="540"/>
        <w:contextualSpacing/>
        <w:rPr>
          <w:rFonts w:ascii="Calibri" w:eastAsia="Calibri" w:hAnsi="Calibri" w:cs="Calibri"/>
          <w:color w:val="000000" w:themeColor="text1"/>
        </w:rPr>
      </w:pPr>
      <w:r w:rsidRPr="0019742D">
        <w:rPr>
          <w:rFonts w:ascii="Calibri" w:eastAsia="Calibri" w:hAnsi="Calibri" w:cs="Calibri"/>
          <w:color w:val="000000" w:themeColor="text1"/>
        </w:rPr>
        <w:t>The CHNA identified priority areas and described key findings and themes from the participating communities. AJH’s priority populations include youth, underserved communities, older adults, individuals living with disabilities and racially, ethnically, and linguistically diverse populations.</w:t>
      </w:r>
    </w:p>
    <w:p w14:paraId="686BD807" w14:textId="77777777" w:rsidR="00923E7D" w:rsidRPr="0019742D" w:rsidRDefault="00923E7D" w:rsidP="00923E7D">
      <w:pPr>
        <w:rPr>
          <w:rFonts w:ascii="Calibri" w:eastAsia="Calibri" w:hAnsi="Calibri" w:cs="Calibri"/>
        </w:rPr>
      </w:pPr>
    </w:p>
    <w:p w14:paraId="0C4B602F" w14:textId="77777777" w:rsidR="00923E7D" w:rsidRPr="0019742D" w:rsidRDefault="00923E7D" w:rsidP="00923E7D">
      <w:pPr>
        <w:rPr>
          <w:rFonts w:ascii="Calibri" w:eastAsia="Calibri" w:hAnsi="Calibri" w:cs="Calibri"/>
          <w:color w:val="000000" w:themeColor="text1"/>
        </w:rPr>
      </w:pPr>
      <w:r w:rsidRPr="0019742D">
        <w:rPr>
          <w:rFonts w:ascii="Calibri" w:eastAsia="Calibri" w:hAnsi="Calibri" w:cs="Calibri"/>
        </w:rPr>
        <w:t>Key health-related social needs identified in the 2022 CHNA that AJH hopes to address in their 2023-2025 Implementation Strategy (IS) include: housing issues, food insecurity, transportation, economic insecurity, capacity of workforce, navigation of healthcare system, linguistic access/barriers, cost and insurance barriers, care giver support, school-based services, youth mental health, stress, anxiety, depression, isolation, mental health stigma, racism/discrimination, diversifying leadership, outreach/education/prevention, services to support long-term recovery, substance use, information sharing, and cross sector collaboration.</w:t>
      </w:r>
    </w:p>
    <w:p w14:paraId="42B5A42B" w14:textId="77777777" w:rsidR="00923E7D" w:rsidRPr="0019742D" w:rsidRDefault="00923E7D" w:rsidP="00923E7D">
      <w:pPr>
        <w:rPr>
          <w:rStyle w:val="normaltextrun"/>
          <w:rFonts w:ascii="Calibri" w:eastAsia="Calibri" w:hAnsi="Calibri" w:cs="Calibri"/>
          <w:b/>
          <w:bCs/>
          <w:color w:val="000000" w:themeColor="text1"/>
        </w:rPr>
      </w:pPr>
    </w:p>
    <w:p w14:paraId="4D67EF32" w14:textId="77777777" w:rsidR="00923E7D" w:rsidRPr="0019742D" w:rsidRDefault="00923E7D" w:rsidP="00923E7D">
      <w:pPr>
        <w:rPr>
          <w:rFonts w:ascii="Calibri" w:eastAsia="Calibri" w:hAnsi="Calibri" w:cs="Calibri"/>
          <w:color w:val="000000" w:themeColor="text1"/>
        </w:rPr>
      </w:pPr>
      <w:r w:rsidRPr="0019742D">
        <w:rPr>
          <w:rStyle w:val="normaltextrun"/>
          <w:rFonts w:ascii="Calibri" w:eastAsia="Calibri" w:hAnsi="Calibri" w:cs="Calibri"/>
          <w:b/>
          <w:bCs/>
          <w:color w:val="000000" w:themeColor="text1"/>
        </w:rPr>
        <w:t xml:space="preserve">The Self-Assessment </w:t>
      </w:r>
      <w:r w:rsidRPr="0019742D">
        <w:rPr>
          <w:rStyle w:val="normaltextrun"/>
          <w:rFonts w:ascii="Calibri" w:eastAsia="Calibri" w:hAnsi="Calibri" w:cs="Calibri"/>
          <w:color w:val="000000" w:themeColor="text1"/>
        </w:rPr>
        <w:t xml:space="preserve">provided a summary of community engagement processes and socio-demographic information, data and highlights related to topics and themes of community needs. </w:t>
      </w:r>
      <w:r w:rsidRPr="0019742D">
        <w:rPr>
          <w:rFonts w:ascii="Calibri" w:eastAsia="Calibri" w:hAnsi="Calibri" w:cs="Calibri"/>
          <w:color w:val="000000" w:themeColor="text1"/>
        </w:rPr>
        <w:lastRenderedPageBreak/>
        <w:t xml:space="preserve">Through data analysis, surveys, focus groups and key informant interviews, the Applicant and participating community groups and residents identified the key priorities and strategies also highlighted in the 2022 CHNA. With support from the CHI team, the Applicant will be working to identify additional CAB members for missing constituencies. </w:t>
      </w:r>
    </w:p>
    <w:p w14:paraId="27502862" w14:textId="77777777" w:rsidR="00923E7D" w:rsidRPr="0019742D" w:rsidRDefault="00923E7D" w:rsidP="00923E7D">
      <w:pPr>
        <w:rPr>
          <w:rStyle w:val="eop"/>
          <w:rFonts w:ascii="Calibri" w:eastAsia="Calibri" w:hAnsi="Calibri" w:cs="Calibri"/>
          <w:color w:val="000000" w:themeColor="text1"/>
        </w:rPr>
      </w:pPr>
    </w:p>
    <w:p w14:paraId="4929FB90" w14:textId="5AB19051" w:rsidR="00923E7D" w:rsidRPr="0019742D" w:rsidRDefault="00923E7D" w:rsidP="00923E7D">
      <w:pPr>
        <w:rPr>
          <w:rFonts w:ascii="Calibri" w:eastAsia="Calibri" w:hAnsi="Calibri" w:cs="Calibri"/>
          <w:color w:val="000000" w:themeColor="text1"/>
        </w:rPr>
      </w:pPr>
      <w:r w:rsidRPr="0019742D">
        <w:rPr>
          <w:rStyle w:val="normaltextrun"/>
          <w:rFonts w:ascii="Calibri" w:eastAsia="Calibri" w:hAnsi="Calibri" w:cs="Calibri"/>
          <w:b/>
          <w:bCs/>
          <w:color w:val="000000" w:themeColor="text1"/>
        </w:rPr>
        <w:t>Stakeholder Assessments</w:t>
      </w:r>
      <w:r w:rsidRPr="0019742D">
        <w:rPr>
          <w:rStyle w:val="normaltextrun"/>
          <w:rFonts w:ascii="Calibri" w:eastAsia="Calibri" w:hAnsi="Calibri" w:cs="Calibri"/>
          <w:color w:val="000000" w:themeColor="text1"/>
        </w:rPr>
        <w:t xml:space="preserve"> submitted provided information on the individuals’ engagement levels (</w:t>
      </w:r>
      <w:r w:rsidR="00742009" w:rsidRPr="0019742D">
        <w:rPr>
          <w:rStyle w:val="normaltextrun"/>
          <w:rFonts w:ascii="Calibri" w:eastAsia="Calibri" w:hAnsi="Calibri" w:cs="Calibri"/>
          <w:color w:val="000000" w:themeColor="text1"/>
        </w:rPr>
        <w:t>e.g.,</w:t>
      </w:r>
      <w:r w:rsidRPr="0019742D">
        <w:rPr>
          <w:rStyle w:val="normaltextrun"/>
          <w:rFonts w:ascii="Calibri" w:eastAsia="Calibri" w:hAnsi="Calibri" w:cs="Calibri"/>
          <w:color w:val="000000" w:themeColor="text1"/>
        </w:rPr>
        <w:t xml:space="preserve"> their personal participation and role) and their analysis of how the Applicant engaged the community in community health improvement planning processes. The information provided in these forms were consistent with the self-assessment conducted by the Applicant. </w:t>
      </w:r>
    </w:p>
    <w:p w14:paraId="6AA4937C" w14:textId="77777777" w:rsidR="00923E7D" w:rsidRPr="0019742D" w:rsidRDefault="00923E7D" w:rsidP="00923E7D">
      <w:pPr>
        <w:rPr>
          <w:rFonts w:ascii="Calibri" w:eastAsia="Calibri" w:hAnsi="Calibri" w:cs="Calibri"/>
          <w:color w:val="000000" w:themeColor="text1"/>
        </w:rPr>
      </w:pPr>
      <w:r w:rsidRPr="0019742D">
        <w:rPr>
          <w:rStyle w:val="eop"/>
          <w:rFonts w:ascii="Calibri" w:eastAsia="Calibri" w:hAnsi="Calibri" w:cs="Calibri"/>
          <w:color w:val="000000" w:themeColor="text1"/>
        </w:rPr>
        <w:t> </w:t>
      </w:r>
    </w:p>
    <w:p w14:paraId="46BAE386" w14:textId="77777777" w:rsidR="00923E7D" w:rsidRPr="0019742D" w:rsidRDefault="00923E7D" w:rsidP="00923E7D">
      <w:pPr>
        <w:rPr>
          <w:rStyle w:val="normaltextrun"/>
          <w:rFonts w:ascii="Calibri" w:eastAsia="Calibri" w:hAnsi="Calibri" w:cs="Calibri"/>
          <w:color w:val="000000" w:themeColor="text1"/>
        </w:rPr>
      </w:pPr>
      <w:r w:rsidRPr="0019742D">
        <w:rPr>
          <w:rStyle w:val="normaltextrun"/>
          <w:rFonts w:ascii="Calibri" w:eastAsia="Calibri" w:hAnsi="Calibri" w:cs="Calibri"/>
          <w:b/>
          <w:bCs/>
          <w:color w:val="000000" w:themeColor="text1"/>
        </w:rPr>
        <w:t>The CHI Narrative</w:t>
      </w:r>
      <w:r w:rsidRPr="0019742D">
        <w:rPr>
          <w:rStyle w:val="normaltextrun"/>
          <w:rFonts w:ascii="Calibri" w:eastAsia="Calibri" w:hAnsi="Calibri" w:cs="Calibri"/>
          <w:color w:val="000000" w:themeColor="text1"/>
        </w:rPr>
        <w:t xml:space="preserve"> provided information on the Applicant’s decision-making structure and governing body for the CHI funding decisions. The Applicant reported that the CHI Advisory Committee will begin meeting and identifying CHI Health Priorities at 3-4 months post-project approval. Within 13 months of approval, the Applicant plans to disburse the funds, and complete final evaluations of funded project(s) within two years of approval. Administrative monies will support the promotion of meetings, interpretation/translation services and overall community engagement efforts.</w:t>
      </w:r>
    </w:p>
    <w:p w14:paraId="0AB75F9A" w14:textId="77777777" w:rsidR="00923E7D" w:rsidRPr="0019742D" w:rsidRDefault="00923E7D" w:rsidP="00923E7D">
      <w:pPr>
        <w:rPr>
          <w:rFonts w:ascii="Calibri" w:eastAsia="Calibri" w:hAnsi="Calibri" w:cs="Calibri"/>
          <w:color w:val="000000" w:themeColor="text1"/>
        </w:rPr>
      </w:pPr>
    </w:p>
    <w:p w14:paraId="37DB5B35" w14:textId="5507CE00" w:rsidR="00923E7D" w:rsidRPr="0019742D" w:rsidRDefault="00923E7D" w:rsidP="00923E7D">
      <w:pPr>
        <w:rPr>
          <w:rFonts w:ascii="Calibri" w:eastAsia="Calibri" w:hAnsi="Calibri" w:cs="Calibri"/>
          <w:color w:val="000000" w:themeColor="text1"/>
        </w:rPr>
      </w:pPr>
      <w:r w:rsidRPr="0019742D">
        <w:rPr>
          <w:rStyle w:val="normaltextrun"/>
          <w:rFonts w:ascii="Calibri" w:eastAsia="Calibri" w:hAnsi="Calibri" w:cs="Calibri"/>
          <w:color w:val="000000" w:themeColor="text1"/>
        </w:rPr>
        <w:t>DPH will work with the Applicant to ensure ongoing community engagement, a feasible project timeline and appropriate stewardship of the administrative allowance. Administrative allowances are used to address barriers to participation for community to engage in the community health planning process.</w:t>
      </w:r>
    </w:p>
    <w:p w14:paraId="4F0426C6" w14:textId="77777777" w:rsidR="00611D59" w:rsidRPr="0019742D" w:rsidRDefault="00611D59" w:rsidP="00611D59">
      <w:pPr>
        <w:ind w:left="360"/>
        <w:rPr>
          <w:rFonts w:asciiTheme="minorHAnsi" w:eastAsiaTheme="minorEastAsia" w:hAnsiTheme="minorHAnsi" w:cstheme="minorHAnsi"/>
          <w:color w:val="000000" w:themeColor="text1"/>
          <w:highlight w:val="yellow"/>
        </w:rPr>
      </w:pPr>
    </w:p>
    <w:p w14:paraId="53B48B42" w14:textId="77777777" w:rsidR="00772FB1" w:rsidRPr="0019742D" w:rsidRDefault="00611D59" w:rsidP="00611D59">
      <w:pPr>
        <w:rPr>
          <w:rFonts w:asciiTheme="minorHAnsi" w:eastAsiaTheme="minorEastAsia" w:hAnsiTheme="minorHAnsi" w:cstheme="minorHAnsi"/>
          <w:b/>
          <w:bCs/>
          <w:color w:val="000000" w:themeColor="text1"/>
        </w:rPr>
      </w:pPr>
      <w:r w:rsidRPr="0019742D">
        <w:rPr>
          <w:rFonts w:asciiTheme="minorHAnsi" w:eastAsiaTheme="minorEastAsia" w:hAnsiTheme="minorHAnsi" w:cstheme="minorHAnsi"/>
          <w:b/>
          <w:bCs/>
          <w:i/>
          <w:iCs/>
          <w:color w:val="000000" w:themeColor="text1"/>
        </w:rPr>
        <w:t>Analysis</w:t>
      </w:r>
    </w:p>
    <w:p w14:paraId="1C07E0D4" w14:textId="189D395A" w:rsidR="0039349D" w:rsidRPr="0019742D" w:rsidRDefault="0039349D" w:rsidP="0039349D">
      <w:pPr>
        <w:rPr>
          <w:rFonts w:ascii="Calibri" w:eastAsia="Calibri" w:hAnsi="Calibri" w:cs="Calibri"/>
          <w:color w:val="000000" w:themeColor="text1"/>
        </w:rPr>
      </w:pPr>
      <w:r w:rsidRPr="0019742D">
        <w:rPr>
          <w:rStyle w:val="normaltextrun"/>
          <w:rFonts w:ascii="Calibri" w:eastAsia="Calibri" w:hAnsi="Calibri" w:cs="Calibri"/>
          <w:color w:val="000000" w:themeColor="text1"/>
        </w:rPr>
        <w:t>As a result of information provided by the Applicant and additional analysis, staff finds that with the conditions outlined below, and the ongoing communication outlined above, the Applicant will have demonstrated that the Proposed Project has met Factor 6.</w:t>
      </w:r>
    </w:p>
    <w:p w14:paraId="3DD879C2" w14:textId="6AA58F89" w:rsidR="00FB441B" w:rsidRPr="0039349D" w:rsidRDefault="001C14F7" w:rsidP="00772FB1">
      <w:pPr>
        <w:pStyle w:val="Heading1"/>
        <w:rPr>
          <w:rFonts w:asciiTheme="minorHAnsi" w:hAnsiTheme="minorHAnsi" w:cstheme="minorHAnsi"/>
        </w:rPr>
      </w:pPr>
      <w:bookmarkStart w:id="68" w:name="_Toc145424500"/>
      <w:r w:rsidRPr="0039349D">
        <w:rPr>
          <w:rFonts w:asciiTheme="minorHAnsi" w:hAnsiTheme="minorHAnsi" w:cstheme="minorHAnsi"/>
        </w:rPr>
        <w:t>Findings and Recommendations</w:t>
      </w:r>
      <w:bookmarkEnd w:id="67"/>
      <w:bookmarkEnd w:id="68"/>
    </w:p>
    <w:p w14:paraId="3C5C17A4" w14:textId="77777777" w:rsidR="00FB441B" w:rsidRPr="0039349D" w:rsidRDefault="00FB441B" w:rsidP="00FB441B">
      <w:pPr>
        <w:rPr>
          <w:rFonts w:asciiTheme="minorHAnsi" w:hAnsiTheme="minorHAnsi" w:cstheme="minorBidi"/>
        </w:rPr>
      </w:pPr>
      <w:bookmarkStart w:id="69" w:name="_Toc116651394"/>
      <w:r w:rsidRPr="0039349D">
        <w:rPr>
          <w:rFonts w:asciiTheme="minorHAnsi" w:hAnsiTheme="minorHAnsi" w:cstheme="minorBid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69"/>
    </w:p>
    <w:p w14:paraId="101D25A1" w14:textId="4939438A" w:rsidR="00A80056" w:rsidRPr="00AC3A42" w:rsidRDefault="00A80056" w:rsidP="00A80056">
      <w:pPr>
        <w:rPr>
          <w:highlight w:val="yellow"/>
        </w:rPr>
      </w:pPr>
    </w:p>
    <w:p w14:paraId="1EFDB79C" w14:textId="77777777" w:rsidR="008F2C3A" w:rsidRPr="00AC3A42" w:rsidRDefault="008F2C3A" w:rsidP="00AD2668">
      <w:pPr>
        <w:spacing w:line="257" w:lineRule="auto"/>
        <w:rPr>
          <w:rFonts w:asciiTheme="minorHAnsi" w:eastAsia="Calibri" w:hAnsiTheme="minorHAnsi" w:cstheme="minorHAnsi"/>
          <w:color w:val="44546A"/>
          <w:highlight w:val="yellow"/>
        </w:rPr>
      </w:pPr>
    </w:p>
    <w:p w14:paraId="02E4D408" w14:textId="48B469F0" w:rsidR="00866685" w:rsidRPr="0039349D" w:rsidRDefault="00D461F9" w:rsidP="00262B8B">
      <w:pPr>
        <w:pStyle w:val="Heading1"/>
        <w:spacing w:before="0" w:line="240" w:lineRule="auto"/>
        <w:rPr>
          <w:rFonts w:asciiTheme="minorHAnsi" w:eastAsia="Times New Roman" w:hAnsiTheme="minorHAnsi" w:cstheme="minorHAnsi"/>
        </w:rPr>
      </w:pPr>
      <w:bookmarkStart w:id="70" w:name="_Toc145424501"/>
      <w:r w:rsidRPr="0039349D">
        <w:rPr>
          <w:rFonts w:asciiTheme="minorHAnsi" w:eastAsia="Times New Roman" w:hAnsiTheme="minorHAnsi" w:cstheme="minorHAnsi"/>
        </w:rPr>
        <w:t xml:space="preserve">Other </w:t>
      </w:r>
      <w:r w:rsidR="00A7428F" w:rsidRPr="0039349D">
        <w:rPr>
          <w:rFonts w:asciiTheme="minorHAnsi" w:eastAsia="Times New Roman" w:hAnsiTheme="minorHAnsi" w:cstheme="minorHAnsi"/>
        </w:rPr>
        <w:t>Conditions</w:t>
      </w:r>
      <w:bookmarkEnd w:id="70"/>
    </w:p>
    <w:p w14:paraId="4C50F786" w14:textId="5934B9A1" w:rsidR="004751DD" w:rsidRPr="00AC3A42" w:rsidRDefault="004751DD" w:rsidP="004751DD">
      <w:pPr>
        <w:rPr>
          <w:highlight w:val="yellow"/>
        </w:rPr>
      </w:pPr>
    </w:p>
    <w:p w14:paraId="56C2292F" w14:textId="70BBEC1A" w:rsidR="004751DD" w:rsidRPr="00BC0A85" w:rsidRDefault="004751DD" w:rsidP="00E701F4">
      <w:pPr>
        <w:rPr>
          <w:rFonts w:asciiTheme="minorHAnsi" w:hAnsiTheme="minorHAnsi" w:cstheme="minorHAnsi"/>
          <w:b/>
          <w:bCs/>
        </w:rPr>
      </w:pPr>
      <w:r w:rsidRPr="00BC0A85">
        <w:rPr>
          <w:rFonts w:asciiTheme="minorHAnsi" w:hAnsiTheme="minorHAnsi" w:cstheme="minorHAnsi"/>
          <w:b/>
          <w:bCs/>
        </w:rPr>
        <w:t>CHI Contribution</w:t>
      </w:r>
    </w:p>
    <w:p w14:paraId="70DC6675" w14:textId="77777777" w:rsidR="00BC0A85" w:rsidRPr="00BC0A85" w:rsidRDefault="00BC0A85" w:rsidP="00BC0A85">
      <w:pPr>
        <w:pStyle w:val="ListParagraph"/>
        <w:numPr>
          <w:ilvl w:val="0"/>
          <w:numId w:val="6"/>
        </w:numPr>
        <w:spacing w:after="0" w:line="240" w:lineRule="auto"/>
        <w:rPr>
          <w:rFonts w:ascii="Calibri" w:eastAsia="Calibri" w:hAnsi="Calibri" w:cs="Calibri"/>
          <w:color w:val="000000" w:themeColor="text1"/>
          <w:sz w:val="24"/>
          <w:szCs w:val="24"/>
        </w:rPr>
      </w:pPr>
      <w:r w:rsidRPr="00BC0A85">
        <w:rPr>
          <w:rStyle w:val="normaltextrun"/>
          <w:rFonts w:ascii="Calibri" w:eastAsia="Calibri" w:hAnsi="Calibri" w:cs="Calibri"/>
          <w:color w:val="000000" w:themeColor="text1"/>
          <w:sz w:val="24"/>
          <w:szCs w:val="24"/>
        </w:rPr>
        <w:t>Of the total required CHI contribution of $105,024.80</w:t>
      </w:r>
    </w:p>
    <w:p w14:paraId="52538519" w14:textId="48A18817" w:rsidR="00BC0A85" w:rsidRPr="00BC0A85" w:rsidRDefault="00BC0A85" w:rsidP="00BC0A85">
      <w:pPr>
        <w:pStyle w:val="ListParagraph"/>
        <w:numPr>
          <w:ilvl w:val="1"/>
          <w:numId w:val="6"/>
        </w:numPr>
        <w:spacing w:after="0" w:line="240" w:lineRule="auto"/>
        <w:rPr>
          <w:rStyle w:val="normaltextrun"/>
          <w:rFonts w:ascii="Calibri" w:eastAsia="Calibri" w:hAnsi="Calibri" w:cs="Calibri"/>
          <w:color w:val="000000" w:themeColor="text1"/>
          <w:sz w:val="24"/>
          <w:szCs w:val="24"/>
        </w:rPr>
      </w:pPr>
      <w:r w:rsidRPr="00BC0A85">
        <w:rPr>
          <w:rStyle w:val="normaltextrun"/>
          <w:rFonts w:ascii="Calibri" w:eastAsia="Calibri" w:hAnsi="Calibri" w:cs="Calibri"/>
          <w:color w:val="000000" w:themeColor="text1"/>
          <w:sz w:val="24"/>
          <w:szCs w:val="24"/>
        </w:rPr>
        <w:t>$10,082.38 will be directed to the CHI Statewide Initiative</w:t>
      </w:r>
    </w:p>
    <w:p w14:paraId="6925EDD1" w14:textId="1B6F94BE" w:rsidR="00BC0A85" w:rsidRPr="00BC0A85" w:rsidRDefault="00BC0A85" w:rsidP="00BC0A85">
      <w:pPr>
        <w:pStyle w:val="ListParagraph"/>
        <w:numPr>
          <w:ilvl w:val="1"/>
          <w:numId w:val="6"/>
        </w:numPr>
        <w:spacing w:after="0" w:line="240" w:lineRule="auto"/>
        <w:rPr>
          <w:rFonts w:ascii="Calibri" w:eastAsia="Calibri" w:hAnsi="Calibri" w:cs="Calibri"/>
          <w:color w:val="000000" w:themeColor="text1"/>
          <w:sz w:val="24"/>
          <w:szCs w:val="24"/>
        </w:rPr>
      </w:pPr>
      <w:r w:rsidRPr="00BC0A85">
        <w:rPr>
          <w:rStyle w:val="normaltextrun"/>
          <w:rFonts w:ascii="Calibri" w:eastAsia="Calibri" w:hAnsi="Calibri" w:cs="Calibri"/>
          <w:color w:val="000000" w:themeColor="text1"/>
          <w:sz w:val="24"/>
          <w:szCs w:val="24"/>
        </w:rPr>
        <w:t>$90,741.43 will be dedicated to local approaches to the DoN Health Priorities</w:t>
      </w:r>
    </w:p>
    <w:p w14:paraId="6F214DAE" w14:textId="77777777" w:rsidR="00BC0A85" w:rsidRPr="00BC0A85" w:rsidRDefault="00BC0A85" w:rsidP="00BC0A85">
      <w:pPr>
        <w:pStyle w:val="ListParagraph"/>
        <w:numPr>
          <w:ilvl w:val="1"/>
          <w:numId w:val="6"/>
        </w:numPr>
        <w:spacing w:after="0" w:line="240" w:lineRule="auto"/>
        <w:rPr>
          <w:rFonts w:ascii="Calibri" w:eastAsia="Calibri" w:hAnsi="Calibri" w:cs="Calibri"/>
          <w:color w:val="000000" w:themeColor="text1"/>
          <w:sz w:val="24"/>
          <w:szCs w:val="24"/>
        </w:rPr>
      </w:pPr>
      <w:r w:rsidRPr="00BC0A85">
        <w:rPr>
          <w:rStyle w:val="normaltextrun"/>
          <w:rFonts w:ascii="Calibri" w:eastAsia="Calibri" w:hAnsi="Calibri" w:cs="Calibri"/>
          <w:color w:val="000000" w:themeColor="text1"/>
          <w:sz w:val="24"/>
          <w:szCs w:val="24"/>
        </w:rPr>
        <w:t>$4,200.99 may be designated as the administrative allowance. </w:t>
      </w:r>
    </w:p>
    <w:p w14:paraId="6BADF57C" w14:textId="70C07F06" w:rsidR="00BC0A85" w:rsidRPr="00BC0A85" w:rsidRDefault="00BC0A85" w:rsidP="00BC0A85">
      <w:pPr>
        <w:pStyle w:val="ListParagraph"/>
        <w:numPr>
          <w:ilvl w:val="0"/>
          <w:numId w:val="6"/>
        </w:numPr>
        <w:spacing w:after="0" w:line="240" w:lineRule="auto"/>
        <w:rPr>
          <w:rFonts w:ascii="Calibri" w:eastAsia="Calibri" w:hAnsi="Calibri" w:cs="Calibri"/>
          <w:color w:val="000000" w:themeColor="text1"/>
          <w:sz w:val="24"/>
          <w:szCs w:val="24"/>
        </w:rPr>
      </w:pPr>
      <w:r w:rsidRPr="00BC0A85">
        <w:rPr>
          <w:rStyle w:val="normaltextrun"/>
          <w:rFonts w:ascii="Calibri" w:eastAsia="Calibri" w:hAnsi="Calibri" w:cs="Calibri"/>
          <w:color w:val="000000" w:themeColor="text1"/>
          <w:sz w:val="24"/>
          <w:szCs w:val="24"/>
        </w:rPr>
        <w:t>To comply with the Holder’s obligation to contribute to the Statewide CHI Initiative, the Holder must submit a check for $10,082.38 to Health Resources in Action (the fiscal agent for the CHI Statewide Initiative).</w:t>
      </w:r>
    </w:p>
    <w:p w14:paraId="4AACB1EC" w14:textId="77777777" w:rsidR="001022D6" w:rsidRPr="00BC0A85" w:rsidRDefault="001022D6">
      <w:pPr>
        <w:pStyle w:val="ListParagraph"/>
        <w:numPr>
          <w:ilvl w:val="2"/>
          <w:numId w:val="6"/>
        </w:numPr>
        <w:spacing w:line="240" w:lineRule="auto"/>
        <w:ind w:right="540"/>
        <w:rPr>
          <w:rFonts w:eastAsiaTheme="minorEastAsia" w:cstheme="minorHAnsi"/>
          <w:sz w:val="24"/>
          <w:szCs w:val="24"/>
        </w:rPr>
      </w:pPr>
      <w:r w:rsidRPr="00BC0A85">
        <w:rPr>
          <w:rFonts w:eastAsia="Garamond" w:cstheme="minorHAnsi"/>
          <w:sz w:val="24"/>
          <w:szCs w:val="24"/>
        </w:rPr>
        <w:lastRenderedPageBreak/>
        <w:t xml:space="preserve">The Holder must submit the funds to HRiA within 30 days from the date of the Notice of Approval. </w:t>
      </w:r>
    </w:p>
    <w:p w14:paraId="5E32950E" w14:textId="77777777" w:rsidR="001022D6" w:rsidRPr="00BC0A85" w:rsidRDefault="001022D6">
      <w:pPr>
        <w:pStyle w:val="ListParagraph"/>
        <w:numPr>
          <w:ilvl w:val="2"/>
          <w:numId w:val="6"/>
        </w:numPr>
        <w:spacing w:line="240" w:lineRule="auto"/>
        <w:ind w:right="540"/>
        <w:rPr>
          <w:rFonts w:eastAsiaTheme="minorEastAsia" w:cstheme="minorHAnsi"/>
          <w:sz w:val="24"/>
          <w:szCs w:val="24"/>
        </w:rPr>
      </w:pPr>
      <w:r w:rsidRPr="00BC0A85">
        <w:rPr>
          <w:rFonts w:eastAsia="Garamond" w:cstheme="minorHAnsi"/>
          <w:sz w:val="24"/>
          <w:szCs w:val="24"/>
        </w:rPr>
        <w:t>The Holder must promptly notify DPH (CHI contact staff) when the payment has been made.</w:t>
      </w:r>
    </w:p>
    <w:p w14:paraId="558D309F" w14:textId="77777777" w:rsidR="001022D6" w:rsidRPr="00BC0A85"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BC0A85">
        <w:rPr>
          <w:rStyle w:val="normaltextrun"/>
          <w:rFonts w:asciiTheme="minorHAnsi" w:hAnsiTheme="minorHAnsi" w:cstheme="minorHAnsi"/>
        </w:rPr>
        <w:t>Payment should be sent to:</w:t>
      </w:r>
      <w:r w:rsidRPr="00BC0A85">
        <w:rPr>
          <w:rStyle w:val="eop"/>
          <w:rFonts w:asciiTheme="minorHAnsi" w:hAnsiTheme="minorHAnsi" w:cstheme="minorHAnsi"/>
        </w:rPr>
        <w:t> </w:t>
      </w:r>
    </w:p>
    <w:p w14:paraId="248F2B3D" w14:textId="77777777" w:rsidR="001022D6" w:rsidRPr="00BC0A85"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BC0A85">
        <w:rPr>
          <w:rStyle w:val="normaltextrun"/>
          <w:rFonts w:asciiTheme="minorHAnsi" w:hAnsiTheme="minorHAnsi" w:cstheme="minorHAnsi"/>
        </w:rPr>
        <w:t>Health Resources in Action, Inc., (</w:t>
      </w:r>
      <w:r w:rsidRPr="00BC0A85">
        <w:rPr>
          <w:rStyle w:val="spellingerror"/>
          <w:rFonts w:asciiTheme="minorHAnsi" w:hAnsiTheme="minorHAnsi" w:cstheme="minorHAnsi"/>
        </w:rPr>
        <w:t>HRiA</w:t>
      </w:r>
      <w:r w:rsidRPr="00BC0A85">
        <w:rPr>
          <w:rStyle w:val="normaltextrun"/>
          <w:rFonts w:asciiTheme="minorHAnsi" w:hAnsiTheme="minorHAnsi" w:cstheme="minorHAnsi"/>
        </w:rPr>
        <w:t>)</w:t>
      </w:r>
      <w:r w:rsidRPr="00BC0A85">
        <w:rPr>
          <w:rStyle w:val="eop"/>
          <w:rFonts w:asciiTheme="minorHAnsi" w:hAnsiTheme="minorHAnsi" w:cstheme="minorHAnsi"/>
        </w:rPr>
        <w:t> </w:t>
      </w:r>
    </w:p>
    <w:p w14:paraId="237A9715" w14:textId="77777777" w:rsidR="001022D6" w:rsidRPr="00BC0A85"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BC0A85">
        <w:rPr>
          <w:rStyle w:val="normaltextrun"/>
          <w:rFonts w:asciiTheme="minorHAnsi" w:hAnsiTheme="minorHAnsi" w:cstheme="minorHAnsi"/>
        </w:rPr>
        <w:t>2 Boylston Street, 4th Floor</w:t>
      </w:r>
      <w:r w:rsidRPr="00BC0A85">
        <w:rPr>
          <w:rStyle w:val="eop"/>
          <w:rFonts w:asciiTheme="minorHAnsi" w:hAnsiTheme="minorHAnsi" w:cstheme="minorHAnsi"/>
        </w:rPr>
        <w:t> </w:t>
      </w:r>
    </w:p>
    <w:p w14:paraId="3102C4E4" w14:textId="77777777" w:rsidR="001022D6" w:rsidRPr="00BC0A85"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BC0A85">
        <w:rPr>
          <w:rStyle w:val="normaltextrun"/>
          <w:rFonts w:asciiTheme="minorHAnsi" w:hAnsiTheme="minorHAnsi" w:cstheme="minorHAnsi"/>
        </w:rPr>
        <w:t>Boston, MA 02116</w:t>
      </w:r>
      <w:r w:rsidRPr="00BC0A85">
        <w:rPr>
          <w:rStyle w:val="eop"/>
          <w:rFonts w:asciiTheme="minorHAnsi" w:hAnsiTheme="minorHAnsi" w:cstheme="minorHAnsi"/>
        </w:rPr>
        <w:t> </w:t>
      </w:r>
    </w:p>
    <w:p w14:paraId="0D2E59BB" w14:textId="0D7E4C02" w:rsidR="008F0309" w:rsidRPr="00BC0A85" w:rsidRDefault="001022D6" w:rsidP="002E13F7">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BC0A85">
        <w:rPr>
          <w:rStyle w:val="normaltextrun"/>
          <w:rFonts w:asciiTheme="minorHAnsi" w:hAnsiTheme="minorHAnsi" w:cstheme="minorHAnsi"/>
        </w:rPr>
        <w:t>Attn: Ms. Bora Toro</w:t>
      </w:r>
      <w:r w:rsidRPr="00BC0A85">
        <w:rPr>
          <w:rStyle w:val="eop"/>
          <w:rFonts w:asciiTheme="minorHAnsi" w:hAnsiTheme="minorHAnsi" w:cstheme="minorHAnsi"/>
        </w:rPr>
        <w:t> </w:t>
      </w:r>
    </w:p>
    <w:p w14:paraId="59ADB328" w14:textId="77777777" w:rsidR="00AC0161" w:rsidRPr="00BC0A85" w:rsidRDefault="00AC0161" w:rsidP="00AC0161">
      <w:pPr>
        <w:pStyle w:val="Heading1"/>
        <w:rPr>
          <w:rFonts w:asciiTheme="minorHAnsi" w:hAnsiTheme="minorHAnsi" w:cstheme="minorHAnsi"/>
        </w:rPr>
      </w:pPr>
      <w:bookmarkStart w:id="71" w:name="_Toc118903980"/>
      <w:bookmarkStart w:id="72" w:name="_Toc145424502"/>
      <w:r w:rsidRPr="00BC0A85">
        <w:rPr>
          <w:rFonts w:asciiTheme="minorHAnsi" w:hAnsiTheme="minorHAnsi" w:cstheme="minorHAnsi"/>
        </w:rPr>
        <w:t>Appendix I: Measures for Annual Reporting</w:t>
      </w:r>
      <w:bookmarkEnd w:id="71"/>
      <w:bookmarkEnd w:id="72"/>
    </w:p>
    <w:p w14:paraId="4D6F0686" w14:textId="77777777" w:rsidR="005A6438" w:rsidRPr="00AC3A42" w:rsidRDefault="005A6438" w:rsidP="003D3F28">
      <w:pPr>
        <w:contextualSpacing/>
        <w:rPr>
          <w:rFonts w:asciiTheme="minorHAnsi" w:hAnsiTheme="minorHAnsi" w:cstheme="minorHAnsi"/>
          <w:b/>
          <w:bCs/>
          <w:iCs/>
          <w:highlight w:val="yellow"/>
        </w:rPr>
      </w:pPr>
    </w:p>
    <w:p w14:paraId="5AD7583C" w14:textId="6719AFE3" w:rsidR="00866685" w:rsidRPr="00BC0A85" w:rsidRDefault="00866685" w:rsidP="00AC0161">
      <w:pPr>
        <w:rPr>
          <w:rFonts w:asciiTheme="minorHAnsi" w:hAnsiTheme="minorHAnsi" w:cstheme="minorHAnsi"/>
          <w:b/>
          <w:bCs/>
          <w:iCs/>
        </w:rPr>
      </w:pPr>
      <w:r w:rsidRPr="00BC0A85">
        <w:rPr>
          <w:rFonts w:asciiTheme="minorHAnsi" w:hAnsiTheme="minorHAnsi" w:cstheme="minorHAnsi"/>
          <w:b/>
          <w:bCs/>
          <w:iCs/>
        </w:rPr>
        <w:t>Outcome Measures</w:t>
      </w:r>
    </w:p>
    <w:p w14:paraId="13EA3BFD" w14:textId="37087F7D" w:rsidR="00465793" w:rsidRPr="00BC0A85" w:rsidRDefault="0031402C" w:rsidP="005D48DC">
      <w:pPr>
        <w:rPr>
          <w:rFonts w:asciiTheme="minorHAnsi" w:hAnsiTheme="minorHAnsi" w:cstheme="minorHAnsi"/>
        </w:rPr>
      </w:pPr>
      <w:r w:rsidRPr="00BC0A85">
        <w:rPr>
          <w:rStyle w:val="normaltextrun"/>
          <w:rFonts w:asciiTheme="minorHAnsi" w:hAnsiTheme="minorHAnsi" w:cstheme="minorHAnsi"/>
        </w:rPr>
        <w:t xml:space="preserve">To assess the impact of the Proposed Project, the Applicant has developed the following outcome measures. </w:t>
      </w:r>
      <w:r w:rsidR="007E7E3B" w:rsidRPr="00BC0A85">
        <w:rPr>
          <w:rStyle w:val="normaltextrun"/>
          <w:rFonts w:asciiTheme="minorHAnsi" w:hAnsiTheme="minorHAnsi" w:cstheme="minorHAnsi"/>
        </w:rPr>
        <w:t xml:space="preserve">The Applicant will report this information to the Department’s DoN Program staff as part of its annual report required by 105 CMR 100.310(A)(12) following implementation of the Proposed Project. </w:t>
      </w:r>
      <w:r w:rsidR="007E7E3B" w:rsidRPr="00BC0A85">
        <w:rPr>
          <w:rFonts w:asciiTheme="minorHAnsi" w:hAnsiTheme="minorHAnsi" w:cstheme="minorHAnsi"/>
        </w:rPr>
        <w:t xml:space="preserve">For all measures, the Applicant will provide to the program a baseline upon implementation of each project component, along with updated projections, which the program will use for comparison with the annual data submitted. </w:t>
      </w:r>
      <w:r w:rsidR="001C189F" w:rsidRPr="00BC0A85">
        <w:rPr>
          <w:rFonts w:asciiTheme="minorHAnsi" w:hAnsiTheme="minorHAnsi" w:cstheme="minorHAnsi"/>
        </w:rPr>
        <w:t xml:space="preserve">Reporting will include a description of numerators and denominators. </w:t>
      </w:r>
    </w:p>
    <w:p w14:paraId="018C497D" w14:textId="77777777" w:rsidR="00726BF3" w:rsidRPr="00AC3A42" w:rsidRDefault="00726BF3" w:rsidP="003F7ADD">
      <w:pPr>
        <w:rPr>
          <w:rFonts w:asciiTheme="minorHAnsi" w:hAnsiTheme="minorHAnsi" w:cstheme="minorHAnsi"/>
          <w:highlight w:val="yellow"/>
        </w:rPr>
      </w:pPr>
    </w:p>
    <w:p w14:paraId="240A950F" w14:textId="2321F563" w:rsidR="00735446" w:rsidRPr="00191CE6" w:rsidRDefault="00735446" w:rsidP="00735446">
      <w:pPr>
        <w:pStyle w:val="BodyText"/>
        <w:numPr>
          <w:ilvl w:val="0"/>
          <w:numId w:val="16"/>
        </w:numPr>
        <w:spacing w:after="0" w:line="240" w:lineRule="auto"/>
        <w:jc w:val="both"/>
        <w:rPr>
          <w:rFonts w:cstheme="minorHAnsi"/>
          <w:sz w:val="24"/>
          <w:szCs w:val="24"/>
        </w:rPr>
      </w:pPr>
      <w:r w:rsidRPr="00191CE6">
        <w:rPr>
          <w:rFonts w:cstheme="minorHAnsi"/>
          <w:b/>
          <w:bCs/>
          <w:sz w:val="24"/>
          <w:szCs w:val="24"/>
        </w:rPr>
        <w:t>Acces</w:t>
      </w:r>
      <w:r w:rsidR="005D48DC">
        <w:rPr>
          <w:rFonts w:cstheme="minorHAnsi"/>
          <w:b/>
          <w:bCs/>
          <w:sz w:val="24"/>
          <w:szCs w:val="24"/>
        </w:rPr>
        <w:t xml:space="preserve">s </w:t>
      </w:r>
      <w:r w:rsidR="00B7534A" w:rsidRPr="00191CE6">
        <w:rPr>
          <w:rFonts w:cstheme="minorHAnsi"/>
          <w:b/>
          <w:bCs/>
          <w:sz w:val="24"/>
          <w:szCs w:val="24"/>
        </w:rPr>
        <w:t xml:space="preserve">– </w:t>
      </w:r>
      <w:r w:rsidRPr="00191CE6">
        <w:rPr>
          <w:rFonts w:cstheme="minorHAnsi"/>
          <w:b/>
          <w:bCs/>
          <w:sz w:val="24"/>
          <w:szCs w:val="24"/>
        </w:rPr>
        <w:t>Reduce Downtime</w:t>
      </w:r>
      <w:r w:rsidRPr="00191CE6">
        <w:rPr>
          <w:rFonts w:cstheme="minorHAnsi"/>
          <w:sz w:val="24"/>
          <w:szCs w:val="24"/>
        </w:rPr>
        <w:t xml:space="preserve">: The Proposed Project seeks to reduce the downtime hours to increase access to CT services for ED, inpatients, and outpatients. </w:t>
      </w:r>
    </w:p>
    <w:p w14:paraId="732FCAD9" w14:textId="6874CACE" w:rsidR="00735446" w:rsidRPr="00191CE6" w:rsidRDefault="00735446" w:rsidP="00191CE6">
      <w:pPr>
        <w:pStyle w:val="BodyText"/>
        <w:spacing w:after="0"/>
        <w:ind w:left="2160"/>
        <w:jc w:val="both"/>
        <w:rPr>
          <w:rFonts w:cstheme="minorHAnsi"/>
          <w:sz w:val="24"/>
          <w:szCs w:val="24"/>
        </w:rPr>
      </w:pPr>
      <w:r w:rsidRPr="00191CE6">
        <w:rPr>
          <w:rFonts w:cstheme="minorHAnsi"/>
          <w:b/>
          <w:bCs/>
          <w:sz w:val="24"/>
          <w:szCs w:val="24"/>
        </w:rPr>
        <w:t xml:space="preserve">Measure: </w:t>
      </w:r>
      <w:r w:rsidRPr="00191CE6">
        <w:rPr>
          <w:rFonts w:cstheme="minorHAnsi"/>
          <w:sz w:val="24"/>
          <w:szCs w:val="24"/>
        </w:rPr>
        <w:t xml:space="preserve">Downtime hours per year due to maintenance and interventional radiology procedures. </w:t>
      </w:r>
    </w:p>
    <w:p w14:paraId="0B85D4C1" w14:textId="1E5F55D8" w:rsidR="00735446" w:rsidRPr="00191CE6" w:rsidRDefault="00735446" w:rsidP="00191CE6">
      <w:pPr>
        <w:ind w:left="1440" w:firstLine="720"/>
        <w:rPr>
          <w:rFonts w:asciiTheme="minorHAnsi" w:hAnsiTheme="minorHAnsi" w:cstheme="minorHAnsi"/>
        </w:rPr>
      </w:pPr>
      <w:r w:rsidRPr="00191CE6">
        <w:rPr>
          <w:rFonts w:asciiTheme="minorHAnsi" w:hAnsiTheme="minorHAnsi" w:cstheme="minorHAnsi"/>
          <w:b/>
          <w:bCs/>
        </w:rPr>
        <w:t xml:space="preserve">Baseline: </w:t>
      </w:r>
      <w:r w:rsidRPr="00191CE6">
        <w:rPr>
          <w:rFonts w:asciiTheme="minorHAnsi" w:hAnsiTheme="minorHAnsi" w:cstheme="minorHAnsi"/>
        </w:rPr>
        <w:t>Total Downtime hours: 331.3 hours</w:t>
      </w:r>
      <w:r w:rsidR="0013018D">
        <w:rPr>
          <w:rFonts w:asciiTheme="minorHAnsi" w:hAnsiTheme="minorHAnsi" w:cstheme="minorHAnsi"/>
        </w:rPr>
        <w:t>.</w:t>
      </w:r>
    </w:p>
    <w:p w14:paraId="283FB593" w14:textId="00F653D0" w:rsidR="00735446" w:rsidRDefault="00735446" w:rsidP="00735446">
      <w:pPr>
        <w:ind w:left="1440" w:firstLine="720"/>
        <w:rPr>
          <w:rFonts w:asciiTheme="minorHAnsi" w:hAnsiTheme="minorHAnsi" w:cstheme="minorHAnsi"/>
        </w:rPr>
      </w:pPr>
      <w:r w:rsidRPr="00191CE6">
        <w:rPr>
          <w:rFonts w:asciiTheme="minorHAnsi" w:hAnsiTheme="minorHAnsi" w:cstheme="minorHAnsi"/>
          <w:b/>
          <w:bCs/>
        </w:rPr>
        <w:t xml:space="preserve">Projections: </w:t>
      </w:r>
      <w:r w:rsidRPr="00191CE6">
        <w:rPr>
          <w:rFonts w:asciiTheme="minorHAnsi" w:hAnsiTheme="minorHAnsi" w:cstheme="minorHAnsi"/>
        </w:rPr>
        <w:t xml:space="preserve">Year 1: 75 hours; Year 2: 50 hours; and Year 3: 25 hours </w:t>
      </w:r>
    </w:p>
    <w:p w14:paraId="04FA0644" w14:textId="77777777" w:rsidR="00191CE6" w:rsidRPr="00191CE6" w:rsidRDefault="00191CE6" w:rsidP="00735446">
      <w:pPr>
        <w:ind w:left="1440" w:firstLine="720"/>
        <w:rPr>
          <w:rFonts w:asciiTheme="minorHAnsi" w:hAnsiTheme="minorHAnsi" w:cstheme="minorHAnsi"/>
        </w:rPr>
      </w:pPr>
    </w:p>
    <w:p w14:paraId="4E3EBF31" w14:textId="1B1D58D6" w:rsidR="00735446" w:rsidRPr="00191CE6" w:rsidRDefault="00735446" w:rsidP="00191CE6">
      <w:pPr>
        <w:pStyle w:val="ListParagraph"/>
        <w:numPr>
          <w:ilvl w:val="0"/>
          <w:numId w:val="16"/>
        </w:numPr>
        <w:spacing w:after="160" w:line="259" w:lineRule="auto"/>
        <w:jc w:val="both"/>
        <w:rPr>
          <w:rFonts w:cstheme="minorHAnsi"/>
          <w:sz w:val="24"/>
          <w:szCs w:val="24"/>
        </w:rPr>
      </w:pPr>
      <w:r w:rsidRPr="00191CE6">
        <w:rPr>
          <w:rFonts w:cstheme="minorHAnsi"/>
          <w:b/>
          <w:bCs/>
          <w:sz w:val="24"/>
          <w:szCs w:val="24"/>
        </w:rPr>
        <w:t>Access – Door to CT for Stroke Patients</w:t>
      </w:r>
      <w:r w:rsidRPr="00191CE6">
        <w:rPr>
          <w:rFonts w:cstheme="minorHAnsi"/>
          <w:sz w:val="24"/>
          <w:szCs w:val="24"/>
        </w:rPr>
        <w:t>: Adding a second CT unit will likely decrease time from door to CT for stroke patients. As a result, stroke patients will receive a timely diagnosis that will direct subsequent medical treatment. Through the Proposed Project AJH seeks to maintain and improve average door to CT time.</w:t>
      </w:r>
    </w:p>
    <w:p w14:paraId="58399636" w14:textId="77777777" w:rsidR="00735446" w:rsidRPr="00191CE6" w:rsidRDefault="00735446" w:rsidP="00735446">
      <w:pPr>
        <w:pStyle w:val="ListParagraph"/>
        <w:ind w:left="1800" w:firstLine="360"/>
        <w:rPr>
          <w:rFonts w:cstheme="minorHAnsi"/>
          <w:sz w:val="24"/>
          <w:szCs w:val="24"/>
        </w:rPr>
      </w:pPr>
      <w:r w:rsidRPr="00191CE6">
        <w:rPr>
          <w:rFonts w:cstheme="minorHAnsi"/>
          <w:b/>
          <w:bCs/>
          <w:sz w:val="24"/>
          <w:szCs w:val="24"/>
        </w:rPr>
        <w:t>Measure</w:t>
      </w:r>
      <w:r w:rsidRPr="00191CE6">
        <w:rPr>
          <w:rFonts w:cstheme="minorHAnsi"/>
          <w:sz w:val="24"/>
          <w:szCs w:val="24"/>
        </w:rPr>
        <w:t>: Length of time</w:t>
      </w:r>
      <w:r w:rsidRPr="00191CE6">
        <w:rPr>
          <w:rFonts w:cstheme="minorHAnsi"/>
          <w:b/>
          <w:bCs/>
          <w:sz w:val="24"/>
          <w:szCs w:val="24"/>
        </w:rPr>
        <w:t xml:space="preserve"> </w:t>
      </w:r>
      <w:r w:rsidRPr="00191CE6">
        <w:rPr>
          <w:rFonts w:cstheme="minorHAnsi"/>
          <w:sz w:val="24"/>
          <w:szCs w:val="24"/>
        </w:rPr>
        <w:t xml:space="preserve">between when patient reaches the Hospital to when a </w:t>
      </w:r>
    </w:p>
    <w:p w14:paraId="43EA0558" w14:textId="5500CDEC" w:rsidR="00735446" w:rsidRPr="00191CE6" w:rsidRDefault="00735446" w:rsidP="00191CE6">
      <w:pPr>
        <w:pStyle w:val="ListParagraph"/>
        <w:ind w:left="2520" w:firstLine="360"/>
        <w:rPr>
          <w:rFonts w:cstheme="minorHAnsi"/>
          <w:sz w:val="24"/>
          <w:szCs w:val="24"/>
        </w:rPr>
      </w:pPr>
      <w:r w:rsidRPr="00191CE6">
        <w:rPr>
          <w:rFonts w:cstheme="minorHAnsi"/>
          <w:b/>
          <w:bCs/>
          <w:sz w:val="24"/>
          <w:szCs w:val="24"/>
        </w:rPr>
        <w:t xml:space="preserve"> </w:t>
      </w:r>
      <w:r w:rsidRPr="00191CE6">
        <w:rPr>
          <w:rFonts w:cstheme="minorHAnsi"/>
          <w:sz w:val="24"/>
          <w:szCs w:val="24"/>
        </w:rPr>
        <w:t>CT scan begins.</w:t>
      </w:r>
    </w:p>
    <w:p w14:paraId="23D64F57" w14:textId="738EC55A" w:rsidR="00735446" w:rsidRPr="00191CE6" w:rsidRDefault="00735446" w:rsidP="00191CE6">
      <w:pPr>
        <w:pStyle w:val="ListParagraph"/>
        <w:ind w:left="1800" w:firstLine="360"/>
        <w:rPr>
          <w:rFonts w:cstheme="minorHAnsi"/>
          <w:sz w:val="24"/>
          <w:szCs w:val="24"/>
        </w:rPr>
      </w:pPr>
      <w:r w:rsidRPr="00191CE6">
        <w:rPr>
          <w:rFonts w:cstheme="minorHAnsi"/>
          <w:b/>
          <w:bCs/>
          <w:sz w:val="24"/>
          <w:szCs w:val="24"/>
        </w:rPr>
        <w:t>Baseline:</w:t>
      </w:r>
      <w:r w:rsidRPr="00191CE6">
        <w:rPr>
          <w:rFonts w:cstheme="minorHAnsi"/>
          <w:sz w:val="24"/>
          <w:szCs w:val="24"/>
        </w:rPr>
        <w:t xml:space="preserve"> Average door to CT scan time: 23 minutes</w:t>
      </w:r>
    </w:p>
    <w:p w14:paraId="141F8F82" w14:textId="21F29F07" w:rsidR="00735446" w:rsidRPr="0013018D" w:rsidRDefault="00735446" w:rsidP="0013018D">
      <w:pPr>
        <w:pStyle w:val="ListParagraph"/>
        <w:ind w:left="1800" w:firstLine="360"/>
        <w:rPr>
          <w:rFonts w:cstheme="minorHAnsi"/>
          <w:sz w:val="24"/>
          <w:szCs w:val="24"/>
        </w:rPr>
      </w:pPr>
      <w:r w:rsidRPr="00191CE6">
        <w:rPr>
          <w:rFonts w:cstheme="minorHAnsi"/>
          <w:b/>
          <w:bCs/>
          <w:sz w:val="24"/>
          <w:szCs w:val="24"/>
        </w:rPr>
        <w:t xml:space="preserve">Projections: </w:t>
      </w:r>
      <w:r w:rsidRPr="00191CE6">
        <w:rPr>
          <w:rFonts w:cstheme="minorHAnsi"/>
          <w:sz w:val="24"/>
          <w:szCs w:val="24"/>
        </w:rPr>
        <w:t xml:space="preserve">Year 1: 22 minutes; Year 2: 21 minutes; and Year 3: 20 </w:t>
      </w:r>
      <w:r w:rsidRPr="0013018D">
        <w:rPr>
          <w:rFonts w:cstheme="minorHAnsi"/>
          <w:sz w:val="24"/>
          <w:szCs w:val="24"/>
        </w:rPr>
        <w:t>minutes</w:t>
      </w:r>
    </w:p>
    <w:p w14:paraId="0EF8237E" w14:textId="69497678" w:rsidR="002D535F" w:rsidRPr="00B742AF" w:rsidRDefault="002D535F" w:rsidP="000C1DBE">
      <w:pPr>
        <w:pStyle w:val="Heading1"/>
        <w:rPr>
          <w:rFonts w:asciiTheme="minorHAnsi" w:hAnsiTheme="minorHAnsi" w:cstheme="minorHAnsi"/>
          <w:b w:val="0"/>
          <w:bCs w:val="0"/>
          <w:iCs/>
        </w:rPr>
      </w:pPr>
      <w:bookmarkStart w:id="73" w:name="_Toc145424503"/>
      <w:r w:rsidRPr="00735446">
        <w:rPr>
          <w:rFonts w:asciiTheme="minorHAnsi" w:hAnsiTheme="minorHAnsi" w:cstheme="minorHAnsi"/>
          <w:iCs/>
        </w:rPr>
        <w:t>REFERENCES</w:t>
      </w:r>
      <w:bookmarkEnd w:id="73"/>
    </w:p>
    <w:sectPr w:rsidR="002D535F" w:rsidRPr="00B742AF" w:rsidSect="00A43B1E">
      <w:headerReference w:type="even" r:id="rId11"/>
      <w:headerReference w:type="default" r:id="rId12"/>
      <w:footerReference w:type="default" r:id="rId13"/>
      <w:headerReference w:type="first" r:id="rId14"/>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2EC9A" w14:textId="77777777" w:rsidR="00EF4746" w:rsidRDefault="00EF4746" w:rsidP="008C0709">
      <w:r>
        <w:separator/>
      </w:r>
    </w:p>
  </w:endnote>
  <w:endnote w:type="continuationSeparator" w:id="0">
    <w:p w14:paraId="439620D0" w14:textId="77777777" w:rsidR="00EF4746" w:rsidRDefault="00EF4746" w:rsidP="008C0709">
      <w:r>
        <w:continuationSeparator/>
      </w:r>
    </w:p>
  </w:endnote>
  <w:endnote w:id="1">
    <w:p w14:paraId="06A68948" w14:textId="77777777" w:rsidR="00080085" w:rsidRPr="00B7534A" w:rsidRDefault="00080085" w:rsidP="00080085">
      <w:pPr>
        <w:spacing w:before="102"/>
        <w:ind w:left="120" w:right="213"/>
        <w:rPr>
          <w:rFonts w:asciiTheme="minorHAnsi" w:hAnsiTheme="minorHAnsi" w:cstheme="minorHAnsi"/>
          <w:sz w:val="20"/>
          <w:szCs w:val="20"/>
        </w:rPr>
      </w:pPr>
      <w:r w:rsidRPr="00B7534A">
        <w:rPr>
          <w:rStyle w:val="EndnoteReference"/>
          <w:rFonts w:asciiTheme="minorHAnsi" w:hAnsiTheme="minorHAnsi" w:cstheme="minorHAnsi"/>
          <w:sz w:val="20"/>
          <w:szCs w:val="20"/>
        </w:rPr>
        <w:endnoteRef/>
      </w:r>
      <w:r w:rsidRPr="00B7534A">
        <w:rPr>
          <w:rFonts w:asciiTheme="minorHAnsi" w:hAnsiTheme="minorHAnsi" w:cstheme="minorHAnsi"/>
          <w:sz w:val="20"/>
          <w:szCs w:val="20"/>
        </w:rPr>
        <w:t xml:space="preserve"> Center for Health Information and Analysis.</w:t>
      </w:r>
      <w:r w:rsidRPr="00B7534A">
        <w:rPr>
          <w:rFonts w:asciiTheme="minorHAnsi" w:hAnsiTheme="minorHAnsi" w:cstheme="minorHAnsi"/>
          <w:color w:val="000000" w:themeColor="text1"/>
          <w:sz w:val="20"/>
          <w:szCs w:val="20"/>
        </w:rPr>
        <w:t xml:space="preserve"> </w:t>
      </w:r>
      <w:hyperlink r:id="rId1" w:history="1">
        <w:r w:rsidRPr="00B7534A">
          <w:rPr>
            <w:rStyle w:val="Hyperlink"/>
            <w:rFonts w:asciiTheme="minorHAnsi" w:hAnsiTheme="minorHAnsi" w:cstheme="minorHAnsi"/>
            <w:color w:val="000000" w:themeColor="text1"/>
            <w:sz w:val="20"/>
            <w:szCs w:val="20"/>
          </w:rPr>
          <w:t>Massachusetts Hospital Profiles. Technical Appendix</w:t>
        </w:r>
      </w:hyperlink>
      <w:r w:rsidRPr="00B7534A">
        <w:rPr>
          <w:rFonts w:asciiTheme="minorHAnsi" w:hAnsiTheme="minorHAnsi" w:cstheme="minorHAnsi"/>
          <w:sz w:val="20"/>
          <w:szCs w:val="20"/>
        </w:rPr>
        <w:t xml:space="preserve">. </w:t>
      </w:r>
      <w:hyperlink r:id="rId2" w:history="1">
        <w:r w:rsidRPr="00B7534A">
          <w:rPr>
            <w:rStyle w:val="Hyperlink"/>
            <w:rFonts w:asciiTheme="minorHAnsi" w:hAnsiTheme="minorHAnsi" w:cstheme="minorHAnsi"/>
            <w:color w:val="42558C" w:themeColor="accent1" w:themeShade="BF"/>
            <w:sz w:val="20"/>
            <w:szCs w:val="20"/>
          </w:rPr>
          <w:t>https://www.chiamass.gov/assets/docs/r/hospital-profiles/2021/FY21-Massachusetts-Hospital-Profiles-Technical-Appendix.pdf</w:t>
        </w:r>
      </w:hyperlink>
    </w:p>
  </w:endnote>
  <w:endnote w:id="2">
    <w:p w14:paraId="3DED5643" w14:textId="77777777" w:rsidR="00080085" w:rsidRPr="00B7534A" w:rsidRDefault="00080085" w:rsidP="00080085">
      <w:pPr>
        <w:pStyle w:val="EndnoteText"/>
        <w:ind w:left="120"/>
        <w:rPr>
          <w:rFonts w:cstheme="minorHAnsi"/>
        </w:rPr>
      </w:pPr>
      <w:r w:rsidRPr="00B7534A">
        <w:rPr>
          <w:rStyle w:val="EndnoteReference"/>
          <w:rFonts w:cstheme="minorHAnsi"/>
        </w:rPr>
        <w:endnoteRef/>
      </w:r>
      <w:r w:rsidRPr="00B7534A">
        <w:rPr>
          <w:rFonts w:cstheme="minorHAnsi"/>
        </w:rPr>
        <w:t xml:space="preserve"> </w:t>
      </w:r>
      <w:hyperlink r:id="rId3" w:history="1">
        <w:r w:rsidRPr="006D3BBF">
          <w:rPr>
            <w:rStyle w:val="Hyperlink"/>
            <w:rFonts w:cstheme="minorHAnsi"/>
            <w:color w:val="auto"/>
          </w:rPr>
          <w:t>Center for Health Information and Analysis (CHIA). Beth Israel Lahey Health</w:t>
        </w:r>
      </w:hyperlink>
      <w:r w:rsidRPr="006D3BBF">
        <w:rPr>
          <w:rFonts w:cstheme="minorHAnsi"/>
        </w:rPr>
        <w:t xml:space="preserve">. </w:t>
      </w:r>
      <w:hyperlink r:id="rId4" w:history="1">
        <w:r w:rsidRPr="00B7534A">
          <w:rPr>
            <w:rStyle w:val="Hyperlink"/>
            <w:rFonts w:cstheme="minorHAnsi"/>
            <w:color w:val="42558C" w:themeColor="accent1" w:themeShade="BF"/>
          </w:rPr>
          <w:t>https://www.chiamass.gov/assets/docs/r/hospital-profiles/2021/hospital-health-systems/Beth-Israel-Lahey.pdf</w:t>
        </w:r>
      </w:hyperlink>
    </w:p>
  </w:endnote>
  <w:endnote w:id="3">
    <w:p w14:paraId="77E4C186" w14:textId="3464B9E2" w:rsidR="006E42FE" w:rsidRPr="00800AB1" w:rsidRDefault="006E42FE" w:rsidP="006E42FE">
      <w:pPr>
        <w:ind w:right="1195" w:firstLine="1"/>
        <w:rPr>
          <w:rFonts w:asciiTheme="minorHAnsi" w:hAnsiTheme="minorHAnsi" w:cstheme="minorHAnsi"/>
          <w:sz w:val="20"/>
          <w:szCs w:val="20"/>
        </w:rPr>
      </w:pPr>
      <w:r w:rsidRPr="00B7534A">
        <w:rPr>
          <w:rStyle w:val="EndnoteReference"/>
          <w:rFonts w:asciiTheme="minorHAnsi" w:hAnsiTheme="minorHAnsi" w:cstheme="minorHAnsi"/>
          <w:sz w:val="20"/>
          <w:szCs w:val="20"/>
        </w:rPr>
        <w:endnoteRef/>
      </w:r>
      <w:r w:rsidRPr="00B7534A">
        <w:rPr>
          <w:rFonts w:asciiTheme="minorHAnsi" w:hAnsiTheme="minorHAnsi" w:cstheme="minorHAnsi"/>
          <w:sz w:val="20"/>
          <w:szCs w:val="20"/>
        </w:rPr>
        <w:t xml:space="preserve"> </w:t>
      </w:r>
      <w:r w:rsidRPr="00B7534A">
        <w:rPr>
          <w:rFonts w:asciiTheme="minorHAnsi" w:hAnsiTheme="minorHAnsi" w:cstheme="minorHAnsi"/>
          <w:i/>
          <w:sz w:val="20"/>
          <w:szCs w:val="20"/>
        </w:rPr>
        <w:t xml:space="preserve">See </w:t>
      </w:r>
      <w:hyperlink r:id="rId5" w:history="1">
        <w:r w:rsidRPr="00800AB1">
          <w:rPr>
            <w:rStyle w:val="Hyperlink"/>
            <w:rFonts w:asciiTheme="minorHAnsi" w:hAnsiTheme="minorHAnsi" w:cstheme="minorHAnsi"/>
            <w:i/>
            <w:color w:val="auto"/>
            <w:sz w:val="20"/>
            <w:szCs w:val="20"/>
            <w:u w:val="none"/>
          </w:rPr>
          <w:t>Primary Stroke Services Time Target Recommendations</w:t>
        </w:r>
      </w:hyperlink>
      <w:r w:rsidRPr="00B7534A">
        <w:rPr>
          <w:rFonts w:asciiTheme="minorHAnsi" w:hAnsiTheme="minorHAnsi" w:cstheme="minorHAnsi"/>
          <w:i/>
          <w:sz w:val="20"/>
          <w:szCs w:val="20"/>
        </w:rPr>
        <w:t xml:space="preserve"> (6/2009),</w:t>
      </w:r>
      <w:r w:rsidRPr="00B7534A">
        <w:rPr>
          <w:rFonts w:asciiTheme="minorHAnsi" w:hAnsiTheme="minorHAnsi" w:cstheme="minorHAnsi"/>
          <w:sz w:val="20"/>
          <w:szCs w:val="20"/>
        </w:rPr>
        <w:t xml:space="preserve"> </w:t>
      </w:r>
      <w:hyperlink r:id="rId6" w:history="1">
        <w:r w:rsidRPr="00B7534A">
          <w:rPr>
            <w:rStyle w:val="Hyperlink"/>
            <w:rFonts w:asciiTheme="minorHAnsi" w:hAnsiTheme="minorHAnsi" w:cstheme="minorHAnsi"/>
            <w:i/>
            <w:color w:val="234170" w:themeColor="text2" w:themeShade="BF"/>
            <w:sz w:val="20"/>
            <w:szCs w:val="20"/>
          </w:rPr>
          <w:t>https://www.mass.gov/doc/pss-time-target-recommendations-0/download</w:t>
        </w:r>
      </w:hyperlink>
      <w:r w:rsidRPr="00B7534A">
        <w:rPr>
          <w:rFonts w:asciiTheme="minorHAnsi" w:hAnsiTheme="minorHAnsi" w:cstheme="minorHAnsi"/>
          <w:i/>
          <w:sz w:val="20"/>
          <w:szCs w:val="20"/>
        </w:rPr>
        <w:t xml:space="preserve"> </w:t>
      </w:r>
      <w:r w:rsidRPr="00B7534A">
        <w:rPr>
          <w:rFonts w:asciiTheme="minorHAnsi" w:eastAsiaTheme="minorHAnsi" w:hAnsiTheme="minorHAnsi" w:cstheme="minorHAnsi"/>
          <w:sz w:val="20"/>
          <w:szCs w:val="20"/>
        </w:rPr>
        <w:t xml:space="preserve">; </w:t>
      </w:r>
      <w:hyperlink r:id="rId7" w:history="1">
        <w:r w:rsidRPr="00800AB1">
          <w:rPr>
            <w:rStyle w:val="Hyperlink"/>
            <w:rFonts w:asciiTheme="minorHAnsi" w:eastAsiaTheme="minorHAnsi" w:hAnsiTheme="minorHAnsi" w:cstheme="minorHAnsi"/>
            <w:color w:val="auto"/>
            <w:sz w:val="20"/>
            <w:szCs w:val="20"/>
            <w:u w:val="none"/>
          </w:rPr>
          <w:t>Get With the Guidelines – Stroke Fact Sheet</w:t>
        </w:r>
      </w:hyperlink>
      <w:r w:rsidRPr="00800AB1">
        <w:rPr>
          <w:rFonts w:asciiTheme="minorHAnsi" w:eastAsiaTheme="minorHAnsi" w:hAnsiTheme="minorHAnsi" w:cstheme="minorHAnsi"/>
          <w:sz w:val="20"/>
          <w:szCs w:val="20"/>
        </w:rPr>
        <w:t xml:space="preserve">. </w:t>
      </w:r>
      <w:hyperlink r:id="rId8" w:history="1">
        <w:r w:rsidRPr="00B7534A">
          <w:rPr>
            <w:rStyle w:val="Hyperlink"/>
            <w:rFonts w:asciiTheme="minorHAnsi" w:eastAsiaTheme="minorHAnsi" w:hAnsiTheme="minorHAnsi" w:cstheme="minorHAnsi"/>
            <w:color w:val="234170" w:themeColor="text2" w:themeShade="BF"/>
            <w:sz w:val="20"/>
            <w:szCs w:val="20"/>
          </w:rPr>
          <w:t>https://www.heart.org/-/media/Files/Professional/Quality-Improvement/Get-With-the-Guidelines/Get-With-The-Guidelines-Stroke/Stroke-Fact-Sheet_-FINAL_UCM_501842.pdf</w:t>
        </w:r>
      </w:hyperlink>
      <w:r w:rsidRPr="00B7534A">
        <w:rPr>
          <w:rFonts w:asciiTheme="minorHAnsi" w:eastAsiaTheme="minorHAnsi" w:hAnsiTheme="minorHAnsi" w:cstheme="minorHAnsi"/>
          <w:sz w:val="20"/>
          <w:szCs w:val="20"/>
        </w:rPr>
        <w:t>.</w:t>
      </w:r>
    </w:p>
  </w:endnote>
  <w:endnote w:id="4">
    <w:p w14:paraId="1DE12DFD" w14:textId="51EDED98" w:rsidR="006E42FE" w:rsidRPr="00B7534A" w:rsidRDefault="006E42FE" w:rsidP="006E42FE">
      <w:pPr>
        <w:pStyle w:val="EndnoteText"/>
        <w:rPr>
          <w:rFonts w:cstheme="minorHAnsi"/>
        </w:rPr>
      </w:pPr>
      <w:r w:rsidRPr="00800AB1">
        <w:rPr>
          <w:rStyle w:val="EndnoteReference"/>
          <w:rFonts w:cstheme="minorHAnsi"/>
        </w:rPr>
        <w:endnoteRef/>
      </w:r>
      <w:r w:rsidRPr="00800AB1">
        <w:rPr>
          <w:rFonts w:cstheme="minorHAnsi"/>
        </w:rPr>
        <w:t xml:space="preserve"> Mass Donahue Institute MassDOT Vintage 2018 Population Projections, </w:t>
      </w:r>
      <w:hyperlink r:id="rId9" w:history="1">
        <w:r w:rsidRPr="00800AB1">
          <w:rPr>
            <w:rStyle w:val="Hyperlink"/>
            <w:rFonts w:cstheme="minorHAnsi"/>
            <w:i/>
            <w:iCs/>
            <w:color w:val="auto"/>
            <w:u w:val="none"/>
          </w:rPr>
          <w:t>Massachusetts Population Projections</w:t>
        </w:r>
      </w:hyperlink>
      <w:r w:rsidRPr="00800AB1">
        <w:rPr>
          <w:rFonts w:cstheme="minorHAnsi"/>
        </w:rPr>
        <w:t xml:space="preserve">, September </w:t>
      </w:r>
      <w:r w:rsidRPr="00B7534A">
        <w:rPr>
          <w:rFonts w:cstheme="minorHAnsi"/>
        </w:rPr>
        <w:t xml:space="preserve">2018, </w:t>
      </w:r>
      <w:hyperlink r:id="rId10" w:history="1">
        <w:r w:rsidR="00735446" w:rsidRPr="00B7534A">
          <w:rPr>
            <w:rStyle w:val="Hyperlink"/>
            <w:rFonts w:cstheme="minorHAnsi"/>
            <w:color w:val="234170" w:themeColor="text2" w:themeShade="BF"/>
          </w:rPr>
          <w:t>http://www.pep.donahue-institute.org/</w:t>
        </w:r>
      </w:hyperlink>
      <w:r w:rsidR="00735446" w:rsidRPr="00B7534A">
        <w:rPr>
          <w:rFonts w:cstheme="minorHAnsi"/>
        </w:rPr>
        <w:t xml:space="preserve"> </w:t>
      </w:r>
      <w:r w:rsidRPr="00B7534A">
        <w:rPr>
          <w:rFonts w:cstheme="minorHAnsi"/>
        </w:rPr>
        <w:t>.</w:t>
      </w:r>
    </w:p>
  </w:endnote>
  <w:endnote w:id="5">
    <w:p w14:paraId="62AE0392" w14:textId="77777777" w:rsidR="006E42FE" w:rsidRPr="00B7534A" w:rsidRDefault="006E42FE" w:rsidP="006E42FE">
      <w:pPr>
        <w:pStyle w:val="EndnoteText"/>
        <w:rPr>
          <w:rFonts w:cstheme="minorHAnsi"/>
        </w:rPr>
      </w:pPr>
      <w:r w:rsidRPr="00B7534A">
        <w:rPr>
          <w:rStyle w:val="EndnoteReference"/>
          <w:rFonts w:cstheme="minorHAnsi"/>
        </w:rPr>
        <w:endnoteRef/>
      </w:r>
      <w:r w:rsidRPr="00B7534A">
        <w:rPr>
          <w:rFonts w:cstheme="minorHAnsi"/>
        </w:rPr>
        <w:t xml:space="preserve"> </w:t>
      </w:r>
      <w:r w:rsidRPr="00B7534A">
        <w:rPr>
          <w:rFonts w:cstheme="minorHAnsi"/>
          <w:i/>
          <w:iCs/>
        </w:rPr>
        <w:t>Id</w:t>
      </w:r>
      <w:r w:rsidRPr="00B7534A">
        <w:rPr>
          <w:rFonts w:cstheme="minorHAnsi"/>
        </w:rPr>
        <w:t>.</w:t>
      </w:r>
    </w:p>
  </w:endnote>
  <w:endnote w:id="6">
    <w:p w14:paraId="777B87EF" w14:textId="4705EBE5" w:rsidR="00187FC3" w:rsidRPr="00B7534A" w:rsidRDefault="00187FC3" w:rsidP="00187FC3">
      <w:pPr>
        <w:pStyle w:val="EndnoteText"/>
        <w:rPr>
          <w:rFonts w:cstheme="minorHAnsi"/>
        </w:rPr>
      </w:pPr>
      <w:r w:rsidRPr="00B7534A">
        <w:rPr>
          <w:rStyle w:val="EndnoteReference"/>
          <w:rFonts w:cstheme="minorHAnsi"/>
        </w:rPr>
        <w:endnoteRef/>
      </w:r>
      <w:r w:rsidRPr="00B7534A">
        <w:rPr>
          <w:rFonts w:cstheme="minorHAnsi"/>
        </w:rPr>
        <w:t xml:space="preserve"> </w:t>
      </w:r>
      <w:r w:rsidRPr="00B7534A">
        <w:rPr>
          <w:rFonts w:cstheme="minorHAnsi"/>
          <w:i/>
          <w:iCs/>
        </w:rPr>
        <w:t>See</w:t>
      </w:r>
      <w:r w:rsidRPr="00B7534A">
        <w:rPr>
          <w:rFonts w:cstheme="minorHAnsi"/>
        </w:rPr>
        <w:t xml:space="preserve"> U.S. Department of Health &amp; Human, </w:t>
      </w:r>
      <w:hyperlink r:id="rId11" w:history="1">
        <w:r w:rsidRPr="00B7534A">
          <w:rPr>
            <w:rStyle w:val="Hyperlink"/>
            <w:rFonts w:cstheme="minorHAnsi"/>
            <w:color w:val="42558C" w:themeColor="accent1" w:themeShade="BF"/>
          </w:rPr>
          <w:t>https://www.nibib.nih.gov/science-education/science-topics/computed-tomography-ct</w:t>
        </w:r>
      </w:hyperlink>
      <w:r w:rsidRPr="00B7534A">
        <w:rPr>
          <w:rFonts w:cstheme="minorHAnsi"/>
        </w:rPr>
        <w:t xml:space="preserve"> (last visited Feb. 24, 2022); Mayo Clinic, </w:t>
      </w:r>
      <w:hyperlink r:id="rId12" w:history="1">
        <w:r w:rsidRPr="00B7534A">
          <w:rPr>
            <w:rStyle w:val="Hyperlink"/>
            <w:rFonts w:cstheme="minorHAnsi"/>
            <w:color w:val="42558C" w:themeColor="accent1" w:themeShade="BF"/>
          </w:rPr>
          <w:t>https://www.mayoclinic.org/tests-procedures/ct-scan/about/pac-20393675</w:t>
        </w:r>
      </w:hyperlink>
      <w:r w:rsidRPr="00B7534A">
        <w:rPr>
          <w:rFonts w:cstheme="minorHAnsi"/>
          <w:color w:val="42558C" w:themeColor="accent1" w:themeShade="BF"/>
        </w:rPr>
        <w:t xml:space="preserve"> </w:t>
      </w:r>
      <w:r w:rsidRPr="00B7534A">
        <w:rPr>
          <w:rFonts w:cstheme="minorHAnsi"/>
        </w:rPr>
        <w:t>(last visited Feb. 24, 2022).</w:t>
      </w:r>
    </w:p>
  </w:endnote>
  <w:endnote w:id="7">
    <w:p w14:paraId="591AC566" w14:textId="07C7CA64" w:rsidR="00187FC3" w:rsidRPr="00B7534A" w:rsidRDefault="00187FC3" w:rsidP="00B7534A">
      <w:pPr>
        <w:pStyle w:val="EndnoteText"/>
        <w:rPr>
          <w:rFonts w:cstheme="minorHAnsi"/>
        </w:rPr>
      </w:pPr>
      <w:r w:rsidRPr="00B7534A">
        <w:rPr>
          <w:rStyle w:val="EndnoteReference"/>
          <w:rFonts w:cstheme="minorHAnsi"/>
        </w:rPr>
        <w:endnoteRef/>
      </w:r>
      <w:r w:rsidRPr="00B7534A">
        <w:rPr>
          <w:rFonts w:cstheme="minorHAnsi"/>
        </w:rPr>
        <w:t xml:space="preserve"> </w:t>
      </w:r>
      <w:r w:rsidRPr="00B7534A">
        <w:rPr>
          <w:rFonts w:cstheme="minorHAnsi"/>
          <w:i/>
          <w:iCs/>
        </w:rPr>
        <w:t xml:space="preserve">See </w:t>
      </w:r>
      <w:hyperlink r:id="rId13" w:anchor="procedure" w:history="1">
        <w:r w:rsidRPr="00800AB1">
          <w:rPr>
            <w:rStyle w:val="Hyperlink"/>
            <w:rFonts w:cstheme="minorHAnsi"/>
            <w:i/>
            <w:iCs/>
            <w:color w:val="auto"/>
            <w:u w:val="none"/>
          </w:rPr>
          <w:t>How Does a CT or CAT scan work?</w:t>
        </w:r>
        <w:r w:rsidRPr="00800AB1">
          <w:rPr>
            <w:rStyle w:val="Hyperlink"/>
            <w:rFonts w:cstheme="minorHAnsi"/>
            <w:color w:val="auto"/>
            <w:u w:val="none"/>
          </w:rPr>
          <w:t>,</w:t>
        </w:r>
      </w:hyperlink>
      <w:r w:rsidRPr="00800AB1">
        <w:rPr>
          <w:rFonts w:cstheme="minorHAnsi"/>
          <w:i/>
          <w:iCs/>
        </w:rPr>
        <w:t xml:space="preserve"> </w:t>
      </w:r>
      <w:proofErr w:type="spellStart"/>
      <w:r w:rsidRPr="00800AB1">
        <w:rPr>
          <w:rFonts w:cstheme="minorHAnsi"/>
        </w:rPr>
        <w:t>MedicalNewsToday</w:t>
      </w:r>
      <w:proofErr w:type="spellEnd"/>
      <w:r w:rsidRPr="00B7534A">
        <w:rPr>
          <w:rFonts w:cstheme="minorHAnsi"/>
        </w:rPr>
        <w:t xml:space="preserve">, </w:t>
      </w:r>
      <w:hyperlink r:id="rId14" w:anchor="procedure" w:history="1">
        <w:r w:rsidRPr="00B7534A">
          <w:rPr>
            <w:rStyle w:val="Hyperlink"/>
            <w:rFonts w:cstheme="minorHAnsi"/>
            <w:color w:val="42558C" w:themeColor="accent1" w:themeShade="BF"/>
          </w:rPr>
          <w:t>https://www.medicalnewstoday.com/articles/153201#procedure</w:t>
        </w:r>
      </w:hyperlink>
      <w:r w:rsidRPr="00B7534A">
        <w:rPr>
          <w:rFonts w:cstheme="minorHAnsi"/>
          <w:color w:val="42558C" w:themeColor="accent1" w:themeShade="BF"/>
        </w:rPr>
        <w:t xml:space="preserve"> </w:t>
      </w:r>
      <w:r w:rsidRPr="00B7534A">
        <w:rPr>
          <w:rFonts w:cstheme="minorHAnsi"/>
        </w:rPr>
        <w:t>(last modified June 23, 2017).</w:t>
      </w:r>
    </w:p>
  </w:endnote>
  <w:endnote w:id="8">
    <w:p w14:paraId="7313B158" w14:textId="6EA8E2E3" w:rsidR="00187FC3" w:rsidRPr="00B7534A" w:rsidRDefault="00187FC3" w:rsidP="00187FC3">
      <w:pPr>
        <w:pStyle w:val="EndnoteText"/>
        <w:jc w:val="both"/>
        <w:rPr>
          <w:rFonts w:cstheme="minorHAnsi"/>
          <w:color w:val="42558C" w:themeColor="accent1" w:themeShade="BF"/>
        </w:rPr>
      </w:pPr>
      <w:r w:rsidRPr="00B7534A">
        <w:rPr>
          <w:rStyle w:val="EndnoteReference"/>
          <w:rFonts w:cstheme="minorHAnsi"/>
        </w:rPr>
        <w:endnoteRef/>
      </w:r>
      <w:r w:rsidRPr="00B7534A">
        <w:rPr>
          <w:rFonts w:cstheme="minorHAnsi"/>
        </w:rPr>
        <w:t xml:space="preserve"> </w:t>
      </w:r>
      <w:r w:rsidRPr="00B7534A">
        <w:rPr>
          <w:rFonts w:cstheme="minorHAnsi"/>
          <w:i/>
          <w:iCs/>
        </w:rPr>
        <w:t>See</w:t>
      </w:r>
      <w:r w:rsidRPr="00B7534A">
        <w:rPr>
          <w:rFonts w:cstheme="minorHAnsi"/>
        </w:rPr>
        <w:t xml:space="preserve"> </w:t>
      </w:r>
      <w:hyperlink r:id="rId15" w:history="1">
        <w:r w:rsidRPr="00800AB1">
          <w:rPr>
            <w:rStyle w:val="Hyperlink"/>
            <w:rFonts w:cstheme="minorHAnsi"/>
            <w:i/>
            <w:iCs/>
            <w:color w:val="auto"/>
            <w:u w:val="none"/>
          </w:rPr>
          <w:t>How CT scans and MRIs are Used to Diagnose Strokes</w:t>
        </w:r>
      </w:hyperlink>
      <w:r w:rsidRPr="00800AB1">
        <w:rPr>
          <w:rFonts w:cstheme="minorHAnsi"/>
        </w:rPr>
        <w:t xml:space="preserve">, </w:t>
      </w:r>
      <w:hyperlink r:id="rId16" w:history="1">
        <w:r w:rsidRPr="00B7534A">
          <w:rPr>
            <w:rStyle w:val="Hyperlink"/>
            <w:rFonts w:cstheme="minorHAnsi"/>
            <w:color w:val="42558C" w:themeColor="accent1" w:themeShade="BF"/>
          </w:rPr>
          <w:t>https://www.envrad.com/how-ct-scans-mris-used-to-diagnose-strokes/</w:t>
        </w:r>
      </w:hyperlink>
      <w:r w:rsidRPr="00B7534A">
        <w:rPr>
          <w:rFonts w:cstheme="minorHAnsi"/>
          <w:color w:val="42558C" w:themeColor="accent1" w:themeShade="BF"/>
        </w:rPr>
        <w:t xml:space="preserve"> (last visited Feb. 24, 2022).</w:t>
      </w:r>
    </w:p>
  </w:endnote>
  <w:endnote w:id="9">
    <w:p w14:paraId="2D71A235" w14:textId="5CF26A0B" w:rsidR="009A32E3" w:rsidRPr="00B7534A" w:rsidRDefault="009A32E3" w:rsidP="00187FC3">
      <w:pPr>
        <w:pStyle w:val="EndnoteText"/>
        <w:rPr>
          <w:rFonts w:cstheme="minorHAnsi"/>
        </w:rPr>
      </w:pPr>
      <w:r w:rsidRPr="00B7534A">
        <w:rPr>
          <w:rStyle w:val="EndnoteReference"/>
          <w:rFonts w:cstheme="minorHAnsi"/>
        </w:rPr>
        <w:endnoteRef/>
      </w:r>
      <w:r w:rsidRPr="00B7534A">
        <w:rPr>
          <w:rFonts w:cstheme="minorHAnsi"/>
        </w:rPr>
        <w:t xml:space="preserve"> </w:t>
      </w:r>
      <w:r w:rsidRPr="00B7534A">
        <w:rPr>
          <w:rFonts w:cstheme="minorHAnsi"/>
          <w:i/>
          <w:iCs/>
        </w:rPr>
        <w:t>See</w:t>
      </w:r>
      <w:r w:rsidRPr="00B7534A">
        <w:rPr>
          <w:rFonts w:cstheme="minorHAnsi"/>
        </w:rPr>
        <w:t xml:space="preserve"> </w:t>
      </w:r>
      <w:hyperlink r:id="rId17" w:history="1">
        <w:r w:rsidRPr="00800AB1">
          <w:rPr>
            <w:rStyle w:val="Hyperlink"/>
            <w:rFonts w:cstheme="minorHAnsi"/>
            <w:i/>
            <w:iCs/>
            <w:color w:val="auto"/>
            <w:u w:val="none"/>
          </w:rPr>
          <w:t>Lung Cancer Fact Sheet</w:t>
        </w:r>
        <w:r w:rsidRPr="00800AB1">
          <w:rPr>
            <w:rStyle w:val="Hyperlink"/>
            <w:rFonts w:cstheme="minorHAnsi"/>
            <w:color w:val="auto"/>
            <w:u w:val="none"/>
          </w:rPr>
          <w:t>,</w:t>
        </w:r>
      </w:hyperlink>
      <w:r w:rsidRPr="00800AB1">
        <w:rPr>
          <w:rFonts w:cstheme="minorHAnsi"/>
        </w:rPr>
        <w:t xml:space="preserve"> </w:t>
      </w:r>
      <w:r w:rsidRPr="00B7534A">
        <w:rPr>
          <w:rFonts w:cstheme="minorHAnsi"/>
        </w:rPr>
        <w:t xml:space="preserve">American Lung Association, </w:t>
      </w:r>
      <w:hyperlink r:id="rId18" w:history="1">
        <w:r w:rsidR="00800AB1" w:rsidRPr="00800AB1">
          <w:rPr>
            <w:rStyle w:val="Hyperlink"/>
            <w:rFonts w:cstheme="minorHAnsi"/>
            <w:color w:val="auto"/>
          </w:rPr>
          <w:t>https://www.lung.org/lung-health-diseases/lung-disease-lookup/lung-cancer/resource-library/lung-cancer-fact-sheet</w:t>
        </w:r>
      </w:hyperlink>
      <w:r w:rsidR="00800AB1" w:rsidRPr="00800AB1">
        <w:rPr>
          <w:rFonts w:cstheme="minorHAnsi"/>
        </w:rPr>
        <w:t xml:space="preserve"> </w:t>
      </w:r>
      <w:r w:rsidRPr="00800AB1">
        <w:rPr>
          <w:rFonts w:cstheme="minorHAnsi"/>
        </w:rPr>
        <w:t xml:space="preserve"> </w:t>
      </w:r>
      <w:r w:rsidRPr="00B7534A">
        <w:rPr>
          <w:rFonts w:cstheme="minorHAnsi"/>
        </w:rPr>
        <w:t>(last modified May 27, 2020).</w:t>
      </w:r>
    </w:p>
  </w:endnote>
  <w:endnote w:id="10">
    <w:p w14:paraId="7B689DD2" w14:textId="77777777" w:rsidR="009A32E3" w:rsidRPr="00B7534A" w:rsidRDefault="009A32E3" w:rsidP="00187FC3">
      <w:pPr>
        <w:pStyle w:val="EndnoteText"/>
        <w:rPr>
          <w:rFonts w:cstheme="minorHAnsi"/>
        </w:rPr>
      </w:pPr>
      <w:r w:rsidRPr="00B7534A">
        <w:rPr>
          <w:rStyle w:val="EndnoteReference"/>
          <w:rFonts w:cstheme="minorHAnsi"/>
        </w:rPr>
        <w:endnoteRef/>
      </w:r>
      <w:r w:rsidRPr="00B7534A">
        <w:rPr>
          <w:rFonts w:cstheme="minorHAnsi"/>
          <w:i/>
          <w:iCs/>
        </w:rPr>
        <w:t xml:space="preserve"> Id.</w:t>
      </w:r>
    </w:p>
  </w:endnote>
  <w:endnote w:id="11">
    <w:p w14:paraId="5BD1ABA8" w14:textId="583A7420" w:rsidR="005A1E43" w:rsidRPr="00B7534A" w:rsidRDefault="005A1E43" w:rsidP="005A1E43">
      <w:pPr>
        <w:pStyle w:val="Default"/>
        <w:rPr>
          <w:rFonts w:asciiTheme="minorHAnsi" w:hAnsiTheme="minorHAnsi" w:cstheme="minorHAnsi"/>
          <w:sz w:val="20"/>
          <w:szCs w:val="20"/>
        </w:rPr>
      </w:pPr>
      <w:r w:rsidRPr="00B7534A">
        <w:rPr>
          <w:rStyle w:val="EndnoteReference"/>
          <w:rFonts w:asciiTheme="minorHAnsi" w:hAnsiTheme="minorHAnsi" w:cstheme="minorHAnsi"/>
          <w:sz w:val="20"/>
          <w:szCs w:val="20"/>
        </w:rPr>
        <w:endnoteRef/>
      </w:r>
      <w:r w:rsidRPr="00B7534A">
        <w:rPr>
          <w:rFonts w:asciiTheme="minorHAnsi" w:hAnsiTheme="minorHAnsi" w:cstheme="minorHAnsi"/>
          <w:sz w:val="20"/>
          <w:szCs w:val="20"/>
        </w:rPr>
        <w:t xml:space="preserve"> HealthIT.gov.</w:t>
      </w:r>
      <w:r w:rsidRPr="00800AB1">
        <w:rPr>
          <w:rFonts w:asciiTheme="minorHAnsi" w:hAnsiTheme="minorHAnsi" w:cstheme="minorHAnsi"/>
          <w:color w:val="auto"/>
          <w:sz w:val="20"/>
          <w:szCs w:val="20"/>
        </w:rPr>
        <w:t xml:space="preserve"> </w:t>
      </w:r>
      <w:hyperlink r:id="rId19" w:history="1">
        <w:r w:rsidRPr="00800AB1">
          <w:rPr>
            <w:rStyle w:val="Hyperlink"/>
            <w:rFonts w:asciiTheme="minorHAnsi" w:hAnsiTheme="minorHAnsi" w:cstheme="minorHAnsi"/>
            <w:color w:val="auto"/>
            <w:sz w:val="20"/>
            <w:szCs w:val="20"/>
            <w:u w:val="none"/>
          </w:rPr>
          <w:t>Improve Care Coordination</w:t>
        </w:r>
      </w:hyperlink>
      <w:r w:rsidRPr="00B7534A">
        <w:rPr>
          <w:rFonts w:asciiTheme="minorHAnsi" w:hAnsiTheme="minorHAnsi" w:cstheme="minorHAnsi"/>
          <w:sz w:val="20"/>
          <w:szCs w:val="20"/>
        </w:rPr>
        <w:t>. Available:</w:t>
      </w:r>
      <w:r w:rsidRPr="00B7534A">
        <w:rPr>
          <w:rFonts w:asciiTheme="minorHAnsi" w:hAnsiTheme="minorHAnsi" w:cstheme="minorHAnsi"/>
          <w:color w:val="42558C" w:themeColor="accent1" w:themeShade="BF"/>
          <w:sz w:val="20"/>
          <w:szCs w:val="20"/>
        </w:rPr>
        <w:t xml:space="preserve"> </w:t>
      </w:r>
      <w:hyperlink r:id="rId20" w:history="1">
        <w:r w:rsidRPr="00B7534A">
          <w:rPr>
            <w:rStyle w:val="Hyperlink"/>
            <w:rFonts w:asciiTheme="minorHAnsi" w:hAnsiTheme="minorHAnsi" w:cstheme="minorHAnsi"/>
            <w:color w:val="42558C" w:themeColor="accent1" w:themeShade="BF"/>
            <w:sz w:val="20"/>
            <w:szCs w:val="20"/>
          </w:rPr>
          <w:t>https://www.healthit.gov/topic/health-it-and-health-information-exchange-basics/improve-care-coordination</w:t>
        </w:r>
      </w:hyperlink>
      <w:r w:rsidRPr="00B7534A">
        <w:rPr>
          <w:rStyle w:val="Hyperlink"/>
          <w:rFonts w:asciiTheme="minorHAnsi" w:hAnsiTheme="minorHAnsi" w:cstheme="minorHAnsi"/>
          <w:color w:val="42558C" w:themeColor="accent1" w:themeShade="BF"/>
          <w:sz w:val="20"/>
          <w:szCs w:val="20"/>
        </w:rPr>
        <w:t>.</w:t>
      </w:r>
    </w:p>
    <w:p w14:paraId="15B32BA5" w14:textId="66F70808" w:rsidR="005A1E43" w:rsidRPr="00B7534A" w:rsidRDefault="005A1E43" w:rsidP="005A1E43">
      <w:pPr>
        <w:pStyle w:val="EndnoteText"/>
        <w:rPr>
          <w:rFonts w:cstheme="minorHAnsi"/>
          <w:color w:val="000000"/>
        </w:rPr>
      </w:pPr>
      <w:r w:rsidRPr="00B7534A">
        <w:rPr>
          <w:rFonts w:cstheme="minorHAnsi"/>
          <w:color w:val="000000"/>
        </w:rPr>
        <w:t xml:space="preserve">Alain Pinsonneault, Shamel Addas, Christina Qian, Vijay Dakshinamoorthy &amp; Robyn Tamblyn (2017) </w:t>
      </w:r>
      <w:hyperlink r:id="rId21" w:history="1">
        <w:r w:rsidRPr="00463832">
          <w:rPr>
            <w:rStyle w:val="Hyperlink"/>
            <w:rFonts w:cstheme="minorHAnsi"/>
            <w:color w:val="auto"/>
            <w:u w:val="none"/>
          </w:rPr>
          <w:t>Integrated Health Information Technology and the Quality of Patient Care: A Natural Experiment</w:t>
        </w:r>
      </w:hyperlink>
      <w:r w:rsidRPr="00463832">
        <w:rPr>
          <w:rFonts w:cstheme="minorHAnsi"/>
        </w:rPr>
        <w:t xml:space="preserve">, </w:t>
      </w:r>
      <w:r w:rsidRPr="00B7534A">
        <w:rPr>
          <w:rFonts w:cstheme="minorHAnsi"/>
          <w:color w:val="000000"/>
        </w:rPr>
        <w:t>Journal of Management Information Systems, 34:2, 457-486, DOI: 10.1080/07421222.2017.1334477 Available:</w:t>
      </w:r>
      <w:r w:rsidRPr="00B7534A">
        <w:rPr>
          <w:rFonts w:cstheme="minorHAnsi"/>
          <w:color w:val="42558C" w:themeColor="accent1" w:themeShade="BF"/>
        </w:rPr>
        <w:t xml:space="preserve"> </w:t>
      </w:r>
      <w:hyperlink r:id="rId22" w:history="1">
        <w:r w:rsidRPr="00B7534A">
          <w:rPr>
            <w:rStyle w:val="Hyperlink"/>
            <w:rFonts w:cstheme="minorHAnsi"/>
            <w:color w:val="42558C" w:themeColor="accent1" w:themeShade="BF"/>
          </w:rPr>
          <w:t>https://www.tandfonline.com/doi/abs/10.1080/07421222.2017.1334477</w:t>
        </w:r>
      </w:hyperlink>
    </w:p>
  </w:endnote>
  <w:endnote w:id="12">
    <w:p w14:paraId="159E03BA" w14:textId="266DFA3A" w:rsidR="005A1E43" w:rsidRPr="00B7534A" w:rsidRDefault="005A1E43" w:rsidP="005A1E43">
      <w:pPr>
        <w:pStyle w:val="EndnoteText"/>
        <w:rPr>
          <w:rFonts w:cstheme="minorHAnsi"/>
        </w:rPr>
      </w:pPr>
      <w:r w:rsidRPr="00B7534A">
        <w:rPr>
          <w:rStyle w:val="EndnoteReference"/>
          <w:rFonts w:cstheme="minorHAnsi"/>
        </w:rPr>
        <w:endnoteRef/>
      </w:r>
      <w:r w:rsidRPr="00B7534A">
        <w:rPr>
          <w:rFonts w:cstheme="minorHAnsi"/>
        </w:rPr>
        <w:t xml:space="preserve"> </w:t>
      </w:r>
      <w:hyperlink r:id="rId23" w:history="1">
        <w:r w:rsidRPr="00463832">
          <w:rPr>
            <w:rStyle w:val="Hyperlink"/>
            <w:rFonts w:cstheme="minorHAnsi"/>
            <w:color w:val="auto"/>
            <w:u w:val="none"/>
          </w:rPr>
          <w:t>HealthIT.gov</w:t>
        </w:r>
      </w:hyperlink>
      <w:r w:rsidRPr="00B7534A">
        <w:rPr>
          <w:rFonts w:cstheme="minorHAnsi"/>
        </w:rPr>
        <w:t xml:space="preserve">, </w:t>
      </w:r>
      <w:hyperlink r:id="rId24" w:history="1">
        <w:r w:rsidRPr="00B7534A">
          <w:rPr>
            <w:rStyle w:val="Hyperlink"/>
            <w:rFonts w:cstheme="minorHAnsi"/>
            <w:color w:val="42558C" w:themeColor="accent1" w:themeShade="BF"/>
          </w:rPr>
          <w:t>https://www.healthit.gov/topic/health-it-and-health-information-exchange-basics/improved-diagnostics-patient-outcomes</w:t>
        </w:r>
      </w:hyperlink>
      <w:r w:rsidRPr="00B7534A">
        <w:rPr>
          <w:rStyle w:val="Hyperlink"/>
          <w:rFonts w:cstheme="minorHAnsi"/>
          <w:color w:val="42558C" w:themeColor="accent1" w:themeShade="BF"/>
        </w:rPr>
        <w:t>.</w:t>
      </w:r>
    </w:p>
  </w:endnote>
  <w:endnote w:id="13">
    <w:p w14:paraId="3CDA11A2" w14:textId="77777777" w:rsidR="00C94980" w:rsidRPr="00B7534A" w:rsidRDefault="00C94980" w:rsidP="00C94980">
      <w:pPr>
        <w:pStyle w:val="EndnoteText"/>
        <w:rPr>
          <w:rFonts w:cstheme="minorHAnsi"/>
        </w:rPr>
      </w:pPr>
      <w:r w:rsidRPr="00B7534A">
        <w:rPr>
          <w:rStyle w:val="EndnoteReference"/>
          <w:rFonts w:cstheme="minorHAnsi"/>
        </w:rPr>
        <w:endnoteRef/>
      </w:r>
      <w:r w:rsidRPr="00B7534A">
        <w:rPr>
          <w:rFonts w:cstheme="minorHAnsi"/>
        </w:rPr>
        <w:t xml:space="preserve"> Hendee WR, Becker GJ, Borgstede JP, Bosma J, Casarella WJ, Erickson BA, Maynard CD, Thrall JH, Wallner PE. Addressing overutilization in medical imaging. Radiology. 2010 Oct;257(1):240-5. doi: 10.1148/radiol.10100063. Epub 2010 Aug 24. PMID: 20736333.imaging</w:t>
      </w:r>
    </w:p>
    <w:p w14:paraId="14E3411B" w14:textId="77777777" w:rsidR="00C94980" w:rsidRPr="00632498" w:rsidRDefault="00C94980" w:rsidP="00C94980">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6718" w14:textId="77777777" w:rsidR="00EF4746" w:rsidRDefault="00EF4746" w:rsidP="008C0709">
      <w:r>
        <w:separator/>
      </w:r>
    </w:p>
  </w:footnote>
  <w:footnote w:type="continuationSeparator" w:id="0">
    <w:p w14:paraId="21204A52" w14:textId="77777777" w:rsidR="00EF4746" w:rsidRDefault="00EF4746" w:rsidP="008C0709">
      <w:r>
        <w:continuationSeparator/>
      </w:r>
    </w:p>
  </w:footnote>
  <w:footnote w:id="1">
    <w:p w14:paraId="158EAE48" w14:textId="77777777" w:rsidR="00080085" w:rsidRPr="00134E5C" w:rsidRDefault="00080085" w:rsidP="00080085">
      <w:pPr>
        <w:pStyle w:val="FootnoteText"/>
        <w:rPr>
          <w:sz w:val="16"/>
          <w:szCs w:val="16"/>
        </w:rPr>
      </w:pPr>
      <w:r w:rsidRPr="00134E5C">
        <w:rPr>
          <w:rStyle w:val="FootnoteReference"/>
          <w:sz w:val="16"/>
          <w:szCs w:val="16"/>
        </w:rPr>
        <w:footnoteRef/>
      </w:r>
      <w:r w:rsidRPr="00134E5C">
        <w:rPr>
          <w:sz w:val="16"/>
          <w:szCs w:val="16"/>
        </w:rPr>
        <w:t xml:space="preserve"> The</w:t>
      </w:r>
      <w:r w:rsidRPr="00134E5C">
        <w:rPr>
          <w:spacing w:val="-2"/>
          <w:sz w:val="16"/>
          <w:szCs w:val="16"/>
        </w:rPr>
        <w:t xml:space="preserve"> </w:t>
      </w:r>
      <w:r w:rsidRPr="00134E5C">
        <w:rPr>
          <w:sz w:val="16"/>
          <w:szCs w:val="16"/>
        </w:rPr>
        <w:t>Applicant</w:t>
      </w:r>
      <w:r w:rsidRPr="00134E5C">
        <w:rPr>
          <w:spacing w:val="-2"/>
          <w:sz w:val="16"/>
          <w:szCs w:val="16"/>
        </w:rPr>
        <w:t xml:space="preserve"> </w:t>
      </w:r>
      <w:r w:rsidRPr="00134E5C">
        <w:rPr>
          <w:sz w:val="16"/>
          <w:szCs w:val="16"/>
        </w:rPr>
        <w:t>states</w:t>
      </w:r>
      <w:r w:rsidRPr="00134E5C">
        <w:rPr>
          <w:spacing w:val="-2"/>
          <w:sz w:val="16"/>
          <w:szCs w:val="16"/>
        </w:rPr>
        <w:t xml:space="preserve"> </w:t>
      </w:r>
      <w:r w:rsidRPr="00134E5C">
        <w:rPr>
          <w:sz w:val="16"/>
          <w:szCs w:val="16"/>
        </w:rPr>
        <w:t>that</w:t>
      </w:r>
      <w:r w:rsidRPr="00134E5C">
        <w:rPr>
          <w:spacing w:val="-2"/>
          <w:sz w:val="16"/>
          <w:szCs w:val="16"/>
        </w:rPr>
        <w:t xml:space="preserve"> </w:t>
      </w:r>
      <w:r w:rsidRPr="00134E5C">
        <w:rPr>
          <w:sz w:val="16"/>
          <w:szCs w:val="16"/>
        </w:rPr>
        <w:t>an</w:t>
      </w:r>
      <w:r w:rsidRPr="00134E5C">
        <w:rPr>
          <w:spacing w:val="-2"/>
          <w:sz w:val="16"/>
          <w:szCs w:val="16"/>
        </w:rPr>
        <w:t xml:space="preserve"> </w:t>
      </w:r>
      <w:r w:rsidRPr="00134E5C">
        <w:rPr>
          <w:sz w:val="16"/>
          <w:szCs w:val="16"/>
        </w:rPr>
        <w:t>estimated</w:t>
      </w:r>
      <w:r w:rsidRPr="00134E5C">
        <w:rPr>
          <w:spacing w:val="-2"/>
          <w:sz w:val="16"/>
          <w:szCs w:val="16"/>
        </w:rPr>
        <w:t xml:space="preserve"> </w:t>
      </w:r>
      <w:r w:rsidRPr="00134E5C">
        <w:rPr>
          <w:sz w:val="16"/>
          <w:szCs w:val="16"/>
        </w:rPr>
        <w:t>five</w:t>
      </w:r>
      <w:r w:rsidRPr="00134E5C">
        <w:rPr>
          <w:spacing w:val="-2"/>
          <w:sz w:val="16"/>
          <w:szCs w:val="16"/>
        </w:rPr>
        <w:t xml:space="preserve"> </w:t>
      </w:r>
      <w:r w:rsidRPr="00134E5C">
        <w:rPr>
          <w:sz w:val="16"/>
          <w:szCs w:val="16"/>
        </w:rPr>
        <w:t>million</w:t>
      </w:r>
      <w:r w:rsidRPr="00134E5C">
        <w:rPr>
          <w:spacing w:val="-2"/>
          <w:sz w:val="16"/>
          <w:szCs w:val="16"/>
        </w:rPr>
        <w:t xml:space="preserve"> </w:t>
      </w:r>
      <w:r w:rsidRPr="00134E5C">
        <w:rPr>
          <w:sz w:val="16"/>
          <w:szCs w:val="16"/>
        </w:rPr>
        <w:t>people</w:t>
      </w:r>
      <w:r w:rsidRPr="00134E5C">
        <w:rPr>
          <w:spacing w:val="-2"/>
          <w:sz w:val="16"/>
          <w:szCs w:val="16"/>
        </w:rPr>
        <w:t xml:space="preserve"> </w:t>
      </w:r>
      <w:r w:rsidRPr="00134E5C">
        <w:rPr>
          <w:sz w:val="16"/>
          <w:szCs w:val="16"/>
        </w:rPr>
        <w:t>reside</w:t>
      </w:r>
      <w:r w:rsidRPr="00134E5C">
        <w:rPr>
          <w:spacing w:val="-2"/>
          <w:sz w:val="16"/>
          <w:szCs w:val="16"/>
        </w:rPr>
        <w:t xml:space="preserve"> </w:t>
      </w:r>
      <w:r w:rsidRPr="00134E5C">
        <w:rPr>
          <w:sz w:val="16"/>
          <w:szCs w:val="16"/>
        </w:rPr>
        <w:t>in</w:t>
      </w:r>
      <w:r w:rsidRPr="00134E5C">
        <w:rPr>
          <w:spacing w:val="-2"/>
          <w:sz w:val="16"/>
          <w:szCs w:val="16"/>
        </w:rPr>
        <w:t xml:space="preserve"> </w:t>
      </w:r>
      <w:r w:rsidRPr="00134E5C">
        <w:rPr>
          <w:sz w:val="16"/>
          <w:szCs w:val="16"/>
        </w:rPr>
        <w:t>the</w:t>
      </w:r>
      <w:r w:rsidRPr="00134E5C">
        <w:rPr>
          <w:spacing w:val="-2"/>
          <w:sz w:val="16"/>
          <w:szCs w:val="16"/>
        </w:rPr>
        <w:t xml:space="preserve"> </w:t>
      </w:r>
      <w:r w:rsidRPr="00134E5C">
        <w:rPr>
          <w:sz w:val="16"/>
          <w:szCs w:val="16"/>
        </w:rPr>
        <w:t>BILH</w:t>
      </w:r>
      <w:r w:rsidRPr="00134E5C">
        <w:rPr>
          <w:spacing w:val="-1"/>
          <w:sz w:val="16"/>
          <w:szCs w:val="16"/>
        </w:rPr>
        <w:t xml:space="preserve"> </w:t>
      </w:r>
      <w:r w:rsidRPr="00134E5C">
        <w:rPr>
          <w:sz w:val="16"/>
          <w:szCs w:val="16"/>
        </w:rPr>
        <w:t>service</w:t>
      </w:r>
      <w:r w:rsidRPr="00134E5C">
        <w:rPr>
          <w:spacing w:val="-1"/>
          <w:sz w:val="16"/>
          <w:szCs w:val="16"/>
        </w:rPr>
        <w:t xml:space="preserve"> </w:t>
      </w:r>
      <w:r w:rsidRPr="00134E5C">
        <w:rPr>
          <w:spacing w:val="-2"/>
          <w:sz w:val="16"/>
          <w:szCs w:val="16"/>
        </w:rPr>
        <w:t>area.</w:t>
      </w:r>
    </w:p>
  </w:footnote>
  <w:footnote w:id="2">
    <w:p w14:paraId="1DC0C086" w14:textId="77777777" w:rsidR="00080085" w:rsidRPr="00B12009" w:rsidRDefault="00080085" w:rsidP="00080085">
      <w:pPr>
        <w:jc w:val="both"/>
        <w:rPr>
          <w:rFonts w:asciiTheme="minorHAnsi" w:hAnsiTheme="minorHAnsi" w:cstheme="minorHAnsi"/>
          <w:sz w:val="20"/>
          <w:szCs w:val="20"/>
        </w:rPr>
      </w:pPr>
      <w:r w:rsidRPr="00134E5C">
        <w:rPr>
          <w:rStyle w:val="FootnoteReference"/>
          <w:rFonts w:asciiTheme="minorHAnsi" w:hAnsiTheme="minorHAnsi" w:cstheme="minorHAnsi"/>
          <w:sz w:val="16"/>
          <w:szCs w:val="16"/>
        </w:rPr>
        <w:footnoteRef/>
      </w:r>
      <w:r w:rsidRPr="00134E5C">
        <w:rPr>
          <w:rFonts w:asciiTheme="minorHAnsi" w:hAnsiTheme="minorHAnsi" w:cstheme="minorHAnsi"/>
          <w:sz w:val="16"/>
          <w:szCs w:val="16"/>
        </w:rPr>
        <w:t xml:space="preserve"> Beth Israel Lahey Health includes the following Hospitals: Addison Gilbert Hospital (Northeast), Anna Jaques Hospital, Beth Israel Deaconess Hospital – Milton, Beth Israel Hospital – Needham, Beth Israel Hospital – Plymouth,</w:t>
      </w:r>
      <w:r w:rsidRPr="00134E5C">
        <w:rPr>
          <w:rFonts w:asciiTheme="minorHAnsi" w:hAnsiTheme="minorHAnsi" w:cstheme="minorHAnsi"/>
          <w:spacing w:val="-3"/>
          <w:sz w:val="16"/>
          <w:szCs w:val="16"/>
        </w:rPr>
        <w:t xml:space="preserve"> </w:t>
      </w:r>
      <w:r w:rsidRPr="00134E5C">
        <w:rPr>
          <w:rFonts w:asciiTheme="minorHAnsi" w:hAnsiTheme="minorHAnsi" w:cstheme="minorHAnsi"/>
          <w:sz w:val="16"/>
          <w:szCs w:val="16"/>
        </w:rPr>
        <w:t>Beth</w:t>
      </w:r>
      <w:r w:rsidRPr="00134E5C">
        <w:rPr>
          <w:rFonts w:asciiTheme="minorHAnsi" w:hAnsiTheme="minorHAnsi" w:cstheme="minorHAnsi"/>
          <w:spacing w:val="-4"/>
          <w:sz w:val="16"/>
          <w:szCs w:val="16"/>
        </w:rPr>
        <w:t xml:space="preserve"> </w:t>
      </w:r>
      <w:r w:rsidRPr="00134E5C">
        <w:rPr>
          <w:rFonts w:asciiTheme="minorHAnsi" w:hAnsiTheme="minorHAnsi" w:cstheme="minorHAnsi"/>
          <w:sz w:val="16"/>
          <w:szCs w:val="16"/>
        </w:rPr>
        <w:t>Israel</w:t>
      </w:r>
      <w:r w:rsidRPr="00134E5C">
        <w:rPr>
          <w:rFonts w:asciiTheme="minorHAnsi" w:hAnsiTheme="minorHAnsi" w:cstheme="minorHAnsi"/>
          <w:spacing w:val="-2"/>
          <w:sz w:val="16"/>
          <w:szCs w:val="16"/>
        </w:rPr>
        <w:t xml:space="preserve"> </w:t>
      </w:r>
      <w:r w:rsidRPr="00134E5C">
        <w:rPr>
          <w:rFonts w:asciiTheme="minorHAnsi" w:hAnsiTheme="minorHAnsi" w:cstheme="minorHAnsi"/>
          <w:sz w:val="16"/>
          <w:szCs w:val="16"/>
        </w:rPr>
        <w:t>Deaconess</w:t>
      </w:r>
      <w:r w:rsidRPr="00134E5C">
        <w:rPr>
          <w:rFonts w:asciiTheme="minorHAnsi" w:hAnsiTheme="minorHAnsi" w:cstheme="minorHAnsi"/>
          <w:spacing w:val="-2"/>
          <w:sz w:val="16"/>
          <w:szCs w:val="16"/>
        </w:rPr>
        <w:t xml:space="preserve"> </w:t>
      </w:r>
      <w:r w:rsidRPr="00134E5C">
        <w:rPr>
          <w:rFonts w:asciiTheme="minorHAnsi" w:hAnsiTheme="minorHAnsi" w:cstheme="minorHAnsi"/>
          <w:sz w:val="16"/>
          <w:szCs w:val="16"/>
        </w:rPr>
        <w:t>Medical</w:t>
      </w:r>
      <w:r w:rsidRPr="00134E5C">
        <w:rPr>
          <w:rFonts w:asciiTheme="minorHAnsi" w:hAnsiTheme="minorHAnsi" w:cstheme="minorHAnsi"/>
          <w:spacing w:val="-4"/>
          <w:sz w:val="16"/>
          <w:szCs w:val="16"/>
        </w:rPr>
        <w:t xml:space="preserve"> </w:t>
      </w:r>
      <w:r w:rsidRPr="00134E5C">
        <w:rPr>
          <w:rFonts w:asciiTheme="minorHAnsi" w:hAnsiTheme="minorHAnsi" w:cstheme="minorHAnsi"/>
          <w:sz w:val="16"/>
          <w:szCs w:val="16"/>
        </w:rPr>
        <w:t>Center,</w:t>
      </w:r>
      <w:r w:rsidRPr="00134E5C">
        <w:rPr>
          <w:rFonts w:asciiTheme="minorHAnsi" w:hAnsiTheme="minorHAnsi" w:cstheme="minorHAnsi"/>
          <w:spacing w:val="-3"/>
          <w:sz w:val="16"/>
          <w:szCs w:val="16"/>
        </w:rPr>
        <w:t xml:space="preserve"> </w:t>
      </w:r>
      <w:r w:rsidRPr="00134E5C">
        <w:rPr>
          <w:rFonts w:asciiTheme="minorHAnsi" w:hAnsiTheme="minorHAnsi" w:cstheme="minorHAnsi"/>
          <w:sz w:val="16"/>
          <w:szCs w:val="16"/>
        </w:rPr>
        <w:t>Beverly</w:t>
      </w:r>
      <w:r w:rsidRPr="00134E5C">
        <w:rPr>
          <w:rFonts w:asciiTheme="minorHAnsi" w:hAnsiTheme="minorHAnsi" w:cstheme="minorHAnsi"/>
          <w:spacing w:val="-3"/>
          <w:sz w:val="16"/>
          <w:szCs w:val="16"/>
        </w:rPr>
        <w:t xml:space="preserve"> </w:t>
      </w:r>
      <w:r w:rsidRPr="00134E5C">
        <w:rPr>
          <w:rFonts w:asciiTheme="minorHAnsi" w:hAnsiTheme="minorHAnsi" w:cstheme="minorHAnsi"/>
          <w:sz w:val="16"/>
          <w:szCs w:val="16"/>
        </w:rPr>
        <w:t>Hospital</w:t>
      </w:r>
      <w:r w:rsidRPr="00134E5C">
        <w:rPr>
          <w:rFonts w:asciiTheme="minorHAnsi" w:hAnsiTheme="minorHAnsi" w:cstheme="minorHAnsi"/>
          <w:spacing w:val="-1"/>
          <w:sz w:val="16"/>
          <w:szCs w:val="16"/>
        </w:rPr>
        <w:t xml:space="preserve"> </w:t>
      </w:r>
      <w:r w:rsidRPr="00134E5C">
        <w:rPr>
          <w:rFonts w:asciiTheme="minorHAnsi" w:hAnsiTheme="minorHAnsi" w:cstheme="minorHAnsi"/>
          <w:sz w:val="16"/>
          <w:szCs w:val="16"/>
        </w:rPr>
        <w:t>(Northeast),</w:t>
      </w:r>
      <w:r w:rsidRPr="00134E5C">
        <w:rPr>
          <w:rFonts w:asciiTheme="minorHAnsi" w:hAnsiTheme="minorHAnsi" w:cstheme="minorHAnsi"/>
          <w:spacing w:val="-3"/>
          <w:sz w:val="16"/>
          <w:szCs w:val="16"/>
        </w:rPr>
        <w:t xml:space="preserve"> </w:t>
      </w:r>
      <w:r w:rsidRPr="00134E5C">
        <w:rPr>
          <w:rFonts w:asciiTheme="minorHAnsi" w:hAnsiTheme="minorHAnsi" w:cstheme="minorHAnsi"/>
          <w:sz w:val="16"/>
          <w:szCs w:val="16"/>
        </w:rPr>
        <w:t>Lahey</w:t>
      </w:r>
      <w:r w:rsidRPr="00134E5C">
        <w:rPr>
          <w:rFonts w:asciiTheme="minorHAnsi" w:hAnsiTheme="minorHAnsi" w:cstheme="minorHAnsi"/>
          <w:spacing w:val="-3"/>
          <w:sz w:val="16"/>
          <w:szCs w:val="16"/>
        </w:rPr>
        <w:t xml:space="preserve"> </w:t>
      </w:r>
      <w:r w:rsidRPr="00134E5C">
        <w:rPr>
          <w:rFonts w:asciiTheme="minorHAnsi" w:hAnsiTheme="minorHAnsi" w:cstheme="minorHAnsi"/>
          <w:sz w:val="16"/>
          <w:szCs w:val="16"/>
        </w:rPr>
        <w:t>Hospital</w:t>
      </w:r>
      <w:r w:rsidRPr="00134E5C">
        <w:rPr>
          <w:rFonts w:asciiTheme="minorHAnsi" w:hAnsiTheme="minorHAnsi" w:cstheme="minorHAnsi"/>
          <w:spacing w:val="-4"/>
          <w:sz w:val="16"/>
          <w:szCs w:val="16"/>
        </w:rPr>
        <w:t xml:space="preserve"> </w:t>
      </w:r>
      <w:r w:rsidRPr="00134E5C">
        <w:rPr>
          <w:rFonts w:asciiTheme="minorHAnsi" w:hAnsiTheme="minorHAnsi" w:cstheme="minorHAnsi"/>
          <w:sz w:val="16"/>
          <w:szCs w:val="16"/>
        </w:rPr>
        <w:t>&amp;</w:t>
      </w:r>
      <w:r w:rsidRPr="00134E5C">
        <w:rPr>
          <w:rFonts w:asciiTheme="minorHAnsi" w:hAnsiTheme="minorHAnsi" w:cstheme="minorHAnsi"/>
          <w:spacing w:val="-4"/>
          <w:sz w:val="16"/>
          <w:szCs w:val="16"/>
        </w:rPr>
        <w:t xml:space="preserve"> </w:t>
      </w:r>
      <w:r w:rsidRPr="00134E5C">
        <w:rPr>
          <w:rFonts w:asciiTheme="minorHAnsi" w:hAnsiTheme="minorHAnsi" w:cstheme="minorHAnsi"/>
          <w:sz w:val="16"/>
          <w:szCs w:val="16"/>
        </w:rPr>
        <w:t>Medical</w:t>
      </w:r>
      <w:r w:rsidRPr="00134E5C">
        <w:rPr>
          <w:rFonts w:asciiTheme="minorHAnsi" w:hAnsiTheme="minorHAnsi" w:cstheme="minorHAnsi"/>
          <w:spacing w:val="-4"/>
          <w:sz w:val="16"/>
          <w:szCs w:val="16"/>
        </w:rPr>
        <w:t xml:space="preserve"> </w:t>
      </w:r>
      <w:r w:rsidRPr="00134E5C">
        <w:rPr>
          <w:rFonts w:asciiTheme="minorHAnsi" w:hAnsiTheme="minorHAnsi" w:cstheme="minorHAnsi"/>
          <w:sz w:val="16"/>
          <w:szCs w:val="16"/>
        </w:rPr>
        <w:t>Center,</w:t>
      </w:r>
      <w:r w:rsidRPr="00134E5C">
        <w:rPr>
          <w:rFonts w:asciiTheme="minorHAnsi" w:hAnsiTheme="minorHAnsi" w:cstheme="minorHAnsi"/>
          <w:spacing w:val="-3"/>
          <w:sz w:val="16"/>
          <w:szCs w:val="16"/>
        </w:rPr>
        <w:t xml:space="preserve"> </w:t>
      </w:r>
      <w:r w:rsidRPr="00134E5C">
        <w:rPr>
          <w:rFonts w:asciiTheme="minorHAnsi" w:hAnsiTheme="minorHAnsi" w:cstheme="minorHAnsi"/>
          <w:sz w:val="16"/>
          <w:szCs w:val="16"/>
        </w:rPr>
        <w:t>Lahey</w:t>
      </w:r>
      <w:r w:rsidRPr="00134E5C">
        <w:rPr>
          <w:rFonts w:asciiTheme="minorHAnsi" w:hAnsiTheme="minorHAnsi" w:cstheme="minorHAnsi"/>
          <w:spacing w:val="-3"/>
          <w:sz w:val="16"/>
          <w:szCs w:val="16"/>
        </w:rPr>
        <w:t xml:space="preserve"> </w:t>
      </w:r>
      <w:r w:rsidRPr="00134E5C">
        <w:rPr>
          <w:rFonts w:asciiTheme="minorHAnsi" w:hAnsiTheme="minorHAnsi" w:cstheme="minorHAnsi"/>
          <w:sz w:val="16"/>
          <w:szCs w:val="16"/>
        </w:rPr>
        <w:t>Medical Center, Peabody, Mount Auburn Hospital, New England Baptist Hospital, and Winchester Hospital.</w:t>
      </w:r>
    </w:p>
  </w:footnote>
  <w:footnote w:id="3">
    <w:p w14:paraId="384333BD" w14:textId="77777777" w:rsidR="00E828B4" w:rsidRPr="0009172A" w:rsidRDefault="00E828B4" w:rsidP="00E828B4">
      <w:pPr>
        <w:pStyle w:val="FootnoteText"/>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4">
    <w:p w14:paraId="066700C5" w14:textId="77777777" w:rsidR="00D9640D" w:rsidRPr="0009172A" w:rsidRDefault="00D9640D" w:rsidP="00D9640D">
      <w:pPr>
        <w:pStyle w:val="FootnoteText"/>
        <w:jc w:val="both"/>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For purposes of the Applicant’s Patient Panel, the fiscal year is defined as July 1 through June 30.</w:t>
      </w:r>
    </w:p>
  </w:footnote>
  <w:footnote w:id="5">
    <w:p w14:paraId="5F72FB8D" w14:textId="77777777" w:rsidR="0087719F" w:rsidRPr="0020606A" w:rsidRDefault="0087719F" w:rsidP="0087719F">
      <w:pPr>
        <w:pStyle w:val="FootnoteText"/>
        <w:rPr>
          <w:sz w:val="16"/>
          <w:szCs w:val="16"/>
        </w:rPr>
      </w:pPr>
      <w:r w:rsidRPr="0020606A">
        <w:rPr>
          <w:rStyle w:val="FootnoteReference"/>
          <w:sz w:val="16"/>
          <w:szCs w:val="16"/>
        </w:rPr>
        <w:footnoteRef/>
      </w:r>
      <w:r w:rsidRPr="0020606A">
        <w:rPr>
          <w:sz w:val="16"/>
          <w:szCs w:val="16"/>
        </w:rPr>
        <w:t xml:space="preserve"> </w:t>
      </w:r>
      <w:r w:rsidRPr="0020606A">
        <w:rPr>
          <w:rFonts w:cstheme="minorHAnsi"/>
          <w:sz w:val="16"/>
          <w:szCs w:val="16"/>
        </w:rPr>
        <w:t>This information is from the Center for Health Information and Analysis (“CHIA”) Massachusetts Acute Care Hospital Inpatient Discharge Dataset</w:t>
      </w:r>
      <w:r>
        <w:rPr>
          <w:rFonts w:cstheme="minorHAnsi"/>
          <w:sz w:val="16"/>
          <w:szCs w:val="16"/>
        </w:rPr>
        <w:t>, which</w:t>
      </w:r>
      <w:r w:rsidRPr="0020606A">
        <w:rPr>
          <w:rFonts w:cstheme="minorHAnsi"/>
          <w:sz w:val="16"/>
          <w:szCs w:val="16"/>
        </w:rPr>
        <w:t xml:space="preserve"> is only current through the end of 2021. Therefore, the data provided is from FY21</w:t>
      </w:r>
      <w:r>
        <w:rPr>
          <w:rFonts w:cstheme="minorHAnsi"/>
          <w:sz w:val="16"/>
          <w:szCs w:val="16"/>
        </w:rPr>
        <w:t>.</w:t>
      </w:r>
    </w:p>
  </w:footnote>
  <w:footnote w:id="6">
    <w:p w14:paraId="5929481B" w14:textId="338AFEF0" w:rsidR="0087719F" w:rsidRDefault="0087719F" w:rsidP="0087719F">
      <w:pPr>
        <w:pStyle w:val="FootnoteText"/>
      </w:pPr>
      <w:r w:rsidRPr="0009172A">
        <w:rPr>
          <w:rStyle w:val="FootnoteReference"/>
          <w:rFonts w:cstheme="minorHAnsi"/>
          <w:sz w:val="16"/>
          <w:szCs w:val="16"/>
        </w:rPr>
        <w:footnoteRef/>
      </w:r>
      <w:r w:rsidRPr="0009172A">
        <w:rPr>
          <w:rFonts w:cstheme="minorHAnsi"/>
          <w:sz w:val="16"/>
          <w:szCs w:val="16"/>
        </w:rPr>
        <w:t xml:space="preserve"> Patients for whom a gender is not specified or whose gender varies across visits over the </w:t>
      </w:r>
      <w:proofErr w:type="gramStart"/>
      <w:r w:rsidRPr="0009172A">
        <w:rPr>
          <w:rFonts w:cstheme="minorHAnsi"/>
          <w:sz w:val="16"/>
          <w:szCs w:val="16"/>
        </w:rPr>
        <w:t>time period</w:t>
      </w:r>
      <w:proofErr w:type="gramEnd"/>
      <w:r w:rsidRPr="0009172A">
        <w:rPr>
          <w:rFonts w:cstheme="minorHAnsi"/>
          <w:sz w:val="16"/>
          <w:szCs w:val="16"/>
        </w:rPr>
        <w:t xml:space="preserve"> are included in “Other.”</w:t>
      </w:r>
    </w:p>
  </w:footnote>
  <w:footnote w:id="7">
    <w:p w14:paraId="1FC025A1" w14:textId="77777777" w:rsidR="0087719F" w:rsidRPr="00AB2BE9" w:rsidRDefault="0087719F" w:rsidP="0087719F">
      <w:pPr>
        <w:pStyle w:val="FootnoteText"/>
        <w:jc w:val="both"/>
        <w:rPr>
          <w:rFonts w:cstheme="minorHAnsi"/>
          <w:sz w:val="16"/>
          <w:szCs w:val="16"/>
        </w:rPr>
      </w:pPr>
      <w:r w:rsidRPr="004512CA">
        <w:rPr>
          <w:rStyle w:val="FootnoteReference"/>
          <w:rFonts w:cstheme="minorHAnsi"/>
          <w:sz w:val="16"/>
          <w:szCs w:val="16"/>
        </w:rPr>
        <w:footnoteRef/>
      </w:r>
      <w:r w:rsidRPr="004512CA">
        <w:rPr>
          <w:rFonts w:cstheme="minorHAnsi"/>
          <w:sz w:val="16"/>
          <w:szCs w:val="16"/>
        </w:rPr>
        <w:t xml:space="preserve"> As a newly merged health system, BILH has not yet fully implemented a standardized data collection methodology for BILH Hospitals. As a result, “Other” may include patients whose race and/or ethnicity varied over time, as well as patients who did not report their race and/or ethnicity. Furthermore, patients who declined to report their race and/or ethnicity might also be captured in “Unknown” or “Patient Declined”. “Other” is a choice for patients to select if </w:t>
      </w:r>
      <w:r w:rsidRPr="00AB2BE9">
        <w:rPr>
          <w:rFonts w:cstheme="minorHAnsi"/>
          <w:sz w:val="16"/>
          <w:szCs w:val="16"/>
        </w:rPr>
        <w:t>they do not feel that their race/ethnicity is reflected in the list of choices.</w:t>
      </w:r>
    </w:p>
  </w:footnote>
  <w:footnote w:id="8">
    <w:p w14:paraId="29704198" w14:textId="77777777" w:rsidR="0087719F" w:rsidRDefault="0087719F" w:rsidP="0087719F">
      <w:pPr>
        <w:pStyle w:val="FootnoteText"/>
      </w:pPr>
      <w:r w:rsidRPr="00AB2BE9">
        <w:rPr>
          <w:rStyle w:val="FootnoteReference"/>
          <w:rFonts w:cstheme="minorHAnsi"/>
          <w:sz w:val="16"/>
          <w:szCs w:val="16"/>
        </w:rPr>
        <w:footnoteRef/>
      </w:r>
      <w:r w:rsidRPr="00AB2BE9">
        <w:rPr>
          <w:rFonts w:cstheme="minorHAnsi"/>
          <w:sz w:val="16"/>
          <w:szCs w:val="16"/>
        </w:rPr>
        <w:t xml:space="preserve"> Ethnicity information is not available at the system-level for three hospitals: </w:t>
      </w:r>
      <w:bookmarkStart w:id="15" w:name="_Hlk143068511"/>
      <w:r w:rsidRPr="00AB2BE9">
        <w:rPr>
          <w:rFonts w:cstheme="minorHAnsi"/>
          <w:sz w:val="16"/>
          <w:szCs w:val="16"/>
        </w:rPr>
        <w:t>BID-Milton, BID-Needham, and BID-Plymouth</w:t>
      </w:r>
      <w:bookmarkEnd w:id="15"/>
      <w:r w:rsidRPr="00AB2BE9">
        <w:rPr>
          <w:rFonts w:cstheme="minorHAnsi"/>
          <w:sz w:val="16"/>
          <w:szCs w:val="16"/>
        </w:rPr>
        <w:t>. For the remaining BILH hospitals, ethnicity information is self-reported. Patients for whom ethnicity is not specified are included in "Patient Declined," "Unknown," or "Other," per the local facility’s data collection methodology. Patients for whom ethnicity varies across visits over the time period are included in "Other."</w:t>
      </w:r>
    </w:p>
  </w:footnote>
  <w:footnote w:id="9">
    <w:p w14:paraId="52912F39" w14:textId="77777777" w:rsidR="0087719F" w:rsidRPr="005326D6" w:rsidRDefault="0087719F" w:rsidP="0087719F">
      <w:pPr>
        <w:pStyle w:val="FootnoteText"/>
        <w:jc w:val="both"/>
        <w:rPr>
          <w:rFonts w:ascii="Arial" w:hAnsi="Arial" w:cs="Arial"/>
          <w:sz w:val="16"/>
          <w:szCs w:val="16"/>
        </w:rPr>
      </w:pPr>
      <w:r w:rsidRPr="004512CA">
        <w:rPr>
          <w:rStyle w:val="FootnoteReference"/>
          <w:rFonts w:cstheme="minorHAnsi"/>
          <w:sz w:val="16"/>
          <w:szCs w:val="16"/>
        </w:rPr>
        <w:footnoteRef/>
      </w:r>
      <w:r w:rsidRPr="004512CA">
        <w:rPr>
          <w:rFonts w:cstheme="minorHAnsi"/>
          <w:sz w:val="16"/>
          <w:szCs w:val="16"/>
        </w:rPr>
        <w:t xml:space="preserve"> Includes self-pay, health safety net, and liability insurance coverage other than worker’s compensation for an injury event.</w:t>
      </w:r>
    </w:p>
  </w:footnote>
  <w:footnote w:id="10">
    <w:p w14:paraId="146778CD" w14:textId="77777777" w:rsidR="006E42FE" w:rsidRPr="00275E3E" w:rsidRDefault="006E42FE" w:rsidP="006E42FE">
      <w:pPr>
        <w:pStyle w:val="FootnoteText"/>
        <w:rPr>
          <w:rFonts w:cstheme="minorHAnsi"/>
          <w:sz w:val="16"/>
          <w:szCs w:val="16"/>
        </w:rPr>
      </w:pPr>
      <w:r w:rsidRPr="00275E3E">
        <w:rPr>
          <w:rStyle w:val="FootnoteReference"/>
          <w:rFonts w:cstheme="minorHAnsi"/>
          <w:sz w:val="16"/>
          <w:szCs w:val="16"/>
        </w:rPr>
        <w:footnoteRef/>
      </w:r>
      <w:r w:rsidRPr="00275E3E">
        <w:rPr>
          <w:rFonts w:cstheme="minorHAnsi"/>
          <w:sz w:val="16"/>
          <w:szCs w:val="16"/>
        </w:rPr>
        <w:t xml:space="preserve"> List of city and town populations that make up the primary service area is in descending order. </w:t>
      </w:r>
    </w:p>
  </w:footnote>
  <w:footnote w:id="11">
    <w:p w14:paraId="60921DF2" w14:textId="77777777" w:rsidR="006E42FE" w:rsidRPr="000B0937" w:rsidRDefault="006E42FE" w:rsidP="006E42FE">
      <w:pPr>
        <w:pStyle w:val="FootnoteText"/>
        <w:rPr>
          <w:rFonts w:cstheme="minorHAnsi"/>
          <w:sz w:val="16"/>
          <w:szCs w:val="16"/>
        </w:rPr>
      </w:pPr>
      <w:r w:rsidRPr="000B0937">
        <w:rPr>
          <w:rStyle w:val="FootnoteReference"/>
          <w:rFonts w:cstheme="minorHAnsi"/>
          <w:sz w:val="16"/>
          <w:szCs w:val="16"/>
        </w:rPr>
        <w:footnoteRef/>
      </w:r>
      <w:r w:rsidRPr="000B0937">
        <w:rPr>
          <w:rFonts w:cstheme="minorHAnsi"/>
          <w:sz w:val="16"/>
          <w:szCs w:val="16"/>
        </w:rPr>
        <w:t xml:space="preserve"> Includes “Male” and “Other” for patient confidentiality.</w:t>
      </w:r>
    </w:p>
  </w:footnote>
  <w:footnote w:id="12">
    <w:p w14:paraId="6093C612" w14:textId="77777777" w:rsidR="006E42FE" w:rsidRPr="005D77FB" w:rsidRDefault="006E42FE" w:rsidP="006E42FE">
      <w:pPr>
        <w:pStyle w:val="FootnoteText"/>
        <w:rPr>
          <w:rFonts w:cstheme="minorHAnsi"/>
          <w:sz w:val="16"/>
          <w:szCs w:val="16"/>
        </w:rPr>
      </w:pPr>
      <w:r w:rsidRPr="005D77FB">
        <w:rPr>
          <w:rStyle w:val="FootnoteReference"/>
          <w:rFonts w:cstheme="minorHAnsi"/>
          <w:sz w:val="16"/>
          <w:szCs w:val="16"/>
        </w:rPr>
        <w:footnoteRef/>
      </w:r>
      <w:r w:rsidRPr="005D77FB">
        <w:rPr>
          <w:rFonts w:cstheme="minorHAnsi"/>
          <w:sz w:val="16"/>
          <w:szCs w:val="16"/>
        </w:rPr>
        <w:t xml:space="preserve"> “Multiple Payors” is defined as patients whose primary payors within a given fiscal year fall into more than one payor category.</w:t>
      </w:r>
    </w:p>
  </w:footnote>
  <w:footnote w:id="13">
    <w:p w14:paraId="202295BB" w14:textId="77777777" w:rsidR="006E42FE" w:rsidRPr="002F51B5" w:rsidRDefault="006E42FE" w:rsidP="006E42FE">
      <w:pPr>
        <w:pStyle w:val="FootnoteText"/>
        <w:jc w:val="both"/>
        <w:rPr>
          <w:rFonts w:ascii="Arial" w:hAnsi="Arial" w:cs="Arial"/>
          <w:sz w:val="18"/>
          <w:szCs w:val="18"/>
        </w:rPr>
      </w:pPr>
      <w:r w:rsidRPr="005D77FB">
        <w:rPr>
          <w:rStyle w:val="FootnoteReference"/>
          <w:rFonts w:cstheme="minorHAnsi"/>
          <w:sz w:val="16"/>
          <w:szCs w:val="16"/>
        </w:rPr>
        <w:footnoteRef/>
      </w:r>
      <w:r w:rsidRPr="005D77FB">
        <w:rPr>
          <w:rFonts w:cstheme="minorHAnsi"/>
          <w:sz w:val="16"/>
          <w:szCs w:val="16"/>
        </w:rPr>
        <w:t xml:space="preserve"> “Other” includes but is not limited to: self-pay, workers’ compensation, other government payment, free care, health safety net, auto insurance, Commonwealth Care/ConnectorCare plans, Unknown (defined as patients whose primary payor is missing in the data) and dental plans.</w:t>
      </w:r>
    </w:p>
  </w:footnote>
  <w:footnote w:id="14">
    <w:p w14:paraId="69D6DDB4" w14:textId="77777777" w:rsidR="006E42FE" w:rsidRPr="005D77FB" w:rsidRDefault="006E42FE" w:rsidP="006E42FE">
      <w:pPr>
        <w:pStyle w:val="FootnoteText"/>
        <w:rPr>
          <w:rFonts w:cstheme="minorHAnsi"/>
          <w:sz w:val="16"/>
          <w:szCs w:val="16"/>
        </w:rPr>
      </w:pPr>
      <w:r w:rsidRPr="005D77FB">
        <w:rPr>
          <w:rStyle w:val="FootnoteReference"/>
          <w:rFonts w:cstheme="minorHAnsi"/>
          <w:sz w:val="16"/>
          <w:szCs w:val="16"/>
        </w:rPr>
        <w:footnoteRef/>
      </w:r>
      <w:r w:rsidRPr="005D77FB">
        <w:rPr>
          <w:rFonts w:cstheme="minorHAnsi"/>
          <w:sz w:val="16"/>
          <w:szCs w:val="16"/>
        </w:rPr>
        <w:t xml:space="preserve"> The term “downtime” indicates the CT unit is not available and emergent patients in need of CT imaging must be diverted elsewhere.</w:t>
      </w:r>
    </w:p>
  </w:footnote>
  <w:footnote w:id="15">
    <w:p w14:paraId="73043A20" w14:textId="6ECB73E4" w:rsidR="006E42FE" w:rsidRDefault="006E42FE" w:rsidP="006E42FE">
      <w:pPr>
        <w:pStyle w:val="FootnoteText"/>
      </w:pPr>
      <w:r w:rsidRPr="005D77FB">
        <w:rPr>
          <w:rStyle w:val="FootnoteReference"/>
          <w:sz w:val="16"/>
          <w:szCs w:val="16"/>
        </w:rPr>
        <w:footnoteRef/>
      </w:r>
      <w:r w:rsidRPr="005D77FB">
        <w:rPr>
          <w:sz w:val="16"/>
          <w:szCs w:val="16"/>
        </w:rPr>
        <w:t xml:space="preserve"> To be designed a</w:t>
      </w:r>
      <w:r w:rsidRPr="005D77FB">
        <w:rPr>
          <w:spacing w:val="-1"/>
          <w:sz w:val="16"/>
          <w:szCs w:val="16"/>
        </w:rPr>
        <w:t xml:space="preserve"> </w:t>
      </w:r>
      <w:r w:rsidRPr="005D77FB">
        <w:rPr>
          <w:sz w:val="16"/>
          <w:szCs w:val="16"/>
        </w:rPr>
        <w:t>PSS Hospital, a hospital must be equipped to readily provide timely acute</w:t>
      </w:r>
      <w:r w:rsidRPr="005D77FB">
        <w:rPr>
          <w:spacing w:val="-1"/>
          <w:sz w:val="16"/>
          <w:szCs w:val="16"/>
        </w:rPr>
        <w:t xml:space="preserve"> </w:t>
      </w:r>
      <w:r w:rsidRPr="005D77FB">
        <w:rPr>
          <w:sz w:val="16"/>
          <w:szCs w:val="16"/>
        </w:rPr>
        <w:t>stroke evaluation and treatment, and “must provide emergency diagnostic and therapeutic services 24 hours-a-day, seven days-a-week to patients presenting with symptoms</w:t>
      </w:r>
      <w:r w:rsidRPr="005D77FB">
        <w:rPr>
          <w:spacing w:val="-12"/>
          <w:sz w:val="16"/>
          <w:szCs w:val="16"/>
        </w:rPr>
        <w:t xml:space="preserve"> </w:t>
      </w:r>
      <w:r w:rsidRPr="005D77FB">
        <w:rPr>
          <w:sz w:val="16"/>
          <w:szCs w:val="16"/>
        </w:rPr>
        <w:t>of</w:t>
      </w:r>
      <w:r w:rsidRPr="005D77FB">
        <w:rPr>
          <w:spacing w:val="-11"/>
          <w:sz w:val="16"/>
          <w:szCs w:val="16"/>
        </w:rPr>
        <w:t xml:space="preserve"> </w:t>
      </w:r>
      <w:r w:rsidRPr="005D77FB">
        <w:rPr>
          <w:sz w:val="16"/>
          <w:szCs w:val="16"/>
        </w:rPr>
        <w:t>acute</w:t>
      </w:r>
      <w:r w:rsidRPr="005D77FB">
        <w:rPr>
          <w:spacing w:val="-11"/>
          <w:sz w:val="16"/>
          <w:szCs w:val="16"/>
        </w:rPr>
        <w:t xml:space="preserve"> </w:t>
      </w:r>
      <w:r w:rsidRPr="005D77FB">
        <w:rPr>
          <w:sz w:val="16"/>
          <w:szCs w:val="16"/>
        </w:rPr>
        <w:t>stroke.”</w:t>
      </w:r>
      <w:r w:rsidRPr="005D77FB">
        <w:rPr>
          <w:spacing w:val="-11"/>
          <w:sz w:val="16"/>
          <w:szCs w:val="16"/>
        </w:rPr>
        <w:t xml:space="preserve"> </w:t>
      </w:r>
      <w:hyperlink r:id="rId1" w:history="1">
        <w:r w:rsidRPr="00800AB1">
          <w:rPr>
            <w:rStyle w:val="Hyperlink"/>
            <w:i/>
            <w:color w:val="auto"/>
            <w:sz w:val="16"/>
            <w:szCs w:val="16"/>
            <w:u w:val="none"/>
          </w:rPr>
          <w:t>Primary</w:t>
        </w:r>
        <w:r w:rsidRPr="00800AB1">
          <w:rPr>
            <w:rStyle w:val="Hyperlink"/>
            <w:i/>
            <w:color w:val="auto"/>
            <w:spacing w:val="-11"/>
            <w:sz w:val="16"/>
            <w:szCs w:val="16"/>
            <w:u w:val="none"/>
          </w:rPr>
          <w:t xml:space="preserve"> </w:t>
        </w:r>
        <w:r w:rsidRPr="00800AB1">
          <w:rPr>
            <w:rStyle w:val="Hyperlink"/>
            <w:i/>
            <w:color w:val="auto"/>
            <w:sz w:val="16"/>
            <w:szCs w:val="16"/>
            <w:u w:val="none"/>
          </w:rPr>
          <w:t>Stroke</w:t>
        </w:r>
        <w:r w:rsidRPr="00800AB1">
          <w:rPr>
            <w:rStyle w:val="Hyperlink"/>
            <w:i/>
            <w:color w:val="auto"/>
            <w:spacing w:val="-11"/>
            <w:sz w:val="16"/>
            <w:szCs w:val="16"/>
            <w:u w:val="none"/>
          </w:rPr>
          <w:t xml:space="preserve"> </w:t>
        </w:r>
        <w:r w:rsidRPr="00800AB1">
          <w:rPr>
            <w:rStyle w:val="Hyperlink"/>
            <w:i/>
            <w:color w:val="auto"/>
            <w:sz w:val="16"/>
            <w:szCs w:val="16"/>
            <w:u w:val="none"/>
          </w:rPr>
          <w:t>Service</w:t>
        </w:r>
        <w:r w:rsidRPr="00800AB1">
          <w:rPr>
            <w:rStyle w:val="Hyperlink"/>
            <w:i/>
            <w:color w:val="auto"/>
            <w:spacing w:val="-11"/>
            <w:sz w:val="16"/>
            <w:szCs w:val="16"/>
            <w:u w:val="none"/>
          </w:rPr>
          <w:t xml:space="preserve"> </w:t>
        </w:r>
        <w:r w:rsidRPr="00800AB1">
          <w:rPr>
            <w:rStyle w:val="Hyperlink"/>
            <w:i/>
            <w:color w:val="auto"/>
            <w:sz w:val="16"/>
            <w:szCs w:val="16"/>
            <w:u w:val="none"/>
          </w:rPr>
          <w:t>validation,</w:t>
        </w:r>
      </w:hyperlink>
      <w:r w:rsidRPr="005D77FB">
        <w:rPr>
          <w:i/>
          <w:spacing w:val="-11"/>
          <w:sz w:val="16"/>
          <w:szCs w:val="16"/>
        </w:rPr>
        <w:t xml:space="preserve"> </w:t>
      </w:r>
      <w:hyperlink r:id="rId2" w:history="1">
        <w:r w:rsidRPr="005D77FB">
          <w:rPr>
            <w:rStyle w:val="Hyperlink"/>
            <w:color w:val="234170" w:themeColor="text2" w:themeShade="BF"/>
            <w:sz w:val="16"/>
            <w:szCs w:val="16"/>
          </w:rPr>
          <w:t>https://www.mass.gov/info-details/primary-stroke-service-pss-validation</w:t>
        </w:r>
      </w:hyperlink>
      <w:r w:rsidRPr="005D77FB">
        <w:rPr>
          <w:color w:val="234170" w:themeColor="text2" w:themeShade="BF"/>
          <w:sz w:val="16"/>
          <w:szCs w:val="16"/>
        </w:rPr>
        <w:t xml:space="preserve"> </w:t>
      </w:r>
      <w:r w:rsidRPr="005D77FB">
        <w:rPr>
          <w:sz w:val="16"/>
          <w:szCs w:val="16"/>
        </w:rPr>
        <w:t xml:space="preserve">(last visited Feb. 24, 2022). </w:t>
      </w:r>
      <w:r w:rsidRPr="005D77FB">
        <w:rPr>
          <w:i/>
          <w:sz w:val="16"/>
          <w:szCs w:val="16"/>
        </w:rPr>
        <w:t xml:space="preserve">Also see </w:t>
      </w:r>
      <w:hyperlink r:id="rId3" w:history="1">
        <w:r w:rsidRPr="00800AB1">
          <w:rPr>
            <w:rStyle w:val="Hyperlink"/>
            <w:i/>
            <w:color w:val="auto"/>
            <w:sz w:val="16"/>
            <w:szCs w:val="16"/>
            <w:u w:val="none"/>
          </w:rPr>
          <w:t xml:space="preserve">Designated Primary Stroke Services </w:t>
        </w:r>
        <w:r w:rsidRPr="00800AB1">
          <w:rPr>
            <w:rStyle w:val="Hyperlink"/>
            <w:color w:val="auto"/>
            <w:sz w:val="16"/>
            <w:szCs w:val="16"/>
            <w:u w:val="none"/>
          </w:rPr>
          <w:t>Hospitals,</w:t>
        </w:r>
      </w:hyperlink>
      <w:r w:rsidRPr="005D77FB">
        <w:rPr>
          <w:sz w:val="16"/>
          <w:szCs w:val="16"/>
        </w:rPr>
        <w:t xml:space="preserve"> </w:t>
      </w:r>
      <w:hyperlink r:id="rId4" w:history="1">
        <w:r w:rsidRPr="005D77FB">
          <w:rPr>
            <w:rStyle w:val="Hyperlink"/>
            <w:color w:val="234170" w:themeColor="text2" w:themeShade="BF"/>
            <w:sz w:val="16"/>
            <w:szCs w:val="16"/>
          </w:rPr>
          <w:t>https://www.mass.gov/info-details/designated-primary-stroke-services-hospitals</w:t>
        </w:r>
      </w:hyperlink>
      <w:r w:rsidRPr="005D77FB">
        <w:rPr>
          <w:color w:val="234170" w:themeColor="text2" w:themeShade="BF"/>
          <w:sz w:val="16"/>
          <w:szCs w:val="16"/>
        </w:rPr>
        <w:t xml:space="preserve"> </w:t>
      </w:r>
      <w:r w:rsidRPr="005D77FB">
        <w:rPr>
          <w:sz w:val="16"/>
          <w:szCs w:val="16"/>
        </w:rPr>
        <w:t>(last visited Feb. 24, 2022).</w:t>
      </w:r>
    </w:p>
  </w:footnote>
  <w:footnote w:id="16">
    <w:p w14:paraId="0436C182" w14:textId="77777777" w:rsidR="006E42FE" w:rsidRPr="005D77FB" w:rsidRDefault="006E42FE" w:rsidP="006E42FE">
      <w:pPr>
        <w:pStyle w:val="FootnoteText"/>
        <w:rPr>
          <w:rFonts w:cstheme="minorHAnsi"/>
          <w:sz w:val="16"/>
          <w:szCs w:val="16"/>
        </w:rPr>
      </w:pPr>
      <w:r w:rsidRPr="005D77FB">
        <w:rPr>
          <w:rStyle w:val="FootnoteReference"/>
          <w:rFonts w:cstheme="minorHAnsi"/>
          <w:sz w:val="16"/>
          <w:szCs w:val="16"/>
        </w:rPr>
        <w:footnoteRef/>
      </w:r>
      <w:r w:rsidRPr="005D77FB">
        <w:rPr>
          <w:rFonts w:cstheme="minorHAnsi"/>
          <w:sz w:val="16"/>
          <w:szCs w:val="16"/>
        </w:rPr>
        <w:t xml:space="preserve"> Fiscal year is defined as October 1 through September 30 for all data aside from data in the Applicant and Hospital’s Patient Panel.</w:t>
      </w:r>
    </w:p>
  </w:footnote>
  <w:footnote w:id="17">
    <w:p w14:paraId="43AA50A6" w14:textId="77777777" w:rsidR="006E42FE" w:rsidRPr="00047172" w:rsidRDefault="006E42FE" w:rsidP="006E42FE">
      <w:pPr>
        <w:pStyle w:val="FootnoteText"/>
        <w:rPr>
          <w:rFonts w:cstheme="minorHAnsi"/>
        </w:rPr>
      </w:pPr>
      <w:r w:rsidRPr="005D77FB">
        <w:rPr>
          <w:rStyle w:val="FootnoteReference"/>
          <w:rFonts w:cstheme="minorHAnsi"/>
          <w:sz w:val="16"/>
          <w:szCs w:val="16"/>
        </w:rPr>
        <w:footnoteRef/>
      </w:r>
      <w:r w:rsidRPr="005D77FB">
        <w:rPr>
          <w:rFonts w:cstheme="minorHAnsi"/>
          <w:sz w:val="16"/>
          <w:szCs w:val="16"/>
        </w:rPr>
        <w:t xml:space="preserve"> Applicant notes CT scan volume likely decreased from FY20 to FY21 due to patient avoidance of hospitals during the COVID-19 Pandemic.</w:t>
      </w:r>
    </w:p>
  </w:footnote>
  <w:footnote w:id="18">
    <w:p w14:paraId="56023329" w14:textId="5115A91F" w:rsidR="00187FC3" w:rsidRPr="005D77FB" w:rsidRDefault="00187FC3" w:rsidP="00187FC3">
      <w:pPr>
        <w:pStyle w:val="FootnoteText"/>
        <w:rPr>
          <w:sz w:val="16"/>
          <w:szCs w:val="16"/>
        </w:rPr>
      </w:pPr>
      <w:r w:rsidRPr="005D77FB">
        <w:rPr>
          <w:rStyle w:val="FootnoteReference"/>
          <w:sz w:val="16"/>
          <w:szCs w:val="16"/>
        </w:rPr>
        <w:footnoteRef/>
      </w:r>
      <w:r w:rsidRPr="005D77FB">
        <w:rPr>
          <w:sz w:val="16"/>
          <w:szCs w:val="16"/>
        </w:rPr>
        <w:t xml:space="preserve"> </w:t>
      </w:r>
      <w:r w:rsidRPr="005D77FB">
        <w:rPr>
          <w:rFonts w:cstheme="minorHAnsi"/>
          <w:sz w:val="16"/>
          <w:szCs w:val="16"/>
        </w:rPr>
        <w:t>According to the Massachusetts Department of Health’s Time Target Recommendations and the American Heart Association/American Stroke Association’s “Get With the Guidelines – Stroke”, CT imaging should be completed within 25 minutes of arrival to the hospital, and IV thrombolytic (“tPA”) treatment should begin within one hour of patient arrival.</w:t>
      </w:r>
    </w:p>
  </w:footnote>
  <w:footnote w:id="19">
    <w:p w14:paraId="156A365A" w14:textId="77777777" w:rsidR="005C77C2" w:rsidRPr="005D77FB" w:rsidRDefault="005C77C2" w:rsidP="005C77C2">
      <w:pPr>
        <w:pStyle w:val="FootnoteText"/>
        <w:contextualSpacing/>
        <w:rPr>
          <w:rFonts w:cstheme="minorHAnsi"/>
          <w:sz w:val="16"/>
          <w:szCs w:val="16"/>
        </w:rPr>
      </w:pPr>
      <w:r w:rsidRPr="005D77FB">
        <w:rPr>
          <w:rStyle w:val="FootnoteReference"/>
          <w:rFonts w:cstheme="minorHAnsi"/>
          <w:sz w:val="16"/>
          <w:szCs w:val="16"/>
        </w:rPr>
        <w:footnoteRef/>
      </w:r>
      <w:r w:rsidRPr="005D77FB">
        <w:rPr>
          <w:rFonts w:cstheme="minorHAnsi"/>
          <w:sz w:val="16"/>
          <w:szCs w:val="16"/>
        </w:rPr>
        <w:t xml:space="preserve"> </w:t>
      </w:r>
      <w:hyperlink r:id="rId5" w:history="1">
        <w:r w:rsidRPr="005D77FB">
          <w:rPr>
            <w:rStyle w:val="Hyperlink"/>
            <w:rFonts w:eastAsia="Times New Roman" w:cstheme="minorHAnsi"/>
            <w:color w:val="004A94"/>
            <w:sz w:val="16"/>
            <w:szCs w:val="16"/>
          </w:rPr>
          <w:t>Community Engagement Standards for Community Health Planning Guideline</w:t>
        </w:r>
      </w:hyperlink>
      <w:r w:rsidRPr="005D77FB">
        <w:rPr>
          <w:rFonts w:eastAsia="Times New Roman" w:cstheme="minorHAnsi"/>
          <w:sz w:val="16"/>
          <w:szCs w:val="16"/>
        </w:rPr>
        <w:t>.</w:t>
      </w:r>
      <w:r w:rsidRPr="005D77FB">
        <w:rPr>
          <w:rFonts w:cstheme="minorHAnsi"/>
          <w:sz w:val="16"/>
          <w:szCs w:val="16"/>
        </w:rPr>
        <w:t xml:space="preserve"> </w:t>
      </w:r>
    </w:p>
  </w:footnote>
  <w:footnote w:id="20">
    <w:p w14:paraId="26B3CE8C" w14:textId="77777777" w:rsidR="005C77C2" w:rsidRPr="00D90AC9" w:rsidRDefault="005C77C2" w:rsidP="005C77C2">
      <w:pPr>
        <w:pStyle w:val="FootnoteText"/>
        <w:rPr>
          <w:rFonts w:ascii="Arial" w:hAnsi="Arial" w:cs="Arial"/>
          <w:sz w:val="18"/>
          <w:szCs w:val="18"/>
        </w:rPr>
      </w:pPr>
      <w:r w:rsidRPr="005D77FB">
        <w:rPr>
          <w:rStyle w:val="FootnoteReference"/>
          <w:rFonts w:cstheme="minorHAnsi"/>
          <w:sz w:val="16"/>
          <w:szCs w:val="16"/>
        </w:rPr>
        <w:footnoteRef/>
      </w:r>
      <w:r w:rsidRPr="005D77FB">
        <w:rPr>
          <w:rFonts w:cstheme="minorHAnsi"/>
          <w:sz w:val="16"/>
          <w:szCs w:val="16"/>
        </w:rPr>
        <w:t xml:space="preserve"> </w:t>
      </w:r>
      <w:hyperlink r:id="rId6" w:history="1">
        <w:r w:rsidRPr="005D77FB">
          <w:rPr>
            <w:rStyle w:val="Hyperlink"/>
            <w:rFonts w:cstheme="minorHAnsi"/>
            <w:color w:val="004A94"/>
            <w:sz w:val="16"/>
            <w:szCs w:val="16"/>
          </w:rPr>
          <w:t>DoN Regulation 100.210 (A)(1)(e)</w:t>
        </w:r>
      </w:hyperlink>
      <w:r w:rsidRPr="005D77FB">
        <w:rPr>
          <w:rFonts w:cstheme="minorHAnsi"/>
          <w:color w:val="004A94"/>
          <w:sz w:val="16"/>
          <w:szCs w:val="16"/>
        </w:rPr>
        <w:t>.</w:t>
      </w:r>
      <w:r w:rsidRPr="00D90AC9">
        <w:rPr>
          <w:rFonts w:ascii="Arial" w:hAnsi="Arial" w:cs="Arial"/>
          <w:color w:val="004A94"/>
          <w:sz w:val="18"/>
          <w:szCs w:val="18"/>
        </w:rPr>
        <w:t xml:space="preserve"> </w:t>
      </w:r>
    </w:p>
  </w:footnote>
  <w:footnote w:id="21">
    <w:p w14:paraId="18B7BD16" w14:textId="77777777" w:rsidR="00C87497" w:rsidRPr="005D77FB" w:rsidRDefault="00C87497" w:rsidP="00C87497">
      <w:pPr>
        <w:pStyle w:val="FootnoteText"/>
        <w:rPr>
          <w:sz w:val="16"/>
          <w:szCs w:val="16"/>
        </w:rPr>
      </w:pPr>
      <w:r w:rsidRPr="005D77FB">
        <w:rPr>
          <w:rStyle w:val="FootnoteReference"/>
          <w:sz w:val="16"/>
          <w:szCs w:val="16"/>
        </w:rPr>
        <w:footnoteRef/>
      </w:r>
      <w:r w:rsidRPr="005D77FB">
        <w:rPr>
          <w:sz w:val="16"/>
          <w:szCs w:val="16"/>
        </w:rPr>
        <w:t xml:space="preserve"> </w:t>
      </w:r>
      <w:r w:rsidRPr="005D77FB">
        <w:rPr>
          <w:rFonts w:eastAsia="Times New Roman" w:cstheme="minorHAnsi"/>
          <w:sz w:val="16"/>
          <w:szCs w:val="16"/>
        </w:rPr>
        <w:t>Reasonableness is defined within the context of this report as supportable and proper, given the underlying</w:t>
      </w:r>
      <w:r w:rsidRPr="005D77FB">
        <w:rPr>
          <w:rFonts w:cstheme="minorHAnsi"/>
          <w:sz w:val="16"/>
          <w:szCs w:val="16"/>
        </w:rPr>
        <w:t xml:space="preserve"> </w:t>
      </w:r>
      <w:r w:rsidRPr="005D77FB">
        <w:rPr>
          <w:rFonts w:eastAsia="Times New Roman" w:cstheme="minorHAnsi"/>
          <w:sz w:val="16"/>
          <w:szCs w:val="16"/>
        </w:rPr>
        <w:t>information.</w:t>
      </w:r>
    </w:p>
  </w:footnote>
  <w:footnote w:id="22">
    <w:p w14:paraId="5BDDA146" w14:textId="040A1A87" w:rsidR="00C87497" w:rsidRPr="00BB5601" w:rsidRDefault="00C87497" w:rsidP="00C87497">
      <w:pPr>
        <w:autoSpaceDE w:val="0"/>
        <w:autoSpaceDN w:val="0"/>
        <w:adjustRightInd w:val="0"/>
        <w:rPr>
          <w:rFonts w:asciiTheme="minorHAnsi" w:hAnsiTheme="minorHAnsi" w:cstheme="minorHAnsi"/>
        </w:rPr>
      </w:pPr>
      <w:r w:rsidRPr="005D77FB">
        <w:rPr>
          <w:rStyle w:val="FootnoteReference"/>
          <w:rFonts w:asciiTheme="minorHAnsi" w:hAnsiTheme="minorHAnsi" w:cstheme="minorHAnsi"/>
          <w:sz w:val="16"/>
          <w:szCs w:val="16"/>
        </w:rPr>
        <w:footnoteRef/>
      </w:r>
      <w:r w:rsidRPr="005D77FB">
        <w:rPr>
          <w:sz w:val="16"/>
          <w:szCs w:val="16"/>
        </w:rPr>
        <w:t xml:space="preserve"> </w:t>
      </w:r>
      <w:r w:rsidRPr="005D77FB">
        <w:rPr>
          <w:rFonts w:asciiTheme="minorHAnsi" w:hAnsiTheme="minorHAnsi" w:cs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existing Patient Panel.</w:t>
      </w:r>
    </w:p>
  </w:footnote>
  <w:footnote w:id="23">
    <w:p w14:paraId="6080E1AE" w14:textId="77777777" w:rsidR="00C87497" w:rsidRPr="00414EC8" w:rsidRDefault="00C87497" w:rsidP="00C87497">
      <w:pPr>
        <w:pStyle w:val="FootnoteText"/>
        <w:rPr>
          <w:rFonts w:cstheme="minorHAnsi"/>
          <w:sz w:val="16"/>
          <w:szCs w:val="16"/>
        </w:rPr>
      </w:pPr>
      <w:r w:rsidRPr="00414EC8">
        <w:rPr>
          <w:rStyle w:val="FootnoteReference"/>
          <w:rFonts w:cstheme="minorHAnsi"/>
          <w:sz w:val="16"/>
          <w:szCs w:val="16"/>
        </w:rPr>
        <w:footnoteRef/>
      </w:r>
      <w:r w:rsidRPr="00414EC8">
        <w:rPr>
          <w:rFonts w:cstheme="minorHAnsi"/>
          <w:sz w:val="16"/>
          <w:szCs w:val="16"/>
        </w:rPr>
        <w:t xml:space="preserve"> </w:t>
      </w:r>
      <w:r>
        <w:rPr>
          <w:rFonts w:cstheme="minorHAnsi"/>
          <w:sz w:val="16"/>
          <w:szCs w:val="16"/>
        </w:rPr>
        <w:t xml:space="preserve">Other expenses include </w:t>
      </w:r>
      <w:r w:rsidRPr="00414EC8">
        <w:rPr>
          <w:rFonts w:cstheme="minorHAnsi"/>
          <w:sz w:val="16"/>
          <w:szCs w:val="16"/>
        </w:rPr>
        <w:t>supplies, miscellaneous equipment, and purchased services</w:t>
      </w:r>
      <w:r>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C4570F" w:rsidRDefault="00C4570F">
    <w:pPr>
      <w:pStyle w:val="Header"/>
    </w:pPr>
  </w:p>
  <w:p w14:paraId="488AA00B" w14:textId="77777777" w:rsidR="00B6671B" w:rsidRDefault="00B66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3" w15:restartNumberingAfterBreak="0">
    <w:nsid w:val="25C25B23"/>
    <w:multiLevelType w:val="hybridMultilevel"/>
    <w:tmpl w:val="AAF400CC"/>
    <w:lvl w:ilvl="0" w:tplc="14F8C232">
      <w:start w:val="1"/>
      <w:numFmt w:val="decimal"/>
      <w:lvlText w:val="%1."/>
      <w:lvlJc w:val="left"/>
      <w:pPr>
        <w:ind w:left="720" w:hanging="360"/>
      </w:pPr>
    </w:lvl>
    <w:lvl w:ilvl="1" w:tplc="7D964E58">
      <w:start w:val="1"/>
      <w:numFmt w:val="lowerLetter"/>
      <w:lvlText w:val="%2."/>
      <w:lvlJc w:val="left"/>
      <w:pPr>
        <w:ind w:left="1440" w:hanging="360"/>
      </w:pPr>
    </w:lvl>
    <w:lvl w:ilvl="2" w:tplc="F8625A94">
      <w:start w:val="1"/>
      <w:numFmt w:val="lowerRoman"/>
      <w:lvlText w:val="%3."/>
      <w:lvlJc w:val="right"/>
      <w:pPr>
        <w:ind w:left="2160" w:hanging="180"/>
      </w:pPr>
    </w:lvl>
    <w:lvl w:ilvl="3" w:tplc="56489704">
      <w:start w:val="1"/>
      <w:numFmt w:val="decimal"/>
      <w:lvlText w:val="%4."/>
      <w:lvlJc w:val="left"/>
      <w:pPr>
        <w:ind w:left="2880" w:hanging="360"/>
      </w:pPr>
    </w:lvl>
    <w:lvl w:ilvl="4" w:tplc="0D1E936C">
      <w:start w:val="1"/>
      <w:numFmt w:val="lowerLetter"/>
      <w:lvlText w:val="%5."/>
      <w:lvlJc w:val="left"/>
      <w:pPr>
        <w:ind w:left="3600" w:hanging="360"/>
      </w:pPr>
    </w:lvl>
    <w:lvl w:ilvl="5" w:tplc="0EA06AFA">
      <w:start w:val="1"/>
      <w:numFmt w:val="lowerRoman"/>
      <w:lvlText w:val="%6."/>
      <w:lvlJc w:val="right"/>
      <w:pPr>
        <w:ind w:left="4320" w:hanging="180"/>
      </w:pPr>
    </w:lvl>
    <w:lvl w:ilvl="6" w:tplc="65D63F76">
      <w:start w:val="1"/>
      <w:numFmt w:val="decimal"/>
      <w:lvlText w:val="%7."/>
      <w:lvlJc w:val="left"/>
      <w:pPr>
        <w:ind w:left="5040" w:hanging="360"/>
      </w:pPr>
    </w:lvl>
    <w:lvl w:ilvl="7" w:tplc="01C078CA">
      <w:start w:val="1"/>
      <w:numFmt w:val="lowerLetter"/>
      <w:lvlText w:val="%8."/>
      <w:lvlJc w:val="left"/>
      <w:pPr>
        <w:ind w:left="5760" w:hanging="360"/>
      </w:pPr>
    </w:lvl>
    <w:lvl w:ilvl="8" w:tplc="5B0EBEC4">
      <w:start w:val="1"/>
      <w:numFmt w:val="lowerRoman"/>
      <w:lvlText w:val="%9."/>
      <w:lvlJc w:val="right"/>
      <w:pPr>
        <w:ind w:left="6480" w:hanging="180"/>
      </w:pPr>
    </w:lvl>
  </w:abstractNum>
  <w:abstractNum w:abstractNumId="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5"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8A659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204525">
    <w:abstractNumId w:val="10"/>
  </w:num>
  <w:num w:numId="2" w16cid:durableId="1706637529">
    <w:abstractNumId w:val="1"/>
  </w:num>
  <w:num w:numId="3" w16cid:durableId="1095706336">
    <w:abstractNumId w:val="11"/>
  </w:num>
  <w:num w:numId="4" w16cid:durableId="268512433">
    <w:abstractNumId w:val="0"/>
  </w:num>
  <w:num w:numId="5" w16cid:durableId="1101728889">
    <w:abstractNumId w:val="6"/>
  </w:num>
  <w:num w:numId="6" w16cid:durableId="1125539271">
    <w:abstractNumId w:val="4"/>
  </w:num>
  <w:num w:numId="7" w16cid:durableId="318271561">
    <w:abstractNumId w:val="5"/>
  </w:num>
  <w:num w:numId="8" w16cid:durableId="134226042">
    <w:abstractNumId w:val="8"/>
  </w:num>
  <w:num w:numId="9" w16cid:durableId="544609802">
    <w:abstractNumId w:val="9"/>
  </w:num>
  <w:num w:numId="10" w16cid:durableId="1918710780">
    <w:abstractNumId w:val="15"/>
  </w:num>
  <w:num w:numId="11" w16cid:durableId="101462868">
    <w:abstractNumId w:val="2"/>
  </w:num>
  <w:num w:numId="12" w16cid:durableId="1628855354">
    <w:abstractNumId w:val="14"/>
  </w:num>
  <w:num w:numId="13" w16cid:durableId="445930342">
    <w:abstractNumId w:val="12"/>
  </w:num>
  <w:num w:numId="14" w16cid:durableId="200827285">
    <w:abstractNumId w:val="13"/>
  </w:num>
  <w:num w:numId="15" w16cid:durableId="25722690">
    <w:abstractNumId w:val="3"/>
  </w:num>
  <w:num w:numId="16" w16cid:durableId="17345063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A76"/>
    <w:rsid w:val="00002ADE"/>
    <w:rsid w:val="0000364F"/>
    <w:rsid w:val="000036FB"/>
    <w:rsid w:val="00003AE8"/>
    <w:rsid w:val="0000516F"/>
    <w:rsid w:val="00005226"/>
    <w:rsid w:val="000053FA"/>
    <w:rsid w:val="00005421"/>
    <w:rsid w:val="000056AF"/>
    <w:rsid w:val="00005945"/>
    <w:rsid w:val="00006043"/>
    <w:rsid w:val="00006075"/>
    <w:rsid w:val="00006964"/>
    <w:rsid w:val="00006B6F"/>
    <w:rsid w:val="00006FCD"/>
    <w:rsid w:val="000073EC"/>
    <w:rsid w:val="00007818"/>
    <w:rsid w:val="0000789D"/>
    <w:rsid w:val="00007EC7"/>
    <w:rsid w:val="00010084"/>
    <w:rsid w:val="0001067C"/>
    <w:rsid w:val="000111B6"/>
    <w:rsid w:val="00011399"/>
    <w:rsid w:val="0001145D"/>
    <w:rsid w:val="000114A8"/>
    <w:rsid w:val="000115ED"/>
    <w:rsid w:val="00011EA4"/>
    <w:rsid w:val="00012039"/>
    <w:rsid w:val="00012296"/>
    <w:rsid w:val="00012B79"/>
    <w:rsid w:val="00012E91"/>
    <w:rsid w:val="00013C9B"/>
    <w:rsid w:val="00014493"/>
    <w:rsid w:val="000147B7"/>
    <w:rsid w:val="00014C77"/>
    <w:rsid w:val="0001519C"/>
    <w:rsid w:val="00015479"/>
    <w:rsid w:val="0001582B"/>
    <w:rsid w:val="00015A86"/>
    <w:rsid w:val="00015E91"/>
    <w:rsid w:val="0001695B"/>
    <w:rsid w:val="00016CED"/>
    <w:rsid w:val="000174E9"/>
    <w:rsid w:val="00017A92"/>
    <w:rsid w:val="00017C27"/>
    <w:rsid w:val="00017CAC"/>
    <w:rsid w:val="00017EBE"/>
    <w:rsid w:val="00020068"/>
    <w:rsid w:val="00020821"/>
    <w:rsid w:val="00020965"/>
    <w:rsid w:val="00020FD7"/>
    <w:rsid w:val="0002143F"/>
    <w:rsid w:val="0002171E"/>
    <w:rsid w:val="0002218C"/>
    <w:rsid w:val="00022292"/>
    <w:rsid w:val="000227A3"/>
    <w:rsid w:val="00022966"/>
    <w:rsid w:val="00022C7E"/>
    <w:rsid w:val="000239AD"/>
    <w:rsid w:val="00023A81"/>
    <w:rsid w:val="00023D12"/>
    <w:rsid w:val="00023D70"/>
    <w:rsid w:val="00023E8F"/>
    <w:rsid w:val="000242E8"/>
    <w:rsid w:val="0002439E"/>
    <w:rsid w:val="00024662"/>
    <w:rsid w:val="000249CC"/>
    <w:rsid w:val="00025525"/>
    <w:rsid w:val="000258D8"/>
    <w:rsid w:val="00025C87"/>
    <w:rsid w:val="000262A9"/>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726"/>
    <w:rsid w:val="00035859"/>
    <w:rsid w:val="00035882"/>
    <w:rsid w:val="0003595A"/>
    <w:rsid w:val="00036534"/>
    <w:rsid w:val="000365BB"/>
    <w:rsid w:val="0003678F"/>
    <w:rsid w:val="000370BA"/>
    <w:rsid w:val="00037248"/>
    <w:rsid w:val="0003777C"/>
    <w:rsid w:val="0003779F"/>
    <w:rsid w:val="000378C9"/>
    <w:rsid w:val="000378CE"/>
    <w:rsid w:val="00037AF0"/>
    <w:rsid w:val="00037B9D"/>
    <w:rsid w:val="00040884"/>
    <w:rsid w:val="000415F0"/>
    <w:rsid w:val="00041BB8"/>
    <w:rsid w:val="00041BFC"/>
    <w:rsid w:val="00041F4C"/>
    <w:rsid w:val="000422A3"/>
    <w:rsid w:val="000424D3"/>
    <w:rsid w:val="000427E0"/>
    <w:rsid w:val="00042D93"/>
    <w:rsid w:val="0004323A"/>
    <w:rsid w:val="00043F4F"/>
    <w:rsid w:val="000455A9"/>
    <w:rsid w:val="00046064"/>
    <w:rsid w:val="00046895"/>
    <w:rsid w:val="000468BC"/>
    <w:rsid w:val="00047574"/>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B92"/>
    <w:rsid w:val="00052F2B"/>
    <w:rsid w:val="0005358D"/>
    <w:rsid w:val="000536D7"/>
    <w:rsid w:val="00053849"/>
    <w:rsid w:val="00054A7A"/>
    <w:rsid w:val="00054DD1"/>
    <w:rsid w:val="00054F01"/>
    <w:rsid w:val="00055577"/>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1C45"/>
    <w:rsid w:val="0006330F"/>
    <w:rsid w:val="000635A1"/>
    <w:rsid w:val="00063ADA"/>
    <w:rsid w:val="00063F91"/>
    <w:rsid w:val="00063FB5"/>
    <w:rsid w:val="000646E0"/>
    <w:rsid w:val="0006494D"/>
    <w:rsid w:val="00064AB0"/>
    <w:rsid w:val="00065360"/>
    <w:rsid w:val="00065CD6"/>
    <w:rsid w:val="00065E14"/>
    <w:rsid w:val="00066603"/>
    <w:rsid w:val="00066AD1"/>
    <w:rsid w:val="00067169"/>
    <w:rsid w:val="000672AF"/>
    <w:rsid w:val="00067A9B"/>
    <w:rsid w:val="00067B9B"/>
    <w:rsid w:val="00067D64"/>
    <w:rsid w:val="00067F0D"/>
    <w:rsid w:val="0007003D"/>
    <w:rsid w:val="00070074"/>
    <w:rsid w:val="00070785"/>
    <w:rsid w:val="00070D6C"/>
    <w:rsid w:val="0007184A"/>
    <w:rsid w:val="00071A16"/>
    <w:rsid w:val="000726A9"/>
    <w:rsid w:val="0007293D"/>
    <w:rsid w:val="00073735"/>
    <w:rsid w:val="000737B6"/>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085"/>
    <w:rsid w:val="0008011B"/>
    <w:rsid w:val="00080430"/>
    <w:rsid w:val="00080666"/>
    <w:rsid w:val="00080BE8"/>
    <w:rsid w:val="000810E3"/>
    <w:rsid w:val="00082044"/>
    <w:rsid w:val="0008227E"/>
    <w:rsid w:val="00082400"/>
    <w:rsid w:val="00082461"/>
    <w:rsid w:val="00082892"/>
    <w:rsid w:val="00083335"/>
    <w:rsid w:val="0008356D"/>
    <w:rsid w:val="000839C1"/>
    <w:rsid w:val="00083B9D"/>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8FF"/>
    <w:rsid w:val="00090989"/>
    <w:rsid w:val="00090E01"/>
    <w:rsid w:val="00090EE1"/>
    <w:rsid w:val="000911E7"/>
    <w:rsid w:val="000913AB"/>
    <w:rsid w:val="00091793"/>
    <w:rsid w:val="000923B5"/>
    <w:rsid w:val="00092A70"/>
    <w:rsid w:val="00092E92"/>
    <w:rsid w:val="0009304B"/>
    <w:rsid w:val="000939BD"/>
    <w:rsid w:val="00093E2B"/>
    <w:rsid w:val="00093FC3"/>
    <w:rsid w:val="000942E8"/>
    <w:rsid w:val="00094366"/>
    <w:rsid w:val="0009543A"/>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069D"/>
    <w:rsid w:val="000A0E80"/>
    <w:rsid w:val="000A1411"/>
    <w:rsid w:val="000A22A9"/>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78"/>
    <w:rsid w:val="000A75F4"/>
    <w:rsid w:val="000A7AC1"/>
    <w:rsid w:val="000A7B1A"/>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4A7C"/>
    <w:rsid w:val="000B51AD"/>
    <w:rsid w:val="000B524F"/>
    <w:rsid w:val="000B5767"/>
    <w:rsid w:val="000B58B5"/>
    <w:rsid w:val="000B661C"/>
    <w:rsid w:val="000B6696"/>
    <w:rsid w:val="000B72C0"/>
    <w:rsid w:val="000B741C"/>
    <w:rsid w:val="000B7B63"/>
    <w:rsid w:val="000C03E8"/>
    <w:rsid w:val="000C0407"/>
    <w:rsid w:val="000C0753"/>
    <w:rsid w:val="000C0B5C"/>
    <w:rsid w:val="000C1123"/>
    <w:rsid w:val="000C1911"/>
    <w:rsid w:val="000C1DBE"/>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800"/>
    <w:rsid w:val="000C79C7"/>
    <w:rsid w:val="000C7B09"/>
    <w:rsid w:val="000C7CEC"/>
    <w:rsid w:val="000C7DA4"/>
    <w:rsid w:val="000D0ADC"/>
    <w:rsid w:val="000D0C8C"/>
    <w:rsid w:val="000D0ED8"/>
    <w:rsid w:val="000D1D38"/>
    <w:rsid w:val="000D2043"/>
    <w:rsid w:val="000D20F1"/>
    <w:rsid w:val="000D272A"/>
    <w:rsid w:val="000D2A7D"/>
    <w:rsid w:val="000D2A90"/>
    <w:rsid w:val="000D2AFA"/>
    <w:rsid w:val="000D2CBA"/>
    <w:rsid w:val="000D2E2C"/>
    <w:rsid w:val="000D3A86"/>
    <w:rsid w:val="000D3A87"/>
    <w:rsid w:val="000D40DF"/>
    <w:rsid w:val="000D458A"/>
    <w:rsid w:val="000D4C43"/>
    <w:rsid w:val="000D4C5A"/>
    <w:rsid w:val="000D5247"/>
    <w:rsid w:val="000D5407"/>
    <w:rsid w:val="000D565B"/>
    <w:rsid w:val="000D5716"/>
    <w:rsid w:val="000D6622"/>
    <w:rsid w:val="000D6A68"/>
    <w:rsid w:val="000D6AF2"/>
    <w:rsid w:val="000D6E6E"/>
    <w:rsid w:val="000D6ED1"/>
    <w:rsid w:val="000D6F8E"/>
    <w:rsid w:val="000D709A"/>
    <w:rsid w:val="000D7BA6"/>
    <w:rsid w:val="000D7BFE"/>
    <w:rsid w:val="000D7E3B"/>
    <w:rsid w:val="000E0343"/>
    <w:rsid w:val="000E084D"/>
    <w:rsid w:val="000E0C47"/>
    <w:rsid w:val="000E0E62"/>
    <w:rsid w:val="000E1041"/>
    <w:rsid w:val="000E1182"/>
    <w:rsid w:val="000E1CBB"/>
    <w:rsid w:val="000E1F11"/>
    <w:rsid w:val="000E23D4"/>
    <w:rsid w:val="000E3039"/>
    <w:rsid w:val="000E321D"/>
    <w:rsid w:val="000E3718"/>
    <w:rsid w:val="000E3F36"/>
    <w:rsid w:val="000E441E"/>
    <w:rsid w:val="000E45AC"/>
    <w:rsid w:val="000E4791"/>
    <w:rsid w:val="000E4DCD"/>
    <w:rsid w:val="000E4ED3"/>
    <w:rsid w:val="000E5195"/>
    <w:rsid w:val="000E5CD6"/>
    <w:rsid w:val="000E5F08"/>
    <w:rsid w:val="000E6158"/>
    <w:rsid w:val="000E67CA"/>
    <w:rsid w:val="000E6AC6"/>
    <w:rsid w:val="000E72BB"/>
    <w:rsid w:val="000E776A"/>
    <w:rsid w:val="000F02D7"/>
    <w:rsid w:val="000F0F2E"/>
    <w:rsid w:val="000F115E"/>
    <w:rsid w:val="000F12F9"/>
    <w:rsid w:val="000F200E"/>
    <w:rsid w:val="000F2543"/>
    <w:rsid w:val="000F2589"/>
    <w:rsid w:val="000F2FF8"/>
    <w:rsid w:val="000F30D4"/>
    <w:rsid w:val="000F317F"/>
    <w:rsid w:val="000F31DF"/>
    <w:rsid w:val="000F3C99"/>
    <w:rsid w:val="000F3DAD"/>
    <w:rsid w:val="000F3E5B"/>
    <w:rsid w:val="000F4347"/>
    <w:rsid w:val="000F48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D3"/>
    <w:rsid w:val="000F7808"/>
    <w:rsid w:val="000F789B"/>
    <w:rsid w:val="000F7C26"/>
    <w:rsid w:val="000F7C9A"/>
    <w:rsid w:val="000F7DFB"/>
    <w:rsid w:val="00100082"/>
    <w:rsid w:val="001004B8"/>
    <w:rsid w:val="001005C6"/>
    <w:rsid w:val="0010120C"/>
    <w:rsid w:val="00101837"/>
    <w:rsid w:val="00101943"/>
    <w:rsid w:val="00101B15"/>
    <w:rsid w:val="001020EE"/>
    <w:rsid w:val="001022D6"/>
    <w:rsid w:val="00102683"/>
    <w:rsid w:val="00102D4C"/>
    <w:rsid w:val="00103383"/>
    <w:rsid w:val="001039A7"/>
    <w:rsid w:val="001039F3"/>
    <w:rsid w:val="00103B28"/>
    <w:rsid w:val="00104BB8"/>
    <w:rsid w:val="00104C61"/>
    <w:rsid w:val="00104CD5"/>
    <w:rsid w:val="00104E11"/>
    <w:rsid w:val="00104FED"/>
    <w:rsid w:val="00105784"/>
    <w:rsid w:val="00105A50"/>
    <w:rsid w:val="00105B76"/>
    <w:rsid w:val="00106691"/>
    <w:rsid w:val="001068A0"/>
    <w:rsid w:val="00106CA8"/>
    <w:rsid w:val="00106F7D"/>
    <w:rsid w:val="00107780"/>
    <w:rsid w:val="00107893"/>
    <w:rsid w:val="001100CE"/>
    <w:rsid w:val="0011063D"/>
    <w:rsid w:val="001106D5"/>
    <w:rsid w:val="00110CCC"/>
    <w:rsid w:val="001114BC"/>
    <w:rsid w:val="0011211C"/>
    <w:rsid w:val="00112E30"/>
    <w:rsid w:val="0011318D"/>
    <w:rsid w:val="001137C7"/>
    <w:rsid w:val="00113894"/>
    <w:rsid w:val="00113A67"/>
    <w:rsid w:val="001140E5"/>
    <w:rsid w:val="0011440B"/>
    <w:rsid w:val="00114525"/>
    <w:rsid w:val="00114B38"/>
    <w:rsid w:val="00114DF7"/>
    <w:rsid w:val="00114F4A"/>
    <w:rsid w:val="0011583A"/>
    <w:rsid w:val="00115F6B"/>
    <w:rsid w:val="0011621B"/>
    <w:rsid w:val="001163BA"/>
    <w:rsid w:val="001166DA"/>
    <w:rsid w:val="00117338"/>
    <w:rsid w:val="0011737F"/>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1B4B"/>
    <w:rsid w:val="0012234D"/>
    <w:rsid w:val="00122462"/>
    <w:rsid w:val="00122561"/>
    <w:rsid w:val="00122642"/>
    <w:rsid w:val="0012336A"/>
    <w:rsid w:val="0012367E"/>
    <w:rsid w:val="0012392C"/>
    <w:rsid w:val="00124050"/>
    <w:rsid w:val="00124894"/>
    <w:rsid w:val="00124BCB"/>
    <w:rsid w:val="00124E50"/>
    <w:rsid w:val="0012521D"/>
    <w:rsid w:val="0012535E"/>
    <w:rsid w:val="001259C3"/>
    <w:rsid w:val="001259C6"/>
    <w:rsid w:val="001265B4"/>
    <w:rsid w:val="001265FC"/>
    <w:rsid w:val="00126E8A"/>
    <w:rsid w:val="00127222"/>
    <w:rsid w:val="00127DBA"/>
    <w:rsid w:val="001300AE"/>
    <w:rsid w:val="0013018D"/>
    <w:rsid w:val="001301CB"/>
    <w:rsid w:val="00130275"/>
    <w:rsid w:val="00130BE3"/>
    <w:rsid w:val="00130EB0"/>
    <w:rsid w:val="0013103B"/>
    <w:rsid w:val="001310BB"/>
    <w:rsid w:val="001314DD"/>
    <w:rsid w:val="0013187E"/>
    <w:rsid w:val="001319F2"/>
    <w:rsid w:val="00131B41"/>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4E5C"/>
    <w:rsid w:val="00135286"/>
    <w:rsid w:val="0013591D"/>
    <w:rsid w:val="001359C8"/>
    <w:rsid w:val="00135B71"/>
    <w:rsid w:val="00135B96"/>
    <w:rsid w:val="00135D92"/>
    <w:rsid w:val="00135E14"/>
    <w:rsid w:val="00135E81"/>
    <w:rsid w:val="00136358"/>
    <w:rsid w:val="0013679C"/>
    <w:rsid w:val="00136B09"/>
    <w:rsid w:val="0013724C"/>
    <w:rsid w:val="001373D9"/>
    <w:rsid w:val="001375F6"/>
    <w:rsid w:val="001377D8"/>
    <w:rsid w:val="00137C5B"/>
    <w:rsid w:val="001401F2"/>
    <w:rsid w:val="00140989"/>
    <w:rsid w:val="00141004"/>
    <w:rsid w:val="00141279"/>
    <w:rsid w:val="001412F5"/>
    <w:rsid w:val="001418D7"/>
    <w:rsid w:val="00141991"/>
    <w:rsid w:val="00141E82"/>
    <w:rsid w:val="0014242D"/>
    <w:rsid w:val="00142BE7"/>
    <w:rsid w:val="00142FC9"/>
    <w:rsid w:val="00143407"/>
    <w:rsid w:val="00143664"/>
    <w:rsid w:val="001438F2"/>
    <w:rsid w:val="00143A5F"/>
    <w:rsid w:val="00143C83"/>
    <w:rsid w:val="00143D18"/>
    <w:rsid w:val="00143F1D"/>
    <w:rsid w:val="00144119"/>
    <w:rsid w:val="00144153"/>
    <w:rsid w:val="00144A1A"/>
    <w:rsid w:val="001458A7"/>
    <w:rsid w:val="00146710"/>
    <w:rsid w:val="0014702B"/>
    <w:rsid w:val="00147508"/>
    <w:rsid w:val="001478F1"/>
    <w:rsid w:val="00147A15"/>
    <w:rsid w:val="00147B20"/>
    <w:rsid w:val="00147C38"/>
    <w:rsid w:val="00147FCF"/>
    <w:rsid w:val="00150255"/>
    <w:rsid w:val="0015037D"/>
    <w:rsid w:val="00150D2E"/>
    <w:rsid w:val="001512D3"/>
    <w:rsid w:val="00151409"/>
    <w:rsid w:val="001522A9"/>
    <w:rsid w:val="00152B48"/>
    <w:rsid w:val="00152F52"/>
    <w:rsid w:val="00153584"/>
    <w:rsid w:val="0015359F"/>
    <w:rsid w:val="00153CB3"/>
    <w:rsid w:val="001544ED"/>
    <w:rsid w:val="00154765"/>
    <w:rsid w:val="0015484A"/>
    <w:rsid w:val="00154958"/>
    <w:rsid w:val="00154CF4"/>
    <w:rsid w:val="001550CE"/>
    <w:rsid w:val="001550EF"/>
    <w:rsid w:val="00155601"/>
    <w:rsid w:val="00155FFE"/>
    <w:rsid w:val="001562A2"/>
    <w:rsid w:val="001562D1"/>
    <w:rsid w:val="001571E0"/>
    <w:rsid w:val="001578D7"/>
    <w:rsid w:val="0016022B"/>
    <w:rsid w:val="0016038D"/>
    <w:rsid w:val="00160781"/>
    <w:rsid w:val="00160C58"/>
    <w:rsid w:val="00160F5F"/>
    <w:rsid w:val="00161097"/>
    <w:rsid w:val="001610C5"/>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7DB"/>
    <w:rsid w:val="00166275"/>
    <w:rsid w:val="001664D3"/>
    <w:rsid w:val="00166AFB"/>
    <w:rsid w:val="00167738"/>
    <w:rsid w:val="00167C12"/>
    <w:rsid w:val="00167C25"/>
    <w:rsid w:val="00170563"/>
    <w:rsid w:val="00171342"/>
    <w:rsid w:val="001714B2"/>
    <w:rsid w:val="00171608"/>
    <w:rsid w:val="00171823"/>
    <w:rsid w:val="00171A74"/>
    <w:rsid w:val="00171FF0"/>
    <w:rsid w:val="00172262"/>
    <w:rsid w:val="001727FD"/>
    <w:rsid w:val="00172EDB"/>
    <w:rsid w:val="0017310C"/>
    <w:rsid w:val="0017394B"/>
    <w:rsid w:val="00173CC9"/>
    <w:rsid w:val="0017419D"/>
    <w:rsid w:val="001743D3"/>
    <w:rsid w:val="00174C7E"/>
    <w:rsid w:val="001752FB"/>
    <w:rsid w:val="00175766"/>
    <w:rsid w:val="0017586D"/>
    <w:rsid w:val="00175906"/>
    <w:rsid w:val="00175A04"/>
    <w:rsid w:val="00175AF1"/>
    <w:rsid w:val="00176749"/>
    <w:rsid w:val="001768CC"/>
    <w:rsid w:val="0017737E"/>
    <w:rsid w:val="001773CB"/>
    <w:rsid w:val="00177898"/>
    <w:rsid w:val="00177E14"/>
    <w:rsid w:val="00180307"/>
    <w:rsid w:val="00180463"/>
    <w:rsid w:val="0018054A"/>
    <w:rsid w:val="00180C5A"/>
    <w:rsid w:val="00181B5A"/>
    <w:rsid w:val="00181FAC"/>
    <w:rsid w:val="00181FCF"/>
    <w:rsid w:val="00182B4D"/>
    <w:rsid w:val="00182FCF"/>
    <w:rsid w:val="00183967"/>
    <w:rsid w:val="00183E43"/>
    <w:rsid w:val="001843D1"/>
    <w:rsid w:val="00184404"/>
    <w:rsid w:val="0018463C"/>
    <w:rsid w:val="001846C2"/>
    <w:rsid w:val="00185387"/>
    <w:rsid w:val="00185E34"/>
    <w:rsid w:val="00186063"/>
    <w:rsid w:val="00186706"/>
    <w:rsid w:val="00186DEE"/>
    <w:rsid w:val="00187FC3"/>
    <w:rsid w:val="0019142C"/>
    <w:rsid w:val="00191A1D"/>
    <w:rsid w:val="00191ABE"/>
    <w:rsid w:val="00191B8C"/>
    <w:rsid w:val="00191CCA"/>
    <w:rsid w:val="00191CE6"/>
    <w:rsid w:val="00191DB0"/>
    <w:rsid w:val="00191DC1"/>
    <w:rsid w:val="00191FB6"/>
    <w:rsid w:val="001921C9"/>
    <w:rsid w:val="001921FD"/>
    <w:rsid w:val="0019376A"/>
    <w:rsid w:val="00193AE7"/>
    <w:rsid w:val="00193F34"/>
    <w:rsid w:val="0019415A"/>
    <w:rsid w:val="001942F6"/>
    <w:rsid w:val="0019497C"/>
    <w:rsid w:val="00195E58"/>
    <w:rsid w:val="00196087"/>
    <w:rsid w:val="0019686D"/>
    <w:rsid w:val="00196BFC"/>
    <w:rsid w:val="00196F36"/>
    <w:rsid w:val="00196FCD"/>
    <w:rsid w:val="001971E3"/>
    <w:rsid w:val="001973D7"/>
    <w:rsid w:val="001973F9"/>
    <w:rsid w:val="0019742D"/>
    <w:rsid w:val="001978A7"/>
    <w:rsid w:val="001978E9"/>
    <w:rsid w:val="0019796B"/>
    <w:rsid w:val="00197BBF"/>
    <w:rsid w:val="001A041E"/>
    <w:rsid w:val="001A05BE"/>
    <w:rsid w:val="001A07C8"/>
    <w:rsid w:val="001A0F44"/>
    <w:rsid w:val="001A1B1D"/>
    <w:rsid w:val="001A1BB7"/>
    <w:rsid w:val="001A1CEE"/>
    <w:rsid w:val="001A2145"/>
    <w:rsid w:val="001A21B5"/>
    <w:rsid w:val="001A281F"/>
    <w:rsid w:val="001A2BC4"/>
    <w:rsid w:val="001A31D3"/>
    <w:rsid w:val="001A3354"/>
    <w:rsid w:val="001A3618"/>
    <w:rsid w:val="001A3A08"/>
    <w:rsid w:val="001A3D30"/>
    <w:rsid w:val="001A3D32"/>
    <w:rsid w:val="001A41E7"/>
    <w:rsid w:val="001A44FB"/>
    <w:rsid w:val="001A4E7D"/>
    <w:rsid w:val="001A55BE"/>
    <w:rsid w:val="001A59BC"/>
    <w:rsid w:val="001A5C40"/>
    <w:rsid w:val="001A6912"/>
    <w:rsid w:val="001A6ADC"/>
    <w:rsid w:val="001A6BA8"/>
    <w:rsid w:val="001A6E8C"/>
    <w:rsid w:val="001A6EFE"/>
    <w:rsid w:val="001A6F6E"/>
    <w:rsid w:val="001A71FB"/>
    <w:rsid w:val="001A72A6"/>
    <w:rsid w:val="001A7B48"/>
    <w:rsid w:val="001B0631"/>
    <w:rsid w:val="001B0DF8"/>
    <w:rsid w:val="001B0FD5"/>
    <w:rsid w:val="001B1348"/>
    <w:rsid w:val="001B1550"/>
    <w:rsid w:val="001B163C"/>
    <w:rsid w:val="001B1667"/>
    <w:rsid w:val="001B2522"/>
    <w:rsid w:val="001B2928"/>
    <w:rsid w:val="001B2AAD"/>
    <w:rsid w:val="001B2B2D"/>
    <w:rsid w:val="001B2C1D"/>
    <w:rsid w:val="001B396B"/>
    <w:rsid w:val="001B3A66"/>
    <w:rsid w:val="001B3B64"/>
    <w:rsid w:val="001B4409"/>
    <w:rsid w:val="001B55F0"/>
    <w:rsid w:val="001B5782"/>
    <w:rsid w:val="001B5884"/>
    <w:rsid w:val="001B5EA1"/>
    <w:rsid w:val="001B6D5E"/>
    <w:rsid w:val="001B6E15"/>
    <w:rsid w:val="001B6FE1"/>
    <w:rsid w:val="001B7288"/>
    <w:rsid w:val="001B7902"/>
    <w:rsid w:val="001B79BC"/>
    <w:rsid w:val="001B7B43"/>
    <w:rsid w:val="001C0FA7"/>
    <w:rsid w:val="001C120C"/>
    <w:rsid w:val="001C14F7"/>
    <w:rsid w:val="001C189F"/>
    <w:rsid w:val="001C1B5E"/>
    <w:rsid w:val="001C1E4A"/>
    <w:rsid w:val="001C21EF"/>
    <w:rsid w:val="001C233A"/>
    <w:rsid w:val="001C263E"/>
    <w:rsid w:val="001C27AA"/>
    <w:rsid w:val="001C27E6"/>
    <w:rsid w:val="001C281E"/>
    <w:rsid w:val="001C2BC9"/>
    <w:rsid w:val="001C339A"/>
    <w:rsid w:val="001C3554"/>
    <w:rsid w:val="001C3E16"/>
    <w:rsid w:val="001C3E2E"/>
    <w:rsid w:val="001C3FAF"/>
    <w:rsid w:val="001C409F"/>
    <w:rsid w:val="001C4107"/>
    <w:rsid w:val="001C4161"/>
    <w:rsid w:val="001C42C9"/>
    <w:rsid w:val="001C42DD"/>
    <w:rsid w:val="001C4FE6"/>
    <w:rsid w:val="001C5983"/>
    <w:rsid w:val="001C5A1B"/>
    <w:rsid w:val="001C5F05"/>
    <w:rsid w:val="001C68C8"/>
    <w:rsid w:val="001C69E6"/>
    <w:rsid w:val="001C6CA3"/>
    <w:rsid w:val="001C7134"/>
    <w:rsid w:val="001C73C9"/>
    <w:rsid w:val="001C773B"/>
    <w:rsid w:val="001C7752"/>
    <w:rsid w:val="001C7980"/>
    <w:rsid w:val="001D0000"/>
    <w:rsid w:val="001D00DA"/>
    <w:rsid w:val="001D09EF"/>
    <w:rsid w:val="001D0BB1"/>
    <w:rsid w:val="001D0F36"/>
    <w:rsid w:val="001D147E"/>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43"/>
    <w:rsid w:val="001D5A4B"/>
    <w:rsid w:val="001D5D52"/>
    <w:rsid w:val="001D5E72"/>
    <w:rsid w:val="001D61B8"/>
    <w:rsid w:val="001D6E31"/>
    <w:rsid w:val="001D7C41"/>
    <w:rsid w:val="001D7E23"/>
    <w:rsid w:val="001D7F16"/>
    <w:rsid w:val="001D7FD7"/>
    <w:rsid w:val="001E03C5"/>
    <w:rsid w:val="001E0B84"/>
    <w:rsid w:val="001E0D4E"/>
    <w:rsid w:val="001E0E87"/>
    <w:rsid w:val="001E0F3B"/>
    <w:rsid w:val="001E1A3F"/>
    <w:rsid w:val="001E302C"/>
    <w:rsid w:val="001E36A8"/>
    <w:rsid w:val="001E3E8C"/>
    <w:rsid w:val="001E481E"/>
    <w:rsid w:val="001E4939"/>
    <w:rsid w:val="001E4BC5"/>
    <w:rsid w:val="001E4F1C"/>
    <w:rsid w:val="001E5266"/>
    <w:rsid w:val="001E59F7"/>
    <w:rsid w:val="001E5B05"/>
    <w:rsid w:val="001E5B50"/>
    <w:rsid w:val="001E5B7D"/>
    <w:rsid w:val="001E6402"/>
    <w:rsid w:val="001E6699"/>
    <w:rsid w:val="001E6E05"/>
    <w:rsid w:val="001E711E"/>
    <w:rsid w:val="001E71E5"/>
    <w:rsid w:val="001E75F1"/>
    <w:rsid w:val="001E77E1"/>
    <w:rsid w:val="001E7832"/>
    <w:rsid w:val="001E7C3B"/>
    <w:rsid w:val="001E7E17"/>
    <w:rsid w:val="001F0933"/>
    <w:rsid w:val="001F1873"/>
    <w:rsid w:val="001F18EC"/>
    <w:rsid w:val="001F1B4D"/>
    <w:rsid w:val="001F2180"/>
    <w:rsid w:val="001F2225"/>
    <w:rsid w:val="001F37CE"/>
    <w:rsid w:val="001F4DDB"/>
    <w:rsid w:val="001F5310"/>
    <w:rsid w:val="001F537E"/>
    <w:rsid w:val="001F548F"/>
    <w:rsid w:val="001F5A13"/>
    <w:rsid w:val="001F5B57"/>
    <w:rsid w:val="001F6589"/>
    <w:rsid w:val="001F673E"/>
    <w:rsid w:val="001F6848"/>
    <w:rsid w:val="001F6C01"/>
    <w:rsid w:val="001F7027"/>
    <w:rsid w:val="001F7225"/>
    <w:rsid w:val="001F7272"/>
    <w:rsid w:val="001F747C"/>
    <w:rsid w:val="00200289"/>
    <w:rsid w:val="00200807"/>
    <w:rsid w:val="002010BA"/>
    <w:rsid w:val="002016A8"/>
    <w:rsid w:val="002019A7"/>
    <w:rsid w:val="002019F5"/>
    <w:rsid w:val="00201EB0"/>
    <w:rsid w:val="0020236F"/>
    <w:rsid w:val="002028D8"/>
    <w:rsid w:val="002029AA"/>
    <w:rsid w:val="00203911"/>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646A"/>
    <w:rsid w:val="00206D94"/>
    <w:rsid w:val="0020757B"/>
    <w:rsid w:val="00207F40"/>
    <w:rsid w:val="0021008C"/>
    <w:rsid w:val="002103AA"/>
    <w:rsid w:val="00210BE8"/>
    <w:rsid w:val="00210EF8"/>
    <w:rsid w:val="002116BB"/>
    <w:rsid w:val="00211915"/>
    <w:rsid w:val="00211961"/>
    <w:rsid w:val="00211A5C"/>
    <w:rsid w:val="00211E9C"/>
    <w:rsid w:val="002124EE"/>
    <w:rsid w:val="00212832"/>
    <w:rsid w:val="00213456"/>
    <w:rsid w:val="002141D4"/>
    <w:rsid w:val="002142B6"/>
    <w:rsid w:val="0021453E"/>
    <w:rsid w:val="00214650"/>
    <w:rsid w:val="00214EA6"/>
    <w:rsid w:val="00214F37"/>
    <w:rsid w:val="002152B7"/>
    <w:rsid w:val="002155BC"/>
    <w:rsid w:val="0021582E"/>
    <w:rsid w:val="002164A5"/>
    <w:rsid w:val="0021693B"/>
    <w:rsid w:val="00216A83"/>
    <w:rsid w:val="00216C90"/>
    <w:rsid w:val="00216D29"/>
    <w:rsid w:val="002177AB"/>
    <w:rsid w:val="002177C1"/>
    <w:rsid w:val="00217E2E"/>
    <w:rsid w:val="00217F91"/>
    <w:rsid w:val="002200C6"/>
    <w:rsid w:val="002201FF"/>
    <w:rsid w:val="00220809"/>
    <w:rsid w:val="00220DE3"/>
    <w:rsid w:val="002212CB"/>
    <w:rsid w:val="00221472"/>
    <w:rsid w:val="00221C91"/>
    <w:rsid w:val="00221E03"/>
    <w:rsid w:val="0022246F"/>
    <w:rsid w:val="002228EE"/>
    <w:rsid w:val="00222A53"/>
    <w:rsid w:val="00222B74"/>
    <w:rsid w:val="00223340"/>
    <w:rsid w:val="0022376F"/>
    <w:rsid w:val="00223A7B"/>
    <w:rsid w:val="00223CD3"/>
    <w:rsid w:val="00224058"/>
    <w:rsid w:val="00224078"/>
    <w:rsid w:val="002242AC"/>
    <w:rsid w:val="00224731"/>
    <w:rsid w:val="002248D8"/>
    <w:rsid w:val="0022497C"/>
    <w:rsid w:val="00225028"/>
    <w:rsid w:val="00225165"/>
    <w:rsid w:val="002252A2"/>
    <w:rsid w:val="0022549A"/>
    <w:rsid w:val="00225626"/>
    <w:rsid w:val="0022572B"/>
    <w:rsid w:val="00225D76"/>
    <w:rsid w:val="002270FB"/>
    <w:rsid w:val="0022769C"/>
    <w:rsid w:val="0022788A"/>
    <w:rsid w:val="00227A3A"/>
    <w:rsid w:val="002300A0"/>
    <w:rsid w:val="0023025C"/>
    <w:rsid w:val="002305D0"/>
    <w:rsid w:val="00231124"/>
    <w:rsid w:val="00231128"/>
    <w:rsid w:val="002316D5"/>
    <w:rsid w:val="00231792"/>
    <w:rsid w:val="00231963"/>
    <w:rsid w:val="00231AB4"/>
    <w:rsid w:val="002328B1"/>
    <w:rsid w:val="00232C79"/>
    <w:rsid w:val="002333D0"/>
    <w:rsid w:val="0023342D"/>
    <w:rsid w:val="00233478"/>
    <w:rsid w:val="0023374F"/>
    <w:rsid w:val="002338FD"/>
    <w:rsid w:val="00234300"/>
    <w:rsid w:val="002344DA"/>
    <w:rsid w:val="002347EF"/>
    <w:rsid w:val="00234964"/>
    <w:rsid w:val="002349CC"/>
    <w:rsid w:val="00234DE2"/>
    <w:rsid w:val="00235229"/>
    <w:rsid w:val="002355A2"/>
    <w:rsid w:val="00236222"/>
    <w:rsid w:val="00236373"/>
    <w:rsid w:val="002363F6"/>
    <w:rsid w:val="00237553"/>
    <w:rsid w:val="00237618"/>
    <w:rsid w:val="00237DDB"/>
    <w:rsid w:val="00237F51"/>
    <w:rsid w:val="00237F66"/>
    <w:rsid w:val="00240DA8"/>
    <w:rsid w:val="00240E70"/>
    <w:rsid w:val="00240F43"/>
    <w:rsid w:val="00241267"/>
    <w:rsid w:val="002418C5"/>
    <w:rsid w:val="00241FD7"/>
    <w:rsid w:val="002427F4"/>
    <w:rsid w:val="00242B88"/>
    <w:rsid w:val="00242E67"/>
    <w:rsid w:val="00242E76"/>
    <w:rsid w:val="00242EB7"/>
    <w:rsid w:val="002435DA"/>
    <w:rsid w:val="002435F7"/>
    <w:rsid w:val="00243602"/>
    <w:rsid w:val="00243663"/>
    <w:rsid w:val="00244134"/>
    <w:rsid w:val="00244505"/>
    <w:rsid w:val="00244C8D"/>
    <w:rsid w:val="00244C99"/>
    <w:rsid w:val="00245328"/>
    <w:rsid w:val="00245EEE"/>
    <w:rsid w:val="0024620F"/>
    <w:rsid w:val="002466B9"/>
    <w:rsid w:val="00246810"/>
    <w:rsid w:val="00247190"/>
    <w:rsid w:val="002473C0"/>
    <w:rsid w:val="002474B9"/>
    <w:rsid w:val="0024765B"/>
    <w:rsid w:val="002476EC"/>
    <w:rsid w:val="0024787A"/>
    <w:rsid w:val="002479FB"/>
    <w:rsid w:val="0025012B"/>
    <w:rsid w:val="002501D6"/>
    <w:rsid w:val="002505DD"/>
    <w:rsid w:val="00250EBB"/>
    <w:rsid w:val="00251229"/>
    <w:rsid w:val="00251254"/>
    <w:rsid w:val="0025126D"/>
    <w:rsid w:val="00251F4D"/>
    <w:rsid w:val="00252431"/>
    <w:rsid w:val="00252586"/>
    <w:rsid w:val="00252ECB"/>
    <w:rsid w:val="002532A4"/>
    <w:rsid w:val="00253348"/>
    <w:rsid w:val="00253406"/>
    <w:rsid w:val="00253599"/>
    <w:rsid w:val="00253B94"/>
    <w:rsid w:val="00253DE8"/>
    <w:rsid w:val="0025455E"/>
    <w:rsid w:val="002554CB"/>
    <w:rsid w:val="00255746"/>
    <w:rsid w:val="002558F8"/>
    <w:rsid w:val="00255985"/>
    <w:rsid w:val="00256D96"/>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93E"/>
    <w:rsid w:val="00262B8B"/>
    <w:rsid w:val="00262DFA"/>
    <w:rsid w:val="00263256"/>
    <w:rsid w:val="00263332"/>
    <w:rsid w:val="00263513"/>
    <w:rsid w:val="0026387E"/>
    <w:rsid w:val="00263A8B"/>
    <w:rsid w:val="00263D57"/>
    <w:rsid w:val="00263D59"/>
    <w:rsid w:val="002644B6"/>
    <w:rsid w:val="00264704"/>
    <w:rsid w:val="002652BE"/>
    <w:rsid w:val="002658A9"/>
    <w:rsid w:val="00265A28"/>
    <w:rsid w:val="00265C05"/>
    <w:rsid w:val="00265D78"/>
    <w:rsid w:val="002667FB"/>
    <w:rsid w:val="00266FEA"/>
    <w:rsid w:val="00267548"/>
    <w:rsid w:val="0026766D"/>
    <w:rsid w:val="00267B78"/>
    <w:rsid w:val="00267CB8"/>
    <w:rsid w:val="00267D85"/>
    <w:rsid w:val="00267E93"/>
    <w:rsid w:val="00270832"/>
    <w:rsid w:val="002716CA"/>
    <w:rsid w:val="002716F0"/>
    <w:rsid w:val="00271A00"/>
    <w:rsid w:val="00272390"/>
    <w:rsid w:val="00272683"/>
    <w:rsid w:val="00272AF5"/>
    <w:rsid w:val="00273DFC"/>
    <w:rsid w:val="00274B67"/>
    <w:rsid w:val="00274D85"/>
    <w:rsid w:val="00275324"/>
    <w:rsid w:val="0027537F"/>
    <w:rsid w:val="002758F5"/>
    <w:rsid w:val="002759C7"/>
    <w:rsid w:val="00275F25"/>
    <w:rsid w:val="0027620E"/>
    <w:rsid w:val="002768D8"/>
    <w:rsid w:val="00276E8E"/>
    <w:rsid w:val="002800EF"/>
    <w:rsid w:val="00280639"/>
    <w:rsid w:val="002806D0"/>
    <w:rsid w:val="002810A9"/>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A7A"/>
    <w:rsid w:val="00285FBC"/>
    <w:rsid w:val="002861A2"/>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5393"/>
    <w:rsid w:val="002958C9"/>
    <w:rsid w:val="00295A5B"/>
    <w:rsid w:val="002964E7"/>
    <w:rsid w:val="00296539"/>
    <w:rsid w:val="00296816"/>
    <w:rsid w:val="0029752F"/>
    <w:rsid w:val="00297AEF"/>
    <w:rsid w:val="00297F46"/>
    <w:rsid w:val="002A0250"/>
    <w:rsid w:val="002A02C6"/>
    <w:rsid w:val="002A067D"/>
    <w:rsid w:val="002A08DB"/>
    <w:rsid w:val="002A1A23"/>
    <w:rsid w:val="002A1C2F"/>
    <w:rsid w:val="002A22A5"/>
    <w:rsid w:val="002A27AA"/>
    <w:rsid w:val="002A305B"/>
    <w:rsid w:val="002A4FDF"/>
    <w:rsid w:val="002A639A"/>
    <w:rsid w:val="002A67D1"/>
    <w:rsid w:val="002A698F"/>
    <w:rsid w:val="002A6A2D"/>
    <w:rsid w:val="002A7457"/>
    <w:rsid w:val="002A7AC5"/>
    <w:rsid w:val="002B0000"/>
    <w:rsid w:val="002B003D"/>
    <w:rsid w:val="002B07D6"/>
    <w:rsid w:val="002B0DB2"/>
    <w:rsid w:val="002B1A98"/>
    <w:rsid w:val="002B1EBD"/>
    <w:rsid w:val="002B1F17"/>
    <w:rsid w:val="002B342D"/>
    <w:rsid w:val="002B3B4C"/>
    <w:rsid w:val="002B3B9E"/>
    <w:rsid w:val="002B3C6F"/>
    <w:rsid w:val="002B3EEE"/>
    <w:rsid w:val="002B414C"/>
    <w:rsid w:val="002B544C"/>
    <w:rsid w:val="002B566F"/>
    <w:rsid w:val="002B598D"/>
    <w:rsid w:val="002B6554"/>
    <w:rsid w:val="002B6D88"/>
    <w:rsid w:val="002B72EA"/>
    <w:rsid w:val="002B74D4"/>
    <w:rsid w:val="002B7542"/>
    <w:rsid w:val="002B7A96"/>
    <w:rsid w:val="002C0763"/>
    <w:rsid w:val="002C0C20"/>
    <w:rsid w:val="002C11E2"/>
    <w:rsid w:val="002C1265"/>
    <w:rsid w:val="002C25AD"/>
    <w:rsid w:val="002C2B96"/>
    <w:rsid w:val="002C2CE1"/>
    <w:rsid w:val="002C2DBC"/>
    <w:rsid w:val="002C3127"/>
    <w:rsid w:val="002C3360"/>
    <w:rsid w:val="002C3827"/>
    <w:rsid w:val="002C38F8"/>
    <w:rsid w:val="002C3B08"/>
    <w:rsid w:val="002C3E4C"/>
    <w:rsid w:val="002C4532"/>
    <w:rsid w:val="002C4601"/>
    <w:rsid w:val="002C4AB0"/>
    <w:rsid w:val="002C4B24"/>
    <w:rsid w:val="002C5014"/>
    <w:rsid w:val="002C5267"/>
    <w:rsid w:val="002C585A"/>
    <w:rsid w:val="002C654D"/>
    <w:rsid w:val="002C715A"/>
    <w:rsid w:val="002C728D"/>
    <w:rsid w:val="002C765F"/>
    <w:rsid w:val="002C7855"/>
    <w:rsid w:val="002C7AB6"/>
    <w:rsid w:val="002D002B"/>
    <w:rsid w:val="002D01E5"/>
    <w:rsid w:val="002D0382"/>
    <w:rsid w:val="002D07A7"/>
    <w:rsid w:val="002D0E7A"/>
    <w:rsid w:val="002D11C7"/>
    <w:rsid w:val="002D1649"/>
    <w:rsid w:val="002D2E0C"/>
    <w:rsid w:val="002D3984"/>
    <w:rsid w:val="002D452D"/>
    <w:rsid w:val="002D4618"/>
    <w:rsid w:val="002D464C"/>
    <w:rsid w:val="002D4902"/>
    <w:rsid w:val="002D4C32"/>
    <w:rsid w:val="002D535F"/>
    <w:rsid w:val="002D54A7"/>
    <w:rsid w:val="002D55B9"/>
    <w:rsid w:val="002D565E"/>
    <w:rsid w:val="002D5686"/>
    <w:rsid w:val="002D5974"/>
    <w:rsid w:val="002D5FEE"/>
    <w:rsid w:val="002D6167"/>
    <w:rsid w:val="002D6186"/>
    <w:rsid w:val="002D6207"/>
    <w:rsid w:val="002D6285"/>
    <w:rsid w:val="002D6DEE"/>
    <w:rsid w:val="002D71C7"/>
    <w:rsid w:val="002D736B"/>
    <w:rsid w:val="002D7A10"/>
    <w:rsid w:val="002D7D23"/>
    <w:rsid w:val="002E00DA"/>
    <w:rsid w:val="002E045A"/>
    <w:rsid w:val="002E088D"/>
    <w:rsid w:val="002E0A71"/>
    <w:rsid w:val="002E13F7"/>
    <w:rsid w:val="002E1837"/>
    <w:rsid w:val="002E1AFB"/>
    <w:rsid w:val="002E1C0F"/>
    <w:rsid w:val="002E3100"/>
    <w:rsid w:val="002E3344"/>
    <w:rsid w:val="002E3DC8"/>
    <w:rsid w:val="002E4467"/>
    <w:rsid w:val="002E471E"/>
    <w:rsid w:val="002E5176"/>
    <w:rsid w:val="002E5AEC"/>
    <w:rsid w:val="002E719D"/>
    <w:rsid w:val="002E71CE"/>
    <w:rsid w:val="002E73A8"/>
    <w:rsid w:val="002E762D"/>
    <w:rsid w:val="002F0065"/>
    <w:rsid w:val="002F021B"/>
    <w:rsid w:val="002F095E"/>
    <w:rsid w:val="002F0C48"/>
    <w:rsid w:val="002F1159"/>
    <w:rsid w:val="002F1CEA"/>
    <w:rsid w:val="002F1D45"/>
    <w:rsid w:val="002F2165"/>
    <w:rsid w:val="002F2575"/>
    <w:rsid w:val="002F25F6"/>
    <w:rsid w:val="002F2688"/>
    <w:rsid w:val="002F27DC"/>
    <w:rsid w:val="002F3AFC"/>
    <w:rsid w:val="002F3BCD"/>
    <w:rsid w:val="002F44A3"/>
    <w:rsid w:val="002F50C8"/>
    <w:rsid w:val="002F510C"/>
    <w:rsid w:val="002F5457"/>
    <w:rsid w:val="002F57BD"/>
    <w:rsid w:val="002F63D1"/>
    <w:rsid w:val="002F63F0"/>
    <w:rsid w:val="002F6791"/>
    <w:rsid w:val="002F6D2A"/>
    <w:rsid w:val="002F6D80"/>
    <w:rsid w:val="002F756A"/>
    <w:rsid w:val="00300145"/>
    <w:rsid w:val="00300AD0"/>
    <w:rsid w:val="00300CA5"/>
    <w:rsid w:val="00300D64"/>
    <w:rsid w:val="0030103B"/>
    <w:rsid w:val="0030134E"/>
    <w:rsid w:val="00301934"/>
    <w:rsid w:val="00301C1C"/>
    <w:rsid w:val="00301DCF"/>
    <w:rsid w:val="003021F9"/>
    <w:rsid w:val="00302263"/>
    <w:rsid w:val="0030235D"/>
    <w:rsid w:val="003038A3"/>
    <w:rsid w:val="00304376"/>
    <w:rsid w:val="003046AA"/>
    <w:rsid w:val="0030486A"/>
    <w:rsid w:val="00305595"/>
    <w:rsid w:val="00306F6E"/>
    <w:rsid w:val="00307076"/>
    <w:rsid w:val="00310195"/>
    <w:rsid w:val="003102CB"/>
    <w:rsid w:val="00310551"/>
    <w:rsid w:val="00310EA3"/>
    <w:rsid w:val="00310F6C"/>
    <w:rsid w:val="00311198"/>
    <w:rsid w:val="00311857"/>
    <w:rsid w:val="00311BA6"/>
    <w:rsid w:val="00311D30"/>
    <w:rsid w:val="00312447"/>
    <w:rsid w:val="00312AE9"/>
    <w:rsid w:val="0031307D"/>
    <w:rsid w:val="00313413"/>
    <w:rsid w:val="00313518"/>
    <w:rsid w:val="0031402C"/>
    <w:rsid w:val="00314305"/>
    <w:rsid w:val="00315192"/>
    <w:rsid w:val="003154A9"/>
    <w:rsid w:val="0031714F"/>
    <w:rsid w:val="003173DF"/>
    <w:rsid w:val="00317B97"/>
    <w:rsid w:val="00317F62"/>
    <w:rsid w:val="003201F8"/>
    <w:rsid w:val="003209E9"/>
    <w:rsid w:val="0032125A"/>
    <w:rsid w:val="00321556"/>
    <w:rsid w:val="00321E51"/>
    <w:rsid w:val="00322151"/>
    <w:rsid w:val="00322AED"/>
    <w:rsid w:val="00322ED5"/>
    <w:rsid w:val="0032301E"/>
    <w:rsid w:val="003230A5"/>
    <w:rsid w:val="00323698"/>
    <w:rsid w:val="00323FFC"/>
    <w:rsid w:val="0032411E"/>
    <w:rsid w:val="00324267"/>
    <w:rsid w:val="00324487"/>
    <w:rsid w:val="003253C6"/>
    <w:rsid w:val="00326761"/>
    <w:rsid w:val="00326F8D"/>
    <w:rsid w:val="00327ADC"/>
    <w:rsid w:val="00327EA6"/>
    <w:rsid w:val="003301E3"/>
    <w:rsid w:val="00330782"/>
    <w:rsid w:val="00330A95"/>
    <w:rsid w:val="0033127D"/>
    <w:rsid w:val="003317B8"/>
    <w:rsid w:val="00331CAE"/>
    <w:rsid w:val="00331D99"/>
    <w:rsid w:val="00332085"/>
    <w:rsid w:val="0033284A"/>
    <w:rsid w:val="00332D9D"/>
    <w:rsid w:val="00333666"/>
    <w:rsid w:val="00333EA3"/>
    <w:rsid w:val="00334923"/>
    <w:rsid w:val="00334DA8"/>
    <w:rsid w:val="00334F21"/>
    <w:rsid w:val="00335FDA"/>
    <w:rsid w:val="003361A1"/>
    <w:rsid w:val="0033626E"/>
    <w:rsid w:val="003369A0"/>
    <w:rsid w:val="00336BA0"/>
    <w:rsid w:val="00336CFB"/>
    <w:rsid w:val="00337410"/>
    <w:rsid w:val="00337508"/>
    <w:rsid w:val="00337846"/>
    <w:rsid w:val="00337AFC"/>
    <w:rsid w:val="0034024F"/>
    <w:rsid w:val="00340576"/>
    <w:rsid w:val="003408C0"/>
    <w:rsid w:val="00340D7E"/>
    <w:rsid w:val="003411C0"/>
    <w:rsid w:val="0034185D"/>
    <w:rsid w:val="00343835"/>
    <w:rsid w:val="00343D33"/>
    <w:rsid w:val="00344A4E"/>
    <w:rsid w:val="00344FC2"/>
    <w:rsid w:val="003459AF"/>
    <w:rsid w:val="00346046"/>
    <w:rsid w:val="0034670F"/>
    <w:rsid w:val="00346ABF"/>
    <w:rsid w:val="00347748"/>
    <w:rsid w:val="00347D27"/>
    <w:rsid w:val="00347DC8"/>
    <w:rsid w:val="00347DD6"/>
    <w:rsid w:val="00347F5E"/>
    <w:rsid w:val="00350E11"/>
    <w:rsid w:val="00351549"/>
    <w:rsid w:val="00352116"/>
    <w:rsid w:val="003522FB"/>
    <w:rsid w:val="00352302"/>
    <w:rsid w:val="0035294B"/>
    <w:rsid w:val="00353553"/>
    <w:rsid w:val="00353FBE"/>
    <w:rsid w:val="003550E8"/>
    <w:rsid w:val="00355171"/>
    <w:rsid w:val="003556DC"/>
    <w:rsid w:val="00355970"/>
    <w:rsid w:val="00355C11"/>
    <w:rsid w:val="00356C0A"/>
    <w:rsid w:val="00356CB6"/>
    <w:rsid w:val="003573A9"/>
    <w:rsid w:val="003600C5"/>
    <w:rsid w:val="003600E1"/>
    <w:rsid w:val="00360540"/>
    <w:rsid w:val="00360CC4"/>
    <w:rsid w:val="00360CE1"/>
    <w:rsid w:val="00360D35"/>
    <w:rsid w:val="00360DD5"/>
    <w:rsid w:val="00360EB9"/>
    <w:rsid w:val="003615FC"/>
    <w:rsid w:val="00361671"/>
    <w:rsid w:val="003616E9"/>
    <w:rsid w:val="00361ADC"/>
    <w:rsid w:val="00362407"/>
    <w:rsid w:val="0036260A"/>
    <w:rsid w:val="00362F66"/>
    <w:rsid w:val="00363200"/>
    <w:rsid w:val="00363367"/>
    <w:rsid w:val="0036336C"/>
    <w:rsid w:val="00363404"/>
    <w:rsid w:val="00363D01"/>
    <w:rsid w:val="0036543A"/>
    <w:rsid w:val="0036568A"/>
    <w:rsid w:val="003656CA"/>
    <w:rsid w:val="00366533"/>
    <w:rsid w:val="00366711"/>
    <w:rsid w:val="00366E10"/>
    <w:rsid w:val="00367010"/>
    <w:rsid w:val="00367965"/>
    <w:rsid w:val="00367BD9"/>
    <w:rsid w:val="00367CEF"/>
    <w:rsid w:val="00370303"/>
    <w:rsid w:val="0037086D"/>
    <w:rsid w:val="003714BE"/>
    <w:rsid w:val="00371842"/>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992"/>
    <w:rsid w:val="00381D4B"/>
    <w:rsid w:val="003825FA"/>
    <w:rsid w:val="003826C7"/>
    <w:rsid w:val="003828B3"/>
    <w:rsid w:val="00382C02"/>
    <w:rsid w:val="00382D36"/>
    <w:rsid w:val="0038376A"/>
    <w:rsid w:val="003838B3"/>
    <w:rsid w:val="0038410B"/>
    <w:rsid w:val="003844A8"/>
    <w:rsid w:val="00384655"/>
    <w:rsid w:val="003848E7"/>
    <w:rsid w:val="00384D60"/>
    <w:rsid w:val="0038538E"/>
    <w:rsid w:val="0038596E"/>
    <w:rsid w:val="00386611"/>
    <w:rsid w:val="00386800"/>
    <w:rsid w:val="003868D6"/>
    <w:rsid w:val="00386929"/>
    <w:rsid w:val="00386AF1"/>
    <w:rsid w:val="00386BF8"/>
    <w:rsid w:val="003877C1"/>
    <w:rsid w:val="003879C3"/>
    <w:rsid w:val="00387EEE"/>
    <w:rsid w:val="00390290"/>
    <w:rsid w:val="0039062A"/>
    <w:rsid w:val="00390B13"/>
    <w:rsid w:val="00391025"/>
    <w:rsid w:val="003910F8"/>
    <w:rsid w:val="00391774"/>
    <w:rsid w:val="00391ABB"/>
    <w:rsid w:val="0039207A"/>
    <w:rsid w:val="003925E0"/>
    <w:rsid w:val="00392610"/>
    <w:rsid w:val="00392841"/>
    <w:rsid w:val="0039286D"/>
    <w:rsid w:val="003929D8"/>
    <w:rsid w:val="0039349D"/>
    <w:rsid w:val="00393BD5"/>
    <w:rsid w:val="003949A7"/>
    <w:rsid w:val="00394BDF"/>
    <w:rsid w:val="00394E1B"/>
    <w:rsid w:val="0039548B"/>
    <w:rsid w:val="003955DE"/>
    <w:rsid w:val="0039577D"/>
    <w:rsid w:val="00395A23"/>
    <w:rsid w:val="003964D0"/>
    <w:rsid w:val="003969E0"/>
    <w:rsid w:val="00396BC2"/>
    <w:rsid w:val="00397223"/>
    <w:rsid w:val="0039729B"/>
    <w:rsid w:val="003974CD"/>
    <w:rsid w:val="00397C9E"/>
    <w:rsid w:val="003A10D6"/>
    <w:rsid w:val="003A19C7"/>
    <w:rsid w:val="003A1B00"/>
    <w:rsid w:val="003A1CFE"/>
    <w:rsid w:val="003A221F"/>
    <w:rsid w:val="003A243B"/>
    <w:rsid w:val="003A2DFE"/>
    <w:rsid w:val="003A35EB"/>
    <w:rsid w:val="003A38E3"/>
    <w:rsid w:val="003A39A5"/>
    <w:rsid w:val="003A3B1E"/>
    <w:rsid w:val="003A5254"/>
    <w:rsid w:val="003A5552"/>
    <w:rsid w:val="003A6431"/>
    <w:rsid w:val="003A663E"/>
    <w:rsid w:val="003A73BA"/>
    <w:rsid w:val="003A7669"/>
    <w:rsid w:val="003A7C39"/>
    <w:rsid w:val="003A7D45"/>
    <w:rsid w:val="003A7EA8"/>
    <w:rsid w:val="003B0EF9"/>
    <w:rsid w:val="003B0FB8"/>
    <w:rsid w:val="003B1753"/>
    <w:rsid w:val="003B1AA5"/>
    <w:rsid w:val="003B22B3"/>
    <w:rsid w:val="003B22E3"/>
    <w:rsid w:val="003B236A"/>
    <w:rsid w:val="003B2D8F"/>
    <w:rsid w:val="003B3666"/>
    <w:rsid w:val="003B44FD"/>
    <w:rsid w:val="003B4BD7"/>
    <w:rsid w:val="003B4E85"/>
    <w:rsid w:val="003B4FEA"/>
    <w:rsid w:val="003B539B"/>
    <w:rsid w:val="003B53B4"/>
    <w:rsid w:val="003B560C"/>
    <w:rsid w:val="003B5A78"/>
    <w:rsid w:val="003B6698"/>
    <w:rsid w:val="003B66FF"/>
    <w:rsid w:val="003B6783"/>
    <w:rsid w:val="003B70C5"/>
    <w:rsid w:val="003B796A"/>
    <w:rsid w:val="003B7AB9"/>
    <w:rsid w:val="003B7DD4"/>
    <w:rsid w:val="003B7E0B"/>
    <w:rsid w:val="003C00C4"/>
    <w:rsid w:val="003C0150"/>
    <w:rsid w:val="003C0640"/>
    <w:rsid w:val="003C0FA7"/>
    <w:rsid w:val="003C14E5"/>
    <w:rsid w:val="003C1DBC"/>
    <w:rsid w:val="003C2367"/>
    <w:rsid w:val="003C2839"/>
    <w:rsid w:val="003C29A0"/>
    <w:rsid w:val="003C2ADA"/>
    <w:rsid w:val="003C3738"/>
    <w:rsid w:val="003C38B6"/>
    <w:rsid w:val="003C395B"/>
    <w:rsid w:val="003C4324"/>
    <w:rsid w:val="003C4417"/>
    <w:rsid w:val="003C44CF"/>
    <w:rsid w:val="003C4A5A"/>
    <w:rsid w:val="003C4AD0"/>
    <w:rsid w:val="003C4C09"/>
    <w:rsid w:val="003C5116"/>
    <w:rsid w:val="003C550B"/>
    <w:rsid w:val="003C5910"/>
    <w:rsid w:val="003C5E53"/>
    <w:rsid w:val="003C5FAD"/>
    <w:rsid w:val="003C6178"/>
    <w:rsid w:val="003C64E5"/>
    <w:rsid w:val="003C661E"/>
    <w:rsid w:val="003C667D"/>
    <w:rsid w:val="003C6C21"/>
    <w:rsid w:val="003C6EA8"/>
    <w:rsid w:val="003C7535"/>
    <w:rsid w:val="003C78E0"/>
    <w:rsid w:val="003D0133"/>
    <w:rsid w:val="003D016B"/>
    <w:rsid w:val="003D018E"/>
    <w:rsid w:val="003D0291"/>
    <w:rsid w:val="003D0381"/>
    <w:rsid w:val="003D0638"/>
    <w:rsid w:val="003D08BE"/>
    <w:rsid w:val="003D08F7"/>
    <w:rsid w:val="003D2130"/>
    <w:rsid w:val="003D2446"/>
    <w:rsid w:val="003D32DF"/>
    <w:rsid w:val="003D39DA"/>
    <w:rsid w:val="003D3A89"/>
    <w:rsid w:val="003D3E00"/>
    <w:rsid w:val="003D3F00"/>
    <w:rsid w:val="003D3F28"/>
    <w:rsid w:val="003D4389"/>
    <w:rsid w:val="003D45CC"/>
    <w:rsid w:val="003D486E"/>
    <w:rsid w:val="003D4DDC"/>
    <w:rsid w:val="003D55B4"/>
    <w:rsid w:val="003D590A"/>
    <w:rsid w:val="003D5D1D"/>
    <w:rsid w:val="003D5D83"/>
    <w:rsid w:val="003D6339"/>
    <w:rsid w:val="003D6427"/>
    <w:rsid w:val="003D6FC1"/>
    <w:rsid w:val="003D7099"/>
    <w:rsid w:val="003D73C3"/>
    <w:rsid w:val="003D761E"/>
    <w:rsid w:val="003D76B6"/>
    <w:rsid w:val="003E04FD"/>
    <w:rsid w:val="003E0C4C"/>
    <w:rsid w:val="003E134D"/>
    <w:rsid w:val="003E13B6"/>
    <w:rsid w:val="003E13D4"/>
    <w:rsid w:val="003E1AA1"/>
    <w:rsid w:val="003E2749"/>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3F"/>
    <w:rsid w:val="003E6FCA"/>
    <w:rsid w:val="003E7334"/>
    <w:rsid w:val="003E763F"/>
    <w:rsid w:val="003E7982"/>
    <w:rsid w:val="003E79A6"/>
    <w:rsid w:val="003F057A"/>
    <w:rsid w:val="003F0C5E"/>
    <w:rsid w:val="003F0CC5"/>
    <w:rsid w:val="003F0D07"/>
    <w:rsid w:val="003F0F86"/>
    <w:rsid w:val="003F1134"/>
    <w:rsid w:val="003F1173"/>
    <w:rsid w:val="003F16A1"/>
    <w:rsid w:val="003F174C"/>
    <w:rsid w:val="003F277D"/>
    <w:rsid w:val="003F27F5"/>
    <w:rsid w:val="003F29A4"/>
    <w:rsid w:val="003F2ED0"/>
    <w:rsid w:val="003F345D"/>
    <w:rsid w:val="003F377E"/>
    <w:rsid w:val="003F3CE9"/>
    <w:rsid w:val="003F433D"/>
    <w:rsid w:val="003F4BC9"/>
    <w:rsid w:val="003F4BD0"/>
    <w:rsid w:val="003F4C9B"/>
    <w:rsid w:val="003F4F31"/>
    <w:rsid w:val="003F62E7"/>
    <w:rsid w:val="003F6321"/>
    <w:rsid w:val="003F666B"/>
    <w:rsid w:val="003F6D8A"/>
    <w:rsid w:val="003F7ADD"/>
    <w:rsid w:val="003F7E20"/>
    <w:rsid w:val="003F7F46"/>
    <w:rsid w:val="003F7F47"/>
    <w:rsid w:val="0040001A"/>
    <w:rsid w:val="0040001D"/>
    <w:rsid w:val="00401931"/>
    <w:rsid w:val="004023F7"/>
    <w:rsid w:val="00402828"/>
    <w:rsid w:val="00402B0F"/>
    <w:rsid w:val="00402E62"/>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4EA4"/>
    <w:rsid w:val="004152CA"/>
    <w:rsid w:val="00415370"/>
    <w:rsid w:val="004156B1"/>
    <w:rsid w:val="00415B27"/>
    <w:rsid w:val="00415DD0"/>
    <w:rsid w:val="0041647C"/>
    <w:rsid w:val="00416869"/>
    <w:rsid w:val="00417203"/>
    <w:rsid w:val="004173BD"/>
    <w:rsid w:val="004173BF"/>
    <w:rsid w:val="00417E1A"/>
    <w:rsid w:val="004201C4"/>
    <w:rsid w:val="004201E8"/>
    <w:rsid w:val="00420414"/>
    <w:rsid w:val="00420722"/>
    <w:rsid w:val="00420DCD"/>
    <w:rsid w:val="0042114B"/>
    <w:rsid w:val="00421203"/>
    <w:rsid w:val="00421250"/>
    <w:rsid w:val="00421423"/>
    <w:rsid w:val="00421476"/>
    <w:rsid w:val="00421888"/>
    <w:rsid w:val="00421BFE"/>
    <w:rsid w:val="004220F5"/>
    <w:rsid w:val="00422151"/>
    <w:rsid w:val="004229D9"/>
    <w:rsid w:val="00422BAC"/>
    <w:rsid w:val="00422C02"/>
    <w:rsid w:val="0042318F"/>
    <w:rsid w:val="00423590"/>
    <w:rsid w:val="00423B8A"/>
    <w:rsid w:val="004243F5"/>
    <w:rsid w:val="00425106"/>
    <w:rsid w:val="004251BE"/>
    <w:rsid w:val="00425599"/>
    <w:rsid w:val="00425CE4"/>
    <w:rsid w:val="00425E96"/>
    <w:rsid w:val="00425EDF"/>
    <w:rsid w:val="0042606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675"/>
    <w:rsid w:val="00431A10"/>
    <w:rsid w:val="00431BB4"/>
    <w:rsid w:val="0043284B"/>
    <w:rsid w:val="00432E24"/>
    <w:rsid w:val="00433A2E"/>
    <w:rsid w:val="00433B06"/>
    <w:rsid w:val="00433BFC"/>
    <w:rsid w:val="00433E79"/>
    <w:rsid w:val="00433E7A"/>
    <w:rsid w:val="00433EB9"/>
    <w:rsid w:val="00434BE0"/>
    <w:rsid w:val="00434FFC"/>
    <w:rsid w:val="00435471"/>
    <w:rsid w:val="00435760"/>
    <w:rsid w:val="00435812"/>
    <w:rsid w:val="00435A10"/>
    <w:rsid w:val="00435A66"/>
    <w:rsid w:val="00435D04"/>
    <w:rsid w:val="0043624E"/>
    <w:rsid w:val="00436292"/>
    <w:rsid w:val="0043632F"/>
    <w:rsid w:val="00436678"/>
    <w:rsid w:val="0043683F"/>
    <w:rsid w:val="00436B25"/>
    <w:rsid w:val="00436B4D"/>
    <w:rsid w:val="00436B5E"/>
    <w:rsid w:val="0043730D"/>
    <w:rsid w:val="00437379"/>
    <w:rsid w:val="00437E8B"/>
    <w:rsid w:val="00437EDA"/>
    <w:rsid w:val="0044022F"/>
    <w:rsid w:val="00440AE9"/>
    <w:rsid w:val="00440CAA"/>
    <w:rsid w:val="004412C5"/>
    <w:rsid w:val="0044181F"/>
    <w:rsid w:val="00441A13"/>
    <w:rsid w:val="00441B1F"/>
    <w:rsid w:val="00441B90"/>
    <w:rsid w:val="00441C10"/>
    <w:rsid w:val="00441FA7"/>
    <w:rsid w:val="004420F1"/>
    <w:rsid w:val="004428C1"/>
    <w:rsid w:val="00442BD8"/>
    <w:rsid w:val="00442E73"/>
    <w:rsid w:val="00442F76"/>
    <w:rsid w:val="00443252"/>
    <w:rsid w:val="00443403"/>
    <w:rsid w:val="00443ED2"/>
    <w:rsid w:val="004442E4"/>
    <w:rsid w:val="0044459F"/>
    <w:rsid w:val="0044469B"/>
    <w:rsid w:val="00444730"/>
    <w:rsid w:val="00444C12"/>
    <w:rsid w:val="00444F1F"/>
    <w:rsid w:val="004451BB"/>
    <w:rsid w:val="00445466"/>
    <w:rsid w:val="004459DC"/>
    <w:rsid w:val="00446652"/>
    <w:rsid w:val="00446B17"/>
    <w:rsid w:val="00446F50"/>
    <w:rsid w:val="00446FBA"/>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5E0"/>
    <w:rsid w:val="0045285C"/>
    <w:rsid w:val="004529C3"/>
    <w:rsid w:val="00452EDD"/>
    <w:rsid w:val="00453B09"/>
    <w:rsid w:val="00453E38"/>
    <w:rsid w:val="00454030"/>
    <w:rsid w:val="00454476"/>
    <w:rsid w:val="0045453D"/>
    <w:rsid w:val="004547F9"/>
    <w:rsid w:val="00454999"/>
    <w:rsid w:val="00454A82"/>
    <w:rsid w:val="00454AB1"/>
    <w:rsid w:val="00454CB5"/>
    <w:rsid w:val="00454E4C"/>
    <w:rsid w:val="00454F68"/>
    <w:rsid w:val="004550AE"/>
    <w:rsid w:val="004557D3"/>
    <w:rsid w:val="00455CCF"/>
    <w:rsid w:val="00455F11"/>
    <w:rsid w:val="00455F7C"/>
    <w:rsid w:val="00456126"/>
    <w:rsid w:val="00456D24"/>
    <w:rsid w:val="00456DEB"/>
    <w:rsid w:val="00456F7E"/>
    <w:rsid w:val="004571D1"/>
    <w:rsid w:val="0045722E"/>
    <w:rsid w:val="0045729D"/>
    <w:rsid w:val="0045741D"/>
    <w:rsid w:val="0046031C"/>
    <w:rsid w:val="00460A58"/>
    <w:rsid w:val="00460B89"/>
    <w:rsid w:val="0046109A"/>
    <w:rsid w:val="00461863"/>
    <w:rsid w:val="004619D0"/>
    <w:rsid w:val="00461D5D"/>
    <w:rsid w:val="004622B5"/>
    <w:rsid w:val="00462B8A"/>
    <w:rsid w:val="00462BC7"/>
    <w:rsid w:val="00463759"/>
    <w:rsid w:val="004637E0"/>
    <w:rsid w:val="00463832"/>
    <w:rsid w:val="00464E71"/>
    <w:rsid w:val="00464F43"/>
    <w:rsid w:val="00465167"/>
    <w:rsid w:val="00465779"/>
    <w:rsid w:val="00465793"/>
    <w:rsid w:val="00465BC9"/>
    <w:rsid w:val="004665E2"/>
    <w:rsid w:val="00466EB2"/>
    <w:rsid w:val="0046708C"/>
    <w:rsid w:val="00467309"/>
    <w:rsid w:val="00467C6E"/>
    <w:rsid w:val="00470193"/>
    <w:rsid w:val="00470508"/>
    <w:rsid w:val="00470791"/>
    <w:rsid w:val="004708AD"/>
    <w:rsid w:val="004710D3"/>
    <w:rsid w:val="00471314"/>
    <w:rsid w:val="00471B61"/>
    <w:rsid w:val="00471DE3"/>
    <w:rsid w:val="00472C6C"/>
    <w:rsid w:val="00473966"/>
    <w:rsid w:val="004739CF"/>
    <w:rsid w:val="00474055"/>
    <w:rsid w:val="0047468F"/>
    <w:rsid w:val="00474A7C"/>
    <w:rsid w:val="004750BD"/>
    <w:rsid w:val="004751DD"/>
    <w:rsid w:val="0047570E"/>
    <w:rsid w:val="004764F5"/>
    <w:rsid w:val="00476524"/>
    <w:rsid w:val="00477111"/>
    <w:rsid w:val="0047759C"/>
    <w:rsid w:val="004776C0"/>
    <w:rsid w:val="004777A7"/>
    <w:rsid w:val="00480561"/>
    <w:rsid w:val="004806D0"/>
    <w:rsid w:val="00480CBB"/>
    <w:rsid w:val="00481571"/>
    <w:rsid w:val="0048189A"/>
    <w:rsid w:val="004818A9"/>
    <w:rsid w:val="004819B2"/>
    <w:rsid w:val="00481AA4"/>
    <w:rsid w:val="00483532"/>
    <w:rsid w:val="00483659"/>
    <w:rsid w:val="00483C64"/>
    <w:rsid w:val="00483EEC"/>
    <w:rsid w:val="004840AB"/>
    <w:rsid w:val="00484101"/>
    <w:rsid w:val="004846F7"/>
    <w:rsid w:val="00484DD2"/>
    <w:rsid w:val="004858D2"/>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745"/>
    <w:rsid w:val="0049378C"/>
    <w:rsid w:val="00493792"/>
    <w:rsid w:val="004938C4"/>
    <w:rsid w:val="00493B8E"/>
    <w:rsid w:val="00493D52"/>
    <w:rsid w:val="00494CD7"/>
    <w:rsid w:val="00494EC6"/>
    <w:rsid w:val="004954E4"/>
    <w:rsid w:val="004957CB"/>
    <w:rsid w:val="0049583B"/>
    <w:rsid w:val="00495985"/>
    <w:rsid w:val="00495E4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B24"/>
    <w:rsid w:val="00497CCD"/>
    <w:rsid w:val="00497D14"/>
    <w:rsid w:val="00497F18"/>
    <w:rsid w:val="004A00CB"/>
    <w:rsid w:val="004A01EB"/>
    <w:rsid w:val="004A0935"/>
    <w:rsid w:val="004A0D6B"/>
    <w:rsid w:val="004A1551"/>
    <w:rsid w:val="004A1762"/>
    <w:rsid w:val="004A1DE3"/>
    <w:rsid w:val="004A1FC3"/>
    <w:rsid w:val="004A219D"/>
    <w:rsid w:val="004A22D9"/>
    <w:rsid w:val="004A242D"/>
    <w:rsid w:val="004A26AD"/>
    <w:rsid w:val="004A28C1"/>
    <w:rsid w:val="004A377F"/>
    <w:rsid w:val="004A3805"/>
    <w:rsid w:val="004A38A2"/>
    <w:rsid w:val="004A38B0"/>
    <w:rsid w:val="004A38C2"/>
    <w:rsid w:val="004A3BD4"/>
    <w:rsid w:val="004A3F6B"/>
    <w:rsid w:val="004A4752"/>
    <w:rsid w:val="004A4A95"/>
    <w:rsid w:val="004A4AFC"/>
    <w:rsid w:val="004A4F7D"/>
    <w:rsid w:val="004A508C"/>
    <w:rsid w:val="004A5231"/>
    <w:rsid w:val="004A54EC"/>
    <w:rsid w:val="004A5ABD"/>
    <w:rsid w:val="004A5DF8"/>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41D0"/>
    <w:rsid w:val="004B4653"/>
    <w:rsid w:val="004B485F"/>
    <w:rsid w:val="004B537C"/>
    <w:rsid w:val="004B5919"/>
    <w:rsid w:val="004B6228"/>
    <w:rsid w:val="004B686D"/>
    <w:rsid w:val="004B6AD9"/>
    <w:rsid w:val="004B6BEA"/>
    <w:rsid w:val="004B6E52"/>
    <w:rsid w:val="004B7139"/>
    <w:rsid w:val="004B7ECA"/>
    <w:rsid w:val="004C0154"/>
    <w:rsid w:val="004C0ED2"/>
    <w:rsid w:val="004C0F21"/>
    <w:rsid w:val="004C1114"/>
    <w:rsid w:val="004C1D9E"/>
    <w:rsid w:val="004C2101"/>
    <w:rsid w:val="004C21CC"/>
    <w:rsid w:val="004C233F"/>
    <w:rsid w:val="004C28CD"/>
    <w:rsid w:val="004C3C4D"/>
    <w:rsid w:val="004C44E1"/>
    <w:rsid w:val="004C46A6"/>
    <w:rsid w:val="004C493C"/>
    <w:rsid w:val="004C5199"/>
    <w:rsid w:val="004C5658"/>
    <w:rsid w:val="004C59DE"/>
    <w:rsid w:val="004C5A37"/>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6DD"/>
    <w:rsid w:val="004D171C"/>
    <w:rsid w:val="004D175C"/>
    <w:rsid w:val="004D2272"/>
    <w:rsid w:val="004D238A"/>
    <w:rsid w:val="004D29D1"/>
    <w:rsid w:val="004D2BA0"/>
    <w:rsid w:val="004D2F2D"/>
    <w:rsid w:val="004D3F21"/>
    <w:rsid w:val="004D45DD"/>
    <w:rsid w:val="004D506B"/>
    <w:rsid w:val="004D5257"/>
    <w:rsid w:val="004D5317"/>
    <w:rsid w:val="004D5369"/>
    <w:rsid w:val="004D5A35"/>
    <w:rsid w:val="004D604D"/>
    <w:rsid w:val="004D62FE"/>
    <w:rsid w:val="004D723D"/>
    <w:rsid w:val="004D7A78"/>
    <w:rsid w:val="004D7E13"/>
    <w:rsid w:val="004E0018"/>
    <w:rsid w:val="004E0378"/>
    <w:rsid w:val="004E04A6"/>
    <w:rsid w:val="004E0FBA"/>
    <w:rsid w:val="004E1540"/>
    <w:rsid w:val="004E1725"/>
    <w:rsid w:val="004E195C"/>
    <w:rsid w:val="004E1E9C"/>
    <w:rsid w:val="004E3894"/>
    <w:rsid w:val="004E38E8"/>
    <w:rsid w:val="004E3B63"/>
    <w:rsid w:val="004E3FBF"/>
    <w:rsid w:val="004E3FDB"/>
    <w:rsid w:val="004E4038"/>
    <w:rsid w:val="004E41A7"/>
    <w:rsid w:val="004E4E14"/>
    <w:rsid w:val="004E5103"/>
    <w:rsid w:val="004E53A1"/>
    <w:rsid w:val="004E566F"/>
    <w:rsid w:val="004E5698"/>
    <w:rsid w:val="004E5B84"/>
    <w:rsid w:val="004E5C83"/>
    <w:rsid w:val="004E648B"/>
    <w:rsid w:val="004E69B2"/>
    <w:rsid w:val="004E6B6F"/>
    <w:rsid w:val="004E6CBA"/>
    <w:rsid w:val="004E7E77"/>
    <w:rsid w:val="004F0019"/>
    <w:rsid w:val="004F02D1"/>
    <w:rsid w:val="004F051B"/>
    <w:rsid w:val="004F055F"/>
    <w:rsid w:val="004F0608"/>
    <w:rsid w:val="004F0CFC"/>
    <w:rsid w:val="004F11C0"/>
    <w:rsid w:val="004F174C"/>
    <w:rsid w:val="004F1D19"/>
    <w:rsid w:val="004F21BC"/>
    <w:rsid w:val="004F2244"/>
    <w:rsid w:val="004F27D3"/>
    <w:rsid w:val="004F28F0"/>
    <w:rsid w:val="004F2956"/>
    <w:rsid w:val="004F2AD8"/>
    <w:rsid w:val="004F2EE3"/>
    <w:rsid w:val="004F3757"/>
    <w:rsid w:val="004F394E"/>
    <w:rsid w:val="004F42C2"/>
    <w:rsid w:val="004F445B"/>
    <w:rsid w:val="004F48E4"/>
    <w:rsid w:val="004F4954"/>
    <w:rsid w:val="004F4DFC"/>
    <w:rsid w:val="004F51F0"/>
    <w:rsid w:val="004F5236"/>
    <w:rsid w:val="004F53C2"/>
    <w:rsid w:val="004F55EA"/>
    <w:rsid w:val="004F60BF"/>
    <w:rsid w:val="004F6D98"/>
    <w:rsid w:val="004F6DE7"/>
    <w:rsid w:val="004F6FC5"/>
    <w:rsid w:val="004F74C3"/>
    <w:rsid w:val="004F7515"/>
    <w:rsid w:val="004F772A"/>
    <w:rsid w:val="004F7927"/>
    <w:rsid w:val="004F7ACB"/>
    <w:rsid w:val="004F7AD4"/>
    <w:rsid w:val="004F7B5C"/>
    <w:rsid w:val="004F7F70"/>
    <w:rsid w:val="00500BCB"/>
    <w:rsid w:val="00500DC0"/>
    <w:rsid w:val="0050134B"/>
    <w:rsid w:val="00501473"/>
    <w:rsid w:val="005019B1"/>
    <w:rsid w:val="00502740"/>
    <w:rsid w:val="005027D1"/>
    <w:rsid w:val="00503132"/>
    <w:rsid w:val="00503A1B"/>
    <w:rsid w:val="00503A78"/>
    <w:rsid w:val="00503E04"/>
    <w:rsid w:val="005047C9"/>
    <w:rsid w:val="00504C40"/>
    <w:rsid w:val="00504F92"/>
    <w:rsid w:val="005052A2"/>
    <w:rsid w:val="00505658"/>
    <w:rsid w:val="00505B2A"/>
    <w:rsid w:val="00505D9D"/>
    <w:rsid w:val="005060C1"/>
    <w:rsid w:val="00506363"/>
    <w:rsid w:val="00506523"/>
    <w:rsid w:val="00506525"/>
    <w:rsid w:val="00506B5C"/>
    <w:rsid w:val="00506DD4"/>
    <w:rsid w:val="0050722D"/>
    <w:rsid w:val="005077CD"/>
    <w:rsid w:val="00507CEC"/>
    <w:rsid w:val="00507ED8"/>
    <w:rsid w:val="005107A8"/>
    <w:rsid w:val="0051088C"/>
    <w:rsid w:val="005114A3"/>
    <w:rsid w:val="005118EB"/>
    <w:rsid w:val="005119DD"/>
    <w:rsid w:val="00511E0E"/>
    <w:rsid w:val="00511E57"/>
    <w:rsid w:val="0051234C"/>
    <w:rsid w:val="00513276"/>
    <w:rsid w:val="00513350"/>
    <w:rsid w:val="0051350D"/>
    <w:rsid w:val="0051356A"/>
    <w:rsid w:val="005137A2"/>
    <w:rsid w:val="00513AB7"/>
    <w:rsid w:val="005148DA"/>
    <w:rsid w:val="00515204"/>
    <w:rsid w:val="00515A9F"/>
    <w:rsid w:val="00515C23"/>
    <w:rsid w:val="00515E28"/>
    <w:rsid w:val="00515F29"/>
    <w:rsid w:val="0051609A"/>
    <w:rsid w:val="005161F1"/>
    <w:rsid w:val="0051637E"/>
    <w:rsid w:val="005173E0"/>
    <w:rsid w:val="005174FE"/>
    <w:rsid w:val="00517E4A"/>
    <w:rsid w:val="00520366"/>
    <w:rsid w:val="00520B6B"/>
    <w:rsid w:val="00520E96"/>
    <w:rsid w:val="0052276A"/>
    <w:rsid w:val="00522C3C"/>
    <w:rsid w:val="0052312B"/>
    <w:rsid w:val="005231A2"/>
    <w:rsid w:val="00524146"/>
    <w:rsid w:val="00524B49"/>
    <w:rsid w:val="00524EF0"/>
    <w:rsid w:val="00525076"/>
    <w:rsid w:val="00525235"/>
    <w:rsid w:val="00525240"/>
    <w:rsid w:val="005253E3"/>
    <w:rsid w:val="005264C5"/>
    <w:rsid w:val="00526737"/>
    <w:rsid w:val="00526766"/>
    <w:rsid w:val="0052682D"/>
    <w:rsid w:val="00526C3C"/>
    <w:rsid w:val="00527059"/>
    <w:rsid w:val="00527782"/>
    <w:rsid w:val="005278B3"/>
    <w:rsid w:val="00527983"/>
    <w:rsid w:val="0053020D"/>
    <w:rsid w:val="0053063E"/>
    <w:rsid w:val="00530816"/>
    <w:rsid w:val="00530CF6"/>
    <w:rsid w:val="00531092"/>
    <w:rsid w:val="0053158D"/>
    <w:rsid w:val="00531E88"/>
    <w:rsid w:val="005323FE"/>
    <w:rsid w:val="00532616"/>
    <w:rsid w:val="00532EA1"/>
    <w:rsid w:val="005334C6"/>
    <w:rsid w:val="005342C5"/>
    <w:rsid w:val="00534472"/>
    <w:rsid w:val="005344DB"/>
    <w:rsid w:val="00534C78"/>
    <w:rsid w:val="0053520F"/>
    <w:rsid w:val="0053537B"/>
    <w:rsid w:val="00535594"/>
    <w:rsid w:val="005356B7"/>
    <w:rsid w:val="00535B32"/>
    <w:rsid w:val="00535B79"/>
    <w:rsid w:val="00536049"/>
    <w:rsid w:val="00536326"/>
    <w:rsid w:val="00536613"/>
    <w:rsid w:val="005368DF"/>
    <w:rsid w:val="00536B63"/>
    <w:rsid w:val="00537715"/>
    <w:rsid w:val="00540108"/>
    <w:rsid w:val="0054020D"/>
    <w:rsid w:val="0054030B"/>
    <w:rsid w:val="00540430"/>
    <w:rsid w:val="00540622"/>
    <w:rsid w:val="0054087B"/>
    <w:rsid w:val="00540E0A"/>
    <w:rsid w:val="005414DC"/>
    <w:rsid w:val="00541850"/>
    <w:rsid w:val="005418E6"/>
    <w:rsid w:val="00541BD0"/>
    <w:rsid w:val="00542698"/>
    <w:rsid w:val="00542B67"/>
    <w:rsid w:val="00542CBD"/>
    <w:rsid w:val="00543107"/>
    <w:rsid w:val="005433CC"/>
    <w:rsid w:val="00543534"/>
    <w:rsid w:val="0054396C"/>
    <w:rsid w:val="00543C69"/>
    <w:rsid w:val="00543FBC"/>
    <w:rsid w:val="00544110"/>
    <w:rsid w:val="00544372"/>
    <w:rsid w:val="005446F0"/>
    <w:rsid w:val="00544B99"/>
    <w:rsid w:val="00544D1D"/>
    <w:rsid w:val="00545277"/>
    <w:rsid w:val="0054551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5D5"/>
    <w:rsid w:val="00553E62"/>
    <w:rsid w:val="005543FE"/>
    <w:rsid w:val="00554414"/>
    <w:rsid w:val="0055487A"/>
    <w:rsid w:val="00554ABF"/>
    <w:rsid w:val="00554C2C"/>
    <w:rsid w:val="005550F9"/>
    <w:rsid w:val="00555396"/>
    <w:rsid w:val="0055551E"/>
    <w:rsid w:val="005556D3"/>
    <w:rsid w:val="00555A8E"/>
    <w:rsid w:val="00555F1F"/>
    <w:rsid w:val="00556165"/>
    <w:rsid w:val="0055672F"/>
    <w:rsid w:val="00556DFC"/>
    <w:rsid w:val="0055705C"/>
    <w:rsid w:val="00557356"/>
    <w:rsid w:val="00557E1F"/>
    <w:rsid w:val="00560162"/>
    <w:rsid w:val="005603F9"/>
    <w:rsid w:val="005609FC"/>
    <w:rsid w:val="00560AEA"/>
    <w:rsid w:val="00560C3D"/>
    <w:rsid w:val="00560DD3"/>
    <w:rsid w:val="00560E78"/>
    <w:rsid w:val="00561310"/>
    <w:rsid w:val="0056135E"/>
    <w:rsid w:val="005619F4"/>
    <w:rsid w:val="00561A71"/>
    <w:rsid w:val="00561BB7"/>
    <w:rsid w:val="0056267F"/>
    <w:rsid w:val="00562778"/>
    <w:rsid w:val="00562F41"/>
    <w:rsid w:val="0056313E"/>
    <w:rsid w:val="00563217"/>
    <w:rsid w:val="00563A10"/>
    <w:rsid w:val="00563BCB"/>
    <w:rsid w:val="00563EFE"/>
    <w:rsid w:val="00564427"/>
    <w:rsid w:val="00564A75"/>
    <w:rsid w:val="00564C0A"/>
    <w:rsid w:val="00564CE0"/>
    <w:rsid w:val="00565047"/>
    <w:rsid w:val="005653F0"/>
    <w:rsid w:val="005659C0"/>
    <w:rsid w:val="00565BFA"/>
    <w:rsid w:val="0056600F"/>
    <w:rsid w:val="0056633E"/>
    <w:rsid w:val="00566736"/>
    <w:rsid w:val="00566C1A"/>
    <w:rsid w:val="00566E79"/>
    <w:rsid w:val="00566FC9"/>
    <w:rsid w:val="0056702A"/>
    <w:rsid w:val="005670D4"/>
    <w:rsid w:val="00567323"/>
    <w:rsid w:val="0056754B"/>
    <w:rsid w:val="00567FF2"/>
    <w:rsid w:val="005701AF"/>
    <w:rsid w:val="00570416"/>
    <w:rsid w:val="0057072E"/>
    <w:rsid w:val="00570B7A"/>
    <w:rsid w:val="00570C13"/>
    <w:rsid w:val="00570FDA"/>
    <w:rsid w:val="0057168E"/>
    <w:rsid w:val="00571999"/>
    <w:rsid w:val="00571A0D"/>
    <w:rsid w:val="00571B43"/>
    <w:rsid w:val="00571BEC"/>
    <w:rsid w:val="00571D9B"/>
    <w:rsid w:val="0057246C"/>
    <w:rsid w:val="00572A2B"/>
    <w:rsid w:val="00572CF2"/>
    <w:rsid w:val="00573125"/>
    <w:rsid w:val="0057380B"/>
    <w:rsid w:val="00573A5B"/>
    <w:rsid w:val="00573F22"/>
    <w:rsid w:val="00573FD1"/>
    <w:rsid w:val="00574178"/>
    <w:rsid w:val="005743D8"/>
    <w:rsid w:val="00574CA5"/>
    <w:rsid w:val="00574CE8"/>
    <w:rsid w:val="00574D70"/>
    <w:rsid w:val="0057555B"/>
    <w:rsid w:val="00575D7B"/>
    <w:rsid w:val="00576017"/>
    <w:rsid w:val="005760DA"/>
    <w:rsid w:val="00576CA2"/>
    <w:rsid w:val="00577053"/>
    <w:rsid w:val="00577183"/>
    <w:rsid w:val="00577400"/>
    <w:rsid w:val="00577F69"/>
    <w:rsid w:val="00580F32"/>
    <w:rsid w:val="00582639"/>
    <w:rsid w:val="005828A9"/>
    <w:rsid w:val="00582F8B"/>
    <w:rsid w:val="00582FBE"/>
    <w:rsid w:val="00582FBF"/>
    <w:rsid w:val="00583680"/>
    <w:rsid w:val="00583784"/>
    <w:rsid w:val="00583FBE"/>
    <w:rsid w:val="00584293"/>
    <w:rsid w:val="005843F7"/>
    <w:rsid w:val="005846AC"/>
    <w:rsid w:val="00584AA5"/>
    <w:rsid w:val="00584AFF"/>
    <w:rsid w:val="00584C7D"/>
    <w:rsid w:val="0058565F"/>
    <w:rsid w:val="00585929"/>
    <w:rsid w:val="005867B7"/>
    <w:rsid w:val="00587235"/>
    <w:rsid w:val="00587722"/>
    <w:rsid w:val="00590227"/>
    <w:rsid w:val="005904BA"/>
    <w:rsid w:val="005905E8"/>
    <w:rsid w:val="00590A05"/>
    <w:rsid w:val="00591568"/>
    <w:rsid w:val="00591946"/>
    <w:rsid w:val="00591FA0"/>
    <w:rsid w:val="0059285B"/>
    <w:rsid w:val="00592955"/>
    <w:rsid w:val="00593968"/>
    <w:rsid w:val="00593D36"/>
    <w:rsid w:val="00594BE7"/>
    <w:rsid w:val="00594E58"/>
    <w:rsid w:val="00595124"/>
    <w:rsid w:val="00595366"/>
    <w:rsid w:val="00595B8E"/>
    <w:rsid w:val="00595FBC"/>
    <w:rsid w:val="00596021"/>
    <w:rsid w:val="00596510"/>
    <w:rsid w:val="005966A9"/>
    <w:rsid w:val="005966CA"/>
    <w:rsid w:val="00596C31"/>
    <w:rsid w:val="00596D15"/>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1E43"/>
    <w:rsid w:val="005A1E6A"/>
    <w:rsid w:val="005A285A"/>
    <w:rsid w:val="005A29DC"/>
    <w:rsid w:val="005A29EC"/>
    <w:rsid w:val="005A2F25"/>
    <w:rsid w:val="005A3307"/>
    <w:rsid w:val="005A355C"/>
    <w:rsid w:val="005A47D7"/>
    <w:rsid w:val="005A4ACB"/>
    <w:rsid w:val="005A4D94"/>
    <w:rsid w:val="005A5242"/>
    <w:rsid w:val="005A54C7"/>
    <w:rsid w:val="005A5518"/>
    <w:rsid w:val="005A55D9"/>
    <w:rsid w:val="005A5612"/>
    <w:rsid w:val="005A6438"/>
    <w:rsid w:val="005A650D"/>
    <w:rsid w:val="005A698B"/>
    <w:rsid w:val="005A6ABA"/>
    <w:rsid w:val="005A6B3E"/>
    <w:rsid w:val="005A7004"/>
    <w:rsid w:val="005A714F"/>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E23"/>
    <w:rsid w:val="005B1E4F"/>
    <w:rsid w:val="005B25B6"/>
    <w:rsid w:val="005B2648"/>
    <w:rsid w:val="005B3109"/>
    <w:rsid w:val="005B3753"/>
    <w:rsid w:val="005B37DD"/>
    <w:rsid w:val="005B3C6F"/>
    <w:rsid w:val="005B3FBA"/>
    <w:rsid w:val="005B4204"/>
    <w:rsid w:val="005B496E"/>
    <w:rsid w:val="005B4F27"/>
    <w:rsid w:val="005B51E3"/>
    <w:rsid w:val="005B6014"/>
    <w:rsid w:val="005B6E5B"/>
    <w:rsid w:val="005C052A"/>
    <w:rsid w:val="005C069F"/>
    <w:rsid w:val="005C0727"/>
    <w:rsid w:val="005C07FE"/>
    <w:rsid w:val="005C138F"/>
    <w:rsid w:val="005C1C79"/>
    <w:rsid w:val="005C1CCE"/>
    <w:rsid w:val="005C1E1B"/>
    <w:rsid w:val="005C22A0"/>
    <w:rsid w:val="005C22BC"/>
    <w:rsid w:val="005C2394"/>
    <w:rsid w:val="005C2A9C"/>
    <w:rsid w:val="005C2CC6"/>
    <w:rsid w:val="005C36AE"/>
    <w:rsid w:val="005C39F0"/>
    <w:rsid w:val="005C3B0C"/>
    <w:rsid w:val="005C4174"/>
    <w:rsid w:val="005C4ADF"/>
    <w:rsid w:val="005C4D57"/>
    <w:rsid w:val="005C4DCF"/>
    <w:rsid w:val="005C5BE1"/>
    <w:rsid w:val="005C5C0A"/>
    <w:rsid w:val="005C5C5E"/>
    <w:rsid w:val="005C5D99"/>
    <w:rsid w:val="005C654C"/>
    <w:rsid w:val="005C66FC"/>
    <w:rsid w:val="005C681D"/>
    <w:rsid w:val="005C6B0C"/>
    <w:rsid w:val="005C7335"/>
    <w:rsid w:val="005C77C2"/>
    <w:rsid w:val="005C7C50"/>
    <w:rsid w:val="005D0027"/>
    <w:rsid w:val="005D0E23"/>
    <w:rsid w:val="005D0E58"/>
    <w:rsid w:val="005D11C0"/>
    <w:rsid w:val="005D1586"/>
    <w:rsid w:val="005D1BD0"/>
    <w:rsid w:val="005D2539"/>
    <w:rsid w:val="005D2820"/>
    <w:rsid w:val="005D2F33"/>
    <w:rsid w:val="005D34B9"/>
    <w:rsid w:val="005D397D"/>
    <w:rsid w:val="005D3AF7"/>
    <w:rsid w:val="005D3CBE"/>
    <w:rsid w:val="005D4009"/>
    <w:rsid w:val="005D44E3"/>
    <w:rsid w:val="005D46E0"/>
    <w:rsid w:val="005D48DC"/>
    <w:rsid w:val="005D4F99"/>
    <w:rsid w:val="005D53FD"/>
    <w:rsid w:val="005D542D"/>
    <w:rsid w:val="005D58A5"/>
    <w:rsid w:val="005D5F95"/>
    <w:rsid w:val="005D61E6"/>
    <w:rsid w:val="005D620B"/>
    <w:rsid w:val="005D66C5"/>
    <w:rsid w:val="005D6A5D"/>
    <w:rsid w:val="005D7257"/>
    <w:rsid w:val="005D73EF"/>
    <w:rsid w:val="005D74D3"/>
    <w:rsid w:val="005D77FB"/>
    <w:rsid w:val="005D798C"/>
    <w:rsid w:val="005D7B03"/>
    <w:rsid w:val="005D7B4A"/>
    <w:rsid w:val="005D7B60"/>
    <w:rsid w:val="005D7E2A"/>
    <w:rsid w:val="005D7F08"/>
    <w:rsid w:val="005E1041"/>
    <w:rsid w:val="005E146F"/>
    <w:rsid w:val="005E18F9"/>
    <w:rsid w:val="005E1910"/>
    <w:rsid w:val="005E1BA3"/>
    <w:rsid w:val="005E2F28"/>
    <w:rsid w:val="005E3A44"/>
    <w:rsid w:val="005E3AB6"/>
    <w:rsid w:val="005E3D3B"/>
    <w:rsid w:val="005E4832"/>
    <w:rsid w:val="005E4AAF"/>
    <w:rsid w:val="005E4E2C"/>
    <w:rsid w:val="005E4F4A"/>
    <w:rsid w:val="005E588F"/>
    <w:rsid w:val="005E5EE9"/>
    <w:rsid w:val="005E600B"/>
    <w:rsid w:val="005E623E"/>
    <w:rsid w:val="005E628D"/>
    <w:rsid w:val="005E662E"/>
    <w:rsid w:val="005E6AA0"/>
    <w:rsid w:val="005E6C9C"/>
    <w:rsid w:val="005E6ED5"/>
    <w:rsid w:val="005E771E"/>
    <w:rsid w:val="005E7D97"/>
    <w:rsid w:val="005F0379"/>
    <w:rsid w:val="005F08A4"/>
    <w:rsid w:val="005F0DA9"/>
    <w:rsid w:val="005F1431"/>
    <w:rsid w:val="005F1EA3"/>
    <w:rsid w:val="005F1F4C"/>
    <w:rsid w:val="005F2421"/>
    <w:rsid w:val="005F3189"/>
    <w:rsid w:val="005F343A"/>
    <w:rsid w:val="005F3D94"/>
    <w:rsid w:val="005F44C8"/>
    <w:rsid w:val="005F52A6"/>
    <w:rsid w:val="005F55CC"/>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096"/>
    <w:rsid w:val="006051ED"/>
    <w:rsid w:val="00605401"/>
    <w:rsid w:val="0060560B"/>
    <w:rsid w:val="00605996"/>
    <w:rsid w:val="006059B3"/>
    <w:rsid w:val="006064B6"/>
    <w:rsid w:val="006068B2"/>
    <w:rsid w:val="00606DC2"/>
    <w:rsid w:val="00606F1E"/>
    <w:rsid w:val="0060709C"/>
    <w:rsid w:val="00607669"/>
    <w:rsid w:val="006076B7"/>
    <w:rsid w:val="00607B70"/>
    <w:rsid w:val="00607E71"/>
    <w:rsid w:val="006108A7"/>
    <w:rsid w:val="00610D2D"/>
    <w:rsid w:val="00610D32"/>
    <w:rsid w:val="0061112D"/>
    <w:rsid w:val="00611197"/>
    <w:rsid w:val="006114AF"/>
    <w:rsid w:val="006115E2"/>
    <w:rsid w:val="006115E5"/>
    <w:rsid w:val="00611D59"/>
    <w:rsid w:val="00611E5B"/>
    <w:rsid w:val="0061239A"/>
    <w:rsid w:val="0061259F"/>
    <w:rsid w:val="006125DA"/>
    <w:rsid w:val="006135F6"/>
    <w:rsid w:val="00613796"/>
    <w:rsid w:val="006140A7"/>
    <w:rsid w:val="00614208"/>
    <w:rsid w:val="00614278"/>
    <w:rsid w:val="0061448E"/>
    <w:rsid w:val="00614906"/>
    <w:rsid w:val="00614943"/>
    <w:rsid w:val="00614947"/>
    <w:rsid w:val="00614C7E"/>
    <w:rsid w:val="00614E61"/>
    <w:rsid w:val="00615216"/>
    <w:rsid w:val="006163C6"/>
    <w:rsid w:val="00616505"/>
    <w:rsid w:val="00616D32"/>
    <w:rsid w:val="00616D78"/>
    <w:rsid w:val="00616F1F"/>
    <w:rsid w:val="00616FB7"/>
    <w:rsid w:val="00617094"/>
    <w:rsid w:val="00617320"/>
    <w:rsid w:val="0061747F"/>
    <w:rsid w:val="006176BA"/>
    <w:rsid w:val="006179FA"/>
    <w:rsid w:val="00617B7B"/>
    <w:rsid w:val="00620638"/>
    <w:rsid w:val="00620F1E"/>
    <w:rsid w:val="00621417"/>
    <w:rsid w:val="00621636"/>
    <w:rsid w:val="00621792"/>
    <w:rsid w:val="00621A81"/>
    <w:rsid w:val="00621CB5"/>
    <w:rsid w:val="00621D47"/>
    <w:rsid w:val="00622566"/>
    <w:rsid w:val="00623363"/>
    <w:rsid w:val="00623530"/>
    <w:rsid w:val="006238A4"/>
    <w:rsid w:val="00623CD5"/>
    <w:rsid w:val="00623D36"/>
    <w:rsid w:val="00624045"/>
    <w:rsid w:val="0062408B"/>
    <w:rsid w:val="006240FB"/>
    <w:rsid w:val="006244BD"/>
    <w:rsid w:val="0062483C"/>
    <w:rsid w:val="006248DD"/>
    <w:rsid w:val="00624A67"/>
    <w:rsid w:val="00624B17"/>
    <w:rsid w:val="0062526E"/>
    <w:rsid w:val="0062542A"/>
    <w:rsid w:val="006258F0"/>
    <w:rsid w:val="00625948"/>
    <w:rsid w:val="00625D48"/>
    <w:rsid w:val="00625E81"/>
    <w:rsid w:val="00625F7D"/>
    <w:rsid w:val="00626A2B"/>
    <w:rsid w:val="0062706B"/>
    <w:rsid w:val="006271FC"/>
    <w:rsid w:val="0062768B"/>
    <w:rsid w:val="006301B1"/>
    <w:rsid w:val="0063045B"/>
    <w:rsid w:val="0063091F"/>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FCD"/>
    <w:rsid w:val="00635274"/>
    <w:rsid w:val="0063571C"/>
    <w:rsid w:val="00636031"/>
    <w:rsid w:val="0063641F"/>
    <w:rsid w:val="006369EB"/>
    <w:rsid w:val="00636B8E"/>
    <w:rsid w:val="00637685"/>
    <w:rsid w:val="00637693"/>
    <w:rsid w:val="00641194"/>
    <w:rsid w:val="00641D53"/>
    <w:rsid w:val="00642690"/>
    <w:rsid w:val="00643176"/>
    <w:rsid w:val="006431EA"/>
    <w:rsid w:val="00643361"/>
    <w:rsid w:val="006435F6"/>
    <w:rsid w:val="00643774"/>
    <w:rsid w:val="00644861"/>
    <w:rsid w:val="00644B91"/>
    <w:rsid w:val="0064512C"/>
    <w:rsid w:val="0064556D"/>
    <w:rsid w:val="006455C9"/>
    <w:rsid w:val="006459FC"/>
    <w:rsid w:val="00645EBD"/>
    <w:rsid w:val="00646000"/>
    <w:rsid w:val="0064647C"/>
    <w:rsid w:val="006467EC"/>
    <w:rsid w:val="00646A44"/>
    <w:rsid w:val="006473C8"/>
    <w:rsid w:val="00647C94"/>
    <w:rsid w:val="00647FA8"/>
    <w:rsid w:val="00650F7A"/>
    <w:rsid w:val="00651487"/>
    <w:rsid w:val="006516FE"/>
    <w:rsid w:val="00651BEA"/>
    <w:rsid w:val="00651E2D"/>
    <w:rsid w:val="0065270C"/>
    <w:rsid w:val="00652D1E"/>
    <w:rsid w:val="00652E40"/>
    <w:rsid w:val="00653276"/>
    <w:rsid w:val="00653AF3"/>
    <w:rsid w:val="00653CCD"/>
    <w:rsid w:val="0065419D"/>
    <w:rsid w:val="00654F52"/>
    <w:rsid w:val="00655BD1"/>
    <w:rsid w:val="00655C42"/>
    <w:rsid w:val="00655D94"/>
    <w:rsid w:val="00655EDC"/>
    <w:rsid w:val="006566F2"/>
    <w:rsid w:val="006573F6"/>
    <w:rsid w:val="00657666"/>
    <w:rsid w:val="0065790A"/>
    <w:rsid w:val="006604DF"/>
    <w:rsid w:val="00660A55"/>
    <w:rsid w:val="00660A9E"/>
    <w:rsid w:val="00660B0F"/>
    <w:rsid w:val="00660D79"/>
    <w:rsid w:val="00661915"/>
    <w:rsid w:val="00661CA6"/>
    <w:rsid w:val="00661F7D"/>
    <w:rsid w:val="00662E22"/>
    <w:rsid w:val="00663186"/>
    <w:rsid w:val="006633C0"/>
    <w:rsid w:val="00664351"/>
    <w:rsid w:val="00664406"/>
    <w:rsid w:val="00664431"/>
    <w:rsid w:val="00664536"/>
    <w:rsid w:val="00664765"/>
    <w:rsid w:val="006648DC"/>
    <w:rsid w:val="00664A7B"/>
    <w:rsid w:val="00664BC0"/>
    <w:rsid w:val="00665518"/>
    <w:rsid w:val="006659C8"/>
    <w:rsid w:val="0066609D"/>
    <w:rsid w:val="006660BB"/>
    <w:rsid w:val="006660BE"/>
    <w:rsid w:val="00667259"/>
    <w:rsid w:val="00667424"/>
    <w:rsid w:val="00667AE6"/>
    <w:rsid w:val="00667AF2"/>
    <w:rsid w:val="00667B3E"/>
    <w:rsid w:val="00671169"/>
    <w:rsid w:val="00671173"/>
    <w:rsid w:val="00671ACA"/>
    <w:rsid w:val="00672CF8"/>
    <w:rsid w:val="00672E4B"/>
    <w:rsid w:val="00672EDF"/>
    <w:rsid w:val="006730B4"/>
    <w:rsid w:val="006734E2"/>
    <w:rsid w:val="00673723"/>
    <w:rsid w:val="00673AA5"/>
    <w:rsid w:val="00673BD6"/>
    <w:rsid w:val="00673F14"/>
    <w:rsid w:val="00674236"/>
    <w:rsid w:val="0067445B"/>
    <w:rsid w:val="00674E9A"/>
    <w:rsid w:val="0067522E"/>
    <w:rsid w:val="006752C9"/>
    <w:rsid w:val="006754AC"/>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803"/>
    <w:rsid w:val="006809B4"/>
    <w:rsid w:val="00680D12"/>
    <w:rsid w:val="00680E37"/>
    <w:rsid w:val="00681110"/>
    <w:rsid w:val="006815BF"/>
    <w:rsid w:val="00681860"/>
    <w:rsid w:val="006819A3"/>
    <w:rsid w:val="00681A5A"/>
    <w:rsid w:val="00681C3D"/>
    <w:rsid w:val="006820B5"/>
    <w:rsid w:val="006824C6"/>
    <w:rsid w:val="0068354A"/>
    <w:rsid w:val="006836A6"/>
    <w:rsid w:val="00683CBE"/>
    <w:rsid w:val="00683E05"/>
    <w:rsid w:val="006840A8"/>
    <w:rsid w:val="00684275"/>
    <w:rsid w:val="006847BD"/>
    <w:rsid w:val="00685182"/>
    <w:rsid w:val="00685945"/>
    <w:rsid w:val="00685A73"/>
    <w:rsid w:val="00685C3D"/>
    <w:rsid w:val="00685CFC"/>
    <w:rsid w:val="00686150"/>
    <w:rsid w:val="00686D18"/>
    <w:rsid w:val="00687989"/>
    <w:rsid w:val="0069046F"/>
    <w:rsid w:val="006904D3"/>
    <w:rsid w:val="00690A2E"/>
    <w:rsid w:val="00690D04"/>
    <w:rsid w:val="00691822"/>
    <w:rsid w:val="00691E0B"/>
    <w:rsid w:val="006920D1"/>
    <w:rsid w:val="006923D0"/>
    <w:rsid w:val="0069253D"/>
    <w:rsid w:val="00692581"/>
    <w:rsid w:val="006929A2"/>
    <w:rsid w:val="00692AB1"/>
    <w:rsid w:val="00692DDF"/>
    <w:rsid w:val="00693613"/>
    <w:rsid w:val="00693796"/>
    <w:rsid w:val="006939D8"/>
    <w:rsid w:val="00693A3E"/>
    <w:rsid w:val="00693B2F"/>
    <w:rsid w:val="00693DE6"/>
    <w:rsid w:val="006940B8"/>
    <w:rsid w:val="006943A0"/>
    <w:rsid w:val="00694730"/>
    <w:rsid w:val="00695095"/>
    <w:rsid w:val="00696201"/>
    <w:rsid w:val="006967E1"/>
    <w:rsid w:val="00696CE0"/>
    <w:rsid w:val="00697814"/>
    <w:rsid w:val="00697EDA"/>
    <w:rsid w:val="006A04DA"/>
    <w:rsid w:val="006A091E"/>
    <w:rsid w:val="006A12AC"/>
    <w:rsid w:val="006A1357"/>
    <w:rsid w:val="006A19DA"/>
    <w:rsid w:val="006A1BFF"/>
    <w:rsid w:val="006A1D95"/>
    <w:rsid w:val="006A2A93"/>
    <w:rsid w:val="006A33BA"/>
    <w:rsid w:val="006A35EA"/>
    <w:rsid w:val="006A4455"/>
    <w:rsid w:val="006A4B1B"/>
    <w:rsid w:val="006A4EC5"/>
    <w:rsid w:val="006A53D1"/>
    <w:rsid w:val="006A5613"/>
    <w:rsid w:val="006A62E3"/>
    <w:rsid w:val="006A6947"/>
    <w:rsid w:val="006A6BED"/>
    <w:rsid w:val="006A704C"/>
    <w:rsid w:val="006A7453"/>
    <w:rsid w:val="006A74E0"/>
    <w:rsid w:val="006B0575"/>
    <w:rsid w:val="006B07ED"/>
    <w:rsid w:val="006B0877"/>
    <w:rsid w:val="006B0C95"/>
    <w:rsid w:val="006B161C"/>
    <w:rsid w:val="006B187E"/>
    <w:rsid w:val="006B2292"/>
    <w:rsid w:val="006B303B"/>
    <w:rsid w:val="006B3A00"/>
    <w:rsid w:val="006B4303"/>
    <w:rsid w:val="006B4C1B"/>
    <w:rsid w:val="006B5115"/>
    <w:rsid w:val="006B6C69"/>
    <w:rsid w:val="006B6E79"/>
    <w:rsid w:val="006B7198"/>
    <w:rsid w:val="006B719E"/>
    <w:rsid w:val="006B7644"/>
    <w:rsid w:val="006C006D"/>
    <w:rsid w:val="006C060F"/>
    <w:rsid w:val="006C0B02"/>
    <w:rsid w:val="006C11E7"/>
    <w:rsid w:val="006C14F1"/>
    <w:rsid w:val="006C196D"/>
    <w:rsid w:val="006C1BF0"/>
    <w:rsid w:val="006C1DE6"/>
    <w:rsid w:val="006C2EDA"/>
    <w:rsid w:val="006C30E0"/>
    <w:rsid w:val="006C357B"/>
    <w:rsid w:val="006C3610"/>
    <w:rsid w:val="006C3A19"/>
    <w:rsid w:val="006C3DDF"/>
    <w:rsid w:val="006C44E2"/>
    <w:rsid w:val="006C467C"/>
    <w:rsid w:val="006C4DCE"/>
    <w:rsid w:val="006C527F"/>
    <w:rsid w:val="006C5F34"/>
    <w:rsid w:val="006C600B"/>
    <w:rsid w:val="006C65F0"/>
    <w:rsid w:val="006C67DD"/>
    <w:rsid w:val="006C6CF8"/>
    <w:rsid w:val="006C72E6"/>
    <w:rsid w:val="006C7309"/>
    <w:rsid w:val="006C74A2"/>
    <w:rsid w:val="006C783A"/>
    <w:rsid w:val="006C78C0"/>
    <w:rsid w:val="006C7C59"/>
    <w:rsid w:val="006C7D61"/>
    <w:rsid w:val="006C7E7F"/>
    <w:rsid w:val="006D068A"/>
    <w:rsid w:val="006D0A19"/>
    <w:rsid w:val="006D102B"/>
    <w:rsid w:val="006D10B0"/>
    <w:rsid w:val="006D1B48"/>
    <w:rsid w:val="006D1BCC"/>
    <w:rsid w:val="006D2CD5"/>
    <w:rsid w:val="006D2F2A"/>
    <w:rsid w:val="006D31EE"/>
    <w:rsid w:val="006D32B3"/>
    <w:rsid w:val="006D359E"/>
    <w:rsid w:val="006D37A8"/>
    <w:rsid w:val="006D3934"/>
    <w:rsid w:val="006D3B38"/>
    <w:rsid w:val="006D3BBF"/>
    <w:rsid w:val="006D4176"/>
    <w:rsid w:val="006D496B"/>
    <w:rsid w:val="006D4A80"/>
    <w:rsid w:val="006D4C69"/>
    <w:rsid w:val="006D4D71"/>
    <w:rsid w:val="006D56EB"/>
    <w:rsid w:val="006D589C"/>
    <w:rsid w:val="006D5BBC"/>
    <w:rsid w:val="006D7303"/>
    <w:rsid w:val="006D763A"/>
    <w:rsid w:val="006D79FA"/>
    <w:rsid w:val="006D7E51"/>
    <w:rsid w:val="006E00CE"/>
    <w:rsid w:val="006E10B9"/>
    <w:rsid w:val="006E1376"/>
    <w:rsid w:val="006E1DF4"/>
    <w:rsid w:val="006E1EB3"/>
    <w:rsid w:val="006E2237"/>
    <w:rsid w:val="006E2A1D"/>
    <w:rsid w:val="006E32D6"/>
    <w:rsid w:val="006E33E6"/>
    <w:rsid w:val="006E3619"/>
    <w:rsid w:val="006E380E"/>
    <w:rsid w:val="006E3937"/>
    <w:rsid w:val="006E3C6E"/>
    <w:rsid w:val="006E40CB"/>
    <w:rsid w:val="006E42FE"/>
    <w:rsid w:val="006E431B"/>
    <w:rsid w:val="006E45AB"/>
    <w:rsid w:val="006E471B"/>
    <w:rsid w:val="006E4B58"/>
    <w:rsid w:val="006E52F5"/>
    <w:rsid w:val="006E5462"/>
    <w:rsid w:val="006E566C"/>
    <w:rsid w:val="006E65DF"/>
    <w:rsid w:val="006E725A"/>
    <w:rsid w:val="006E797A"/>
    <w:rsid w:val="006F04AE"/>
    <w:rsid w:val="006F04D5"/>
    <w:rsid w:val="006F1101"/>
    <w:rsid w:val="006F118E"/>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EB2"/>
    <w:rsid w:val="006F6F35"/>
    <w:rsid w:val="006F735A"/>
    <w:rsid w:val="006F79A8"/>
    <w:rsid w:val="00700549"/>
    <w:rsid w:val="00700A2F"/>
    <w:rsid w:val="00701834"/>
    <w:rsid w:val="00701A7F"/>
    <w:rsid w:val="0070203B"/>
    <w:rsid w:val="0070299A"/>
    <w:rsid w:val="007029A5"/>
    <w:rsid w:val="007032B9"/>
    <w:rsid w:val="00703717"/>
    <w:rsid w:val="007041EF"/>
    <w:rsid w:val="007042F0"/>
    <w:rsid w:val="007044A9"/>
    <w:rsid w:val="00704BEC"/>
    <w:rsid w:val="00704D67"/>
    <w:rsid w:val="00705295"/>
    <w:rsid w:val="00705386"/>
    <w:rsid w:val="007058E0"/>
    <w:rsid w:val="00705AF6"/>
    <w:rsid w:val="00705E43"/>
    <w:rsid w:val="00705FA4"/>
    <w:rsid w:val="00706005"/>
    <w:rsid w:val="00707138"/>
    <w:rsid w:val="0070714E"/>
    <w:rsid w:val="007078B0"/>
    <w:rsid w:val="00710217"/>
    <w:rsid w:val="00710539"/>
    <w:rsid w:val="007105FC"/>
    <w:rsid w:val="00711279"/>
    <w:rsid w:val="0071172F"/>
    <w:rsid w:val="007119A2"/>
    <w:rsid w:val="007123EC"/>
    <w:rsid w:val="00713482"/>
    <w:rsid w:val="00713BA7"/>
    <w:rsid w:val="00713BBE"/>
    <w:rsid w:val="00713C9C"/>
    <w:rsid w:val="00713F54"/>
    <w:rsid w:val="0071474D"/>
    <w:rsid w:val="007147C4"/>
    <w:rsid w:val="00714B00"/>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56D"/>
    <w:rsid w:val="007226E2"/>
    <w:rsid w:val="007228C8"/>
    <w:rsid w:val="0072323C"/>
    <w:rsid w:val="00723991"/>
    <w:rsid w:val="00723BB7"/>
    <w:rsid w:val="00723DAF"/>
    <w:rsid w:val="007240B1"/>
    <w:rsid w:val="00724653"/>
    <w:rsid w:val="0072508F"/>
    <w:rsid w:val="007258B8"/>
    <w:rsid w:val="00725A65"/>
    <w:rsid w:val="00725BC3"/>
    <w:rsid w:val="0072619E"/>
    <w:rsid w:val="007262D9"/>
    <w:rsid w:val="007265F0"/>
    <w:rsid w:val="007267CB"/>
    <w:rsid w:val="00726950"/>
    <w:rsid w:val="007269CD"/>
    <w:rsid w:val="00726AA7"/>
    <w:rsid w:val="00726BF3"/>
    <w:rsid w:val="00727155"/>
    <w:rsid w:val="00727363"/>
    <w:rsid w:val="007273B4"/>
    <w:rsid w:val="00727613"/>
    <w:rsid w:val="00727AF3"/>
    <w:rsid w:val="00727E3F"/>
    <w:rsid w:val="00727F94"/>
    <w:rsid w:val="007300CF"/>
    <w:rsid w:val="00730937"/>
    <w:rsid w:val="007309AA"/>
    <w:rsid w:val="00730A70"/>
    <w:rsid w:val="00730EF4"/>
    <w:rsid w:val="00731372"/>
    <w:rsid w:val="007314FA"/>
    <w:rsid w:val="007315C7"/>
    <w:rsid w:val="007319AA"/>
    <w:rsid w:val="00731F7B"/>
    <w:rsid w:val="0073208D"/>
    <w:rsid w:val="007324C0"/>
    <w:rsid w:val="0073279E"/>
    <w:rsid w:val="007327AF"/>
    <w:rsid w:val="00732FC7"/>
    <w:rsid w:val="007330B6"/>
    <w:rsid w:val="00733110"/>
    <w:rsid w:val="00733213"/>
    <w:rsid w:val="007333AE"/>
    <w:rsid w:val="007337C4"/>
    <w:rsid w:val="00733A62"/>
    <w:rsid w:val="00733A9F"/>
    <w:rsid w:val="00733AF5"/>
    <w:rsid w:val="00733DC6"/>
    <w:rsid w:val="00733E9A"/>
    <w:rsid w:val="0073424B"/>
    <w:rsid w:val="007342B2"/>
    <w:rsid w:val="00734A85"/>
    <w:rsid w:val="00734AE5"/>
    <w:rsid w:val="00734B19"/>
    <w:rsid w:val="00734B61"/>
    <w:rsid w:val="00734C11"/>
    <w:rsid w:val="00734C74"/>
    <w:rsid w:val="00734ED8"/>
    <w:rsid w:val="00734F93"/>
    <w:rsid w:val="00735183"/>
    <w:rsid w:val="007353F4"/>
    <w:rsid w:val="00735446"/>
    <w:rsid w:val="0073554B"/>
    <w:rsid w:val="00735574"/>
    <w:rsid w:val="0073598A"/>
    <w:rsid w:val="007365F1"/>
    <w:rsid w:val="00736FBD"/>
    <w:rsid w:val="00737062"/>
    <w:rsid w:val="007372DB"/>
    <w:rsid w:val="0073748E"/>
    <w:rsid w:val="007374D5"/>
    <w:rsid w:val="007377F5"/>
    <w:rsid w:val="00737CD8"/>
    <w:rsid w:val="00737F1C"/>
    <w:rsid w:val="00740077"/>
    <w:rsid w:val="007410D4"/>
    <w:rsid w:val="007410D5"/>
    <w:rsid w:val="00741753"/>
    <w:rsid w:val="00742009"/>
    <w:rsid w:val="007423E4"/>
    <w:rsid w:val="007428C2"/>
    <w:rsid w:val="00742D2F"/>
    <w:rsid w:val="00743EA6"/>
    <w:rsid w:val="0074415F"/>
    <w:rsid w:val="007447B7"/>
    <w:rsid w:val="00744BC6"/>
    <w:rsid w:val="007454BA"/>
    <w:rsid w:val="007454DF"/>
    <w:rsid w:val="007463C0"/>
    <w:rsid w:val="0074649C"/>
    <w:rsid w:val="00746628"/>
    <w:rsid w:val="00746880"/>
    <w:rsid w:val="0074690B"/>
    <w:rsid w:val="00746FC3"/>
    <w:rsid w:val="00747BBB"/>
    <w:rsid w:val="00750722"/>
    <w:rsid w:val="00751133"/>
    <w:rsid w:val="00751473"/>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488"/>
    <w:rsid w:val="00754AB3"/>
    <w:rsid w:val="00754F30"/>
    <w:rsid w:val="0075514F"/>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5668"/>
    <w:rsid w:val="00765BFA"/>
    <w:rsid w:val="007665B1"/>
    <w:rsid w:val="00766D03"/>
    <w:rsid w:val="00766D2F"/>
    <w:rsid w:val="00767053"/>
    <w:rsid w:val="00767E0E"/>
    <w:rsid w:val="00770014"/>
    <w:rsid w:val="00770CA3"/>
    <w:rsid w:val="00770FA2"/>
    <w:rsid w:val="007716B9"/>
    <w:rsid w:val="007716E8"/>
    <w:rsid w:val="00772025"/>
    <w:rsid w:val="00772226"/>
    <w:rsid w:val="00772D77"/>
    <w:rsid w:val="00772FB1"/>
    <w:rsid w:val="007730AF"/>
    <w:rsid w:val="00773265"/>
    <w:rsid w:val="00773B55"/>
    <w:rsid w:val="00774E02"/>
    <w:rsid w:val="007751F9"/>
    <w:rsid w:val="007752FA"/>
    <w:rsid w:val="007754F4"/>
    <w:rsid w:val="00775812"/>
    <w:rsid w:val="00775B38"/>
    <w:rsid w:val="00775B5A"/>
    <w:rsid w:val="0077617B"/>
    <w:rsid w:val="007764FB"/>
    <w:rsid w:val="00777341"/>
    <w:rsid w:val="00777C05"/>
    <w:rsid w:val="007800A5"/>
    <w:rsid w:val="00780B01"/>
    <w:rsid w:val="007810C2"/>
    <w:rsid w:val="00781DAB"/>
    <w:rsid w:val="00781F78"/>
    <w:rsid w:val="0078214D"/>
    <w:rsid w:val="00782459"/>
    <w:rsid w:val="00782671"/>
    <w:rsid w:val="00782CBC"/>
    <w:rsid w:val="00782D01"/>
    <w:rsid w:val="00782D15"/>
    <w:rsid w:val="007837DC"/>
    <w:rsid w:val="0078388E"/>
    <w:rsid w:val="007839B1"/>
    <w:rsid w:val="007841C0"/>
    <w:rsid w:val="007842F7"/>
    <w:rsid w:val="0078466D"/>
    <w:rsid w:val="00784851"/>
    <w:rsid w:val="00784859"/>
    <w:rsid w:val="00784D27"/>
    <w:rsid w:val="00785722"/>
    <w:rsid w:val="007861F5"/>
    <w:rsid w:val="00786D0B"/>
    <w:rsid w:val="007874A2"/>
    <w:rsid w:val="00787C16"/>
    <w:rsid w:val="00790420"/>
    <w:rsid w:val="00790791"/>
    <w:rsid w:val="00790999"/>
    <w:rsid w:val="00790A2E"/>
    <w:rsid w:val="00790AF0"/>
    <w:rsid w:val="00790D6C"/>
    <w:rsid w:val="00790FEB"/>
    <w:rsid w:val="007913B0"/>
    <w:rsid w:val="007916BE"/>
    <w:rsid w:val="00791BBD"/>
    <w:rsid w:val="00791EA4"/>
    <w:rsid w:val="007923FF"/>
    <w:rsid w:val="007927D6"/>
    <w:rsid w:val="00792E77"/>
    <w:rsid w:val="00793938"/>
    <w:rsid w:val="00793D7B"/>
    <w:rsid w:val="00794419"/>
    <w:rsid w:val="00794BC0"/>
    <w:rsid w:val="00794C2A"/>
    <w:rsid w:val="00794F23"/>
    <w:rsid w:val="007954F0"/>
    <w:rsid w:val="0079576F"/>
    <w:rsid w:val="007957BC"/>
    <w:rsid w:val="0079594B"/>
    <w:rsid w:val="00796002"/>
    <w:rsid w:val="00796557"/>
    <w:rsid w:val="007969A7"/>
    <w:rsid w:val="00796A0B"/>
    <w:rsid w:val="00796A50"/>
    <w:rsid w:val="00796AF9"/>
    <w:rsid w:val="00796CC3"/>
    <w:rsid w:val="007971B5"/>
    <w:rsid w:val="00797474"/>
    <w:rsid w:val="007974E2"/>
    <w:rsid w:val="00797C89"/>
    <w:rsid w:val="00797D9E"/>
    <w:rsid w:val="007A0137"/>
    <w:rsid w:val="007A017B"/>
    <w:rsid w:val="007A0913"/>
    <w:rsid w:val="007A094A"/>
    <w:rsid w:val="007A0FCD"/>
    <w:rsid w:val="007A0FFD"/>
    <w:rsid w:val="007A111C"/>
    <w:rsid w:val="007A1532"/>
    <w:rsid w:val="007A1767"/>
    <w:rsid w:val="007A2D45"/>
    <w:rsid w:val="007A31A9"/>
    <w:rsid w:val="007A32BE"/>
    <w:rsid w:val="007A3C03"/>
    <w:rsid w:val="007A529A"/>
    <w:rsid w:val="007A541F"/>
    <w:rsid w:val="007A55E4"/>
    <w:rsid w:val="007A55E7"/>
    <w:rsid w:val="007A57C4"/>
    <w:rsid w:val="007A5A7D"/>
    <w:rsid w:val="007A61C5"/>
    <w:rsid w:val="007A6272"/>
    <w:rsid w:val="007A6623"/>
    <w:rsid w:val="007A680D"/>
    <w:rsid w:val="007A6F8C"/>
    <w:rsid w:val="007A7C75"/>
    <w:rsid w:val="007B02A3"/>
    <w:rsid w:val="007B03DB"/>
    <w:rsid w:val="007B0454"/>
    <w:rsid w:val="007B0576"/>
    <w:rsid w:val="007B0A3D"/>
    <w:rsid w:val="007B0D6A"/>
    <w:rsid w:val="007B1247"/>
    <w:rsid w:val="007B1733"/>
    <w:rsid w:val="007B1CBD"/>
    <w:rsid w:val="007B203F"/>
    <w:rsid w:val="007B2529"/>
    <w:rsid w:val="007B28E5"/>
    <w:rsid w:val="007B3D9A"/>
    <w:rsid w:val="007B50D6"/>
    <w:rsid w:val="007B54CB"/>
    <w:rsid w:val="007B5665"/>
    <w:rsid w:val="007B5B31"/>
    <w:rsid w:val="007B5C16"/>
    <w:rsid w:val="007B5D4C"/>
    <w:rsid w:val="007B5D7D"/>
    <w:rsid w:val="007B6751"/>
    <w:rsid w:val="007B692A"/>
    <w:rsid w:val="007B6BF9"/>
    <w:rsid w:val="007B6C1D"/>
    <w:rsid w:val="007B72FA"/>
    <w:rsid w:val="007B755C"/>
    <w:rsid w:val="007B7DB4"/>
    <w:rsid w:val="007C014D"/>
    <w:rsid w:val="007C044B"/>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699B"/>
    <w:rsid w:val="007C7607"/>
    <w:rsid w:val="007C763F"/>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88E"/>
    <w:rsid w:val="007E18C6"/>
    <w:rsid w:val="007E193E"/>
    <w:rsid w:val="007E1953"/>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4279"/>
    <w:rsid w:val="007E484C"/>
    <w:rsid w:val="007E4861"/>
    <w:rsid w:val="007E4BFC"/>
    <w:rsid w:val="007E4D4C"/>
    <w:rsid w:val="007E66A4"/>
    <w:rsid w:val="007E7331"/>
    <w:rsid w:val="007E7829"/>
    <w:rsid w:val="007E7E3B"/>
    <w:rsid w:val="007F0448"/>
    <w:rsid w:val="007F0734"/>
    <w:rsid w:val="007F07E5"/>
    <w:rsid w:val="007F0E82"/>
    <w:rsid w:val="007F0EED"/>
    <w:rsid w:val="007F1D5D"/>
    <w:rsid w:val="007F246C"/>
    <w:rsid w:val="007F28F3"/>
    <w:rsid w:val="007F2AC2"/>
    <w:rsid w:val="007F2C2F"/>
    <w:rsid w:val="007F308B"/>
    <w:rsid w:val="007F31AB"/>
    <w:rsid w:val="007F34BF"/>
    <w:rsid w:val="007F3734"/>
    <w:rsid w:val="007F37E3"/>
    <w:rsid w:val="007F3A4A"/>
    <w:rsid w:val="007F4420"/>
    <w:rsid w:val="007F455B"/>
    <w:rsid w:val="007F46E0"/>
    <w:rsid w:val="007F4844"/>
    <w:rsid w:val="007F4B9C"/>
    <w:rsid w:val="007F4CD4"/>
    <w:rsid w:val="007F4D4A"/>
    <w:rsid w:val="007F5003"/>
    <w:rsid w:val="007F5164"/>
    <w:rsid w:val="007F5C59"/>
    <w:rsid w:val="007F5E5A"/>
    <w:rsid w:val="007F5E92"/>
    <w:rsid w:val="007F611B"/>
    <w:rsid w:val="007F67AB"/>
    <w:rsid w:val="007F6DF4"/>
    <w:rsid w:val="007F71A5"/>
    <w:rsid w:val="007F78EE"/>
    <w:rsid w:val="00800433"/>
    <w:rsid w:val="00800936"/>
    <w:rsid w:val="00800AB1"/>
    <w:rsid w:val="00800EC2"/>
    <w:rsid w:val="008010CA"/>
    <w:rsid w:val="008017C1"/>
    <w:rsid w:val="0080181E"/>
    <w:rsid w:val="00801EB2"/>
    <w:rsid w:val="00801FBA"/>
    <w:rsid w:val="00802938"/>
    <w:rsid w:val="00802B28"/>
    <w:rsid w:val="00802B84"/>
    <w:rsid w:val="0080330F"/>
    <w:rsid w:val="00803ABC"/>
    <w:rsid w:val="00804118"/>
    <w:rsid w:val="00804D66"/>
    <w:rsid w:val="00804E26"/>
    <w:rsid w:val="00805076"/>
    <w:rsid w:val="00805415"/>
    <w:rsid w:val="00806834"/>
    <w:rsid w:val="0080695D"/>
    <w:rsid w:val="00806AF3"/>
    <w:rsid w:val="00806B42"/>
    <w:rsid w:val="00806CCF"/>
    <w:rsid w:val="00806F0B"/>
    <w:rsid w:val="00806F54"/>
    <w:rsid w:val="00806FC0"/>
    <w:rsid w:val="00807BF3"/>
    <w:rsid w:val="00807CFF"/>
    <w:rsid w:val="00807F9E"/>
    <w:rsid w:val="008102D7"/>
    <w:rsid w:val="00810A1E"/>
    <w:rsid w:val="00810AEE"/>
    <w:rsid w:val="00811286"/>
    <w:rsid w:val="008112C0"/>
    <w:rsid w:val="00811813"/>
    <w:rsid w:val="008121DB"/>
    <w:rsid w:val="00812766"/>
    <w:rsid w:val="008128C6"/>
    <w:rsid w:val="00812A7B"/>
    <w:rsid w:val="008130BF"/>
    <w:rsid w:val="008138D9"/>
    <w:rsid w:val="00813A04"/>
    <w:rsid w:val="00813D10"/>
    <w:rsid w:val="008142A4"/>
    <w:rsid w:val="008144E8"/>
    <w:rsid w:val="00814D3E"/>
    <w:rsid w:val="008151DB"/>
    <w:rsid w:val="00815983"/>
    <w:rsid w:val="00815A33"/>
    <w:rsid w:val="00815A6E"/>
    <w:rsid w:val="008160B1"/>
    <w:rsid w:val="00816F24"/>
    <w:rsid w:val="008173E1"/>
    <w:rsid w:val="00817437"/>
    <w:rsid w:val="00817691"/>
    <w:rsid w:val="00817D7E"/>
    <w:rsid w:val="00820653"/>
    <w:rsid w:val="0082090B"/>
    <w:rsid w:val="008210CC"/>
    <w:rsid w:val="008211D9"/>
    <w:rsid w:val="008217B7"/>
    <w:rsid w:val="008217E0"/>
    <w:rsid w:val="0082190C"/>
    <w:rsid w:val="008227BD"/>
    <w:rsid w:val="00822AA4"/>
    <w:rsid w:val="00822C58"/>
    <w:rsid w:val="00823EB8"/>
    <w:rsid w:val="0082445C"/>
    <w:rsid w:val="00824837"/>
    <w:rsid w:val="00824938"/>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4F4"/>
    <w:rsid w:val="008316CA"/>
    <w:rsid w:val="00831A1A"/>
    <w:rsid w:val="00831DA6"/>
    <w:rsid w:val="008321F9"/>
    <w:rsid w:val="008326F0"/>
    <w:rsid w:val="0083289A"/>
    <w:rsid w:val="008336A9"/>
    <w:rsid w:val="0083410E"/>
    <w:rsid w:val="0083482E"/>
    <w:rsid w:val="00834D25"/>
    <w:rsid w:val="00835153"/>
    <w:rsid w:val="00835A89"/>
    <w:rsid w:val="00835C5A"/>
    <w:rsid w:val="008368F9"/>
    <w:rsid w:val="00836E5D"/>
    <w:rsid w:val="00840ACA"/>
    <w:rsid w:val="00840C2F"/>
    <w:rsid w:val="00840FF2"/>
    <w:rsid w:val="008413A9"/>
    <w:rsid w:val="008419C9"/>
    <w:rsid w:val="00841D60"/>
    <w:rsid w:val="008422F5"/>
    <w:rsid w:val="008425BB"/>
    <w:rsid w:val="008428D5"/>
    <w:rsid w:val="00842C33"/>
    <w:rsid w:val="00842EF7"/>
    <w:rsid w:val="00843024"/>
    <w:rsid w:val="00843730"/>
    <w:rsid w:val="00844F86"/>
    <w:rsid w:val="008451B2"/>
    <w:rsid w:val="00845278"/>
    <w:rsid w:val="00845DE8"/>
    <w:rsid w:val="008461F2"/>
    <w:rsid w:val="0084626D"/>
    <w:rsid w:val="0084632A"/>
    <w:rsid w:val="0084684B"/>
    <w:rsid w:val="00846AA9"/>
    <w:rsid w:val="00846D8D"/>
    <w:rsid w:val="00847295"/>
    <w:rsid w:val="00847EE8"/>
    <w:rsid w:val="00850639"/>
    <w:rsid w:val="0085064F"/>
    <w:rsid w:val="008510D6"/>
    <w:rsid w:val="008513B9"/>
    <w:rsid w:val="0085290B"/>
    <w:rsid w:val="00853708"/>
    <w:rsid w:val="00854AE2"/>
    <w:rsid w:val="00854C3B"/>
    <w:rsid w:val="00854FA0"/>
    <w:rsid w:val="008557C5"/>
    <w:rsid w:val="00855A1A"/>
    <w:rsid w:val="0085652F"/>
    <w:rsid w:val="00856618"/>
    <w:rsid w:val="008566B8"/>
    <w:rsid w:val="00856C23"/>
    <w:rsid w:val="00856D5D"/>
    <w:rsid w:val="00857CDA"/>
    <w:rsid w:val="00860153"/>
    <w:rsid w:val="00860F2D"/>
    <w:rsid w:val="0086119F"/>
    <w:rsid w:val="008617AB"/>
    <w:rsid w:val="008619CB"/>
    <w:rsid w:val="00862004"/>
    <w:rsid w:val="00862743"/>
    <w:rsid w:val="008630DB"/>
    <w:rsid w:val="00863C41"/>
    <w:rsid w:val="00863EA4"/>
    <w:rsid w:val="00864519"/>
    <w:rsid w:val="00865480"/>
    <w:rsid w:val="00865492"/>
    <w:rsid w:val="00865AB1"/>
    <w:rsid w:val="0086650F"/>
    <w:rsid w:val="00866685"/>
    <w:rsid w:val="008668B9"/>
    <w:rsid w:val="00867064"/>
    <w:rsid w:val="0086784D"/>
    <w:rsid w:val="0087025D"/>
    <w:rsid w:val="00870266"/>
    <w:rsid w:val="0087063C"/>
    <w:rsid w:val="00870E00"/>
    <w:rsid w:val="00871A75"/>
    <w:rsid w:val="00871B94"/>
    <w:rsid w:val="008721CB"/>
    <w:rsid w:val="008725A8"/>
    <w:rsid w:val="00872852"/>
    <w:rsid w:val="00872E50"/>
    <w:rsid w:val="0087329E"/>
    <w:rsid w:val="00873905"/>
    <w:rsid w:val="008740CF"/>
    <w:rsid w:val="00874493"/>
    <w:rsid w:val="00874785"/>
    <w:rsid w:val="00874972"/>
    <w:rsid w:val="00874F9C"/>
    <w:rsid w:val="0087563F"/>
    <w:rsid w:val="008759F5"/>
    <w:rsid w:val="0087718C"/>
    <w:rsid w:val="0087719F"/>
    <w:rsid w:val="00877912"/>
    <w:rsid w:val="0087792A"/>
    <w:rsid w:val="00877D28"/>
    <w:rsid w:val="008804BE"/>
    <w:rsid w:val="00880B78"/>
    <w:rsid w:val="00880EC9"/>
    <w:rsid w:val="008815C5"/>
    <w:rsid w:val="008817CD"/>
    <w:rsid w:val="00881808"/>
    <w:rsid w:val="008819C1"/>
    <w:rsid w:val="0088244E"/>
    <w:rsid w:val="008824A8"/>
    <w:rsid w:val="00882AD1"/>
    <w:rsid w:val="00882BF3"/>
    <w:rsid w:val="00882DBF"/>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668"/>
    <w:rsid w:val="00890A8C"/>
    <w:rsid w:val="008915CF"/>
    <w:rsid w:val="008916DE"/>
    <w:rsid w:val="00891783"/>
    <w:rsid w:val="00891D4F"/>
    <w:rsid w:val="008926C3"/>
    <w:rsid w:val="00892957"/>
    <w:rsid w:val="0089463C"/>
    <w:rsid w:val="00894CBF"/>
    <w:rsid w:val="0089530F"/>
    <w:rsid w:val="008955F4"/>
    <w:rsid w:val="00895D87"/>
    <w:rsid w:val="00895D92"/>
    <w:rsid w:val="008961B5"/>
    <w:rsid w:val="00896328"/>
    <w:rsid w:val="00896975"/>
    <w:rsid w:val="00896FEF"/>
    <w:rsid w:val="00897239"/>
    <w:rsid w:val="00897728"/>
    <w:rsid w:val="00897C8C"/>
    <w:rsid w:val="00897E16"/>
    <w:rsid w:val="008A044E"/>
    <w:rsid w:val="008A05BE"/>
    <w:rsid w:val="008A0890"/>
    <w:rsid w:val="008A089F"/>
    <w:rsid w:val="008A093B"/>
    <w:rsid w:val="008A0BBF"/>
    <w:rsid w:val="008A0FF8"/>
    <w:rsid w:val="008A252E"/>
    <w:rsid w:val="008A2706"/>
    <w:rsid w:val="008A272F"/>
    <w:rsid w:val="008A29DA"/>
    <w:rsid w:val="008A2A3D"/>
    <w:rsid w:val="008A2F68"/>
    <w:rsid w:val="008A321B"/>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6030"/>
    <w:rsid w:val="008A61AE"/>
    <w:rsid w:val="008A6B9D"/>
    <w:rsid w:val="008A76C7"/>
    <w:rsid w:val="008A7E87"/>
    <w:rsid w:val="008B03B0"/>
    <w:rsid w:val="008B04D4"/>
    <w:rsid w:val="008B0FEA"/>
    <w:rsid w:val="008B18AD"/>
    <w:rsid w:val="008B1F86"/>
    <w:rsid w:val="008B2825"/>
    <w:rsid w:val="008B2A44"/>
    <w:rsid w:val="008B30EE"/>
    <w:rsid w:val="008B3146"/>
    <w:rsid w:val="008B3547"/>
    <w:rsid w:val="008B3932"/>
    <w:rsid w:val="008B39D1"/>
    <w:rsid w:val="008B508A"/>
    <w:rsid w:val="008B55CF"/>
    <w:rsid w:val="008B5911"/>
    <w:rsid w:val="008B5BB6"/>
    <w:rsid w:val="008B63FF"/>
    <w:rsid w:val="008B655B"/>
    <w:rsid w:val="008B6BE9"/>
    <w:rsid w:val="008B71ED"/>
    <w:rsid w:val="008B7288"/>
    <w:rsid w:val="008B7B41"/>
    <w:rsid w:val="008B7C92"/>
    <w:rsid w:val="008B7DA5"/>
    <w:rsid w:val="008B7F74"/>
    <w:rsid w:val="008C046C"/>
    <w:rsid w:val="008C0709"/>
    <w:rsid w:val="008C0C42"/>
    <w:rsid w:val="008C157E"/>
    <w:rsid w:val="008C18F2"/>
    <w:rsid w:val="008C1AFD"/>
    <w:rsid w:val="008C25BA"/>
    <w:rsid w:val="008C2A1E"/>
    <w:rsid w:val="008C2AFB"/>
    <w:rsid w:val="008C3378"/>
    <w:rsid w:val="008C3450"/>
    <w:rsid w:val="008C36E8"/>
    <w:rsid w:val="008C3976"/>
    <w:rsid w:val="008C41BC"/>
    <w:rsid w:val="008C4312"/>
    <w:rsid w:val="008C459B"/>
    <w:rsid w:val="008C5B21"/>
    <w:rsid w:val="008C5E13"/>
    <w:rsid w:val="008C5E80"/>
    <w:rsid w:val="008C6201"/>
    <w:rsid w:val="008C6A2A"/>
    <w:rsid w:val="008C7111"/>
    <w:rsid w:val="008C7A79"/>
    <w:rsid w:val="008C7F9A"/>
    <w:rsid w:val="008D002B"/>
    <w:rsid w:val="008D0341"/>
    <w:rsid w:val="008D04B9"/>
    <w:rsid w:val="008D0E9D"/>
    <w:rsid w:val="008D168D"/>
    <w:rsid w:val="008D1856"/>
    <w:rsid w:val="008D2342"/>
    <w:rsid w:val="008D281D"/>
    <w:rsid w:val="008D2A9D"/>
    <w:rsid w:val="008D2FA3"/>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074"/>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F52"/>
    <w:rsid w:val="008E72C7"/>
    <w:rsid w:val="008E768E"/>
    <w:rsid w:val="008E7AEF"/>
    <w:rsid w:val="008E7BD5"/>
    <w:rsid w:val="008E7CC4"/>
    <w:rsid w:val="008E7EBF"/>
    <w:rsid w:val="008F0309"/>
    <w:rsid w:val="008F0587"/>
    <w:rsid w:val="008F08BE"/>
    <w:rsid w:val="008F0BF1"/>
    <w:rsid w:val="008F0C01"/>
    <w:rsid w:val="008F0DF8"/>
    <w:rsid w:val="008F135D"/>
    <w:rsid w:val="008F1817"/>
    <w:rsid w:val="008F19B5"/>
    <w:rsid w:val="008F24E8"/>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706F"/>
    <w:rsid w:val="008F7354"/>
    <w:rsid w:val="008F7866"/>
    <w:rsid w:val="008F7EC8"/>
    <w:rsid w:val="009001F9"/>
    <w:rsid w:val="009005A8"/>
    <w:rsid w:val="00900794"/>
    <w:rsid w:val="009007E4"/>
    <w:rsid w:val="00900A41"/>
    <w:rsid w:val="00900A6B"/>
    <w:rsid w:val="0090152C"/>
    <w:rsid w:val="00901B5E"/>
    <w:rsid w:val="0090258B"/>
    <w:rsid w:val="0090263B"/>
    <w:rsid w:val="009026F1"/>
    <w:rsid w:val="00902B9C"/>
    <w:rsid w:val="00902DF5"/>
    <w:rsid w:val="009033F3"/>
    <w:rsid w:val="009035CB"/>
    <w:rsid w:val="009036F9"/>
    <w:rsid w:val="009039D3"/>
    <w:rsid w:val="00903C45"/>
    <w:rsid w:val="00904115"/>
    <w:rsid w:val="009044EE"/>
    <w:rsid w:val="00905886"/>
    <w:rsid w:val="00905B1B"/>
    <w:rsid w:val="00905BB3"/>
    <w:rsid w:val="00905D69"/>
    <w:rsid w:val="00905E0E"/>
    <w:rsid w:val="00905E69"/>
    <w:rsid w:val="00905E9C"/>
    <w:rsid w:val="00905F03"/>
    <w:rsid w:val="00906131"/>
    <w:rsid w:val="00906FF3"/>
    <w:rsid w:val="00907390"/>
    <w:rsid w:val="00907840"/>
    <w:rsid w:val="00907CBA"/>
    <w:rsid w:val="00907D11"/>
    <w:rsid w:val="00907D54"/>
    <w:rsid w:val="00907FBF"/>
    <w:rsid w:val="0091049C"/>
    <w:rsid w:val="009106B4"/>
    <w:rsid w:val="00910E0C"/>
    <w:rsid w:val="0091186A"/>
    <w:rsid w:val="009121FB"/>
    <w:rsid w:val="0091232D"/>
    <w:rsid w:val="00912E42"/>
    <w:rsid w:val="00912F67"/>
    <w:rsid w:val="00913007"/>
    <w:rsid w:val="009130DD"/>
    <w:rsid w:val="00913467"/>
    <w:rsid w:val="0091370B"/>
    <w:rsid w:val="00913728"/>
    <w:rsid w:val="00913780"/>
    <w:rsid w:val="009139EA"/>
    <w:rsid w:val="00914007"/>
    <w:rsid w:val="009141F5"/>
    <w:rsid w:val="00914821"/>
    <w:rsid w:val="00914CDF"/>
    <w:rsid w:val="009156F0"/>
    <w:rsid w:val="00915909"/>
    <w:rsid w:val="00915DAB"/>
    <w:rsid w:val="0091682C"/>
    <w:rsid w:val="0091695E"/>
    <w:rsid w:val="00916AA5"/>
    <w:rsid w:val="00916C83"/>
    <w:rsid w:val="00916FB0"/>
    <w:rsid w:val="00917CCE"/>
    <w:rsid w:val="00920E6C"/>
    <w:rsid w:val="00921210"/>
    <w:rsid w:val="0092142E"/>
    <w:rsid w:val="00921658"/>
    <w:rsid w:val="0092176E"/>
    <w:rsid w:val="0092234C"/>
    <w:rsid w:val="00922388"/>
    <w:rsid w:val="00922A01"/>
    <w:rsid w:val="00922C9B"/>
    <w:rsid w:val="00923527"/>
    <w:rsid w:val="00923C7E"/>
    <w:rsid w:val="00923E7D"/>
    <w:rsid w:val="00923EDC"/>
    <w:rsid w:val="00924A81"/>
    <w:rsid w:val="00926BC1"/>
    <w:rsid w:val="00926CD8"/>
    <w:rsid w:val="00926F01"/>
    <w:rsid w:val="00927084"/>
    <w:rsid w:val="009274B8"/>
    <w:rsid w:val="00927BB7"/>
    <w:rsid w:val="00927C5B"/>
    <w:rsid w:val="00927F06"/>
    <w:rsid w:val="00930C58"/>
    <w:rsid w:val="0093171A"/>
    <w:rsid w:val="009318DE"/>
    <w:rsid w:val="00931B23"/>
    <w:rsid w:val="00931B74"/>
    <w:rsid w:val="00931E1B"/>
    <w:rsid w:val="009321B9"/>
    <w:rsid w:val="009324C1"/>
    <w:rsid w:val="00932787"/>
    <w:rsid w:val="0093333C"/>
    <w:rsid w:val="0093367C"/>
    <w:rsid w:val="009337BD"/>
    <w:rsid w:val="00933B43"/>
    <w:rsid w:val="00934CC8"/>
    <w:rsid w:val="00934E42"/>
    <w:rsid w:val="00934FB1"/>
    <w:rsid w:val="00935037"/>
    <w:rsid w:val="0093512B"/>
    <w:rsid w:val="00935F6E"/>
    <w:rsid w:val="0093622E"/>
    <w:rsid w:val="009363D0"/>
    <w:rsid w:val="009364B5"/>
    <w:rsid w:val="00936540"/>
    <w:rsid w:val="00936CFA"/>
    <w:rsid w:val="00936D22"/>
    <w:rsid w:val="00936F66"/>
    <w:rsid w:val="00936F6C"/>
    <w:rsid w:val="0093750B"/>
    <w:rsid w:val="009377A7"/>
    <w:rsid w:val="00937890"/>
    <w:rsid w:val="00937F24"/>
    <w:rsid w:val="009403CC"/>
    <w:rsid w:val="00940691"/>
    <w:rsid w:val="009407E7"/>
    <w:rsid w:val="00940811"/>
    <w:rsid w:val="00940948"/>
    <w:rsid w:val="00940ACC"/>
    <w:rsid w:val="00940E73"/>
    <w:rsid w:val="00941013"/>
    <w:rsid w:val="00941758"/>
    <w:rsid w:val="0094188E"/>
    <w:rsid w:val="0094196F"/>
    <w:rsid w:val="00942076"/>
    <w:rsid w:val="0094213B"/>
    <w:rsid w:val="00942865"/>
    <w:rsid w:val="00942938"/>
    <w:rsid w:val="009432A8"/>
    <w:rsid w:val="00943D7A"/>
    <w:rsid w:val="009445F1"/>
    <w:rsid w:val="00944B59"/>
    <w:rsid w:val="00944CAC"/>
    <w:rsid w:val="00944CB0"/>
    <w:rsid w:val="0094516D"/>
    <w:rsid w:val="00945477"/>
    <w:rsid w:val="009455E6"/>
    <w:rsid w:val="00945F78"/>
    <w:rsid w:val="00946718"/>
    <w:rsid w:val="0094677E"/>
    <w:rsid w:val="00946881"/>
    <w:rsid w:val="00946E09"/>
    <w:rsid w:val="0094738E"/>
    <w:rsid w:val="0094741D"/>
    <w:rsid w:val="009475F7"/>
    <w:rsid w:val="009476A4"/>
    <w:rsid w:val="00947B97"/>
    <w:rsid w:val="00950016"/>
    <w:rsid w:val="0095006B"/>
    <w:rsid w:val="00950116"/>
    <w:rsid w:val="00950189"/>
    <w:rsid w:val="0095026C"/>
    <w:rsid w:val="00950A49"/>
    <w:rsid w:val="00950F7A"/>
    <w:rsid w:val="00951579"/>
    <w:rsid w:val="009517A9"/>
    <w:rsid w:val="00951F41"/>
    <w:rsid w:val="0095204E"/>
    <w:rsid w:val="009522C5"/>
    <w:rsid w:val="00952A2C"/>
    <w:rsid w:val="00952D0D"/>
    <w:rsid w:val="0095338E"/>
    <w:rsid w:val="00953506"/>
    <w:rsid w:val="00953998"/>
    <w:rsid w:val="00953A6A"/>
    <w:rsid w:val="00953F20"/>
    <w:rsid w:val="0095420D"/>
    <w:rsid w:val="009544CC"/>
    <w:rsid w:val="009556AC"/>
    <w:rsid w:val="009558B0"/>
    <w:rsid w:val="00955939"/>
    <w:rsid w:val="009560A4"/>
    <w:rsid w:val="00956201"/>
    <w:rsid w:val="00956626"/>
    <w:rsid w:val="00956E39"/>
    <w:rsid w:val="0095701A"/>
    <w:rsid w:val="00957746"/>
    <w:rsid w:val="00957EE7"/>
    <w:rsid w:val="00960835"/>
    <w:rsid w:val="00960C64"/>
    <w:rsid w:val="00960F50"/>
    <w:rsid w:val="009610D4"/>
    <w:rsid w:val="00961479"/>
    <w:rsid w:val="00961E3C"/>
    <w:rsid w:val="009621D8"/>
    <w:rsid w:val="009621F5"/>
    <w:rsid w:val="00963058"/>
    <w:rsid w:val="0096329C"/>
    <w:rsid w:val="009633A3"/>
    <w:rsid w:val="009635FC"/>
    <w:rsid w:val="00963678"/>
    <w:rsid w:val="00963C47"/>
    <w:rsid w:val="00963E82"/>
    <w:rsid w:val="009643B5"/>
    <w:rsid w:val="009643D1"/>
    <w:rsid w:val="0096465D"/>
    <w:rsid w:val="009649C8"/>
    <w:rsid w:val="009653C9"/>
    <w:rsid w:val="009654F5"/>
    <w:rsid w:val="00965BA3"/>
    <w:rsid w:val="0096655A"/>
    <w:rsid w:val="00966CCD"/>
    <w:rsid w:val="009670D6"/>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85"/>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6B1"/>
    <w:rsid w:val="00983C1D"/>
    <w:rsid w:val="0098402E"/>
    <w:rsid w:val="009846BE"/>
    <w:rsid w:val="00984D77"/>
    <w:rsid w:val="00985109"/>
    <w:rsid w:val="00985335"/>
    <w:rsid w:val="00985542"/>
    <w:rsid w:val="009861A4"/>
    <w:rsid w:val="009862F6"/>
    <w:rsid w:val="009866B5"/>
    <w:rsid w:val="00986940"/>
    <w:rsid w:val="00986C33"/>
    <w:rsid w:val="009876AD"/>
    <w:rsid w:val="00987893"/>
    <w:rsid w:val="0099021D"/>
    <w:rsid w:val="00990290"/>
    <w:rsid w:val="009902FF"/>
    <w:rsid w:val="0099095A"/>
    <w:rsid w:val="00990AC8"/>
    <w:rsid w:val="00990BCD"/>
    <w:rsid w:val="00990D8B"/>
    <w:rsid w:val="00990FA4"/>
    <w:rsid w:val="00991412"/>
    <w:rsid w:val="009917E6"/>
    <w:rsid w:val="00991963"/>
    <w:rsid w:val="00991C5C"/>
    <w:rsid w:val="009920EB"/>
    <w:rsid w:val="0099217C"/>
    <w:rsid w:val="0099237C"/>
    <w:rsid w:val="009924DF"/>
    <w:rsid w:val="009934AC"/>
    <w:rsid w:val="0099403A"/>
    <w:rsid w:val="00994802"/>
    <w:rsid w:val="009948FE"/>
    <w:rsid w:val="00994951"/>
    <w:rsid w:val="009949AF"/>
    <w:rsid w:val="00994A48"/>
    <w:rsid w:val="00994BCD"/>
    <w:rsid w:val="00994CF1"/>
    <w:rsid w:val="009952F9"/>
    <w:rsid w:val="00995BBA"/>
    <w:rsid w:val="00995E3B"/>
    <w:rsid w:val="00996314"/>
    <w:rsid w:val="00996373"/>
    <w:rsid w:val="009965A0"/>
    <w:rsid w:val="009967A1"/>
    <w:rsid w:val="0099681E"/>
    <w:rsid w:val="0099684E"/>
    <w:rsid w:val="00996C26"/>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3"/>
    <w:rsid w:val="009A32EC"/>
    <w:rsid w:val="009A39F0"/>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6037"/>
    <w:rsid w:val="009B6434"/>
    <w:rsid w:val="009B666C"/>
    <w:rsid w:val="009B7150"/>
    <w:rsid w:val="009B7BAE"/>
    <w:rsid w:val="009C0007"/>
    <w:rsid w:val="009C0058"/>
    <w:rsid w:val="009C0569"/>
    <w:rsid w:val="009C08DA"/>
    <w:rsid w:val="009C0C71"/>
    <w:rsid w:val="009C0E09"/>
    <w:rsid w:val="009C1418"/>
    <w:rsid w:val="009C142F"/>
    <w:rsid w:val="009C1A4B"/>
    <w:rsid w:val="009C385B"/>
    <w:rsid w:val="009C424F"/>
    <w:rsid w:val="009C42DA"/>
    <w:rsid w:val="009C4549"/>
    <w:rsid w:val="009C45A7"/>
    <w:rsid w:val="009C45F2"/>
    <w:rsid w:val="009C475E"/>
    <w:rsid w:val="009C4BE9"/>
    <w:rsid w:val="009C5869"/>
    <w:rsid w:val="009C58BA"/>
    <w:rsid w:val="009C58D5"/>
    <w:rsid w:val="009C5C02"/>
    <w:rsid w:val="009C5E9D"/>
    <w:rsid w:val="009C6059"/>
    <w:rsid w:val="009C63D4"/>
    <w:rsid w:val="009C6C00"/>
    <w:rsid w:val="009C739C"/>
    <w:rsid w:val="009C73D5"/>
    <w:rsid w:val="009C7A51"/>
    <w:rsid w:val="009C7E75"/>
    <w:rsid w:val="009C7E98"/>
    <w:rsid w:val="009D02DC"/>
    <w:rsid w:val="009D074E"/>
    <w:rsid w:val="009D0B17"/>
    <w:rsid w:val="009D0BCC"/>
    <w:rsid w:val="009D0F6A"/>
    <w:rsid w:val="009D1152"/>
    <w:rsid w:val="009D126B"/>
    <w:rsid w:val="009D1929"/>
    <w:rsid w:val="009D1CA7"/>
    <w:rsid w:val="009D1E38"/>
    <w:rsid w:val="009D1F4B"/>
    <w:rsid w:val="009D2A21"/>
    <w:rsid w:val="009D2BBF"/>
    <w:rsid w:val="009D30A9"/>
    <w:rsid w:val="009D31AA"/>
    <w:rsid w:val="009D3329"/>
    <w:rsid w:val="009D3520"/>
    <w:rsid w:val="009D3721"/>
    <w:rsid w:val="009D3778"/>
    <w:rsid w:val="009D3AC5"/>
    <w:rsid w:val="009D3EB5"/>
    <w:rsid w:val="009D5F08"/>
    <w:rsid w:val="009D6140"/>
    <w:rsid w:val="009D6449"/>
    <w:rsid w:val="009D646B"/>
    <w:rsid w:val="009D64DE"/>
    <w:rsid w:val="009D68C7"/>
    <w:rsid w:val="009D712D"/>
    <w:rsid w:val="009D73AB"/>
    <w:rsid w:val="009D7AF4"/>
    <w:rsid w:val="009D7DEC"/>
    <w:rsid w:val="009E003D"/>
    <w:rsid w:val="009E059E"/>
    <w:rsid w:val="009E063F"/>
    <w:rsid w:val="009E07C1"/>
    <w:rsid w:val="009E094A"/>
    <w:rsid w:val="009E0E2E"/>
    <w:rsid w:val="009E1DF6"/>
    <w:rsid w:val="009E2B57"/>
    <w:rsid w:val="009E2CB1"/>
    <w:rsid w:val="009E3141"/>
    <w:rsid w:val="009E32B4"/>
    <w:rsid w:val="009E375D"/>
    <w:rsid w:val="009E3CB7"/>
    <w:rsid w:val="009E3D6A"/>
    <w:rsid w:val="009E4425"/>
    <w:rsid w:val="009E4562"/>
    <w:rsid w:val="009E4BB0"/>
    <w:rsid w:val="009E4F1E"/>
    <w:rsid w:val="009E5780"/>
    <w:rsid w:val="009E5877"/>
    <w:rsid w:val="009E5896"/>
    <w:rsid w:val="009E58A5"/>
    <w:rsid w:val="009E6825"/>
    <w:rsid w:val="009E6BCE"/>
    <w:rsid w:val="009E6C97"/>
    <w:rsid w:val="009E6EAE"/>
    <w:rsid w:val="009E77D7"/>
    <w:rsid w:val="009E7C95"/>
    <w:rsid w:val="009E7FF0"/>
    <w:rsid w:val="009F1197"/>
    <w:rsid w:val="009F2306"/>
    <w:rsid w:val="009F35DA"/>
    <w:rsid w:val="009F37E9"/>
    <w:rsid w:val="009F3AF1"/>
    <w:rsid w:val="009F3D65"/>
    <w:rsid w:val="009F3E86"/>
    <w:rsid w:val="009F3FA8"/>
    <w:rsid w:val="009F427F"/>
    <w:rsid w:val="009F45D0"/>
    <w:rsid w:val="009F4AF6"/>
    <w:rsid w:val="009F4B50"/>
    <w:rsid w:val="009F533C"/>
    <w:rsid w:val="009F536C"/>
    <w:rsid w:val="009F5620"/>
    <w:rsid w:val="009F5698"/>
    <w:rsid w:val="009F65DA"/>
    <w:rsid w:val="009F66C7"/>
    <w:rsid w:val="009F67A2"/>
    <w:rsid w:val="009F6F3E"/>
    <w:rsid w:val="009F70E3"/>
    <w:rsid w:val="009F7C7F"/>
    <w:rsid w:val="00A0040A"/>
    <w:rsid w:val="00A00D8A"/>
    <w:rsid w:val="00A00F8E"/>
    <w:rsid w:val="00A0120B"/>
    <w:rsid w:val="00A01467"/>
    <w:rsid w:val="00A02143"/>
    <w:rsid w:val="00A025BB"/>
    <w:rsid w:val="00A02713"/>
    <w:rsid w:val="00A02B72"/>
    <w:rsid w:val="00A02CF0"/>
    <w:rsid w:val="00A02F90"/>
    <w:rsid w:val="00A0378E"/>
    <w:rsid w:val="00A03D91"/>
    <w:rsid w:val="00A03FEE"/>
    <w:rsid w:val="00A04D38"/>
    <w:rsid w:val="00A053D4"/>
    <w:rsid w:val="00A05435"/>
    <w:rsid w:val="00A05461"/>
    <w:rsid w:val="00A05577"/>
    <w:rsid w:val="00A055E8"/>
    <w:rsid w:val="00A055F5"/>
    <w:rsid w:val="00A064A0"/>
    <w:rsid w:val="00A064C0"/>
    <w:rsid w:val="00A06891"/>
    <w:rsid w:val="00A06CBC"/>
    <w:rsid w:val="00A06D9B"/>
    <w:rsid w:val="00A07033"/>
    <w:rsid w:val="00A0765F"/>
    <w:rsid w:val="00A07846"/>
    <w:rsid w:val="00A07AD0"/>
    <w:rsid w:val="00A07B93"/>
    <w:rsid w:val="00A105A8"/>
    <w:rsid w:val="00A10710"/>
    <w:rsid w:val="00A10C6F"/>
    <w:rsid w:val="00A10D89"/>
    <w:rsid w:val="00A110F2"/>
    <w:rsid w:val="00A1203C"/>
    <w:rsid w:val="00A120A9"/>
    <w:rsid w:val="00A12646"/>
    <w:rsid w:val="00A12ADD"/>
    <w:rsid w:val="00A12F3F"/>
    <w:rsid w:val="00A1357B"/>
    <w:rsid w:val="00A13957"/>
    <w:rsid w:val="00A13A95"/>
    <w:rsid w:val="00A13CB8"/>
    <w:rsid w:val="00A142DD"/>
    <w:rsid w:val="00A14838"/>
    <w:rsid w:val="00A15771"/>
    <w:rsid w:val="00A158F6"/>
    <w:rsid w:val="00A15B58"/>
    <w:rsid w:val="00A15D92"/>
    <w:rsid w:val="00A161FE"/>
    <w:rsid w:val="00A16319"/>
    <w:rsid w:val="00A16C96"/>
    <w:rsid w:val="00A16EAD"/>
    <w:rsid w:val="00A17AA5"/>
    <w:rsid w:val="00A17FA1"/>
    <w:rsid w:val="00A201D8"/>
    <w:rsid w:val="00A20C4C"/>
    <w:rsid w:val="00A20DFC"/>
    <w:rsid w:val="00A20E84"/>
    <w:rsid w:val="00A211AB"/>
    <w:rsid w:val="00A214CC"/>
    <w:rsid w:val="00A2160D"/>
    <w:rsid w:val="00A21625"/>
    <w:rsid w:val="00A21A62"/>
    <w:rsid w:val="00A22717"/>
    <w:rsid w:val="00A22899"/>
    <w:rsid w:val="00A22A1B"/>
    <w:rsid w:val="00A22B2D"/>
    <w:rsid w:val="00A22B9D"/>
    <w:rsid w:val="00A22CB1"/>
    <w:rsid w:val="00A22CDC"/>
    <w:rsid w:val="00A22D9C"/>
    <w:rsid w:val="00A23500"/>
    <w:rsid w:val="00A23AB2"/>
    <w:rsid w:val="00A23CEB"/>
    <w:rsid w:val="00A244AB"/>
    <w:rsid w:val="00A2452F"/>
    <w:rsid w:val="00A24C38"/>
    <w:rsid w:val="00A251C5"/>
    <w:rsid w:val="00A256C8"/>
    <w:rsid w:val="00A25922"/>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27F46"/>
    <w:rsid w:val="00A30615"/>
    <w:rsid w:val="00A308E9"/>
    <w:rsid w:val="00A30C09"/>
    <w:rsid w:val="00A30D62"/>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598"/>
    <w:rsid w:val="00A35707"/>
    <w:rsid w:val="00A35763"/>
    <w:rsid w:val="00A359A0"/>
    <w:rsid w:val="00A35BF8"/>
    <w:rsid w:val="00A35D0B"/>
    <w:rsid w:val="00A35DD7"/>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3315"/>
    <w:rsid w:val="00A43951"/>
    <w:rsid w:val="00A43B1E"/>
    <w:rsid w:val="00A43B3D"/>
    <w:rsid w:val="00A43D4C"/>
    <w:rsid w:val="00A441AC"/>
    <w:rsid w:val="00A44314"/>
    <w:rsid w:val="00A44A9F"/>
    <w:rsid w:val="00A44C3B"/>
    <w:rsid w:val="00A450C9"/>
    <w:rsid w:val="00A45143"/>
    <w:rsid w:val="00A455AD"/>
    <w:rsid w:val="00A463AC"/>
    <w:rsid w:val="00A4693F"/>
    <w:rsid w:val="00A46C59"/>
    <w:rsid w:val="00A46F98"/>
    <w:rsid w:val="00A4724B"/>
    <w:rsid w:val="00A4737E"/>
    <w:rsid w:val="00A4781B"/>
    <w:rsid w:val="00A478D4"/>
    <w:rsid w:val="00A479EA"/>
    <w:rsid w:val="00A47AEE"/>
    <w:rsid w:val="00A47B37"/>
    <w:rsid w:val="00A47D0D"/>
    <w:rsid w:val="00A47E8E"/>
    <w:rsid w:val="00A50A2D"/>
    <w:rsid w:val="00A50AAB"/>
    <w:rsid w:val="00A50E64"/>
    <w:rsid w:val="00A512F6"/>
    <w:rsid w:val="00A51F27"/>
    <w:rsid w:val="00A523ED"/>
    <w:rsid w:val="00A52643"/>
    <w:rsid w:val="00A52F2C"/>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57"/>
    <w:rsid w:val="00A55BBA"/>
    <w:rsid w:val="00A55E89"/>
    <w:rsid w:val="00A55EC1"/>
    <w:rsid w:val="00A56242"/>
    <w:rsid w:val="00A56500"/>
    <w:rsid w:val="00A56690"/>
    <w:rsid w:val="00A56698"/>
    <w:rsid w:val="00A56A48"/>
    <w:rsid w:val="00A56B4C"/>
    <w:rsid w:val="00A56F56"/>
    <w:rsid w:val="00A57A2C"/>
    <w:rsid w:val="00A57CB5"/>
    <w:rsid w:val="00A57EAE"/>
    <w:rsid w:val="00A60240"/>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4A3F"/>
    <w:rsid w:val="00A65820"/>
    <w:rsid w:val="00A65964"/>
    <w:rsid w:val="00A65DA2"/>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6C9"/>
    <w:rsid w:val="00A71E3A"/>
    <w:rsid w:val="00A722A0"/>
    <w:rsid w:val="00A72767"/>
    <w:rsid w:val="00A72A08"/>
    <w:rsid w:val="00A72AE5"/>
    <w:rsid w:val="00A72DFF"/>
    <w:rsid w:val="00A72FD7"/>
    <w:rsid w:val="00A734FF"/>
    <w:rsid w:val="00A73565"/>
    <w:rsid w:val="00A73981"/>
    <w:rsid w:val="00A7428F"/>
    <w:rsid w:val="00A74E13"/>
    <w:rsid w:val="00A75191"/>
    <w:rsid w:val="00A752B2"/>
    <w:rsid w:val="00A753A3"/>
    <w:rsid w:val="00A75503"/>
    <w:rsid w:val="00A7578E"/>
    <w:rsid w:val="00A75A6C"/>
    <w:rsid w:val="00A76A59"/>
    <w:rsid w:val="00A7768A"/>
    <w:rsid w:val="00A77A9B"/>
    <w:rsid w:val="00A80056"/>
    <w:rsid w:val="00A800BF"/>
    <w:rsid w:val="00A8071A"/>
    <w:rsid w:val="00A80BD3"/>
    <w:rsid w:val="00A81149"/>
    <w:rsid w:val="00A8137A"/>
    <w:rsid w:val="00A81574"/>
    <w:rsid w:val="00A817F3"/>
    <w:rsid w:val="00A81C40"/>
    <w:rsid w:val="00A82136"/>
    <w:rsid w:val="00A82304"/>
    <w:rsid w:val="00A82785"/>
    <w:rsid w:val="00A82C7A"/>
    <w:rsid w:val="00A83128"/>
    <w:rsid w:val="00A83383"/>
    <w:rsid w:val="00A84D82"/>
    <w:rsid w:val="00A84E96"/>
    <w:rsid w:val="00A855E3"/>
    <w:rsid w:val="00A857F8"/>
    <w:rsid w:val="00A858FD"/>
    <w:rsid w:val="00A86688"/>
    <w:rsid w:val="00A86974"/>
    <w:rsid w:val="00A86EE7"/>
    <w:rsid w:val="00A87C10"/>
    <w:rsid w:val="00A907A4"/>
    <w:rsid w:val="00A91337"/>
    <w:rsid w:val="00A91467"/>
    <w:rsid w:val="00A91717"/>
    <w:rsid w:val="00A91773"/>
    <w:rsid w:val="00A919A2"/>
    <w:rsid w:val="00A91DB1"/>
    <w:rsid w:val="00A91E59"/>
    <w:rsid w:val="00A92D51"/>
    <w:rsid w:val="00A93C68"/>
    <w:rsid w:val="00A93C8E"/>
    <w:rsid w:val="00A93D3E"/>
    <w:rsid w:val="00A93F28"/>
    <w:rsid w:val="00A94D6A"/>
    <w:rsid w:val="00A95A73"/>
    <w:rsid w:val="00A95F28"/>
    <w:rsid w:val="00A96B9F"/>
    <w:rsid w:val="00A96C14"/>
    <w:rsid w:val="00A96EFC"/>
    <w:rsid w:val="00A975BC"/>
    <w:rsid w:val="00A97A1C"/>
    <w:rsid w:val="00A97F21"/>
    <w:rsid w:val="00AA0195"/>
    <w:rsid w:val="00AA03A0"/>
    <w:rsid w:val="00AA0DCF"/>
    <w:rsid w:val="00AA18CA"/>
    <w:rsid w:val="00AA18F6"/>
    <w:rsid w:val="00AA194D"/>
    <w:rsid w:val="00AA1D51"/>
    <w:rsid w:val="00AA2083"/>
    <w:rsid w:val="00AA3107"/>
    <w:rsid w:val="00AA3484"/>
    <w:rsid w:val="00AA3A0C"/>
    <w:rsid w:val="00AA3A48"/>
    <w:rsid w:val="00AA3C05"/>
    <w:rsid w:val="00AA3C3A"/>
    <w:rsid w:val="00AA3D41"/>
    <w:rsid w:val="00AA44B8"/>
    <w:rsid w:val="00AA462A"/>
    <w:rsid w:val="00AA486F"/>
    <w:rsid w:val="00AA54B6"/>
    <w:rsid w:val="00AA55BA"/>
    <w:rsid w:val="00AA5DE9"/>
    <w:rsid w:val="00AA60E5"/>
    <w:rsid w:val="00AA6193"/>
    <w:rsid w:val="00AA734B"/>
    <w:rsid w:val="00AA7374"/>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B4B"/>
    <w:rsid w:val="00AB4C89"/>
    <w:rsid w:val="00AB4FE1"/>
    <w:rsid w:val="00AB5516"/>
    <w:rsid w:val="00AB604B"/>
    <w:rsid w:val="00AB62ED"/>
    <w:rsid w:val="00AB6769"/>
    <w:rsid w:val="00AB67BF"/>
    <w:rsid w:val="00AB71D6"/>
    <w:rsid w:val="00AB7538"/>
    <w:rsid w:val="00AB7AB1"/>
    <w:rsid w:val="00AB7EE7"/>
    <w:rsid w:val="00AB7F17"/>
    <w:rsid w:val="00AC0161"/>
    <w:rsid w:val="00AC01B4"/>
    <w:rsid w:val="00AC0239"/>
    <w:rsid w:val="00AC0923"/>
    <w:rsid w:val="00AC093D"/>
    <w:rsid w:val="00AC09C7"/>
    <w:rsid w:val="00AC1005"/>
    <w:rsid w:val="00AC123B"/>
    <w:rsid w:val="00AC1413"/>
    <w:rsid w:val="00AC165A"/>
    <w:rsid w:val="00AC1F0E"/>
    <w:rsid w:val="00AC222F"/>
    <w:rsid w:val="00AC26A1"/>
    <w:rsid w:val="00AC2765"/>
    <w:rsid w:val="00AC3205"/>
    <w:rsid w:val="00AC33A1"/>
    <w:rsid w:val="00AC344C"/>
    <w:rsid w:val="00AC3978"/>
    <w:rsid w:val="00AC3A42"/>
    <w:rsid w:val="00AC3FE7"/>
    <w:rsid w:val="00AC4855"/>
    <w:rsid w:val="00AC536F"/>
    <w:rsid w:val="00AC57BE"/>
    <w:rsid w:val="00AC5893"/>
    <w:rsid w:val="00AC5AEB"/>
    <w:rsid w:val="00AC5B06"/>
    <w:rsid w:val="00AC5DD1"/>
    <w:rsid w:val="00AC68E5"/>
    <w:rsid w:val="00AC6B44"/>
    <w:rsid w:val="00AC7545"/>
    <w:rsid w:val="00AC7943"/>
    <w:rsid w:val="00AD07C9"/>
    <w:rsid w:val="00AD0BBD"/>
    <w:rsid w:val="00AD1CA3"/>
    <w:rsid w:val="00AD1DE7"/>
    <w:rsid w:val="00AD23B9"/>
    <w:rsid w:val="00AD243C"/>
    <w:rsid w:val="00AD2668"/>
    <w:rsid w:val="00AD2965"/>
    <w:rsid w:val="00AD2B23"/>
    <w:rsid w:val="00AD2B27"/>
    <w:rsid w:val="00AD34A8"/>
    <w:rsid w:val="00AD379D"/>
    <w:rsid w:val="00AD38C4"/>
    <w:rsid w:val="00AD3A4B"/>
    <w:rsid w:val="00AD3C01"/>
    <w:rsid w:val="00AD3C0B"/>
    <w:rsid w:val="00AD41D5"/>
    <w:rsid w:val="00AD48B3"/>
    <w:rsid w:val="00AD491B"/>
    <w:rsid w:val="00AD4983"/>
    <w:rsid w:val="00AD4B6D"/>
    <w:rsid w:val="00AD4B9C"/>
    <w:rsid w:val="00AD4EFE"/>
    <w:rsid w:val="00AD536A"/>
    <w:rsid w:val="00AD578B"/>
    <w:rsid w:val="00AD5E1F"/>
    <w:rsid w:val="00AD694D"/>
    <w:rsid w:val="00AD6E9E"/>
    <w:rsid w:val="00AD6FD0"/>
    <w:rsid w:val="00AD7289"/>
    <w:rsid w:val="00AD7516"/>
    <w:rsid w:val="00AD79AF"/>
    <w:rsid w:val="00AD7F84"/>
    <w:rsid w:val="00AE05FE"/>
    <w:rsid w:val="00AE08BA"/>
    <w:rsid w:val="00AE0B42"/>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30C"/>
    <w:rsid w:val="00AE34F2"/>
    <w:rsid w:val="00AE368C"/>
    <w:rsid w:val="00AE3991"/>
    <w:rsid w:val="00AE3CD0"/>
    <w:rsid w:val="00AE3F27"/>
    <w:rsid w:val="00AE4457"/>
    <w:rsid w:val="00AE47B0"/>
    <w:rsid w:val="00AE5133"/>
    <w:rsid w:val="00AE5241"/>
    <w:rsid w:val="00AE52A5"/>
    <w:rsid w:val="00AE581D"/>
    <w:rsid w:val="00AE598E"/>
    <w:rsid w:val="00AE6429"/>
    <w:rsid w:val="00AE66B6"/>
    <w:rsid w:val="00AE67FD"/>
    <w:rsid w:val="00AE68EF"/>
    <w:rsid w:val="00AE6A13"/>
    <w:rsid w:val="00AE74D9"/>
    <w:rsid w:val="00AE7629"/>
    <w:rsid w:val="00AE79EA"/>
    <w:rsid w:val="00AF0017"/>
    <w:rsid w:val="00AF0277"/>
    <w:rsid w:val="00AF112B"/>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5E2"/>
    <w:rsid w:val="00AF4656"/>
    <w:rsid w:val="00AF4DF4"/>
    <w:rsid w:val="00AF6123"/>
    <w:rsid w:val="00AF6565"/>
    <w:rsid w:val="00AF67D6"/>
    <w:rsid w:val="00AF75D4"/>
    <w:rsid w:val="00AF7AF8"/>
    <w:rsid w:val="00AF7F8F"/>
    <w:rsid w:val="00B00356"/>
    <w:rsid w:val="00B004DA"/>
    <w:rsid w:val="00B00709"/>
    <w:rsid w:val="00B00969"/>
    <w:rsid w:val="00B00AEE"/>
    <w:rsid w:val="00B00C55"/>
    <w:rsid w:val="00B01005"/>
    <w:rsid w:val="00B01806"/>
    <w:rsid w:val="00B018DE"/>
    <w:rsid w:val="00B01911"/>
    <w:rsid w:val="00B01E83"/>
    <w:rsid w:val="00B022B5"/>
    <w:rsid w:val="00B02963"/>
    <w:rsid w:val="00B02B20"/>
    <w:rsid w:val="00B02D9F"/>
    <w:rsid w:val="00B035F9"/>
    <w:rsid w:val="00B0390E"/>
    <w:rsid w:val="00B046E9"/>
    <w:rsid w:val="00B051B0"/>
    <w:rsid w:val="00B05265"/>
    <w:rsid w:val="00B052EA"/>
    <w:rsid w:val="00B0648E"/>
    <w:rsid w:val="00B06854"/>
    <w:rsid w:val="00B069C0"/>
    <w:rsid w:val="00B069E1"/>
    <w:rsid w:val="00B072D4"/>
    <w:rsid w:val="00B0747E"/>
    <w:rsid w:val="00B076C6"/>
    <w:rsid w:val="00B07AD0"/>
    <w:rsid w:val="00B1003E"/>
    <w:rsid w:val="00B104BA"/>
    <w:rsid w:val="00B10E64"/>
    <w:rsid w:val="00B113DD"/>
    <w:rsid w:val="00B113E8"/>
    <w:rsid w:val="00B1166D"/>
    <w:rsid w:val="00B124F8"/>
    <w:rsid w:val="00B1269C"/>
    <w:rsid w:val="00B12E62"/>
    <w:rsid w:val="00B12E9F"/>
    <w:rsid w:val="00B13098"/>
    <w:rsid w:val="00B1353B"/>
    <w:rsid w:val="00B13F69"/>
    <w:rsid w:val="00B141DA"/>
    <w:rsid w:val="00B1424B"/>
    <w:rsid w:val="00B14794"/>
    <w:rsid w:val="00B14938"/>
    <w:rsid w:val="00B14FE5"/>
    <w:rsid w:val="00B15D42"/>
    <w:rsid w:val="00B15D8A"/>
    <w:rsid w:val="00B15F83"/>
    <w:rsid w:val="00B165F3"/>
    <w:rsid w:val="00B1697B"/>
    <w:rsid w:val="00B17990"/>
    <w:rsid w:val="00B17B3D"/>
    <w:rsid w:val="00B17B64"/>
    <w:rsid w:val="00B17F98"/>
    <w:rsid w:val="00B20696"/>
    <w:rsid w:val="00B2082C"/>
    <w:rsid w:val="00B20983"/>
    <w:rsid w:val="00B20E48"/>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F88"/>
    <w:rsid w:val="00B2613F"/>
    <w:rsid w:val="00B26FE7"/>
    <w:rsid w:val="00B270C0"/>
    <w:rsid w:val="00B273ED"/>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3C73"/>
    <w:rsid w:val="00B344FB"/>
    <w:rsid w:val="00B347A3"/>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76C"/>
    <w:rsid w:val="00B408DD"/>
    <w:rsid w:val="00B40AAC"/>
    <w:rsid w:val="00B40B9E"/>
    <w:rsid w:val="00B40E00"/>
    <w:rsid w:val="00B40EC0"/>
    <w:rsid w:val="00B4131A"/>
    <w:rsid w:val="00B4151C"/>
    <w:rsid w:val="00B415C4"/>
    <w:rsid w:val="00B41643"/>
    <w:rsid w:val="00B41A17"/>
    <w:rsid w:val="00B41DE5"/>
    <w:rsid w:val="00B41EE8"/>
    <w:rsid w:val="00B426AA"/>
    <w:rsid w:val="00B4280F"/>
    <w:rsid w:val="00B42879"/>
    <w:rsid w:val="00B42BE3"/>
    <w:rsid w:val="00B43091"/>
    <w:rsid w:val="00B43648"/>
    <w:rsid w:val="00B44ADF"/>
    <w:rsid w:val="00B45871"/>
    <w:rsid w:val="00B4594C"/>
    <w:rsid w:val="00B4602F"/>
    <w:rsid w:val="00B4621C"/>
    <w:rsid w:val="00B46815"/>
    <w:rsid w:val="00B46A3D"/>
    <w:rsid w:val="00B46C2E"/>
    <w:rsid w:val="00B46FF7"/>
    <w:rsid w:val="00B470FF"/>
    <w:rsid w:val="00B47184"/>
    <w:rsid w:val="00B472A2"/>
    <w:rsid w:val="00B4771B"/>
    <w:rsid w:val="00B47A34"/>
    <w:rsid w:val="00B47AC4"/>
    <w:rsid w:val="00B47F3E"/>
    <w:rsid w:val="00B5072A"/>
    <w:rsid w:val="00B50CFE"/>
    <w:rsid w:val="00B50E79"/>
    <w:rsid w:val="00B51052"/>
    <w:rsid w:val="00B5173C"/>
    <w:rsid w:val="00B518CF"/>
    <w:rsid w:val="00B51A72"/>
    <w:rsid w:val="00B52146"/>
    <w:rsid w:val="00B52F88"/>
    <w:rsid w:val="00B5302D"/>
    <w:rsid w:val="00B5324D"/>
    <w:rsid w:val="00B53452"/>
    <w:rsid w:val="00B53525"/>
    <w:rsid w:val="00B53A55"/>
    <w:rsid w:val="00B53EB7"/>
    <w:rsid w:val="00B54232"/>
    <w:rsid w:val="00B54EC9"/>
    <w:rsid w:val="00B552FA"/>
    <w:rsid w:val="00B5536D"/>
    <w:rsid w:val="00B55616"/>
    <w:rsid w:val="00B5596F"/>
    <w:rsid w:val="00B55AAD"/>
    <w:rsid w:val="00B5611F"/>
    <w:rsid w:val="00B573FE"/>
    <w:rsid w:val="00B57671"/>
    <w:rsid w:val="00B57E7D"/>
    <w:rsid w:val="00B57FB6"/>
    <w:rsid w:val="00B601EF"/>
    <w:rsid w:val="00B611B8"/>
    <w:rsid w:val="00B614E3"/>
    <w:rsid w:val="00B61C09"/>
    <w:rsid w:val="00B61C73"/>
    <w:rsid w:val="00B61D26"/>
    <w:rsid w:val="00B61D27"/>
    <w:rsid w:val="00B62150"/>
    <w:rsid w:val="00B62203"/>
    <w:rsid w:val="00B6258E"/>
    <w:rsid w:val="00B62A17"/>
    <w:rsid w:val="00B64090"/>
    <w:rsid w:val="00B64578"/>
    <w:rsid w:val="00B64E9B"/>
    <w:rsid w:val="00B657C6"/>
    <w:rsid w:val="00B6671B"/>
    <w:rsid w:val="00B66AC2"/>
    <w:rsid w:val="00B702BD"/>
    <w:rsid w:val="00B70422"/>
    <w:rsid w:val="00B707DE"/>
    <w:rsid w:val="00B70928"/>
    <w:rsid w:val="00B70A3A"/>
    <w:rsid w:val="00B71684"/>
    <w:rsid w:val="00B717E8"/>
    <w:rsid w:val="00B71F68"/>
    <w:rsid w:val="00B722B0"/>
    <w:rsid w:val="00B722DA"/>
    <w:rsid w:val="00B7265D"/>
    <w:rsid w:val="00B72C56"/>
    <w:rsid w:val="00B72D71"/>
    <w:rsid w:val="00B7383E"/>
    <w:rsid w:val="00B73C7C"/>
    <w:rsid w:val="00B742AF"/>
    <w:rsid w:val="00B7435E"/>
    <w:rsid w:val="00B7448D"/>
    <w:rsid w:val="00B747BC"/>
    <w:rsid w:val="00B747C7"/>
    <w:rsid w:val="00B74928"/>
    <w:rsid w:val="00B74A9A"/>
    <w:rsid w:val="00B74DA1"/>
    <w:rsid w:val="00B7511E"/>
    <w:rsid w:val="00B7534A"/>
    <w:rsid w:val="00B75750"/>
    <w:rsid w:val="00B75B39"/>
    <w:rsid w:val="00B75C3D"/>
    <w:rsid w:val="00B7616B"/>
    <w:rsid w:val="00B76394"/>
    <w:rsid w:val="00B77BE7"/>
    <w:rsid w:val="00B77D47"/>
    <w:rsid w:val="00B77FCE"/>
    <w:rsid w:val="00B80677"/>
    <w:rsid w:val="00B812C8"/>
    <w:rsid w:val="00B813E0"/>
    <w:rsid w:val="00B81452"/>
    <w:rsid w:val="00B81F35"/>
    <w:rsid w:val="00B82161"/>
    <w:rsid w:val="00B824FE"/>
    <w:rsid w:val="00B8265E"/>
    <w:rsid w:val="00B84166"/>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640"/>
    <w:rsid w:val="00B87A98"/>
    <w:rsid w:val="00B9030A"/>
    <w:rsid w:val="00B90B06"/>
    <w:rsid w:val="00B91BFA"/>
    <w:rsid w:val="00B921FF"/>
    <w:rsid w:val="00B926F9"/>
    <w:rsid w:val="00B9270E"/>
    <w:rsid w:val="00B92D03"/>
    <w:rsid w:val="00B93278"/>
    <w:rsid w:val="00B936FD"/>
    <w:rsid w:val="00B941CA"/>
    <w:rsid w:val="00B94292"/>
    <w:rsid w:val="00B94293"/>
    <w:rsid w:val="00B94555"/>
    <w:rsid w:val="00B94C0A"/>
    <w:rsid w:val="00B9509A"/>
    <w:rsid w:val="00B953DF"/>
    <w:rsid w:val="00B95471"/>
    <w:rsid w:val="00B9554D"/>
    <w:rsid w:val="00B957CF"/>
    <w:rsid w:val="00B9604B"/>
    <w:rsid w:val="00B960B8"/>
    <w:rsid w:val="00B96256"/>
    <w:rsid w:val="00B9632C"/>
    <w:rsid w:val="00B96878"/>
    <w:rsid w:val="00B96B2B"/>
    <w:rsid w:val="00BA01AE"/>
    <w:rsid w:val="00BA01EB"/>
    <w:rsid w:val="00BA04D4"/>
    <w:rsid w:val="00BA08C5"/>
    <w:rsid w:val="00BA0BCE"/>
    <w:rsid w:val="00BA1199"/>
    <w:rsid w:val="00BA1427"/>
    <w:rsid w:val="00BA1667"/>
    <w:rsid w:val="00BA17EA"/>
    <w:rsid w:val="00BA1A12"/>
    <w:rsid w:val="00BA1BF2"/>
    <w:rsid w:val="00BA2278"/>
    <w:rsid w:val="00BA22C2"/>
    <w:rsid w:val="00BA291E"/>
    <w:rsid w:val="00BA2943"/>
    <w:rsid w:val="00BA2AF1"/>
    <w:rsid w:val="00BA2F69"/>
    <w:rsid w:val="00BA3011"/>
    <w:rsid w:val="00BA31BF"/>
    <w:rsid w:val="00BA3816"/>
    <w:rsid w:val="00BA42A2"/>
    <w:rsid w:val="00BA484F"/>
    <w:rsid w:val="00BA50B2"/>
    <w:rsid w:val="00BA5773"/>
    <w:rsid w:val="00BA59A1"/>
    <w:rsid w:val="00BA6213"/>
    <w:rsid w:val="00BA65DB"/>
    <w:rsid w:val="00BA69F5"/>
    <w:rsid w:val="00BA6C0F"/>
    <w:rsid w:val="00BA793E"/>
    <w:rsid w:val="00BA7F73"/>
    <w:rsid w:val="00BB005A"/>
    <w:rsid w:val="00BB00E4"/>
    <w:rsid w:val="00BB063A"/>
    <w:rsid w:val="00BB0913"/>
    <w:rsid w:val="00BB18BD"/>
    <w:rsid w:val="00BB1BB5"/>
    <w:rsid w:val="00BB1BB8"/>
    <w:rsid w:val="00BB1BC5"/>
    <w:rsid w:val="00BB1D9F"/>
    <w:rsid w:val="00BB200C"/>
    <w:rsid w:val="00BB2325"/>
    <w:rsid w:val="00BB296D"/>
    <w:rsid w:val="00BB2CB4"/>
    <w:rsid w:val="00BB39B3"/>
    <w:rsid w:val="00BB43D4"/>
    <w:rsid w:val="00BB4848"/>
    <w:rsid w:val="00BB531B"/>
    <w:rsid w:val="00BB550B"/>
    <w:rsid w:val="00BB5601"/>
    <w:rsid w:val="00BB57D6"/>
    <w:rsid w:val="00BB589C"/>
    <w:rsid w:val="00BB6479"/>
    <w:rsid w:val="00BB6716"/>
    <w:rsid w:val="00BB689F"/>
    <w:rsid w:val="00BB6C0B"/>
    <w:rsid w:val="00BB6C65"/>
    <w:rsid w:val="00BB6C87"/>
    <w:rsid w:val="00BB6CD5"/>
    <w:rsid w:val="00BB6FCD"/>
    <w:rsid w:val="00BB76DC"/>
    <w:rsid w:val="00BB7840"/>
    <w:rsid w:val="00BB7B4F"/>
    <w:rsid w:val="00BC01D9"/>
    <w:rsid w:val="00BC08D7"/>
    <w:rsid w:val="00BC0A85"/>
    <w:rsid w:val="00BC146A"/>
    <w:rsid w:val="00BC1C0C"/>
    <w:rsid w:val="00BC1D65"/>
    <w:rsid w:val="00BC1F7C"/>
    <w:rsid w:val="00BC24B1"/>
    <w:rsid w:val="00BC258F"/>
    <w:rsid w:val="00BC2809"/>
    <w:rsid w:val="00BC2951"/>
    <w:rsid w:val="00BC3347"/>
    <w:rsid w:val="00BC349B"/>
    <w:rsid w:val="00BC367F"/>
    <w:rsid w:val="00BC3C3A"/>
    <w:rsid w:val="00BC3CB5"/>
    <w:rsid w:val="00BC44EE"/>
    <w:rsid w:val="00BC48BE"/>
    <w:rsid w:val="00BC48C4"/>
    <w:rsid w:val="00BC4B49"/>
    <w:rsid w:val="00BC5244"/>
    <w:rsid w:val="00BC5A3B"/>
    <w:rsid w:val="00BC5A4B"/>
    <w:rsid w:val="00BC5B13"/>
    <w:rsid w:val="00BC5CBC"/>
    <w:rsid w:val="00BC6034"/>
    <w:rsid w:val="00BC617D"/>
    <w:rsid w:val="00BC66AF"/>
    <w:rsid w:val="00BC7803"/>
    <w:rsid w:val="00BD00D5"/>
    <w:rsid w:val="00BD02AE"/>
    <w:rsid w:val="00BD04BD"/>
    <w:rsid w:val="00BD076C"/>
    <w:rsid w:val="00BD09EF"/>
    <w:rsid w:val="00BD0B52"/>
    <w:rsid w:val="00BD12C2"/>
    <w:rsid w:val="00BD1E99"/>
    <w:rsid w:val="00BD1F75"/>
    <w:rsid w:val="00BD23D9"/>
    <w:rsid w:val="00BD270A"/>
    <w:rsid w:val="00BD2C99"/>
    <w:rsid w:val="00BD3178"/>
    <w:rsid w:val="00BD3435"/>
    <w:rsid w:val="00BD3478"/>
    <w:rsid w:val="00BD35FF"/>
    <w:rsid w:val="00BD4D34"/>
    <w:rsid w:val="00BD4F62"/>
    <w:rsid w:val="00BD5DA3"/>
    <w:rsid w:val="00BD659A"/>
    <w:rsid w:val="00BD65DA"/>
    <w:rsid w:val="00BD65FD"/>
    <w:rsid w:val="00BD68C8"/>
    <w:rsid w:val="00BD6A8A"/>
    <w:rsid w:val="00BD6DDA"/>
    <w:rsid w:val="00BD6E42"/>
    <w:rsid w:val="00BD7117"/>
    <w:rsid w:val="00BD7252"/>
    <w:rsid w:val="00BD7A92"/>
    <w:rsid w:val="00BD7E29"/>
    <w:rsid w:val="00BE020B"/>
    <w:rsid w:val="00BE02FC"/>
    <w:rsid w:val="00BE0747"/>
    <w:rsid w:val="00BE188C"/>
    <w:rsid w:val="00BE1C48"/>
    <w:rsid w:val="00BE233A"/>
    <w:rsid w:val="00BE2BBB"/>
    <w:rsid w:val="00BE3A46"/>
    <w:rsid w:val="00BE3C51"/>
    <w:rsid w:val="00BE41F4"/>
    <w:rsid w:val="00BE47A2"/>
    <w:rsid w:val="00BE4B76"/>
    <w:rsid w:val="00BE525C"/>
    <w:rsid w:val="00BE529C"/>
    <w:rsid w:val="00BE5A13"/>
    <w:rsid w:val="00BE6667"/>
    <w:rsid w:val="00BE6B3B"/>
    <w:rsid w:val="00BE6D91"/>
    <w:rsid w:val="00BE75DA"/>
    <w:rsid w:val="00BE79F4"/>
    <w:rsid w:val="00BF0695"/>
    <w:rsid w:val="00BF1640"/>
    <w:rsid w:val="00BF183B"/>
    <w:rsid w:val="00BF19EB"/>
    <w:rsid w:val="00BF1D08"/>
    <w:rsid w:val="00BF22B1"/>
    <w:rsid w:val="00BF22BD"/>
    <w:rsid w:val="00BF24D4"/>
    <w:rsid w:val="00BF27AA"/>
    <w:rsid w:val="00BF2A9D"/>
    <w:rsid w:val="00BF2B94"/>
    <w:rsid w:val="00BF2EC5"/>
    <w:rsid w:val="00BF3030"/>
    <w:rsid w:val="00BF3622"/>
    <w:rsid w:val="00BF4057"/>
    <w:rsid w:val="00BF4AAB"/>
    <w:rsid w:val="00BF54D9"/>
    <w:rsid w:val="00BF5C6E"/>
    <w:rsid w:val="00BF6C09"/>
    <w:rsid w:val="00BF7237"/>
    <w:rsid w:val="00BF777D"/>
    <w:rsid w:val="00BF789F"/>
    <w:rsid w:val="00BF797F"/>
    <w:rsid w:val="00BF7DAD"/>
    <w:rsid w:val="00C00A5D"/>
    <w:rsid w:val="00C00ED2"/>
    <w:rsid w:val="00C013F1"/>
    <w:rsid w:val="00C01453"/>
    <w:rsid w:val="00C0196B"/>
    <w:rsid w:val="00C01BD1"/>
    <w:rsid w:val="00C01EE5"/>
    <w:rsid w:val="00C020BF"/>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20C"/>
    <w:rsid w:val="00C07A97"/>
    <w:rsid w:val="00C07C5E"/>
    <w:rsid w:val="00C07CF4"/>
    <w:rsid w:val="00C07D81"/>
    <w:rsid w:val="00C10C94"/>
    <w:rsid w:val="00C11017"/>
    <w:rsid w:val="00C1174E"/>
    <w:rsid w:val="00C119B7"/>
    <w:rsid w:val="00C11C30"/>
    <w:rsid w:val="00C11FE3"/>
    <w:rsid w:val="00C120B4"/>
    <w:rsid w:val="00C12354"/>
    <w:rsid w:val="00C12BBA"/>
    <w:rsid w:val="00C132FD"/>
    <w:rsid w:val="00C13381"/>
    <w:rsid w:val="00C13728"/>
    <w:rsid w:val="00C13DD1"/>
    <w:rsid w:val="00C1418E"/>
    <w:rsid w:val="00C14BBC"/>
    <w:rsid w:val="00C14C99"/>
    <w:rsid w:val="00C14E33"/>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0BB2"/>
    <w:rsid w:val="00C21151"/>
    <w:rsid w:val="00C2150F"/>
    <w:rsid w:val="00C21741"/>
    <w:rsid w:val="00C21A1A"/>
    <w:rsid w:val="00C21E9C"/>
    <w:rsid w:val="00C2229F"/>
    <w:rsid w:val="00C224CA"/>
    <w:rsid w:val="00C22BB7"/>
    <w:rsid w:val="00C22DA2"/>
    <w:rsid w:val="00C22FF7"/>
    <w:rsid w:val="00C23541"/>
    <w:rsid w:val="00C239E4"/>
    <w:rsid w:val="00C23A18"/>
    <w:rsid w:val="00C24178"/>
    <w:rsid w:val="00C24D60"/>
    <w:rsid w:val="00C24DDD"/>
    <w:rsid w:val="00C24F11"/>
    <w:rsid w:val="00C25453"/>
    <w:rsid w:val="00C2548F"/>
    <w:rsid w:val="00C255D6"/>
    <w:rsid w:val="00C25F27"/>
    <w:rsid w:val="00C26052"/>
    <w:rsid w:val="00C262F8"/>
    <w:rsid w:val="00C26555"/>
    <w:rsid w:val="00C2655E"/>
    <w:rsid w:val="00C26864"/>
    <w:rsid w:val="00C269AB"/>
    <w:rsid w:val="00C269DD"/>
    <w:rsid w:val="00C26E94"/>
    <w:rsid w:val="00C2717E"/>
    <w:rsid w:val="00C278E7"/>
    <w:rsid w:val="00C2798E"/>
    <w:rsid w:val="00C27A71"/>
    <w:rsid w:val="00C27A87"/>
    <w:rsid w:val="00C27C61"/>
    <w:rsid w:val="00C303B8"/>
    <w:rsid w:val="00C30584"/>
    <w:rsid w:val="00C30956"/>
    <w:rsid w:val="00C30CE9"/>
    <w:rsid w:val="00C30F6B"/>
    <w:rsid w:val="00C312BF"/>
    <w:rsid w:val="00C315F1"/>
    <w:rsid w:val="00C3185A"/>
    <w:rsid w:val="00C318E2"/>
    <w:rsid w:val="00C31E8E"/>
    <w:rsid w:val="00C31F61"/>
    <w:rsid w:val="00C32A59"/>
    <w:rsid w:val="00C32C1C"/>
    <w:rsid w:val="00C33487"/>
    <w:rsid w:val="00C3352C"/>
    <w:rsid w:val="00C33694"/>
    <w:rsid w:val="00C339AE"/>
    <w:rsid w:val="00C33BCD"/>
    <w:rsid w:val="00C33BD2"/>
    <w:rsid w:val="00C33DF0"/>
    <w:rsid w:val="00C33F47"/>
    <w:rsid w:val="00C3415B"/>
    <w:rsid w:val="00C344AA"/>
    <w:rsid w:val="00C348FB"/>
    <w:rsid w:val="00C34B54"/>
    <w:rsid w:val="00C354D9"/>
    <w:rsid w:val="00C355F6"/>
    <w:rsid w:val="00C35726"/>
    <w:rsid w:val="00C36704"/>
    <w:rsid w:val="00C367AC"/>
    <w:rsid w:val="00C36971"/>
    <w:rsid w:val="00C369F7"/>
    <w:rsid w:val="00C36AD6"/>
    <w:rsid w:val="00C36C85"/>
    <w:rsid w:val="00C3728D"/>
    <w:rsid w:val="00C372EF"/>
    <w:rsid w:val="00C374C2"/>
    <w:rsid w:val="00C4045B"/>
    <w:rsid w:val="00C40991"/>
    <w:rsid w:val="00C40B07"/>
    <w:rsid w:val="00C413E1"/>
    <w:rsid w:val="00C41D18"/>
    <w:rsid w:val="00C41E8B"/>
    <w:rsid w:val="00C423F6"/>
    <w:rsid w:val="00C4266B"/>
    <w:rsid w:val="00C42A87"/>
    <w:rsid w:val="00C432A0"/>
    <w:rsid w:val="00C433AE"/>
    <w:rsid w:val="00C435AF"/>
    <w:rsid w:val="00C43ACB"/>
    <w:rsid w:val="00C44070"/>
    <w:rsid w:val="00C44404"/>
    <w:rsid w:val="00C4479F"/>
    <w:rsid w:val="00C44B99"/>
    <w:rsid w:val="00C45437"/>
    <w:rsid w:val="00C45602"/>
    <w:rsid w:val="00C45642"/>
    <w:rsid w:val="00C4570F"/>
    <w:rsid w:val="00C46A41"/>
    <w:rsid w:val="00C46AC0"/>
    <w:rsid w:val="00C46EBF"/>
    <w:rsid w:val="00C47138"/>
    <w:rsid w:val="00C4772A"/>
    <w:rsid w:val="00C47F01"/>
    <w:rsid w:val="00C50675"/>
    <w:rsid w:val="00C5158B"/>
    <w:rsid w:val="00C51C7F"/>
    <w:rsid w:val="00C5241A"/>
    <w:rsid w:val="00C52A5E"/>
    <w:rsid w:val="00C52AC9"/>
    <w:rsid w:val="00C52CA7"/>
    <w:rsid w:val="00C5331A"/>
    <w:rsid w:val="00C533D4"/>
    <w:rsid w:val="00C5368F"/>
    <w:rsid w:val="00C5369D"/>
    <w:rsid w:val="00C538F5"/>
    <w:rsid w:val="00C53FE4"/>
    <w:rsid w:val="00C552E8"/>
    <w:rsid w:val="00C56E2F"/>
    <w:rsid w:val="00C56E9A"/>
    <w:rsid w:val="00C5702E"/>
    <w:rsid w:val="00C57660"/>
    <w:rsid w:val="00C57885"/>
    <w:rsid w:val="00C579BC"/>
    <w:rsid w:val="00C57A32"/>
    <w:rsid w:val="00C57BEE"/>
    <w:rsid w:val="00C57C61"/>
    <w:rsid w:val="00C57FB6"/>
    <w:rsid w:val="00C60350"/>
    <w:rsid w:val="00C60618"/>
    <w:rsid w:val="00C60854"/>
    <w:rsid w:val="00C6093B"/>
    <w:rsid w:val="00C60C40"/>
    <w:rsid w:val="00C60E8F"/>
    <w:rsid w:val="00C61B80"/>
    <w:rsid w:val="00C61E0A"/>
    <w:rsid w:val="00C61EAD"/>
    <w:rsid w:val="00C62134"/>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076"/>
    <w:rsid w:val="00C706C6"/>
    <w:rsid w:val="00C70F87"/>
    <w:rsid w:val="00C7130F"/>
    <w:rsid w:val="00C716DE"/>
    <w:rsid w:val="00C71E97"/>
    <w:rsid w:val="00C722B3"/>
    <w:rsid w:val="00C72DA6"/>
    <w:rsid w:val="00C73094"/>
    <w:rsid w:val="00C73A88"/>
    <w:rsid w:val="00C74560"/>
    <w:rsid w:val="00C753C6"/>
    <w:rsid w:val="00C755A8"/>
    <w:rsid w:val="00C75E00"/>
    <w:rsid w:val="00C76379"/>
    <w:rsid w:val="00C7695D"/>
    <w:rsid w:val="00C76A58"/>
    <w:rsid w:val="00C76D38"/>
    <w:rsid w:val="00C77E3E"/>
    <w:rsid w:val="00C800EF"/>
    <w:rsid w:val="00C8019A"/>
    <w:rsid w:val="00C805B0"/>
    <w:rsid w:val="00C807B9"/>
    <w:rsid w:val="00C80F99"/>
    <w:rsid w:val="00C81237"/>
    <w:rsid w:val="00C81497"/>
    <w:rsid w:val="00C81CD3"/>
    <w:rsid w:val="00C81ED9"/>
    <w:rsid w:val="00C82098"/>
    <w:rsid w:val="00C823CA"/>
    <w:rsid w:val="00C8245D"/>
    <w:rsid w:val="00C825B7"/>
    <w:rsid w:val="00C82774"/>
    <w:rsid w:val="00C82A17"/>
    <w:rsid w:val="00C82D1A"/>
    <w:rsid w:val="00C82ED6"/>
    <w:rsid w:val="00C83073"/>
    <w:rsid w:val="00C83587"/>
    <w:rsid w:val="00C83936"/>
    <w:rsid w:val="00C84579"/>
    <w:rsid w:val="00C845F7"/>
    <w:rsid w:val="00C848FF"/>
    <w:rsid w:val="00C85086"/>
    <w:rsid w:val="00C85422"/>
    <w:rsid w:val="00C857BA"/>
    <w:rsid w:val="00C857EB"/>
    <w:rsid w:val="00C859AE"/>
    <w:rsid w:val="00C8664A"/>
    <w:rsid w:val="00C86DA7"/>
    <w:rsid w:val="00C87497"/>
    <w:rsid w:val="00C875F8"/>
    <w:rsid w:val="00C875FB"/>
    <w:rsid w:val="00C87D55"/>
    <w:rsid w:val="00C90091"/>
    <w:rsid w:val="00C90263"/>
    <w:rsid w:val="00C90700"/>
    <w:rsid w:val="00C911E6"/>
    <w:rsid w:val="00C91F21"/>
    <w:rsid w:val="00C92058"/>
    <w:rsid w:val="00C923E7"/>
    <w:rsid w:val="00C92496"/>
    <w:rsid w:val="00C9264F"/>
    <w:rsid w:val="00C9284D"/>
    <w:rsid w:val="00C92A8A"/>
    <w:rsid w:val="00C92F41"/>
    <w:rsid w:val="00C93447"/>
    <w:rsid w:val="00C9386A"/>
    <w:rsid w:val="00C93C1D"/>
    <w:rsid w:val="00C93D00"/>
    <w:rsid w:val="00C94188"/>
    <w:rsid w:val="00C944C3"/>
    <w:rsid w:val="00C94840"/>
    <w:rsid w:val="00C94980"/>
    <w:rsid w:val="00C94989"/>
    <w:rsid w:val="00C94CE7"/>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8F"/>
    <w:rsid w:val="00CA3417"/>
    <w:rsid w:val="00CA351D"/>
    <w:rsid w:val="00CA3630"/>
    <w:rsid w:val="00CA40D3"/>
    <w:rsid w:val="00CA4465"/>
    <w:rsid w:val="00CA4FE8"/>
    <w:rsid w:val="00CA50FE"/>
    <w:rsid w:val="00CA5138"/>
    <w:rsid w:val="00CA558C"/>
    <w:rsid w:val="00CA572F"/>
    <w:rsid w:val="00CA58C6"/>
    <w:rsid w:val="00CA613C"/>
    <w:rsid w:val="00CA67CE"/>
    <w:rsid w:val="00CA6873"/>
    <w:rsid w:val="00CA68C5"/>
    <w:rsid w:val="00CA6932"/>
    <w:rsid w:val="00CA6ACE"/>
    <w:rsid w:val="00CA6B1B"/>
    <w:rsid w:val="00CA6BA8"/>
    <w:rsid w:val="00CA6C23"/>
    <w:rsid w:val="00CA6FAE"/>
    <w:rsid w:val="00CA7552"/>
    <w:rsid w:val="00CA755D"/>
    <w:rsid w:val="00CA77E7"/>
    <w:rsid w:val="00CB0871"/>
    <w:rsid w:val="00CB178F"/>
    <w:rsid w:val="00CB2AEF"/>
    <w:rsid w:val="00CB2EB0"/>
    <w:rsid w:val="00CB2F2E"/>
    <w:rsid w:val="00CB35CC"/>
    <w:rsid w:val="00CB3B84"/>
    <w:rsid w:val="00CB4548"/>
    <w:rsid w:val="00CB4B55"/>
    <w:rsid w:val="00CB56BA"/>
    <w:rsid w:val="00CB6161"/>
    <w:rsid w:val="00CB635F"/>
    <w:rsid w:val="00CB639C"/>
    <w:rsid w:val="00CB7282"/>
    <w:rsid w:val="00CB766B"/>
    <w:rsid w:val="00CB7957"/>
    <w:rsid w:val="00CB7A74"/>
    <w:rsid w:val="00CB7C75"/>
    <w:rsid w:val="00CB7D58"/>
    <w:rsid w:val="00CB7DDF"/>
    <w:rsid w:val="00CC01E0"/>
    <w:rsid w:val="00CC0466"/>
    <w:rsid w:val="00CC0AB4"/>
    <w:rsid w:val="00CC15D8"/>
    <w:rsid w:val="00CC18A2"/>
    <w:rsid w:val="00CC1F5C"/>
    <w:rsid w:val="00CC20B0"/>
    <w:rsid w:val="00CC2203"/>
    <w:rsid w:val="00CC2B3A"/>
    <w:rsid w:val="00CC2D63"/>
    <w:rsid w:val="00CC2F55"/>
    <w:rsid w:val="00CC3149"/>
    <w:rsid w:val="00CC37D1"/>
    <w:rsid w:val="00CC3935"/>
    <w:rsid w:val="00CC3AEC"/>
    <w:rsid w:val="00CC3BFC"/>
    <w:rsid w:val="00CC3E4B"/>
    <w:rsid w:val="00CC4523"/>
    <w:rsid w:val="00CC4576"/>
    <w:rsid w:val="00CC4B2B"/>
    <w:rsid w:val="00CC511D"/>
    <w:rsid w:val="00CC545B"/>
    <w:rsid w:val="00CC5A9D"/>
    <w:rsid w:val="00CC5AA9"/>
    <w:rsid w:val="00CC6428"/>
    <w:rsid w:val="00CC6A46"/>
    <w:rsid w:val="00CC6B8E"/>
    <w:rsid w:val="00CC6BB7"/>
    <w:rsid w:val="00CC6F34"/>
    <w:rsid w:val="00CC70C4"/>
    <w:rsid w:val="00CC7105"/>
    <w:rsid w:val="00CC751D"/>
    <w:rsid w:val="00CC79C6"/>
    <w:rsid w:val="00CC7B93"/>
    <w:rsid w:val="00CD0635"/>
    <w:rsid w:val="00CD067D"/>
    <w:rsid w:val="00CD082C"/>
    <w:rsid w:val="00CD0F6C"/>
    <w:rsid w:val="00CD1684"/>
    <w:rsid w:val="00CD16F0"/>
    <w:rsid w:val="00CD196D"/>
    <w:rsid w:val="00CD2867"/>
    <w:rsid w:val="00CD2B33"/>
    <w:rsid w:val="00CD2F4C"/>
    <w:rsid w:val="00CD37C4"/>
    <w:rsid w:val="00CD3F8F"/>
    <w:rsid w:val="00CD4760"/>
    <w:rsid w:val="00CD47FE"/>
    <w:rsid w:val="00CD4D06"/>
    <w:rsid w:val="00CD4DDF"/>
    <w:rsid w:val="00CD4ECD"/>
    <w:rsid w:val="00CD4F92"/>
    <w:rsid w:val="00CD5961"/>
    <w:rsid w:val="00CD5B76"/>
    <w:rsid w:val="00CD6156"/>
    <w:rsid w:val="00CD644F"/>
    <w:rsid w:val="00CD6549"/>
    <w:rsid w:val="00CD699A"/>
    <w:rsid w:val="00CD69B6"/>
    <w:rsid w:val="00CD6E3F"/>
    <w:rsid w:val="00CD6EEC"/>
    <w:rsid w:val="00CD6FF6"/>
    <w:rsid w:val="00CD70C2"/>
    <w:rsid w:val="00CD74D6"/>
    <w:rsid w:val="00CD7672"/>
    <w:rsid w:val="00CD77D4"/>
    <w:rsid w:val="00CD79E6"/>
    <w:rsid w:val="00CE0F23"/>
    <w:rsid w:val="00CE1F91"/>
    <w:rsid w:val="00CE203B"/>
    <w:rsid w:val="00CE282C"/>
    <w:rsid w:val="00CE2996"/>
    <w:rsid w:val="00CE2BA0"/>
    <w:rsid w:val="00CE2C19"/>
    <w:rsid w:val="00CE306B"/>
    <w:rsid w:val="00CE30D5"/>
    <w:rsid w:val="00CE33E2"/>
    <w:rsid w:val="00CE395D"/>
    <w:rsid w:val="00CE3A32"/>
    <w:rsid w:val="00CE3B7C"/>
    <w:rsid w:val="00CE4644"/>
    <w:rsid w:val="00CE50E1"/>
    <w:rsid w:val="00CE5139"/>
    <w:rsid w:val="00CE53DF"/>
    <w:rsid w:val="00CE5706"/>
    <w:rsid w:val="00CE58AB"/>
    <w:rsid w:val="00CE6072"/>
    <w:rsid w:val="00CE62A0"/>
    <w:rsid w:val="00CE68B5"/>
    <w:rsid w:val="00CE6B93"/>
    <w:rsid w:val="00CE7023"/>
    <w:rsid w:val="00CE778C"/>
    <w:rsid w:val="00CE78DB"/>
    <w:rsid w:val="00CE7951"/>
    <w:rsid w:val="00CF0424"/>
    <w:rsid w:val="00CF0F28"/>
    <w:rsid w:val="00CF1962"/>
    <w:rsid w:val="00CF19EC"/>
    <w:rsid w:val="00CF1D1F"/>
    <w:rsid w:val="00CF21CE"/>
    <w:rsid w:val="00CF2395"/>
    <w:rsid w:val="00CF26FE"/>
    <w:rsid w:val="00CF2792"/>
    <w:rsid w:val="00CF283E"/>
    <w:rsid w:val="00CF3157"/>
    <w:rsid w:val="00CF3193"/>
    <w:rsid w:val="00CF36FC"/>
    <w:rsid w:val="00CF3C53"/>
    <w:rsid w:val="00CF3DBD"/>
    <w:rsid w:val="00CF5031"/>
    <w:rsid w:val="00CF5270"/>
    <w:rsid w:val="00CF5867"/>
    <w:rsid w:val="00CF5AE5"/>
    <w:rsid w:val="00CF5F77"/>
    <w:rsid w:val="00CF67F3"/>
    <w:rsid w:val="00CF6E88"/>
    <w:rsid w:val="00CF71C4"/>
    <w:rsid w:val="00CF73B5"/>
    <w:rsid w:val="00CF7767"/>
    <w:rsid w:val="00CF7DC4"/>
    <w:rsid w:val="00CF7FE9"/>
    <w:rsid w:val="00D00131"/>
    <w:rsid w:val="00D0029F"/>
    <w:rsid w:val="00D009F9"/>
    <w:rsid w:val="00D01019"/>
    <w:rsid w:val="00D023E7"/>
    <w:rsid w:val="00D02B76"/>
    <w:rsid w:val="00D02B8E"/>
    <w:rsid w:val="00D031C8"/>
    <w:rsid w:val="00D036E9"/>
    <w:rsid w:val="00D03B9C"/>
    <w:rsid w:val="00D03D47"/>
    <w:rsid w:val="00D0509E"/>
    <w:rsid w:val="00D0539D"/>
    <w:rsid w:val="00D055DF"/>
    <w:rsid w:val="00D056D5"/>
    <w:rsid w:val="00D05C48"/>
    <w:rsid w:val="00D05D13"/>
    <w:rsid w:val="00D05DCA"/>
    <w:rsid w:val="00D05E01"/>
    <w:rsid w:val="00D05FC5"/>
    <w:rsid w:val="00D0609F"/>
    <w:rsid w:val="00D0686B"/>
    <w:rsid w:val="00D06B60"/>
    <w:rsid w:val="00D06D61"/>
    <w:rsid w:val="00D07308"/>
    <w:rsid w:val="00D07E9F"/>
    <w:rsid w:val="00D10982"/>
    <w:rsid w:val="00D109B8"/>
    <w:rsid w:val="00D10C9F"/>
    <w:rsid w:val="00D110FD"/>
    <w:rsid w:val="00D11BD3"/>
    <w:rsid w:val="00D12158"/>
    <w:rsid w:val="00D13359"/>
    <w:rsid w:val="00D13804"/>
    <w:rsid w:val="00D13D0D"/>
    <w:rsid w:val="00D1476A"/>
    <w:rsid w:val="00D149B0"/>
    <w:rsid w:val="00D155F6"/>
    <w:rsid w:val="00D15781"/>
    <w:rsid w:val="00D15DCB"/>
    <w:rsid w:val="00D15E1D"/>
    <w:rsid w:val="00D16565"/>
    <w:rsid w:val="00D16674"/>
    <w:rsid w:val="00D16CBF"/>
    <w:rsid w:val="00D16DC7"/>
    <w:rsid w:val="00D1703E"/>
    <w:rsid w:val="00D173C2"/>
    <w:rsid w:val="00D17EA8"/>
    <w:rsid w:val="00D20082"/>
    <w:rsid w:val="00D204CD"/>
    <w:rsid w:val="00D205F2"/>
    <w:rsid w:val="00D21691"/>
    <w:rsid w:val="00D21901"/>
    <w:rsid w:val="00D21AB4"/>
    <w:rsid w:val="00D21C5A"/>
    <w:rsid w:val="00D21D89"/>
    <w:rsid w:val="00D220FE"/>
    <w:rsid w:val="00D223BF"/>
    <w:rsid w:val="00D23506"/>
    <w:rsid w:val="00D23546"/>
    <w:rsid w:val="00D2386A"/>
    <w:rsid w:val="00D23AAA"/>
    <w:rsid w:val="00D23ADE"/>
    <w:rsid w:val="00D2430B"/>
    <w:rsid w:val="00D2467B"/>
    <w:rsid w:val="00D247A8"/>
    <w:rsid w:val="00D24BA2"/>
    <w:rsid w:val="00D24D07"/>
    <w:rsid w:val="00D25C5A"/>
    <w:rsid w:val="00D26039"/>
    <w:rsid w:val="00D266E6"/>
    <w:rsid w:val="00D267AA"/>
    <w:rsid w:val="00D26CB3"/>
    <w:rsid w:val="00D26F2A"/>
    <w:rsid w:val="00D26FDA"/>
    <w:rsid w:val="00D272F8"/>
    <w:rsid w:val="00D27767"/>
    <w:rsid w:val="00D30055"/>
    <w:rsid w:val="00D308FC"/>
    <w:rsid w:val="00D30A18"/>
    <w:rsid w:val="00D310C5"/>
    <w:rsid w:val="00D312DA"/>
    <w:rsid w:val="00D319DB"/>
    <w:rsid w:val="00D31A37"/>
    <w:rsid w:val="00D31F4E"/>
    <w:rsid w:val="00D32BC6"/>
    <w:rsid w:val="00D32E69"/>
    <w:rsid w:val="00D336CB"/>
    <w:rsid w:val="00D33F57"/>
    <w:rsid w:val="00D340A5"/>
    <w:rsid w:val="00D346E3"/>
    <w:rsid w:val="00D3474E"/>
    <w:rsid w:val="00D3476B"/>
    <w:rsid w:val="00D34B2C"/>
    <w:rsid w:val="00D3503F"/>
    <w:rsid w:val="00D35255"/>
    <w:rsid w:val="00D35839"/>
    <w:rsid w:val="00D35C62"/>
    <w:rsid w:val="00D35DF7"/>
    <w:rsid w:val="00D35FC5"/>
    <w:rsid w:val="00D3646A"/>
    <w:rsid w:val="00D3695B"/>
    <w:rsid w:val="00D37555"/>
    <w:rsid w:val="00D37B32"/>
    <w:rsid w:val="00D37CCB"/>
    <w:rsid w:val="00D37E44"/>
    <w:rsid w:val="00D40305"/>
    <w:rsid w:val="00D41213"/>
    <w:rsid w:val="00D42090"/>
    <w:rsid w:val="00D42092"/>
    <w:rsid w:val="00D42839"/>
    <w:rsid w:val="00D42EC4"/>
    <w:rsid w:val="00D4373D"/>
    <w:rsid w:val="00D43755"/>
    <w:rsid w:val="00D44C9F"/>
    <w:rsid w:val="00D4589C"/>
    <w:rsid w:val="00D45A7C"/>
    <w:rsid w:val="00D45C95"/>
    <w:rsid w:val="00D45E8A"/>
    <w:rsid w:val="00D461F9"/>
    <w:rsid w:val="00D46510"/>
    <w:rsid w:val="00D46E6F"/>
    <w:rsid w:val="00D46F21"/>
    <w:rsid w:val="00D47002"/>
    <w:rsid w:val="00D474DB"/>
    <w:rsid w:val="00D50514"/>
    <w:rsid w:val="00D50697"/>
    <w:rsid w:val="00D50A4A"/>
    <w:rsid w:val="00D50D5C"/>
    <w:rsid w:val="00D513F7"/>
    <w:rsid w:val="00D51AD1"/>
    <w:rsid w:val="00D51CC5"/>
    <w:rsid w:val="00D52480"/>
    <w:rsid w:val="00D5266F"/>
    <w:rsid w:val="00D53166"/>
    <w:rsid w:val="00D53590"/>
    <w:rsid w:val="00D53603"/>
    <w:rsid w:val="00D53C59"/>
    <w:rsid w:val="00D53F22"/>
    <w:rsid w:val="00D540F4"/>
    <w:rsid w:val="00D54169"/>
    <w:rsid w:val="00D54849"/>
    <w:rsid w:val="00D552FA"/>
    <w:rsid w:val="00D55A5B"/>
    <w:rsid w:val="00D55AAE"/>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E8B"/>
    <w:rsid w:val="00D6559F"/>
    <w:rsid w:val="00D659BA"/>
    <w:rsid w:val="00D661B6"/>
    <w:rsid w:val="00D66C4A"/>
    <w:rsid w:val="00D674A3"/>
    <w:rsid w:val="00D6780E"/>
    <w:rsid w:val="00D6794D"/>
    <w:rsid w:val="00D679EB"/>
    <w:rsid w:val="00D7018F"/>
    <w:rsid w:val="00D70364"/>
    <w:rsid w:val="00D70A60"/>
    <w:rsid w:val="00D70AB8"/>
    <w:rsid w:val="00D70CB4"/>
    <w:rsid w:val="00D70F98"/>
    <w:rsid w:val="00D71075"/>
    <w:rsid w:val="00D71504"/>
    <w:rsid w:val="00D721C1"/>
    <w:rsid w:val="00D72890"/>
    <w:rsid w:val="00D72DA3"/>
    <w:rsid w:val="00D731F0"/>
    <w:rsid w:val="00D73CDA"/>
    <w:rsid w:val="00D75CA4"/>
    <w:rsid w:val="00D75D18"/>
    <w:rsid w:val="00D75D3E"/>
    <w:rsid w:val="00D75F53"/>
    <w:rsid w:val="00D7634E"/>
    <w:rsid w:val="00D76C42"/>
    <w:rsid w:val="00D76DF8"/>
    <w:rsid w:val="00D7785E"/>
    <w:rsid w:val="00D7791C"/>
    <w:rsid w:val="00D8030B"/>
    <w:rsid w:val="00D806CD"/>
    <w:rsid w:val="00D807E1"/>
    <w:rsid w:val="00D80ADB"/>
    <w:rsid w:val="00D80C4F"/>
    <w:rsid w:val="00D80D2C"/>
    <w:rsid w:val="00D80DA6"/>
    <w:rsid w:val="00D81323"/>
    <w:rsid w:val="00D81824"/>
    <w:rsid w:val="00D82066"/>
    <w:rsid w:val="00D82246"/>
    <w:rsid w:val="00D82309"/>
    <w:rsid w:val="00D83A3E"/>
    <w:rsid w:val="00D83A44"/>
    <w:rsid w:val="00D84182"/>
    <w:rsid w:val="00D841D2"/>
    <w:rsid w:val="00D84BE5"/>
    <w:rsid w:val="00D84FCD"/>
    <w:rsid w:val="00D852B7"/>
    <w:rsid w:val="00D85CAF"/>
    <w:rsid w:val="00D85FF4"/>
    <w:rsid w:val="00D86F2C"/>
    <w:rsid w:val="00D87016"/>
    <w:rsid w:val="00D87044"/>
    <w:rsid w:val="00D873C4"/>
    <w:rsid w:val="00D87673"/>
    <w:rsid w:val="00D87F0D"/>
    <w:rsid w:val="00D9005A"/>
    <w:rsid w:val="00D90345"/>
    <w:rsid w:val="00D90513"/>
    <w:rsid w:val="00D907BE"/>
    <w:rsid w:val="00D90AB3"/>
    <w:rsid w:val="00D90AC9"/>
    <w:rsid w:val="00D90C9B"/>
    <w:rsid w:val="00D917F6"/>
    <w:rsid w:val="00D91AB2"/>
    <w:rsid w:val="00D9260D"/>
    <w:rsid w:val="00D9298D"/>
    <w:rsid w:val="00D92A70"/>
    <w:rsid w:val="00D92BB7"/>
    <w:rsid w:val="00D931A6"/>
    <w:rsid w:val="00D9338C"/>
    <w:rsid w:val="00D935B7"/>
    <w:rsid w:val="00D942EF"/>
    <w:rsid w:val="00D94A82"/>
    <w:rsid w:val="00D94D14"/>
    <w:rsid w:val="00D94F60"/>
    <w:rsid w:val="00D955CB"/>
    <w:rsid w:val="00D9640D"/>
    <w:rsid w:val="00D97030"/>
    <w:rsid w:val="00D97A3E"/>
    <w:rsid w:val="00D97D88"/>
    <w:rsid w:val="00D97FB5"/>
    <w:rsid w:val="00DA0061"/>
    <w:rsid w:val="00DA099B"/>
    <w:rsid w:val="00DA115C"/>
    <w:rsid w:val="00DA15D2"/>
    <w:rsid w:val="00DA1A88"/>
    <w:rsid w:val="00DA1ABA"/>
    <w:rsid w:val="00DA1D37"/>
    <w:rsid w:val="00DA2133"/>
    <w:rsid w:val="00DA28F8"/>
    <w:rsid w:val="00DA3373"/>
    <w:rsid w:val="00DA3500"/>
    <w:rsid w:val="00DA3732"/>
    <w:rsid w:val="00DA3874"/>
    <w:rsid w:val="00DA3912"/>
    <w:rsid w:val="00DA391C"/>
    <w:rsid w:val="00DA3934"/>
    <w:rsid w:val="00DA42A7"/>
    <w:rsid w:val="00DA44D6"/>
    <w:rsid w:val="00DA50C6"/>
    <w:rsid w:val="00DA557A"/>
    <w:rsid w:val="00DA5D22"/>
    <w:rsid w:val="00DA5DC5"/>
    <w:rsid w:val="00DA6424"/>
    <w:rsid w:val="00DA71D8"/>
    <w:rsid w:val="00DA7D06"/>
    <w:rsid w:val="00DB00D0"/>
    <w:rsid w:val="00DB0273"/>
    <w:rsid w:val="00DB051B"/>
    <w:rsid w:val="00DB0729"/>
    <w:rsid w:val="00DB0816"/>
    <w:rsid w:val="00DB10F8"/>
    <w:rsid w:val="00DB1147"/>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2A1"/>
    <w:rsid w:val="00DB7B0E"/>
    <w:rsid w:val="00DB7EFA"/>
    <w:rsid w:val="00DC00B3"/>
    <w:rsid w:val="00DC03B4"/>
    <w:rsid w:val="00DC0517"/>
    <w:rsid w:val="00DC0E1C"/>
    <w:rsid w:val="00DC1108"/>
    <w:rsid w:val="00DC1405"/>
    <w:rsid w:val="00DC144E"/>
    <w:rsid w:val="00DC2793"/>
    <w:rsid w:val="00DC288E"/>
    <w:rsid w:val="00DC29A6"/>
    <w:rsid w:val="00DC2C4A"/>
    <w:rsid w:val="00DC2E88"/>
    <w:rsid w:val="00DC331F"/>
    <w:rsid w:val="00DC36E8"/>
    <w:rsid w:val="00DC3F37"/>
    <w:rsid w:val="00DC4453"/>
    <w:rsid w:val="00DC474D"/>
    <w:rsid w:val="00DC4890"/>
    <w:rsid w:val="00DC4BCF"/>
    <w:rsid w:val="00DC4FDA"/>
    <w:rsid w:val="00DC5567"/>
    <w:rsid w:val="00DC5CFE"/>
    <w:rsid w:val="00DC5DDA"/>
    <w:rsid w:val="00DC6E34"/>
    <w:rsid w:val="00DC6F93"/>
    <w:rsid w:val="00DC7501"/>
    <w:rsid w:val="00DC75D6"/>
    <w:rsid w:val="00DD009A"/>
    <w:rsid w:val="00DD04DE"/>
    <w:rsid w:val="00DD14AD"/>
    <w:rsid w:val="00DD14EE"/>
    <w:rsid w:val="00DD1A10"/>
    <w:rsid w:val="00DD2106"/>
    <w:rsid w:val="00DD2819"/>
    <w:rsid w:val="00DD34F0"/>
    <w:rsid w:val="00DD3B41"/>
    <w:rsid w:val="00DD3CB8"/>
    <w:rsid w:val="00DD4092"/>
    <w:rsid w:val="00DD41E8"/>
    <w:rsid w:val="00DD493D"/>
    <w:rsid w:val="00DD4AE2"/>
    <w:rsid w:val="00DD4C68"/>
    <w:rsid w:val="00DD4DD9"/>
    <w:rsid w:val="00DD58E7"/>
    <w:rsid w:val="00DD5971"/>
    <w:rsid w:val="00DD6320"/>
    <w:rsid w:val="00DD63FC"/>
    <w:rsid w:val="00DD7254"/>
    <w:rsid w:val="00DD74BB"/>
    <w:rsid w:val="00DD7A2A"/>
    <w:rsid w:val="00DE02AE"/>
    <w:rsid w:val="00DE110F"/>
    <w:rsid w:val="00DE127A"/>
    <w:rsid w:val="00DE13D7"/>
    <w:rsid w:val="00DE19DE"/>
    <w:rsid w:val="00DE1D3E"/>
    <w:rsid w:val="00DE20EE"/>
    <w:rsid w:val="00DE253F"/>
    <w:rsid w:val="00DE2CB4"/>
    <w:rsid w:val="00DE2D46"/>
    <w:rsid w:val="00DE2DA7"/>
    <w:rsid w:val="00DE2E97"/>
    <w:rsid w:val="00DE3350"/>
    <w:rsid w:val="00DE36E5"/>
    <w:rsid w:val="00DE3834"/>
    <w:rsid w:val="00DE39F9"/>
    <w:rsid w:val="00DE3B24"/>
    <w:rsid w:val="00DE42CC"/>
    <w:rsid w:val="00DE546F"/>
    <w:rsid w:val="00DE54B1"/>
    <w:rsid w:val="00DE5898"/>
    <w:rsid w:val="00DE5909"/>
    <w:rsid w:val="00DE60EC"/>
    <w:rsid w:val="00DE6642"/>
    <w:rsid w:val="00DE6C00"/>
    <w:rsid w:val="00DE75C1"/>
    <w:rsid w:val="00DE75D7"/>
    <w:rsid w:val="00DE78DA"/>
    <w:rsid w:val="00DE7D59"/>
    <w:rsid w:val="00DF02F1"/>
    <w:rsid w:val="00DF0946"/>
    <w:rsid w:val="00DF158F"/>
    <w:rsid w:val="00DF1648"/>
    <w:rsid w:val="00DF1866"/>
    <w:rsid w:val="00DF1A34"/>
    <w:rsid w:val="00DF2217"/>
    <w:rsid w:val="00DF2259"/>
    <w:rsid w:val="00DF2418"/>
    <w:rsid w:val="00DF263C"/>
    <w:rsid w:val="00DF3AB1"/>
    <w:rsid w:val="00DF3EA6"/>
    <w:rsid w:val="00DF4208"/>
    <w:rsid w:val="00DF446B"/>
    <w:rsid w:val="00DF4586"/>
    <w:rsid w:val="00DF487B"/>
    <w:rsid w:val="00DF4A84"/>
    <w:rsid w:val="00DF4F27"/>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8A8"/>
    <w:rsid w:val="00E01EFB"/>
    <w:rsid w:val="00E0253F"/>
    <w:rsid w:val="00E025BC"/>
    <w:rsid w:val="00E027DB"/>
    <w:rsid w:val="00E0295B"/>
    <w:rsid w:val="00E02B22"/>
    <w:rsid w:val="00E03724"/>
    <w:rsid w:val="00E03E6C"/>
    <w:rsid w:val="00E04CDA"/>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1026"/>
    <w:rsid w:val="00E111E6"/>
    <w:rsid w:val="00E11377"/>
    <w:rsid w:val="00E11380"/>
    <w:rsid w:val="00E113C5"/>
    <w:rsid w:val="00E11673"/>
    <w:rsid w:val="00E1173F"/>
    <w:rsid w:val="00E11994"/>
    <w:rsid w:val="00E11F4C"/>
    <w:rsid w:val="00E122FA"/>
    <w:rsid w:val="00E13524"/>
    <w:rsid w:val="00E136F3"/>
    <w:rsid w:val="00E1385F"/>
    <w:rsid w:val="00E13A1B"/>
    <w:rsid w:val="00E13E47"/>
    <w:rsid w:val="00E13E4B"/>
    <w:rsid w:val="00E1407A"/>
    <w:rsid w:val="00E141FA"/>
    <w:rsid w:val="00E14494"/>
    <w:rsid w:val="00E1468E"/>
    <w:rsid w:val="00E14DAB"/>
    <w:rsid w:val="00E15796"/>
    <w:rsid w:val="00E15CA4"/>
    <w:rsid w:val="00E15EB4"/>
    <w:rsid w:val="00E15FA0"/>
    <w:rsid w:val="00E160C4"/>
    <w:rsid w:val="00E16215"/>
    <w:rsid w:val="00E1622F"/>
    <w:rsid w:val="00E163CD"/>
    <w:rsid w:val="00E1663A"/>
    <w:rsid w:val="00E17052"/>
    <w:rsid w:val="00E171E4"/>
    <w:rsid w:val="00E1720A"/>
    <w:rsid w:val="00E17273"/>
    <w:rsid w:val="00E20200"/>
    <w:rsid w:val="00E2061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5056"/>
    <w:rsid w:val="00E26247"/>
    <w:rsid w:val="00E27119"/>
    <w:rsid w:val="00E278DD"/>
    <w:rsid w:val="00E27A1B"/>
    <w:rsid w:val="00E301F1"/>
    <w:rsid w:val="00E30235"/>
    <w:rsid w:val="00E30460"/>
    <w:rsid w:val="00E304EA"/>
    <w:rsid w:val="00E30866"/>
    <w:rsid w:val="00E30967"/>
    <w:rsid w:val="00E3141B"/>
    <w:rsid w:val="00E31495"/>
    <w:rsid w:val="00E31510"/>
    <w:rsid w:val="00E316CA"/>
    <w:rsid w:val="00E319A9"/>
    <w:rsid w:val="00E31A07"/>
    <w:rsid w:val="00E31BC3"/>
    <w:rsid w:val="00E31F71"/>
    <w:rsid w:val="00E32393"/>
    <w:rsid w:val="00E33001"/>
    <w:rsid w:val="00E3318C"/>
    <w:rsid w:val="00E332A2"/>
    <w:rsid w:val="00E33A3E"/>
    <w:rsid w:val="00E33FC7"/>
    <w:rsid w:val="00E341A0"/>
    <w:rsid w:val="00E343A2"/>
    <w:rsid w:val="00E348BC"/>
    <w:rsid w:val="00E34E7E"/>
    <w:rsid w:val="00E35E8D"/>
    <w:rsid w:val="00E36495"/>
    <w:rsid w:val="00E36511"/>
    <w:rsid w:val="00E365F5"/>
    <w:rsid w:val="00E366C9"/>
    <w:rsid w:val="00E36886"/>
    <w:rsid w:val="00E368E5"/>
    <w:rsid w:val="00E36B48"/>
    <w:rsid w:val="00E36D54"/>
    <w:rsid w:val="00E37BC5"/>
    <w:rsid w:val="00E37F50"/>
    <w:rsid w:val="00E40480"/>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D3E"/>
    <w:rsid w:val="00E44EA6"/>
    <w:rsid w:val="00E44EBB"/>
    <w:rsid w:val="00E4573E"/>
    <w:rsid w:val="00E457EC"/>
    <w:rsid w:val="00E45CC9"/>
    <w:rsid w:val="00E461D4"/>
    <w:rsid w:val="00E46906"/>
    <w:rsid w:val="00E47015"/>
    <w:rsid w:val="00E470B2"/>
    <w:rsid w:val="00E47810"/>
    <w:rsid w:val="00E479D2"/>
    <w:rsid w:val="00E47B41"/>
    <w:rsid w:val="00E47D66"/>
    <w:rsid w:val="00E47D6C"/>
    <w:rsid w:val="00E50252"/>
    <w:rsid w:val="00E502FB"/>
    <w:rsid w:val="00E51843"/>
    <w:rsid w:val="00E523BE"/>
    <w:rsid w:val="00E5273E"/>
    <w:rsid w:val="00E52864"/>
    <w:rsid w:val="00E52B78"/>
    <w:rsid w:val="00E52D27"/>
    <w:rsid w:val="00E52F3A"/>
    <w:rsid w:val="00E53135"/>
    <w:rsid w:val="00E53148"/>
    <w:rsid w:val="00E537E4"/>
    <w:rsid w:val="00E53E98"/>
    <w:rsid w:val="00E548D9"/>
    <w:rsid w:val="00E54A1D"/>
    <w:rsid w:val="00E54B91"/>
    <w:rsid w:val="00E55A1B"/>
    <w:rsid w:val="00E55AE2"/>
    <w:rsid w:val="00E564CC"/>
    <w:rsid w:val="00E56558"/>
    <w:rsid w:val="00E56699"/>
    <w:rsid w:val="00E56922"/>
    <w:rsid w:val="00E56931"/>
    <w:rsid w:val="00E56DA9"/>
    <w:rsid w:val="00E56F72"/>
    <w:rsid w:val="00E5731F"/>
    <w:rsid w:val="00E574C2"/>
    <w:rsid w:val="00E575E6"/>
    <w:rsid w:val="00E601F1"/>
    <w:rsid w:val="00E60245"/>
    <w:rsid w:val="00E605D3"/>
    <w:rsid w:val="00E608E3"/>
    <w:rsid w:val="00E609F4"/>
    <w:rsid w:val="00E60D67"/>
    <w:rsid w:val="00E610AC"/>
    <w:rsid w:val="00E61267"/>
    <w:rsid w:val="00E6162B"/>
    <w:rsid w:val="00E617A5"/>
    <w:rsid w:val="00E61D9C"/>
    <w:rsid w:val="00E62122"/>
    <w:rsid w:val="00E6314B"/>
    <w:rsid w:val="00E631DA"/>
    <w:rsid w:val="00E63354"/>
    <w:rsid w:val="00E63483"/>
    <w:rsid w:val="00E63A79"/>
    <w:rsid w:val="00E63ABE"/>
    <w:rsid w:val="00E63BC7"/>
    <w:rsid w:val="00E63DC8"/>
    <w:rsid w:val="00E642D9"/>
    <w:rsid w:val="00E64D33"/>
    <w:rsid w:val="00E6520F"/>
    <w:rsid w:val="00E65630"/>
    <w:rsid w:val="00E65CAE"/>
    <w:rsid w:val="00E66063"/>
    <w:rsid w:val="00E6651E"/>
    <w:rsid w:val="00E66C1C"/>
    <w:rsid w:val="00E66C77"/>
    <w:rsid w:val="00E66F17"/>
    <w:rsid w:val="00E66FE6"/>
    <w:rsid w:val="00E670E6"/>
    <w:rsid w:val="00E670FA"/>
    <w:rsid w:val="00E67143"/>
    <w:rsid w:val="00E67388"/>
    <w:rsid w:val="00E67617"/>
    <w:rsid w:val="00E67928"/>
    <w:rsid w:val="00E67934"/>
    <w:rsid w:val="00E6796A"/>
    <w:rsid w:val="00E67E7C"/>
    <w:rsid w:val="00E7015A"/>
    <w:rsid w:val="00E701F4"/>
    <w:rsid w:val="00E70440"/>
    <w:rsid w:val="00E705CC"/>
    <w:rsid w:val="00E70638"/>
    <w:rsid w:val="00E70B77"/>
    <w:rsid w:val="00E713F9"/>
    <w:rsid w:val="00E714F3"/>
    <w:rsid w:val="00E71813"/>
    <w:rsid w:val="00E71AA8"/>
    <w:rsid w:val="00E71FD5"/>
    <w:rsid w:val="00E7235F"/>
    <w:rsid w:val="00E728A9"/>
    <w:rsid w:val="00E7343D"/>
    <w:rsid w:val="00E737A0"/>
    <w:rsid w:val="00E743C0"/>
    <w:rsid w:val="00E74891"/>
    <w:rsid w:val="00E75A0D"/>
    <w:rsid w:val="00E75C45"/>
    <w:rsid w:val="00E75D44"/>
    <w:rsid w:val="00E75DC6"/>
    <w:rsid w:val="00E761AD"/>
    <w:rsid w:val="00E76790"/>
    <w:rsid w:val="00E76E07"/>
    <w:rsid w:val="00E76E6A"/>
    <w:rsid w:val="00E76FE4"/>
    <w:rsid w:val="00E77A30"/>
    <w:rsid w:val="00E8002F"/>
    <w:rsid w:val="00E8045D"/>
    <w:rsid w:val="00E805D4"/>
    <w:rsid w:val="00E8076C"/>
    <w:rsid w:val="00E80B37"/>
    <w:rsid w:val="00E80E98"/>
    <w:rsid w:val="00E815F6"/>
    <w:rsid w:val="00E816E0"/>
    <w:rsid w:val="00E81797"/>
    <w:rsid w:val="00E81D1A"/>
    <w:rsid w:val="00E81DB2"/>
    <w:rsid w:val="00E8217C"/>
    <w:rsid w:val="00E8235F"/>
    <w:rsid w:val="00E828B4"/>
    <w:rsid w:val="00E828D2"/>
    <w:rsid w:val="00E828F2"/>
    <w:rsid w:val="00E828F3"/>
    <w:rsid w:val="00E829AB"/>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5875"/>
    <w:rsid w:val="00E86283"/>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3A11"/>
    <w:rsid w:val="00E9480E"/>
    <w:rsid w:val="00E948E4"/>
    <w:rsid w:val="00E94D06"/>
    <w:rsid w:val="00E94E6D"/>
    <w:rsid w:val="00E95087"/>
    <w:rsid w:val="00E95AD1"/>
    <w:rsid w:val="00E95C8C"/>
    <w:rsid w:val="00E95E25"/>
    <w:rsid w:val="00E96275"/>
    <w:rsid w:val="00E96346"/>
    <w:rsid w:val="00E9678D"/>
    <w:rsid w:val="00E96D42"/>
    <w:rsid w:val="00E96E4E"/>
    <w:rsid w:val="00E975C2"/>
    <w:rsid w:val="00EA0C6A"/>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364"/>
    <w:rsid w:val="00EA7AF6"/>
    <w:rsid w:val="00EB020A"/>
    <w:rsid w:val="00EB04C7"/>
    <w:rsid w:val="00EB0C34"/>
    <w:rsid w:val="00EB0D18"/>
    <w:rsid w:val="00EB16AF"/>
    <w:rsid w:val="00EB1875"/>
    <w:rsid w:val="00EB1BC5"/>
    <w:rsid w:val="00EB1E25"/>
    <w:rsid w:val="00EB1F01"/>
    <w:rsid w:val="00EB29BF"/>
    <w:rsid w:val="00EB2B1F"/>
    <w:rsid w:val="00EB2BA0"/>
    <w:rsid w:val="00EB2BB6"/>
    <w:rsid w:val="00EB2BD5"/>
    <w:rsid w:val="00EB2D2F"/>
    <w:rsid w:val="00EB2D46"/>
    <w:rsid w:val="00EB32A5"/>
    <w:rsid w:val="00EB3885"/>
    <w:rsid w:val="00EB3AB3"/>
    <w:rsid w:val="00EB3E34"/>
    <w:rsid w:val="00EB3FB7"/>
    <w:rsid w:val="00EB43C6"/>
    <w:rsid w:val="00EB4558"/>
    <w:rsid w:val="00EB456E"/>
    <w:rsid w:val="00EB4680"/>
    <w:rsid w:val="00EB4856"/>
    <w:rsid w:val="00EB4895"/>
    <w:rsid w:val="00EB4DD3"/>
    <w:rsid w:val="00EB4E93"/>
    <w:rsid w:val="00EB560F"/>
    <w:rsid w:val="00EB565D"/>
    <w:rsid w:val="00EB6011"/>
    <w:rsid w:val="00EB682D"/>
    <w:rsid w:val="00EB6E26"/>
    <w:rsid w:val="00EB7A69"/>
    <w:rsid w:val="00EB7C35"/>
    <w:rsid w:val="00EC0207"/>
    <w:rsid w:val="00EC0278"/>
    <w:rsid w:val="00EC0572"/>
    <w:rsid w:val="00EC2E82"/>
    <w:rsid w:val="00EC2F90"/>
    <w:rsid w:val="00EC3389"/>
    <w:rsid w:val="00EC372F"/>
    <w:rsid w:val="00EC3D98"/>
    <w:rsid w:val="00EC3E60"/>
    <w:rsid w:val="00EC4188"/>
    <w:rsid w:val="00EC44BF"/>
    <w:rsid w:val="00EC5588"/>
    <w:rsid w:val="00EC5AEB"/>
    <w:rsid w:val="00EC5B95"/>
    <w:rsid w:val="00EC5D29"/>
    <w:rsid w:val="00EC5D62"/>
    <w:rsid w:val="00EC6883"/>
    <w:rsid w:val="00EC6A3E"/>
    <w:rsid w:val="00EC6F1E"/>
    <w:rsid w:val="00EC710F"/>
    <w:rsid w:val="00EC72C4"/>
    <w:rsid w:val="00EC7595"/>
    <w:rsid w:val="00EC75F2"/>
    <w:rsid w:val="00EC764C"/>
    <w:rsid w:val="00EC7B3C"/>
    <w:rsid w:val="00ED08D7"/>
    <w:rsid w:val="00ED0AA1"/>
    <w:rsid w:val="00ED0D2E"/>
    <w:rsid w:val="00ED1133"/>
    <w:rsid w:val="00ED13D4"/>
    <w:rsid w:val="00ED1576"/>
    <w:rsid w:val="00ED1A63"/>
    <w:rsid w:val="00ED1BC9"/>
    <w:rsid w:val="00ED1F26"/>
    <w:rsid w:val="00ED266A"/>
    <w:rsid w:val="00ED26A8"/>
    <w:rsid w:val="00ED2880"/>
    <w:rsid w:val="00ED2AC0"/>
    <w:rsid w:val="00ED3B62"/>
    <w:rsid w:val="00ED3BB5"/>
    <w:rsid w:val="00ED3E55"/>
    <w:rsid w:val="00ED3F63"/>
    <w:rsid w:val="00ED4A03"/>
    <w:rsid w:val="00ED52A4"/>
    <w:rsid w:val="00ED543D"/>
    <w:rsid w:val="00ED5518"/>
    <w:rsid w:val="00ED5AF3"/>
    <w:rsid w:val="00ED6A5F"/>
    <w:rsid w:val="00ED7595"/>
    <w:rsid w:val="00ED75A8"/>
    <w:rsid w:val="00ED7C30"/>
    <w:rsid w:val="00ED7E0C"/>
    <w:rsid w:val="00EE037A"/>
    <w:rsid w:val="00EE075B"/>
    <w:rsid w:val="00EE10E5"/>
    <w:rsid w:val="00EE13BC"/>
    <w:rsid w:val="00EE17B3"/>
    <w:rsid w:val="00EE1CDC"/>
    <w:rsid w:val="00EE219C"/>
    <w:rsid w:val="00EE366B"/>
    <w:rsid w:val="00EE4352"/>
    <w:rsid w:val="00EE4A07"/>
    <w:rsid w:val="00EE50EB"/>
    <w:rsid w:val="00EE52A0"/>
    <w:rsid w:val="00EE552A"/>
    <w:rsid w:val="00EE7416"/>
    <w:rsid w:val="00EE748A"/>
    <w:rsid w:val="00EE770C"/>
    <w:rsid w:val="00EE7D7E"/>
    <w:rsid w:val="00EE7DB2"/>
    <w:rsid w:val="00EF0237"/>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4746"/>
    <w:rsid w:val="00EF4765"/>
    <w:rsid w:val="00EF554B"/>
    <w:rsid w:val="00EF5666"/>
    <w:rsid w:val="00EF5A22"/>
    <w:rsid w:val="00EF5E52"/>
    <w:rsid w:val="00EF5FF2"/>
    <w:rsid w:val="00EF6168"/>
    <w:rsid w:val="00EF671A"/>
    <w:rsid w:val="00EF6B29"/>
    <w:rsid w:val="00EF6E86"/>
    <w:rsid w:val="00EF74D8"/>
    <w:rsid w:val="00F0061A"/>
    <w:rsid w:val="00F00634"/>
    <w:rsid w:val="00F00B4F"/>
    <w:rsid w:val="00F016F0"/>
    <w:rsid w:val="00F01A3A"/>
    <w:rsid w:val="00F01B62"/>
    <w:rsid w:val="00F020D2"/>
    <w:rsid w:val="00F038BE"/>
    <w:rsid w:val="00F03B30"/>
    <w:rsid w:val="00F040CA"/>
    <w:rsid w:val="00F0493B"/>
    <w:rsid w:val="00F04B0C"/>
    <w:rsid w:val="00F04BA3"/>
    <w:rsid w:val="00F04CC7"/>
    <w:rsid w:val="00F04E94"/>
    <w:rsid w:val="00F05335"/>
    <w:rsid w:val="00F05782"/>
    <w:rsid w:val="00F05C49"/>
    <w:rsid w:val="00F05D76"/>
    <w:rsid w:val="00F05F52"/>
    <w:rsid w:val="00F06F14"/>
    <w:rsid w:val="00F075A1"/>
    <w:rsid w:val="00F10101"/>
    <w:rsid w:val="00F10136"/>
    <w:rsid w:val="00F109EA"/>
    <w:rsid w:val="00F113F1"/>
    <w:rsid w:val="00F116C2"/>
    <w:rsid w:val="00F12867"/>
    <w:rsid w:val="00F1293E"/>
    <w:rsid w:val="00F1295C"/>
    <w:rsid w:val="00F13197"/>
    <w:rsid w:val="00F1370A"/>
    <w:rsid w:val="00F137CB"/>
    <w:rsid w:val="00F1391F"/>
    <w:rsid w:val="00F1392A"/>
    <w:rsid w:val="00F13AA6"/>
    <w:rsid w:val="00F143D4"/>
    <w:rsid w:val="00F14534"/>
    <w:rsid w:val="00F145C2"/>
    <w:rsid w:val="00F14883"/>
    <w:rsid w:val="00F14916"/>
    <w:rsid w:val="00F14AA3"/>
    <w:rsid w:val="00F14B2D"/>
    <w:rsid w:val="00F14DCB"/>
    <w:rsid w:val="00F15104"/>
    <w:rsid w:val="00F153EC"/>
    <w:rsid w:val="00F1550F"/>
    <w:rsid w:val="00F15AD2"/>
    <w:rsid w:val="00F15B7E"/>
    <w:rsid w:val="00F1634B"/>
    <w:rsid w:val="00F163A6"/>
    <w:rsid w:val="00F16475"/>
    <w:rsid w:val="00F164C6"/>
    <w:rsid w:val="00F168DB"/>
    <w:rsid w:val="00F16FE5"/>
    <w:rsid w:val="00F1745E"/>
    <w:rsid w:val="00F17F61"/>
    <w:rsid w:val="00F20956"/>
    <w:rsid w:val="00F20ADC"/>
    <w:rsid w:val="00F210DD"/>
    <w:rsid w:val="00F214E9"/>
    <w:rsid w:val="00F2159C"/>
    <w:rsid w:val="00F2181E"/>
    <w:rsid w:val="00F21A2A"/>
    <w:rsid w:val="00F222B7"/>
    <w:rsid w:val="00F22650"/>
    <w:rsid w:val="00F22B6F"/>
    <w:rsid w:val="00F22FF7"/>
    <w:rsid w:val="00F23459"/>
    <w:rsid w:val="00F2345D"/>
    <w:rsid w:val="00F234E0"/>
    <w:rsid w:val="00F237CE"/>
    <w:rsid w:val="00F23ED9"/>
    <w:rsid w:val="00F2401F"/>
    <w:rsid w:val="00F245E2"/>
    <w:rsid w:val="00F24739"/>
    <w:rsid w:val="00F25775"/>
    <w:rsid w:val="00F25968"/>
    <w:rsid w:val="00F2602F"/>
    <w:rsid w:val="00F26B56"/>
    <w:rsid w:val="00F26C40"/>
    <w:rsid w:val="00F27353"/>
    <w:rsid w:val="00F27981"/>
    <w:rsid w:val="00F27B84"/>
    <w:rsid w:val="00F300B0"/>
    <w:rsid w:val="00F303DA"/>
    <w:rsid w:val="00F304C8"/>
    <w:rsid w:val="00F305D3"/>
    <w:rsid w:val="00F30902"/>
    <w:rsid w:val="00F30B06"/>
    <w:rsid w:val="00F313A2"/>
    <w:rsid w:val="00F31A3A"/>
    <w:rsid w:val="00F31AE7"/>
    <w:rsid w:val="00F3200E"/>
    <w:rsid w:val="00F32483"/>
    <w:rsid w:val="00F3265E"/>
    <w:rsid w:val="00F336DE"/>
    <w:rsid w:val="00F339C4"/>
    <w:rsid w:val="00F33AF8"/>
    <w:rsid w:val="00F33DDE"/>
    <w:rsid w:val="00F33EE6"/>
    <w:rsid w:val="00F33F40"/>
    <w:rsid w:val="00F344A8"/>
    <w:rsid w:val="00F34881"/>
    <w:rsid w:val="00F34CA2"/>
    <w:rsid w:val="00F34E9C"/>
    <w:rsid w:val="00F34EA3"/>
    <w:rsid w:val="00F34F43"/>
    <w:rsid w:val="00F352EC"/>
    <w:rsid w:val="00F35CF1"/>
    <w:rsid w:val="00F35DED"/>
    <w:rsid w:val="00F3624C"/>
    <w:rsid w:val="00F365BD"/>
    <w:rsid w:val="00F367CE"/>
    <w:rsid w:val="00F37188"/>
    <w:rsid w:val="00F374BA"/>
    <w:rsid w:val="00F37B4D"/>
    <w:rsid w:val="00F37B77"/>
    <w:rsid w:val="00F37C30"/>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434"/>
    <w:rsid w:val="00F42772"/>
    <w:rsid w:val="00F429B3"/>
    <w:rsid w:val="00F4321F"/>
    <w:rsid w:val="00F436AA"/>
    <w:rsid w:val="00F43BE0"/>
    <w:rsid w:val="00F43C37"/>
    <w:rsid w:val="00F43CE4"/>
    <w:rsid w:val="00F44056"/>
    <w:rsid w:val="00F44688"/>
    <w:rsid w:val="00F4488B"/>
    <w:rsid w:val="00F44C53"/>
    <w:rsid w:val="00F4512B"/>
    <w:rsid w:val="00F4542B"/>
    <w:rsid w:val="00F45554"/>
    <w:rsid w:val="00F460D6"/>
    <w:rsid w:val="00F4623F"/>
    <w:rsid w:val="00F47158"/>
    <w:rsid w:val="00F471EA"/>
    <w:rsid w:val="00F474FD"/>
    <w:rsid w:val="00F4754B"/>
    <w:rsid w:val="00F476FC"/>
    <w:rsid w:val="00F47AFF"/>
    <w:rsid w:val="00F5005F"/>
    <w:rsid w:val="00F501C2"/>
    <w:rsid w:val="00F50529"/>
    <w:rsid w:val="00F50635"/>
    <w:rsid w:val="00F50E45"/>
    <w:rsid w:val="00F513BF"/>
    <w:rsid w:val="00F51831"/>
    <w:rsid w:val="00F5197E"/>
    <w:rsid w:val="00F51C19"/>
    <w:rsid w:val="00F51EA3"/>
    <w:rsid w:val="00F520BF"/>
    <w:rsid w:val="00F525E5"/>
    <w:rsid w:val="00F5321A"/>
    <w:rsid w:val="00F53D59"/>
    <w:rsid w:val="00F53EE9"/>
    <w:rsid w:val="00F54146"/>
    <w:rsid w:val="00F54441"/>
    <w:rsid w:val="00F5453C"/>
    <w:rsid w:val="00F54725"/>
    <w:rsid w:val="00F558A3"/>
    <w:rsid w:val="00F5615F"/>
    <w:rsid w:val="00F5643D"/>
    <w:rsid w:val="00F56465"/>
    <w:rsid w:val="00F56638"/>
    <w:rsid w:val="00F56938"/>
    <w:rsid w:val="00F56973"/>
    <w:rsid w:val="00F57003"/>
    <w:rsid w:val="00F5710C"/>
    <w:rsid w:val="00F577AE"/>
    <w:rsid w:val="00F57F2E"/>
    <w:rsid w:val="00F60035"/>
    <w:rsid w:val="00F601C0"/>
    <w:rsid w:val="00F6098A"/>
    <w:rsid w:val="00F61130"/>
    <w:rsid w:val="00F6113B"/>
    <w:rsid w:val="00F6143E"/>
    <w:rsid w:val="00F6165F"/>
    <w:rsid w:val="00F61A8E"/>
    <w:rsid w:val="00F621A4"/>
    <w:rsid w:val="00F625B8"/>
    <w:rsid w:val="00F62AA1"/>
    <w:rsid w:val="00F6317F"/>
    <w:rsid w:val="00F637DA"/>
    <w:rsid w:val="00F63C28"/>
    <w:rsid w:val="00F645DE"/>
    <w:rsid w:val="00F64A7C"/>
    <w:rsid w:val="00F64E5B"/>
    <w:rsid w:val="00F651B3"/>
    <w:rsid w:val="00F65858"/>
    <w:rsid w:val="00F65C77"/>
    <w:rsid w:val="00F65CFA"/>
    <w:rsid w:val="00F66118"/>
    <w:rsid w:val="00F666C3"/>
    <w:rsid w:val="00F66827"/>
    <w:rsid w:val="00F669E6"/>
    <w:rsid w:val="00F66C69"/>
    <w:rsid w:val="00F66E84"/>
    <w:rsid w:val="00F66EC3"/>
    <w:rsid w:val="00F670CC"/>
    <w:rsid w:val="00F67106"/>
    <w:rsid w:val="00F67ACF"/>
    <w:rsid w:val="00F70533"/>
    <w:rsid w:val="00F7070D"/>
    <w:rsid w:val="00F70AD0"/>
    <w:rsid w:val="00F70D28"/>
    <w:rsid w:val="00F70D32"/>
    <w:rsid w:val="00F70DFE"/>
    <w:rsid w:val="00F70F96"/>
    <w:rsid w:val="00F7110F"/>
    <w:rsid w:val="00F712B4"/>
    <w:rsid w:val="00F717B2"/>
    <w:rsid w:val="00F71B84"/>
    <w:rsid w:val="00F71C5D"/>
    <w:rsid w:val="00F720BF"/>
    <w:rsid w:val="00F72186"/>
    <w:rsid w:val="00F7266F"/>
    <w:rsid w:val="00F729FA"/>
    <w:rsid w:val="00F73838"/>
    <w:rsid w:val="00F7412C"/>
    <w:rsid w:val="00F74CBB"/>
    <w:rsid w:val="00F74E3E"/>
    <w:rsid w:val="00F75300"/>
    <w:rsid w:val="00F754C8"/>
    <w:rsid w:val="00F75540"/>
    <w:rsid w:val="00F75690"/>
    <w:rsid w:val="00F75C50"/>
    <w:rsid w:val="00F76296"/>
    <w:rsid w:val="00F76474"/>
    <w:rsid w:val="00F76BC3"/>
    <w:rsid w:val="00F76F98"/>
    <w:rsid w:val="00F77819"/>
    <w:rsid w:val="00F8004A"/>
    <w:rsid w:val="00F80218"/>
    <w:rsid w:val="00F803E8"/>
    <w:rsid w:val="00F805F8"/>
    <w:rsid w:val="00F80E20"/>
    <w:rsid w:val="00F81477"/>
    <w:rsid w:val="00F814C1"/>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FDF"/>
    <w:rsid w:val="00F8602E"/>
    <w:rsid w:val="00F86067"/>
    <w:rsid w:val="00F8643D"/>
    <w:rsid w:val="00F86686"/>
    <w:rsid w:val="00F86A46"/>
    <w:rsid w:val="00F8703D"/>
    <w:rsid w:val="00F8709D"/>
    <w:rsid w:val="00F87686"/>
    <w:rsid w:val="00F877DA"/>
    <w:rsid w:val="00F878B7"/>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E4D"/>
    <w:rsid w:val="00F9588F"/>
    <w:rsid w:val="00F95DA9"/>
    <w:rsid w:val="00F961A7"/>
    <w:rsid w:val="00F96713"/>
    <w:rsid w:val="00F96D77"/>
    <w:rsid w:val="00F96FB5"/>
    <w:rsid w:val="00F972AA"/>
    <w:rsid w:val="00F978C5"/>
    <w:rsid w:val="00F97AB7"/>
    <w:rsid w:val="00FA0218"/>
    <w:rsid w:val="00FA07EF"/>
    <w:rsid w:val="00FA0D79"/>
    <w:rsid w:val="00FA1470"/>
    <w:rsid w:val="00FA16D9"/>
    <w:rsid w:val="00FA1E36"/>
    <w:rsid w:val="00FA233A"/>
    <w:rsid w:val="00FA2620"/>
    <w:rsid w:val="00FA2FAE"/>
    <w:rsid w:val="00FA311F"/>
    <w:rsid w:val="00FA33DE"/>
    <w:rsid w:val="00FA3A8E"/>
    <w:rsid w:val="00FA442C"/>
    <w:rsid w:val="00FA4462"/>
    <w:rsid w:val="00FA4823"/>
    <w:rsid w:val="00FA4BB8"/>
    <w:rsid w:val="00FA4E90"/>
    <w:rsid w:val="00FA4ED4"/>
    <w:rsid w:val="00FA5CED"/>
    <w:rsid w:val="00FA6085"/>
    <w:rsid w:val="00FA64A7"/>
    <w:rsid w:val="00FA6555"/>
    <w:rsid w:val="00FA65EB"/>
    <w:rsid w:val="00FA6662"/>
    <w:rsid w:val="00FA7D2B"/>
    <w:rsid w:val="00FB0718"/>
    <w:rsid w:val="00FB0CB2"/>
    <w:rsid w:val="00FB0EF3"/>
    <w:rsid w:val="00FB12D6"/>
    <w:rsid w:val="00FB16FD"/>
    <w:rsid w:val="00FB17D9"/>
    <w:rsid w:val="00FB1D31"/>
    <w:rsid w:val="00FB2298"/>
    <w:rsid w:val="00FB2781"/>
    <w:rsid w:val="00FB2837"/>
    <w:rsid w:val="00FB2D77"/>
    <w:rsid w:val="00FB2EEE"/>
    <w:rsid w:val="00FB3246"/>
    <w:rsid w:val="00FB4044"/>
    <w:rsid w:val="00FB42B0"/>
    <w:rsid w:val="00FB441B"/>
    <w:rsid w:val="00FB4714"/>
    <w:rsid w:val="00FB47EC"/>
    <w:rsid w:val="00FB49B6"/>
    <w:rsid w:val="00FB4AFE"/>
    <w:rsid w:val="00FB4B76"/>
    <w:rsid w:val="00FB4E54"/>
    <w:rsid w:val="00FB62B7"/>
    <w:rsid w:val="00FB6849"/>
    <w:rsid w:val="00FB689C"/>
    <w:rsid w:val="00FB6DC9"/>
    <w:rsid w:val="00FB6FA2"/>
    <w:rsid w:val="00FB71DA"/>
    <w:rsid w:val="00FB7469"/>
    <w:rsid w:val="00FB75B3"/>
    <w:rsid w:val="00FB7650"/>
    <w:rsid w:val="00FB7804"/>
    <w:rsid w:val="00FB7C5E"/>
    <w:rsid w:val="00FB7D8D"/>
    <w:rsid w:val="00FC0010"/>
    <w:rsid w:val="00FC06C9"/>
    <w:rsid w:val="00FC0A02"/>
    <w:rsid w:val="00FC0A2C"/>
    <w:rsid w:val="00FC0BE1"/>
    <w:rsid w:val="00FC101B"/>
    <w:rsid w:val="00FC1740"/>
    <w:rsid w:val="00FC17EE"/>
    <w:rsid w:val="00FC1970"/>
    <w:rsid w:val="00FC27A0"/>
    <w:rsid w:val="00FC2EDD"/>
    <w:rsid w:val="00FC3483"/>
    <w:rsid w:val="00FC36F4"/>
    <w:rsid w:val="00FC4920"/>
    <w:rsid w:val="00FC4BF9"/>
    <w:rsid w:val="00FC4DB4"/>
    <w:rsid w:val="00FC60FB"/>
    <w:rsid w:val="00FC6116"/>
    <w:rsid w:val="00FC68C0"/>
    <w:rsid w:val="00FC70B4"/>
    <w:rsid w:val="00FC70C9"/>
    <w:rsid w:val="00FC76D2"/>
    <w:rsid w:val="00FC788E"/>
    <w:rsid w:val="00FC7D34"/>
    <w:rsid w:val="00FD0594"/>
    <w:rsid w:val="00FD0A93"/>
    <w:rsid w:val="00FD0D4F"/>
    <w:rsid w:val="00FD0E65"/>
    <w:rsid w:val="00FD1225"/>
    <w:rsid w:val="00FD1323"/>
    <w:rsid w:val="00FD1352"/>
    <w:rsid w:val="00FD1B18"/>
    <w:rsid w:val="00FD1DA7"/>
    <w:rsid w:val="00FD333D"/>
    <w:rsid w:val="00FD37F7"/>
    <w:rsid w:val="00FD40A5"/>
    <w:rsid w:val="00FD4E04"/>
    <w:rsid w:val="00FD667B"/>
    <w:rsid w:val="00FD675F"/>
    <w:rsid w:val="00FD6A06"/>
    <w:rsid w:val="00FD70A4"/>
    <w:rsid w:val="00FD7276"/>
    <w:rsid w:val="00FD763D"/>
    <w:rsid w:val="00FD7702"/>
    <w:rsid w:val="00FD77DE"/>
    <w:rsid w:val="00FD7AB3"/>
    <w:rsid w:val="00FD7AD5"/>
    <w:rsid w:val="00FD7B71"/>
    <w:rsid w:val="00FE0066"/>
    <w:rsid w:val="00FE01BF"/>
    <w:rsid w:val="00FE02A0"/>
    <w:rsid w:val="00FE0757"/>
    <w:rsid w:val="00FE07BC"/>
    <w:rsid w:val="00FE0AD0"/>
    <w:rsid w:val="00FE11D5"/>
    <w:rsid w:val="00FE138C"/>
    <w:rsid w:val="00FE1B03"/>
    <w:rsid w:val="00FE1DDA"/>
    <w:rsid w:val="00FE2B15"/>
    <w:rsid w:val="00FE2C35"/>
    <w:rsid w:val="00FE2F12"/>
    <w:rsid w:val="00FE3B63"/>
    <w:rsid w:val="00FE3C9C"/>
    <w:rsid w:val="00FE3EF7"/>
    <w:rsid w:val="00FE45FC"/>
    <w:rsid w:val="00FE4B88"/>
    <w:rsid w:val="00FE4D7E"/>
    <w:rsid w:val="00FE5211"/>
    <w:rsid w:val="00FE523E"/>
    <w:rsid w:val="00FE555D"/>
    <w:rsid w:val="00FE5A37"/>
    <w:rsid w:val="00FE6205"/>
    <w:rsid w:val="00FE6BD2"/>
    <w:rsid w:val="00FE71EC"/>
    <w:rsid w:val="00FE722E"/>
    <w:rsid w:val="00FE75D2"/>
    <w:rsid w:val="00FE7E48"/>
    <w:rsid w:val="00FF0599"/>
    <w:rsid w:val="00FF0E15"/>
    <w:rsid w:val="00FF0E71"/>
    <w:rsid w:val="00FF0FA7"/>
    <w:rsid w:val="00FF1662"/>
    <w:rsid w:val="00FF1BD1"/>
    <w:rsid w:val="00FF1D2E"/>
    <w:rsid w:val="00FF2773"/>
    <w:rsid w:val="00FF2855"/>
    <w:rsid w:val="00FF2A2F"/>
    <w:rsid w:val="00FF35E5"/>
    <w:rsid w:val="00FF399F"/>
    <w:rsid w:val="00FF41E1"/>
    <w:rsid w:val="00FF4DE3"/>
    <w:rsid w:val="00FF5464"/>
    <w:rsid w:val="00FF5627"/>
    <w:rsid w:val="00FF6133"/>
    <w:rsid w:val="00FF627D"/>
    <w:rsid w:val="00FF6499"/>
    <w:rsid w:val="00FF6787"/>
    <w:rsid w:val="00FF69D7"/>
    <w:rsid w:val="00FF6B1E"/>
    <w:rsid w:val="00FF6E5F"/>
    <w:rsid w:val="00FF7344"/>
    <w:rsid w:val="00FF7864"/>
    <w:rsid w:val="00FF7CB1"/>
    <w:rsid w:val="0194C86C"/>
    <w:rsid w:val="04263465"/>
    <w:rsid w:val="05A42352"/>
    <w:rsid w:val="07323371"/>
    <w:rsid w:val="07F42E72"/>
    <w:rsid w:val="08587BEC"/>
    <w:rsid w:val="0D40CBE8"/>
    <w:rsid w:val="0E5AC4D6"/>
    <w:rsid w:val="0EC0D99E"/>
    <w:rsid w:val="0EC29A11"/>
    <w:rsid w:val="0FB5FD57"/>
    <w:rsid w:val="12AE007B"/>
    <w:rsid w:val="1464BD30"/>
    <w:rsid w:val="159203AC"/>
    <w:rsid w:val="16AF716D"/>
    <w:rsid w:val="16CBEB83"/>
    <w:rsid w:val="178E3BA8"/>
    <w:rsid w:val="18710A30"/>
    <w:rsid w:val="1A0CDA91"/>
    <w:rsid w:val="1CBD66D5"/>
    <w:rsid w:val="1FD40EA7"/>
    <w:rsid w:val="29477982"/>
    <w:rsid w:val="2BB58E5C"/>
    <w:rsid w:val="2C7691A8"/>
    <w:rsid w:val="2DDFFA99"/>
    <w:rsid w:val="2FF51EEC"/>
    <w:rsid w:val="30BD53F4"/>
    <w:rsid w:val="346DB4BB"/>
    <w:rsid w:val="3882C8A1"/>
    <w:rsid w:val="390AAC7E"/>
    <w:rsid w:val="39924E3F"/>
    <w:rsid w:val="3ABEE87A"/>
    <w:rsid w:val="3BC3B7AF"/>
    <w:rsid w:val="3DE0ED44"/>
    <w:rsid w:val="3E534B03"/>
    <w:rsid w:val="42031032"/>
    <w:rsid w:val="42B719A0"/>
    <w:rsid w:val="463BE63F"/>
    <w:rsid w:val="473109F8"/>
    <w:rsid w:val="47EA0BD1"/>
    <w:rsid w:val="4B31CE0B"/>
    <w:rsid w:val="4B40714D"/>
    <w:rsid w:val="507417BC"/>
    <w:rsid w:val="51CD6103"/>
    <w:rsid w:val="52E20E49"/>
    <w:rsid w:val="562F425C"/>
    <w:rsid w:val="5B7D7DF2"/>
    <w:rsid w:val="5C5F70AD"/>
    <w:rsid w:val="5E650974"/>
    <w:rsid w:val="619CAA36"/>
    <w:rsid w:val="62F9AAC6"/>
    <w:rsid w:val="63387A97"/>
    <w:rsid w:val="66AA12C6"/>
    <w:rsid w:val="680BEBBA"/>
    <w:rsid w:val="6B88FD16"/>
    <w:rsid w:val="6C02B5A9"/>
    <w:rsid w:val="6F2A667F"/>
    <w:rsid w:val="7064C240"/>
    <w:rsid w:val="72FF2EFF"/>
    <w:rsid w:val="73828C4F"/>
    <w:rsid w:val="77D01F46"/>
    <w:rsid w:val="77E01885"/>
    <w:rsid w:val="79B92520"/>
    <w:rsid w:val="7C93D586"/>
    <w:rsid w:val="7D345B10"/>
    <w:rsid w:val="7E2DD4E7"/>
    <w:rsid w:val="7F34C8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uiPriority w:val="1"/>
    <w:rsid w:val="000C03E8"/>
  </w:style>
  <w:style w:type="character" w:customStyle="1" w:styleId="eop">
    <w:name w:val="eop"/>
    <w:basedOn w:val="DefaultParagraphFont"/>
    <w:uiPriority w:val="1"/>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77C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73711739">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heart.org/-/media/Files/Professional/Quality-Improvement/Get-With-the-Guidelines/Get-With-The-Guidelines-Stroke/Stroke-Fact-Sheet_-FINAL_UCM_501842.pdf" TargetMode="External"/><Relationship Id="rId13" Type="http://schemas.openxmlformats.org/officeDocument/2006/relationships/hyperlink" Target="https://www.medicalnewstoday.com/articles/153201" TargetMode="External"/><Relationship Id="rId18" Type="http://schemas.openxmlformats.org/officeDocument/2006/relationships/hyperlink" Target="https://www.lung.org/lung-health-diseases/lung-disease-lookup/lung-cancer/resource-library/lung-cancer-fact-sheet" TargetMode="External"/><Relationship Id="rId3" Type="http://schemas.openxmlformats.org/officeDocument/2006/relationships/hyperlink" Target="https://www.chiamass.gov/assets/docs/r/hospital-profiles/2020/hospital-health-systems/Beth-Israel-Lahey.pdf" TargetMode="External"/><Relationship Id="rId21" Type="http://schemas.openxmlformats.org/officeDocument/2006/relationships/hyperlink" Target="https://www.tandfonline.com/doi/abs/10.1080/07421222.2017.1334477" TargetMode="External"/><Relationship Id="rId7" Type="http://schemas.openxmlformats.org/officeDocument/2006/relationships/hyperlink" Target="https://www.heart.org/-/media/Files/Professional/Quality-Improvement/Get-With-the-Guidelines/Get-With-The-Guidelines-Stroke/Stroke-Fact-Sheet_-FINAL_UCM_501842.pdf" TargetMode="External"/><Relationship Id="rId12" Type="http://schemas.openxmlformats.org/officeDocument/2006/relationships/hyperlink" Target="https://www.mayoclinic.org/tests-procedures/ct-scan/about/pac-20393675" TargetMode="External"/><Relationship Id="rId17" Type="http://schemas.openxmlformats.org/officeDocument/2006/relationships/hyperlink" Target="https://www.lung.org/lung-health-diseases/lung-disease-lookup/lung-cancer/resource-library/lung-cancer-fact-sheet" TargetMode="External"/><Relationship Id="rId2" Type="http://schemas.openxmlformats.org/officeDocument/2006/relationships/hyperlink" Target="https://www.chiamass.gov/assets/docs/r/hospital-profiles/2021/FY21-Massachusetts-Hospital-Profiles-Technical-Appendix.pdf" TargetMode="External"/><Relationship Id="rId16" Type="http://schemas.openxmlformats.org/officeDocument/2006/relationships/hyperlink" Target="https://www.envrad.com/how-ct-scans-mris-used-to-diagnose-strokes/" TargetMode="External"/><Relationship Id="rId20" Type="http://schemas.openxmlformats.org/officeDocument/2006/relationships/hyperlink" Target="https://www.healthit.gov/topic/health-it-and-health-information-exchange-basics/improve-care-coordination" TargetMode="External"/><Relationship Id="rId1" Type="http://schemas.openxmlformats.org/officeDocument/2006/relationships/hyperlink" Target="https://www.chiamass.gov/assets/docs/r/hospital-profiles/2019/FY19-Massachusetts-Hospital-Profiles-Technical-" TargetMode="External"/><Relationship Id="rId6" Type="http://schemas.openxmlformats.org/officeDocument/2006/relationships/hyperlink" Target="https://www.mass.gov/doc/pss-time-target-recommendations-0/download" TargetMode="External"/><Relationship Id="rId11" Type="http://schemas.openxmlformats.org/officeDocument/2006/relationships/hyperlink" Target="https://www.nibib.nih.gov/science-education/science-topics/computed-tomography-ct" TargetMode="External"/><Relationship Id="rId24" Type="http://schemas.openxmlformats.org/officeDocument/2006/relationships/hyperlink" Target="https://www.healthit.gov/topic/health-it-and-health-information-exchange-basics/improved-diagnostics-patient-outcomes" TargetMode="External"/><Relationship Id="rId5" Type="http://schemas.openxmlformats.org/officeDocument/2006/relationships/hyperlink" Target="https://www.mass.gov/doc/pss-time-target-recommendations-0/download" TargetMode="External"/><Relationship Id="rId15" Type="http://schemas.openxmlformats.org/officeDocument/2006/relationships/hyperlink" Target="https://www.envrad.com/how-ct-scans-mris-used-to-diagnose-strokes/" TargetMode="External"/><Relationship Id="rId23" Type="http://schemas.openxmlformats.org/officeDocument/2006/relationships/hyperlink" Target="https://www.healthit.gov/topic/health-it-and-health-information-exchange-basics/improved-diagnostics-patient-outcomes" TargetMode="External"/><Relationship Id="rId10" Type="http://schemas.openxmlformats.org/officeDocument/2006/relationships/hyperlink" Target="http://www.pep.donahue-institute.org/" TargetMode="External"/><Relationship Id="rId19" Type="http://schemas.openxmlformats.org/officeDocument/2006/relationships/hyperlink" Target="https://www.healthit.gov/topic/health-it-and-health-information-exchange-basics/improve-care-coordination" TargetMode="External"/><Relationship Id="rId4" Type="http://schemas.openxmlformats.org/officeDocument/2006/relationships/hyperlink" Target="https://www.chiamass.gov/assets/docs/r/hospital-profiles/2021/hospital-health-systems/Beth-Israel-Lahey.pdf" TargetMode="External"/><Relationship Id="rId9" Type="http://schemas.openxmlformats.org/officeDocument/2006/relationships/hyperlink" Target="http://www.pep.donahue-institute.org/" TargetMode="External"/><Relationship Id="rId14" Type="http://schemas.openxmlformats.org/officeDocument/2006/relationships/hyperlink" Target="https://www.medicalnewstoday.com/articles/153201" TargetMode="External"/><Relationship Id="rId22" Type="http://schemas.openxmlformats.org/officeDocument/2006/relationships/hyperlink" Target="https://www.tandfonline.com/doi/abs/10.1080/07421222.2017.133447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info-details/designated-primary-stroke-services-hospitals" TargetMode="External"/><Relationship Id="rId2" Type="http://schemas.openxmlformats.org/officeDocument/2006/relationships/hyperlink" Target="https://www.mass.gov/info-details/primary-stroke-service-pss-validation" TargetMode="External"/><Relationship Id="rId1" Type="http://schemas.openxmlformats.org/officeDocument/2006/relationships/hyperlink" Target="https://www.mass.gov/info-details/primary-stroke-service-pss-validation" TargetMode="External"/><Relationship Id="rId6" Type="http://schemas.openxmlformats.org/officeDocument/2006/relationships/hyperlink" Target="https://www.mass.gov/files/documents/2018/12/31/jud-lib-105cmr100.pdf" TargetMode="External"/><Relationship Id="rId5" Type="http://schemas.openxmlformats.org/officeDocument/2006/relationships/hyperlink" Target="https://www.mass.gov/doc/community-engagement-guidelines-for-community-health-planning-pdf/download" TargetMode="External"/><Relationship Id="rId4" Type="http://schemas.openxmlformats.org/officeDocument/2006/relationships/hyperlink" Target="https://www.mass.gov/info-details/designated-primary-stroke-services-hospitals"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AB72-1F4A-4E9A-9930-5AD8E4C28577}">
  <ds:schemaRefs>
    <ds:schemaRef ds:uri="http://schemas.microsoft.com/sharepoint/v3/contenttype/forms"/>
  </ds:schemaRefs>
</ds:datastoreItem>
</file>

<file path=customXml/itemProps2.xml><?xml version="1.0" encoding="utf-8"?>
<ds:datastoreItem xmlns:ds="http://schemas.openxmlformats.org/officeDocument/2006/customXml" ds:itemID="{3131241C-FC29-4801-AFDB-97B581C9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fb1e1941-e971-4fcd-9647-5c92aa44abc0"/>
  </ds:schemaRefs>
</ds:datastoreItem>
</file>

<file path=customXml/itemProps4.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7606</Words>
  <Characters>43356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2</cp:revision>
  <cp:lastPrinted>2020-12-13T15:58:00Z</cp:lastPrinted>
  <dcterms:created xsi:type="dcterms:W3CDTF">2023-10-17T15:01:00Z</dcterms:created>
  <dcterms:modified xsi:type="dcterms:W3CDTF">2023-10-17T15:01:00Z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