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5311"/>
      </w:tblGrid>
      <w:tr w:rsidR="00B447F3" w:rsidRPr="008440BF" w14:paraId="43C8E3CE" w14:textId="77777777" w:rsidTr="6ACB936F">
        <w:trPr>
          <w:trHeight w:val="539"/>
        </w:trPr>
        <w:tc>
          <w:tcPr>
            <w:tcW w:w="9739" w:type="dxa"/>
            <w:gridSpan w:val="2"/>
            <w:shd w:val="clear" w:color="auto" w:fill="DFE3F0"/>
          </w:tcPr>
          <w:p w14:paraId="2CBE788C" w14:textId="77777777" w:rsidR="00B447F3" w:rsidRPr="008440BF" w:rsidRDefault="00A4110F">
            <w:pPr>
              <w:pStyle w:val="TableParagraph"/>
              <w:spacing w:line="269" w:lineRule="exact"/>
              <w:ind w:left="1522" w:right="2051"/>
              <w:jc w:val="center"/>
              <w:rPr>
                <w:rFonts w:asciiTheme="minorHAnsi" w:hAnsiTheme="minorHAnsi"/>
                <w:b/>
              </w:rPr>
            </w:pPr>
            <w:r w:rsidRPr="008440BF">
              <w:rPr>
                <w:rFonts w:asciiTheme="minorHAnsi" w:hAnsiTheme="minorHAnsi"/>
                <w:b/>
              </w:rPr>
              <w:t>STAFF REPORT TO THE PUBLIC HEALTH COUNCIL</w:t>
            </w:r>
          </w:p>
          <w:p w14:paraId="22236AE7" w14:textId="77777777" w:rsidR="00B447F3" w:rsidRPr="008440BF" w:rsidRDefault="00A4110F">
            <w:pPr>
              <w:pStyle w:val="TableParagraph"/>
              <w:spacing w:before="1" w:line="249" w:lineRule="exact"/>
              <w:ind w:left="1521" w:right="2051"/>
              <w:jc w:val="center"/>
              <w:rPr>
                <w:rFonts w:asciiTheme="minorHAnsi" w:hAnsiTheme="minorHAnsi"/>
                <w:b/>
                <w:highlight w:val="yellow"/>
              </w:rPr>
            </w:pPr>
            <w:r w:rsidRPr="008440BF">
              <w:rPr>
                <w:rFonts w:asciiTheme="minorHAnsi" w:hAnsiTheme="minorHAnsi"/>
                <w:b/>
              </w:rPr>
              <w:t>FOR A DETERMINATION OF NEED</w:t>
            </w:r>
          </w:p>
        </w:tc>
      </w:tr>
      <w:tr w:rsidR="00B447F3" w:rsidRPr="008440BF" w14:paraId="070EC4F8" w14:textId="77777777" w:rsidTr="6ACB936F">
        <w:trPr>
          <w:trHeight w:val="161"/>
        </w:trPr>
        <w:tc>
          <w:tcPr>
            <w:tcW w:w="4428" w:type="dxa"/>
          </w:tcPr>
          <w:p w14:paraId="0CD81F0B" w14:textId="77777777" w:rsidR="00B447F3" w:rsidRPr="008440BF" w:rsidRDefault="00A4110F">
            <w:pPr>
              <w:pStyle w:val="TableParagraph"/>
              <w:spacing w:before="136"/>
              <w:rPr>
                <w:rFonts w:asciiTheme="minorHAnsi" w:hAnsiTheme="minorHAnsi"/>
              </w:rPr>
            </w:pPr>
            <w:r w:rsidRPr="008440BF">
              <w:rPr>
                <w:rFonts w:asciiTheme="minorHAnsi" w:hAnsiTheme="minorHAnsi"/>
              </w:rPr>
              <w:t>Applicant Name</w:t>
            </w:r>
          </w:p>
        </w:tc>
        <w:tc>
          <w:tcPr>
            <w:tcW w:w="5311" w:type="dxa"/>
          </w:tcPr>
          <w:p w14:paraId="58C7E0FA" w14:textId="3905A797" w:rsidR="003436F0" w:rsidRPr="008440BF" w:rsidRDefault="003436F0" w:rsidP="005D580E">
            <w:pPr>
              <w:pStyle w:val="TableParagraph"/>
              <w:spacing w:before="1" w:line="249" w:lineRule="exact"/>
              <w:ind w:left="0"/>
              <w:rPr>
                <w:rFonts w:asciiTheme="minorHAnsi" w:hAnsiTheme="minorHAnsi"/>
                <w:sz w:val="22"/>
                <w:szCs w:val="22"/>
              </w:rPr>
            </w:pPr>
            <w:r w:rsidRPr="008440BF">
              <w:rPr>
                <w:rFonts w:asciiTheme="minorHAnsi" w:hAnsiTheme="minorHAnsi"/>
                <w:sz w:val="22"/>
                <w:szCs w:val="22"/>
              </w:rPr>
              <w:t xml:space="preserve"> </w:t>
            </w:r>
            <w:r w:rsidR="00915D03" w:rsidRPr="008440BF">
              <w:rPr>
                <w:rFonts w:asciiTheme="minorHAnsi" w:hAnsiTheme="minorHAnsi"/>
                <w:sz w:val="22"/>
                <w:szCs w:val="22"/>
              </w:rPr>
              <w:t>Beth Israel Lahey Health Surgery Center Plymouth, LLC</w:t>
            </w:r>
          </w:p>
        </w:tc>
      </w:tr>
      <w:tr w:rsidR="00B447F3" w:rsidRPr="008440BF" w14:paraId="124A84AC" w14:textId="77777777" w:rsidTr="6ACB936F">
        <w:trPr>
          <w:trHeight w:val="541"/>
        </w:trPr>
        <w:tc>
          <w:tcPr>
            <w:tcW w:w="4428" w:type="dxa"/>
          </w:tcPr>
          <w:p w14:paraId="5CA71205" w14:textId="77777777" w:rsidR="00B447F3" w:rsidRPr="008440BF" w:rsidRDefault="00A4110F">
            <w:pPr>
              <w:pStyle w:val="TableParagraph"/>
              <w:spacing w:before="136"/>
              <w:rPr>
                <w:rFonts w:asciiTheme="minorHAnsi" w:hAnsiTheme="minorHAnsi"/>
              </w:rPr>
            </w:pPr>
            <w:r w:rsidRPr="008440BF">
              <w:rPr>
                <w:rFonts w:asciiTheme="minorHAnsi" w:hAnsiTheme="minorHAnsi"/>
              </w:rPr>
              <w:t>Applicant Address</w:t>
            </w:r>
          </w:p>
        </w:tc>
        <w:tc>
          <w:tcPr>
            <w:tcW w:w="5311" w:type="dxa"/>
          </w:tcPr>
          <w:p w14:paraId="671383D1" w14:textId="66E4E081" w:rsidR="00B447F3" w:rsidRPr="008440BF" w:rsidRDefault="00915D03">
            <w:pPr>
              <w:pStyle w:val="TableParagraph"/>
              <w:spacing w:line="251" w:lineRule="exact"/>
              <w:rPr>
                <w:rFonts w:asciiTheme="minorHAnsi" w:hAnsiTheme="minorHAnsi"/>
              </w:rPr>
            </w:pPr>
            <w:r w:rsidRPr="008440BF">
              <w:rPr>
                <w:rFonts w:asciiTheme="minorHAnsi" w:hAnsiTheme="minorHAnsi"/>
              </w:rPr>
              <w:t>41 Resnik Road</w:t>
            </w:r>
          </w:p>
          <w:p w14:paraId="788E9DD9" w14:textId="16294D02" w:rsidR="003436F0" w:rsidRPr="008440BF" w:rsidRDefault="00915D03">
            <w:pPr>
              <w:pStyle w:val="TableParagraph"/>
              <w:spacing w:line="251" w:lineRule="exact"/>
              <w:rPr>
                <w:rFonts w:asciiTheme="minorHAnsi" w:hAnsiTheme="minorHAnsi"/>
                <w:highlight w:val="yellow"/>
              </w:rPr>
            </w:pPr>
            <w:r w:rsidRPr="008440BF">
              <w:rPr>
                <w:rFonts w:asciiTheme="minorHAnsi" w:hAnsiTheme="minorHAnsi"/>
              </w:rPr>
              <w:t>Plymouth</w:t>
            </w:r>
            <w:r w:rsidR="003436F0" w:rsidRPr="008440BF">
              <w:rPr>
                <w:rFonts w:asciiTheme="minorHAnsi" w:hAnsiTheme="minorHAnsi"/>
              </w:rPr>
              <w:t>, MA 0</w:t>
            </w:r>
            <w:r w:rsidR="009A343A" w:rsidRPr="008440BF">
              <w:rPr>
                <w:rFonts w:asciiTheme="minorHAnsi" w:hAnsiTheme="minorHAnsi"/>
              </w:rPr>
              <w:t>2360</w:t>
            </w:r>
          </w:p>
        </w:tc>
      </w:tr>
      <w:tr w:rsidR="00B447F3" w:rsidRPr="008440BF" w14:paraId="2E4DB436" w14:textId="77777777" w:rsidTr="6ACB936F">
        <w:trPr>
          <w:trHeight w:val="376"/>
        </w:trPr>
        <w:tc>
          <w:tcPr>
            <w:tcW w:w="4428" w:type="dxa"/>
          </w:tcPr>
          <w:p w14:paraId="4FD07142" w14:textId="77777777" w:rsidR="00B447F3" w:rsidRPr="008440BF" w:rsidRDefault="00A4110F">
            <w:pPr>
              <w:pStyle w:val="TableParagraph"/>
              <w:spacing w:before="52"/>
              <w:rPr>
                <w:rFonts w:asciiTheme="minorHAnsi" w:hAnsiTheme="minorHAnsi"/>
              </w:rPr>
            </w:pPr>
            <w:r w:rsidRPr="008440BF">
              <w:rPr>
                <w:rFonts w:asciiTheme="minorHAnsi" w:hAnsiTheme="minorHAnsi"/>
              </w:rPr>
              <w:t>Filing Date</w:t>
            </w:r>
          </w:p>
        </w:tc>
        <w:tc>
          <w:tcPr>
            <w:tcW w:w="5311" w:type="dxa"/>
          </w:tcPr>
          <w:p w14:paraId="0A95C25A" w14:textId="6E9CFA59" w:rsidR="003436F0" w:rsidRPr="008440BF" w:rsidRDefault="00767192" w:rsidP="003436F0">
            <w:pPr>
              <w:pStyle w:val="TableParagraph"/>
              <w:spacing w:before="52"/>
              <w:rPr>
                <w:rFonts w:asciiTheme="minorHAnsi" w:hAnsiTheme="minorHAnsi"/>
                <w:highlight w:val="yellow"/>
              </w:rPr>
            </w:pPr>
            <w:r w:rsidRPr="008440BF">
              <w:rPr>
                <w:rFonts w:asciiTheme="minorHAnsi" w:hAnsiTheme="minorHAnsi"/>
              </w:rPr>
              <w:t>March 14, 2024</w:t>
            </w:r>
          </w:p>
        </w:tc>
      </w:tr>
      <w:tr w:rsidR="00B447F3" w:rsidRPr="008440BF" w14:paraId="76D9E9B4" w14:textId="77777777" w:rsidTr="6ACB936F">
        <w:trPr>
          <w:trHeight w:val="350"/>
        </w:trPr>
        <w:tc>
          <w:tcPr>
            <w:tcW w:w="4428" w:type="dxa"/>
          </w:tcPr>
          <w:p w14:paraId="76075A53" w14:textId="77777777" w:rsidR="00B447F3" w:rsidRPr="008440BF" w:rsidRDefault="00A4110F">
            <w:pPr>
              <w:pStyle w:val="TableParagraph"/>
              <w:spacing w:before="40"/>
              <w:rPr>
                <w:rFonts w:asciiTheme="minorHAnsi" w:hAnsiTheme="minorHAnsi"/>
              </w:rPr>
            </w:pPr>
            <w:r w:rsidRPr="008440BF">
              <w:rPr>
                <w:rFonts w:asciiTheme="minorHAnsi" w:hAnsiTheme="minorHAnsi"/>
              </w:rPr>
              <w:t>Type of DoN Application</w:t>
            </w:r>
          </w:p>
        </w:tc>
        <w:tc>
          <w:tcPr>
            <w:tcW w:w="5311" w:type="dxa"/>
          </w:tcPr>
          <w:p w14:paraId="132112C6" w14:textId="22B70479" w:rsidR="00B447F3" w:rsidRPr="008440BF" w:rsidRDefault="003436F0">
            <w:pPr>
              <w:pStyle w:val="TableParagraph"/>
              <w:spacing w:before="40"/>
              <w:rPr>
                <w:rFonts w:asciiTheme="minorHAnsi" w:hAnsiTheme="minorHAnsi"/>
                <w:highlight w:val="yellow"/>
              </w:rPr>
            </w:pPr>
            <w:r w:rsidRPr="008440BF">
              <w:rPr>
                <w:rFonts w:asciiTheme="minorHAnsi" w:hAnsiTheme="minorHAnsi"/>
              </w:rPr>
              <w:t>Ambulatory Surgery</w:t>
            </w:r>
          </w:p>
        </w:tc>
      </w:tr>
      <w:tr w:rsidR="00B447F3" w:rsidRPr="008440BF" w14:paraId="34B70B2F" w14:textId="77777777" w:rsidTr="6ACB936F">
        <w:trPr>
          <w:trHeight w:val="350"/>
        </w:trPr>
        <w:tc>
          <w:tcPr>
            <w:tcW w:w="4428" w:type="dxa"/>
          </w:tcPr>
          <w:p w14:paraId="20E78BF0" w14:textId="77777777" w:rsidR="00B447F3" w:rsidRPr="008440BF" w:rsidRDefault="00A4110F">
            <w:pPr>
              <w:pStyle w:val="TableParagraph"/>
              <w:spacing w:before="40"/>
              <w:rPr>
                <w:rFonts w:asciiTheme="minorHAnsi" w:hAnsiTheme="minorHAnsi"/>
              </w:rPr>
            </w:pPr>
            <w:r w:rsidRPr="008440BF">
              <w:rPr>
                <w:rFonts w:asciiTheme="minorHAnsi" w:hAnsiTheme="minorHAnsi"/>
              </w:rPr>
              <w:t>Total Value</w:t>
            </w:r>
          </w:p>
        </w:tc>
        <w:tc>
          <w:tcPr>
            <w:tcW w:w="5311" w:type="dxa"/>
          </w:tcPr>
          <w:p w14:paraId="6DF03F3D" w14:textId="6EF7AB74" w:rsidR="00B447F3" w:rsidRPr="008440BF" w:rsidRDefault="00A2623E">
            <w:pPr>
              <w:pStyle w:val="TableParagraph"/>
              <w:spacing w:before="40"/>
              <w:rPr>
                <w:rFonts w:asciiTheme="minorHAnsi" w:hAnsiTheme="minorHAnsi"/>
                <w:szCs w:val="24"/>
                <w:highlight w:val="yellow"/>
              </w:rPr>
            </w:pPr>
            <w:r w:rsidRPr="008440BF">
              <w:rPr>
                <w:rFonts w:asciiTheme="minorHAnsi" w:hAnsiTheme="minorHAnsi"/>
                <w:szCs w:val="24"/>
              </w:rPr>
              <w:t>$16,349,011.00</w:t>
            </w:r>
          </w:p>
        </w:tc>
      </w:tr>
      <w:tr w:rsidR="00B447F3" w:rsidRPr="008440BF" w14:paraId="4DE8D6B0" w14:textId="77777777" w:rsidTr="6ACB936F">
        <w:trPr>
          <w:trHeight w:val="350"/>
        </w:trPr>
        <w:tc>
          <w:tcPr>
            <w:tcW w:w="4428" w:type="dxa"/>
          </w:tcPr>
          <w:p w14:paraId="6D34E602" w14:textId="77777777" w:rsidR="00B447F3" w:rsidRPr="008440BF" w:rsidRDefault="00A4110F">
            <w:pPr>
              <w:pStyle w:val="TableParagraph"/>
              <w:spacing w:before="40"/>
              <w:rPr>
                <w:rFonts w:asciiTheme="minorHAnsi" w:hAnsiTheme="minorHAnsi"/>
              </w:rPr>
            </w:pPr>
            <w:r w:rsidRPr="008440BF">
              <w:rPr>
                <w:rFonts w:asciiTheme="minorHAnsi" w:hAnsiTheme="minorHAnsi"/>
              </w:rPr>
              <w:t>Project Number</w:t>
            </w:r>
          </w:p>
        </w:tc>
        <w:tc>
          <w:tcPr>
            <w:tcW w:w="5311" w:type="dxa"/>
          </w:tcPr>
          <w:p w14:paraId="2168D610" w14:textId="59D8CF43" w:rsidR="00B447F3" w:rsidRPr="008440BF" w:rsidRDefault="00BB328E">
            <w:pPr>
              <w:pStyle w:val="TableParagraph"/>
              <w:spacing w:before="40"/>
              <w:rPr>
                <w:rFonts w:asciiTheme="minorHAnsi" w:hAnsiTheme="minorHAnsi"/>
                <w:szCs w:val="24"/>
                <w:highlight w:val="yellow"/>
              </w:rPr>
            </w:pPr>
            <w:r w:rsidRPr="008440BF">
              <w:rPr>
                <w:rFonts w:asciiTheme="minorHAnsi" w:hAnsiTheme="minorHAnsi"/>
                <w:szCs w:val="24"/>
              </w:rPr>
              <w:t>22062915-AS</w:t>
            </w:r>
          </w:p>
        </w:tc>
      </w:tr>
      <w:tr w:rsidR="00B447F3" w:rsidRPr="008440BF" w14:paraId="1386BE80" w14:textId="77777777" w:rsidTr="6ACB936F">
        <w:trPr>
          <w:trHeight w:val="350"/>
        </w:trPr>
        <w:tc>
          <w:tcPr>
            <w:tcW w:w="4428" w:type="dxa"/>
          </w:tcPr>
          <w:p w14:paraId="78810496" w14:textId="77777777" w:rsidR="00B447F3" w:rsidRPr="008440BF" w:rsidRDefault="00A4110F">
            <w:pPr>
              <w:pStyle w:val="TableParagraph"/>
              <w:spacing w:before="40"/>
              <w:rPr>
                <w:rFonts w:asciiTheme="minorHAnsi" w:hAnsiTheme="minorHAnsi"/>
              </w:rPr>
            </w:pPr>
            <w:r w:rsidRPr="008440BF">
              <w:rPr>
                <w:rFonts w:asciiTheme="minorHAnsi" w:hAnsiTheme="minorHAnsi"/>
              </w:rPr>
              <w:t>Ten Taxpayer Group (TTG)</w:t>
            </w:r>
          </w:p>
        </w:tc>
        <w:tc>
          <w:tcPr>
            <w:tcW w:w="5311" w:type="dxa"/>
          </w:tcPr>
          <w:p w14:paraId="0899E8DB" w14:textId="2DCA6BAB" w:rsidR="00B447F3" w:rsidRPr="008440BF" w:rsidRDefault="00314AA3">
            <w:pPr>
              <w:pStyle w:val="TableParagraph"/>
              <w:spacing w:before="40"/>
              <w:rPr>
                <w:rFonts w:asciiTheme="minorHAnsi" w:hAnsiTheme="minorHAnsi"/>
              </w:rPr>
            </w:pPr>
            <w:r w:rsidRPr="008440BF">
              <w:rPr>
                <w:rFonts w:asciiTheme="minorHAnsi" w:hAnsiTheme="minorHAnsi"/>
              </w:rPr>
              <w:t>None</w:t>
            </w:r>
          </w:p>
        </w:tc>
      </w:tr>
      <w:tr w:rsidR="00B447F3" w:rsidRPr="008440BF" w14:paraId="72947D70" w14:textId="77777777" w:rsidTr="6ACB936F">
        <w:trPr>
          <w:trHeight w:val="350"/>
        </w:trPr>
        <w:tc>
          <w:tcPr>
            <w:tcW w:w="4428" w:type="dxa"/>
          </w:tcPr>
          <w:p w14:paraId="3346FD08" w14:textId="77777777" w:rsidR="00B447F3" w:rsidRPr="008440BF" w:rsidRDefault="00A4110F">
            <w:pPr>
              <w:pStyle w:val="TableParagraph"/>
              <w:spacing w:before="40"/>
              <w:rPr>
                <w:rFonts w:asciiTheme="minorHAnsi" w:hAnsiTheme="minorHAnsi"/>
              </w:rPr>
            </w:pPr>
            <w:r w:rsidRPr="008440BF">
              <w:rPr>
                <w:rFonts w:asciiTheme="minorHAnsi" w:hAnsiTheme="minorHAnsi"/>
              </w:rPr>
              <w:t>Community Health Initiative (CHI)</w:t>
            </w:r>
          </w:p>
        </w:tc>
        <w:tc>
          <w:tcPr>
            <w:tcW w:w="5311" w:type="dxa"/>
          </w:tcPr>
          <w:p w14:paraId="4565EF27" w14:textId="185DB5FE" w:rsidR="00B447F3" w:rsidRPr="008440BF" w:rsidRDefault="006B0FDB">
            <w:pPr>
              <w:pStyle w:val="TableParagraph"/>
              <w:spacing w:before="40"/>
              <w:rPr>
                <w:rFonts w:asciiTheme="minorHAnsi" w:hAnsiTheme="minorHAnsi"/>
                <w:szCs w:val="24"/>
                <w:highlight w:val="yellow"/>
              </w:rPr>
            </w:pPr>
            <w:r w:rsidRPr="008440BF">
              <w:rPr>
                <w:rFonts w:asciiTheme="minorHAnsi" w:hAnsiTheme="minorHAnsi"/>
                <w:szCs w:val="24"/>
              </w:rPr>
              <w:t>$817,450.55</w:t>
            </w:r>
          </w:p>
        </w:tc>
      </w:tr>
      <w:tr w:rsidR="00B447F3" w:rsidRPr="008440BF" w14:paraId="068AA009" w14:textId="77777777" w:rsidTr="6ACB936F">
        <w:trPr>
          <w:trHeight w:val="350"/>
        </w:trPr>
        <w:tc>
          <w:tcPr>
            <w:tcW w:w="4428" w:type="dxa"/>
          </w:tcPr>
          <w:p w14:paraId="459D1C76" w14:textId="77777777" w:rsidR="00B447F3" w:rsidRPr="008440BF" w:rsidRDefault="00A4110F">
            <w:pPr>
              <w:pStyle w:val="TableParagraph"/>
              <w:spacing w:before="40"/>
              <w:rPr>
                <w:rFonts w:asciiTheme="minorHAnsi" w:hAnsiTheme="minorHAnsi"/>
              </w:rPr>
            </w:pPr>
            <w:r w:rsidRPr="008440BF">
              <w:rPr>
                <w:rFonts w:asciiTheme="minorHAnsi" w:hAnsiTheme="minorHAnsi"/>
              </w:rPr>
              <w:t>Staff Recommendation</w:t>
            </w:r>
          </w:p>
        </w:tc>
        <w:tc>
          <w:tcPr>
            <w:tcW w:w="5311" w:type="dxa"/>
          </w:tcPr>
          <w:p w14:paraId="3759AE90" w14:textId="2932163E" w:rsidR="00B447F3" w:rsidRPr="008440BF" w:rsidRDefault="00910FF4">
            <w:pPr>
              <w:pStyle w:val="TableParagraph"/>
              <w:spacing w:before="40"/>
              <w:rPr>
                <w:rFonts w:asciiTheme="minorHAnsi" w:hAnsiTheme="minorHAnsi"/>
                <w:highlight w:val="yellow"/>
              </w:rPr>
            </w:pPr>
            <w:r w:rsidRPr="008440BF">
              <w:rPr>
                <w:rFonts w:asciiTheme="minorHAnsi" w:hAnsiTheme="minorHAnsi"/>
              </w:rPr>
              <w:t>Approval</w:t>
            </w:r>
          </w:p>
        </w:tc>
      </w:tr>
      <w:tr w:rsidR="00B447F3" w:rsidRPr="008440BF" w14:paraId="31E0AD36" w14:textId="77777777" w:rsidTr="6ACB936F">
        <w:trPr>
          <w:trHeight w:val="350"/>
        </w:trPr>
        <w:tc>
          <w:tcPr>
            <w:tcW w:w="4428" w:type="dxa"/>
          </w:tcPr>
          <w:p w14:paraId="0F2A24F5" w14:textId="77777777" w:rsidR="00B447F3" w:rsidRPr="008440BF" w:rsidRDefault="00A4110F">
            <w:pPr>
              <w:pStyle w:val="TableParagraph"/>
              <w:spacing w:before="40"/>
              <w:rPr>
                <w:rFonts w:asciiTheme="minorHAnsi" w:hAnsiTheme="minorHAnsi"/>
              </w:rPr>
            </w:pPr>
            <w:r w:rsidRPr="008440BF">
              <w:rPr>
                <w:rFonts w:asciiTheme="minorHAnsi" w:hAnsiTheme="minorHAnsi"/>
              </w:rPr>
              <w:t>Public Health Council</w:t>
            </w:r>
          </w:p>
        </w:tc>
        <w:tc>
          <w:tcPr>
            <w:tcW w:w="5311" w:type="dxa"/>
          </w:tcPr>
          <w:p w14:paraId="5ED87A82" w14:textId="1AEEE7DB" w:rsidR="00B447F3" w:rsidRPr="008440BF" w:rsidRDefault="001D1DA5">
            <w:pPr>
              <w:pStyle w:val="TableParagraph"/>
              <w:spacing w:before="40"/>
              <w:rPr>
                <w:rFonts w:asciiTheme="minorHAnsi" w:hAnsiTheme="minorHAnsi"/>
                <w:highlight w:val="yellow"/>
              </w:rPr>
            </w:pPr>
            <w:r w:rsidRPr="008440BF">
              <w:rPr>
                <w:rFonts w:asciiTheme="minorHAnsi" w:hAnsiTheme="minorHAnsi"/>
              </w:rPr>
              <w:t>July 17, 2024</w:t>
            </w:r>
          </w:p>
        </w:tc>
      </w:tr>
      <w:tr w:rsidR="00B447F3" w:rsidRPr="008440BF" w14:paraId="1171847F" w14:textId="77777777" w:rsidTr="6ACB936F">
        <w:trPr>
          <w:trHeight w:val="260"/>
        </w:trPr>
        <w:tc>
          <w:tcPr>
            <w:tcW w:w="9739" w:type="dxa"/>
            <w:gridSpan w:val="2"/>
          </w:tcPr>
          <w:p w14:paraId="27CC3142" w14:textId="77777777" w:rsidR="00B447F3" w:rsidRPr="008440BF" w:rsidRDefault="00A4110F">
            <w:pPr>
              <w:pStyle w:val="TableParagraph"/>
              <w:ind w:left="2699"/>
              <w:rPr>
                <w:rFonts w:asciiTheme="minorHAnsi" w:hAnsiTheme="minorHAnsi"/>
                <w:b/>
                <w:bCs/>
              </w:rPr>
            </w:pPr>
            <w:r w:rsidRPr="008440BF">
              <w:rPr>
                <w:rFonts w:asciiTheme="minorHAnsi" w:hAnsiTheme="minorHAnsi"/>
                <w:b/>
                <w:bCs/>
                <w:u w:val="single"/>
              </w:rPr>
              <w:t>Project Summary and Regulatory Review</w:t>
            </w:r>
          </w:p>
          <w:p w14:paraId="5E1986D5" w14:textId="2BFAA9E9" w:rsidR="00B447F3" w:rsidRPr="008440BF" w:rsidRDefault="00BD5BAA" w:rsidP="6ACB936F">
            <w:pPr>
              <w:pStyle w:val="TableParagraph"/>
              <w:spacing w:before="4"/>
              <w:ind w:left="0"/>
              <w:rPr>
                <w:rFonts w:asciiTheme="minorHAnsi" w:hAnsiTheme="minorHAnsi"/>
                <w:highlight w:val="yellow"/>
              </w:rPr>
            </w:pPr>
            <w:r w:rsidRPr="008440BF">
              <w:rPr>
                <w:rFonts w:asciiTheme="minorHAnsi" w:hAnsiTheme="minorHAnsi"/>
                <w:szCs w:val="24"/>
              </w:rPr>
              <w:t>Beth Israel Lahey Health Surgery Center Plymouth, LLC</w:t>
            </w:r>
            <w:r w:rsidRPr="008440BF">
              <w:rPr>
                <w:rFonts w:asciiTheme="minorHAnsi" w:eastAsia="Times New Roman" w:hAnsiTheme="minorHAnsi"/>
                <w:kern w:val="2"/>
                <w:szCs w:val="24"/>
              </w:rPr>
              <w:t xml:space="preserve"> </w:t>
            </w:r>
            <w:r w:rsidR="691FE9C3" w:rsidRPr="008440BF">
              <w:rPr>
                <w:rFonts w:asciiTheme="minorHAnsi" w:hAnsiTheme="minorHAnsi"/>
                <w:szCs w:val="24"/>
              </w:rPr>
              <w:t>(Applicant)</w:t>
            </w:r>
            <w:r w:rsidR="691FE9C3" w:rsidRPr="008440BF">
              <w:rPr>
                <w:rFonts w:asciiTheme="minorHAnsi" w:hAnsiTheme="minorHAnsi"/>
              </w:rPr>
              <w:t xml:space="preserve"> based at </w:t>
            </w:r>
            <w:r w:rsidRPr="008440BF">
              <w:rPr>
                <w:rFonts w:asciiTheme="minorHAnsi" w:hAnsiTheme="minorHAnsi"/>
              </w:rPr>
              <w:t>41 Resnik Road, Plymouth</w:t>
            </w:r>
            <w:r w:rsidR="2C3FEF20" w:rsidRPr="008440BF">
              <w:rPr>
                <w:rFonts w:asciiTheme="minorHAnsi" w:hAnsiTheme="minorHAnsi"/>
              </w:rPr>
              <w:t xml:space="preserve">, MA, </w:t>
            </w:r>
            <w:r w:rsidR="691FE9C3" w:rsidRPr="008440BF">
              <w:rPr>
                <w:rFonts w:asciiTheme="minorHAnsi" w:hAnsiTheme="minorHAnsi"/>
              </w:rPr>
              <w:t xml:space="preserve">submitted </w:t>
            </w:r>
            <w:r w:rsidR="000B49DF" w:rsidRPr="008440BF">
              <w:rPr>
                <w:rFonts w:asciiTheme="minorHAnsi" w:hAnsiTheme="minorHAnsi"/>
              </w:rPr>
              <w:t xml:space="preserve">an </w:t>
            </w:r>
            <w:r w:rsidR="2C3FEF20" w:rsidRPr="008440BF">
              <w:rPr>
                <w:rFonts w:asciiTheme="minorHAnsi" w:hAnsiTheme="minorHAnsi"/>
              </w:rPr>
              <w:t xml:space="preserve">Application for a Notice of Determination of Need (DoN) </w:t>
            </w:r>
            <w:r w:rsidR="46D60A18" w:rsidRPr="008440BF">
              <w:rPr>
                <w:rFonts w:asciiTheme="minorHAnsi" w:hAnsiTheme="minorHAnsi"/>
              </w:rPr>
              <w:t xml:space="preserve">for the development of a freestanding ambulatory surgery center (ASC) to be located at </w:t>
            </w:r>
            <w:r w:rsidRPr="008440BF">
              <w:rPr>
                <w:rFonts w:asciiTheme="minorHAnsi" w:hAnsiTheme="minorHAnsi"/>
              </w:rPr>
              <w:t xml:space="preserve">41 Resnik Road, Plymouth, MA </w:t>
            </w:r>
            <w:r w:rsidR="06A2866F" w:rsidRPr="008440BF">
              <w:rPr>
                <w:rFonts w:asciiTheme="minorHAnsi" w:hAnsiTheme="minorHAnsi"/>
              </w:rPr>
              <w:t xml:space="preserve">(Proposed Project). </w:t>
            </w:r>
            <w:r w:rsidR="006A5106" w:rsidRPr="008440BF">
              <w:rPr>
                <w:rFonts w:asciiTheme="minorHAnsi" w:hAnsiTheme="minorHAnsi"/>
              </w:rPr>
              <w:t xml:space="preserve">The Applicant is a </w:t>
            </w:r>
            <w:r w:rsidR="00F45C30" w:rsidRPr="008440BF">
              <w:rPr>
                <w:rFonts w:asciiTheme="minorHAnsi" w:hAnsiTheme="minorHAnsi"/>
              </w:rPr>
              <w:t>newly formed joint venture between BILH Surgery Center Plymouth Hospital Holdco, LLC, a subsidiary of Beth Israel Deaconess Hospital - Plymouth, Inc., and Pilgrim ASC LLC, a subsidiary of Plymouth Bay Orthopedic Associates, P.C.</w:t>
            </w:r>
            <w:r w:rsidR="006A5106" w:rsidRPr="008440BF">
              <w:rPr>
                <w:rFonts w:asciiTheme="minorHAnsi" w:hAnsiTheme="minorHAnsi"/>
              </w:rPr>
              <w:t>,</w:t>
            </w:r>
            <w:r w:rsidR="00F45C30" w:rsidRPr="008440BF">
              <w:rPr>
                <w:rFonts w:asciiTheme="minorHAnsi" w:hAnsiTheme="minorHAnsi"/>
              </w:rPr>
              <w:t xml:space="preserve"> </w:t>
            </w:r>
            <w:r w:rsidR="33BF8237" w:rsidRPr="008440BF">
              <w:rPr>
                <w:rFonts w:asciiTheme="minorHAnsi" w:hAnsiTheme="minorHAnsi"/>
              </w:rPr>
              <w:t xml:space="preserve">established for the purpose of developing a freestanding ASC. </w:t>
            </w:r>
            <w:r w:rsidR="06A2866F" w:rsidRPr="008440BF">
              <w:rPr>
                <w:rFonts w:asciiTheme="minorHAnsi" w:hAnsiTheme="minorHAnsi"/>
              </w:rPr>
              <w:t xml:space="preserve">The Proposed Project </w:t>
            </w:r>
            <w:r w:rsidR="4D86179D" w:rsidRPr="008440BF">
              <w:rPr>
                <w:rFonts w:asciiTheme="minorHAnsi" w:hAnsiTheme="minorHAnsi"/>
              </w:rPr>
              <w:t>i</w:t>
            </w:r>
            <w:r w:rsidR="40505EC7" w:rsidRPr="008440BF">
              <w:rPr>
                <w:rFonts w:asciiTheme="minorHAnsi" w:hAnsiTheme="minorHAnsi"/>
              </w:rPr>
              <w:t>s</w:t>
            </w:r>
            <w:r w:rsidR="4D86179D" w:rsidRPr="008440BF">
              <w:rPr>
                <w:rFonts w:asciiTheme="minorHAnsi" w:hAnsiTheme="minorHAnsi"/>
              </w:rPr>
              <w:t xml:space="preserve"> </w:t>
            </w:r>
            <w:r w:rsidR="0044480A" w:rsidRPr="008440BF">
              <w:rPr>
                <w:rFonts w:asciiTheme="minorHAnsi" w:hAnsiTheme="minorHAnsi"/>
              </w:rPr>
              <w:t>for a new construction of</w:t>
            </w:r>
            <w:r w:rsidR="3221DC8D" w:rsidRPr="008440BF">
              <w:rPr>
                <w:rFonts w:asciiTheme="minorHAnsi" w:hAnsiTheme="minorHAnsi"/>
              </w:rPr>
              <w:t xml:space="preserve"> </w:t>
            </w:r>
            <w:r w:rsidR="0044480A" w:rsidRPr="008440BF">
              <w:rPr>
                <w:rFonts w:asciiTheme="minorHAnsi" w:hAnsiTheme="minorHAnsi"/>
              </w:rPr>
              <w:t>19,091</w:t>
            </w:r>
            <w:r w:rsidR="48E0590C" w:rsidRPr="008440BF">
              <w:rPr>
                <w:rFonts w:asciiTheme="minorHAnsi" w:hAnsiTheme="minorHAnsi"/>
              </w:rPr>
              <w:t xml:space="preserve"> gross</w:t>
            </w:r>
            <w:r w:rsidR="3221DC8D" w:rsidRPr="008440BF">
              <w:rPr>
                <w:rFonts w:asciiTheme="minorHAnsi" w:hAnsiTheme="minorHAnsi"/>
              </w:rPr>
              <w:t xml:space="preserve"> square </w:t>
            </w:r>
            <w:r w:rsidR="1506C19B" w:rsidRPr="008440BF">
              <w:rPr>
                <w:rFonts w:asciiTheme="minorHAnsi" w:hAnsiTheme="minorHAnsi"/>
              </w:rPr>
              <w:t>feet (</w:t>
            </w:r>
            <w:r w:rsidR="48E0590C" w:rsidRPr="008440BF">
              <w:rPr>
                <w:rFonts w:asciiTheme="minorHAnsi" w:hAnsiTheme="minorHAnsi"/>
              </w:rPr>
              <w:t xml:space="preserve">GSF) </w:t>
            </w:r>
            <w:r w:rsidR="3221DC8D" w:rsidRPr="008440BF">
              <w:rPr>
                <w:rFonts w:asciiTheme="minorHAnsi" w:hAnsiTheme="minorHAnsi"/>
              </w:rPr>
              <w:t xml:space="preserve">to accommodate </w:t>
            </w:r>
            <w:r w:rsidR="0046463B" w:rsidRPr="008440BF">
              <w:rPr>
                <w:rFonts w:asciiTheme="minorHAnsi" w:hAnsiTheme="minorHAnsi"/>
              </w:rPr>
              <w:t>four</w:t>
            </w:r>
            <w:r w:rsidR="2885B897" w:rsidRPr="008440BF">
              <w:rPr>
                <w:rFonts w:asciiTheme="minorHAnsi" w:hAnsiTheme="minorHAnsi"/>
              </w:rPr>
              <w:t xml:space="preserve"> operating rooms (ORs), </w:t>
            </w:r>
            <w:r w:rsidR="000643C0" w:rsidRPr="008440BF">
              <w:rPr>
                <w:rFonts w:asciiTheme="minorHAnsi" w:hAnsiTheme="minorHAnsi"/>
              </w:rPr>
              <w:t>sixteen pre/</w:t>
            </w:r>
            <w:r w:rsidR="006A0523" w:rsidRPr="008440BF">
              <w:rPr>
                <w:rFonts w:asciiTheme="minorHAnsi" w:hAnsiTheme="minorHAnsi"/>
              </w:rPr>
              <w:t xml:space="preserve">post </w:t>
            </w:r>
            <w:r w:rsidR="000643C0" w:rsidRPr="008440BF">
              <w:rPr>
                <w:rFonts w:asciiTheme="minorHAnsi" w:hAnsiTheme="minorHAnsi"/>
              </w:rPr>
              <w:t>operative bays</w:t>
            </w:r>
            <w:r w:rsidR="009E78B9" w:rsidRPr="008440BF">
              <w:rPr>
                <w:rFonts w:asciiTheme="minorHAnsi" w:hAnsiTheme="minorHAnsi"/>
              </w:rPr>
              <w:t>, and associated administrat</w:t>
            </w:r>
            <w:r w:rsidR="00651AB6" w:rsidRPr="008440BF">
              <w:rPr>
                <w:rFonts w:asciiTheme="minorHAnsi" w:hAnsiTheme="minorHAnsi"/>
              </w:rPr>
              <w:t>ive space</w:t>
            </w:r>
            <w:r w:rsidR="2885B897" w:rsidRPr="008440BF">
              <w:rPr>
                <w:rFonts w:asciiTheme="minorHAnsi" w:hAnsiTheme="minorHAnsi"/>
              </w:rPr>
              <w:t xml:space="preserve">. </w:t>
            </w:r>
            <w:r w:rsidR="48E0590C" w:rsidRPr="008440BF">
              <w:rPr>
                <w:rFonts w:asciiTheme="minorHAnsi" w:hAnsiTheme="minorHAnsi"/>
                <w:szCs w:val="24"/>
              </w:rPr>
              <w:t xml:space="preserve">The capital expenditure for the Proposed Project is </w:t>
            </w:r>
            <w:r w:rsidR="233CFAB5" w:rsidRPr="008440BF">
              <w:rPr>
                <w:rFonts w:asciiTheme="minorHAnsi" w:hAnsiTheme="minorHAnsi"/>
                <w:szCs w:val="24"/>
              </w:rPr>
              <w:t>$</w:t>
            </w:r>
            <w:r w:rsidR="00E71595" w:rsidRPr="008440BF">
              <w:rPr>
                <w:rFonts w:asciiTheme="minorHAnsi" w:hAnsiTheme="minorHAnsi"/>
                <w:szCs w:val="24"/>
              </w:rPr>
              <w:t xml:space="preserve"> $16,349,011.00</w:t>
            </w:r>
            <w:r w:rsidR="233CFAB5" w:rsidRPr="008440BF">
              <w:rPr>
                <w:rFonts w:asciiTheme="minorHAnsi" w:hAnsiTheme="minorHAnsi"/>
                <w:szCs w:val="24"/>
              </w:rPr>
              <w:t>. The Co</w:t>
            </w:r>
            <w:r w:rsidR="4E197A6F" w:rsidRPr="008440BF">
              <w:rPr>
                <w:rFonts w:asciiTheme="minorHAnsi" w:hAnsiTheme="minorHAnsi"/>
                <w:szCs w:val="24"/>
              </w:rPr>
              <w:t xml:space="preserve">mmunity Health Initiatives (CHI) contribution is </w:t>
            </w:r>
            <w:r w:rsidR="004D6FF0" w:rsidRPr="008440BF">
              <w:rPr>
                <w:rFonts w:asciiTheme="minorHAnsi" w:hAnsiTheme="minorHAnsi"/>
                <w:szCs w:val="24"/>
              </w:rPr>
              <w:t>$817,450.55</w:t>
            </w:r>
            <w:r w:rsidR="4E197A6F" w:rsidRPr="008440BF">
              <w:rPr>
                <w:rFonts w:asciiTheme="minorHAnsi" w:hAnsiTheme="minorHAnsi"/>
                <w:szCs w:val="24"/>
              </w:rPr>
              <w:t>.</w:t>
            </w:r>
            <w:r w:rsidR="4E197A6F" w:rsidRPr="008440BF">
              <w:rPr>
                <w:rFonts w:asciiTheme="minorHAnsi" w:hAnsiTheme="minorHAnsi"/>
              </w:rPr>
              <w:t xml:space="preserve"> </w:t>
            </w:r>
          </w:p>
          <w:p w14:paraId="5CF4141F" w14:textId="77777777" w:rsidR="00615885" w:rsidRPr="008440BF" w:rsidRDefault="00615885">
            <w:pPr>
              <w:pStyle w:val="TableParagraph"/>
              <w:spacing w:before="4"/>
              <w:ind w:left="0"/>
              <w:rPr>
                <w:rFonts w:asciiTheme="minorHAnsi" w:hAnsiTheme="minorHAnsi"/>
                <w:sz w:val="23"/>
                <w:highlight w:val="yellow"/>
              </w:rPr>
            </w:pPr>
          </w:p>
          <w:p w14:paraId="1E7C2CBD" w14:textId="30EA8417" w:rsidR="008364E1" w:rsidRPr="008440BF" w:rsidRDefault="00A4110F" w:rsidP="6ACB936F">
            <w:pPr>
              <w:pStyle w:val="TableParagraph"/>
              <w:ind w:left="0" w:right="164"/>
              <w:rPr>
                <w:rFonts w:asciiTheme="minorHAnsi" w:hAnsiTheme="minorHAnsi"/>
              </w:rPr>
            </w:pPr>
            <w:r w:rsidRPr="008440BF">
              <w:rPr>
                <w:rFonts w:asciiTheme="minorHAnsi" w:hAnsiTheme="minorHAnsi"/>
              </w:rPr>
              <w:t xml:space="preserve">This DoN Application falls within the definition of Ambulatory Surgery, which </w:t>
            </w:r>
            <w:r w:rsidR="1199E892" w:rsidRPr="008440BF">
              <w:rPr>
                <w:rFonts w:asciiTheme="minorHAnsi" w:hAnsiTheme="minorHAnsi"/>
              </w:rPr>
              <w:t>is</w:t>
            </w:r>
            <w:r w:rsidRPr="008440BF">
              <w:rPr>
                <w:rFonts w:asciiTheme="minorHAnsi" w:hAnsiTheme="minorHAnsi"/>
              </w:rPr>
              <w:t xml:space="preserve"> reviewed under the DoN regulation 105 CMR 100.000. The Department must determine that need exists for a Proposed Project, </w:t>
            </w:r>
            <w:bookmarkStart w:id="0" w:name="_Int_eF0C7Txz"/>
            <w:r w:rsidRPr="008440BF">
              <w:rPr>
                <w:rFonts w:asciiTheme="minorHAnsi" w:hAnsiTheme="minorHAnsi"/>
              </w:rPr>
              <w:t>on the basis of</w:t>
            </w:r>
            <w:bookmarkEnd w:id="0"/>
            <w:r w:rsidRPr="008440BF">
              <w:rPr>
                <w:rFonts w:asciiTheme="minorHAnsi" w:hAnsiTheme="minorHAnsi"/>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 </w:t>
            </w:r>
          </w:p>
          <w:p w14:paraId="56FBB592" w14:textId="5F7364D4" w:rsidR="00F30621" w:rsidRPr="008440BF" w:rsidRDefault="00F30621" w:rsidP="00896201">
            <w:pPr>
              <w:pStyle w:val="TableParagraph"/>
              <w:ind w:left="0" w:right="164"/>
              <w:rPr>
                <w:rFonts w:asciiTheme="minorHAnsi" w:hAnsiTheme="minorHAnsi"/>
                <w:highlight w:val="yellow"/>
              </w:rPr>
            </w:pPr>
          </w:p>
        </w:tc>
      </w:tr>
    </w:tbl>
    <w:p w14:paraId="4AF4C98A" w14:textId="77777777" w:rsidR="00B447F3" w:rsidRPr="008440BF" w:rsidRDefault="00B447F3">
      <w:pPr>
        <w:spacing w:line="251" w:lineRule="exact"/>
        <w:rPr>
          <w:rFonts w:asciiTheme="minorHAnsi" w:hAnsiTheme="minorHAnsi"/>
          <w:highlight w:val="yellow"/>
        </w:rPr>
        <w:sectPr w:rsidR="00B447F3" w:rsidRPr="008440BF" w:rsidSect="008A62E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980" w:bottom="1120" w:left="860" w:header="720" w:footer="937" w:gutter="0"/>
          <w:pgNumType w:start="1"/>
          <w:cols w:space="720"/>
        </w:sectPr>
      </w:pPr>
    </w:p>
    <w:sdt>
      <w:sdtPr>
        <w:rPr>
          <w:rFonts w:asciiTheme="minorHAnsi" w:eastAsia="Garamond" w:hAnsiTheme="minorHAnsi" w:cstheme="minorBidi"/>
          <w:color w:val="auto"/>
          <w:sz w:val="22"/>
          <w:szCs w:val="22"/>
          <w:highlight w:val="yellow"/>
          <w:lang w:bidi="en-US"/>
        </w:rPr>
        <w:id w:val="1248538820"/>
        <w:docPartObj>
          <w:docPartGallery w:val="Table of Contents"/>
          <w:docPartUnique/>
        </w:docPartObj>
      </w:sdtPr>
      <w:sdtEndPr>
        <w:rPr>
          <w:rFonts w:eastAsiaTheme="minorEastAsia"/>
          <w:b/>
          <w:bCs/>
          <w:noProof/>
          <w:sz w:val="24"/>
          <w:szCs w:val="24"/>
          <w:lang w:bidi="ar-SA"/>
        </w:rPr>
      </w:sdtEndPr>
      <w:sdtContent>
        <w:p w14:paraId="7AAE295D" w14:textId="53B6C1CD" w:rsidR="008650F2" w:rsidRPr="008440BF" w:rsidRDefault="008650F2">
          <w:pPr>
            <w:pStyle w:val="TOCHeading"/>
            <w:rPr>
              <w:rFonts w:asciiTheme="minorHAnsi" w:hAnsiTheme="minorHAnsi" w:cstheme="minorHAnsi"/>
            </w:rPr>
          </w:pPr>
          <w:r w:rsidRPr="008440BF">
            <w:rPr>
              <w:rFonts w:asciiTheme="minorHAnsi" w:hAnsiTheme="minorHAnsi" w:cstheme="minorHAnsi"/>
            </w:rPr>
            <w:t>Contents</w:t>
          </w:r>
        </w:p>
        <w:p w14:paraId="1C9242F8" w14:textId="775680D2" w:rsidR="00C766A2" w:rsidRDefault="008650F2">
          <w:pPr>
            <w:pStyle w:val="TOC1"/>
            <w:tabs>
              <w:tab w:val="right" w:leader="dot" w:pos="10390"/>
            </w:tabs>
            <w:rPr>
              <w:rFonts w:asciiTheme="minorHAnsi" w:eastAsiaTheme="minorEastAsia" w:hAnsiTheme="minorHAnsi" w:cstheme="minorBidi"/>
              <w:noProof/>
              <w:kern w:val="2"/>
              <w:szCs w:val="24"/>
              <w14:ligatures w14:val="standardContextual"/>
            </w:rPr>
          </w:pPr>
          <w:r w:rsidRPr="008440BF">
            <w:rPr>
              <w:rFonts w:asciiTheme="minorHAnsi" w:hAnsiTheme="minorHAnsi"/>
              <w:szCs w:val="24"/>
              <w:highlight w:val="yellow"/>
            </w:rPr>
            <w:fldChar w:fldCharType="begin"/>
          </w:r>
          <w:r w:rsidRPr="008440BF">
            <w:rPr>
              <w:rFonts w:asciiTheme="minorHAnsi" w:hAnsiTheme="minorHAnsi"/>
              <w:szCs w:val="24"/>
              <w:highlight w:val="yellow"/>
            </w:rPr>
            <w:instrText xml:space="preserve"> TOC \o "1-3" \h \z \u </w:instrText>
          </w:r>
          <w:r w:rsidRPr="008440BF">
            <w:rPr>
              <w:rFonts w:asciiTheme="minorHAnsi" w:hAnsiTheme="minorHAnsi"/>
              <w:szCs w:val="24"/>
              <w:highlight w:val="yellow"/>
            </w:rPr>
            <w:fldChar w:fldCharType="separate"/>
          </w:r>
          <w:hyperlink w:anchor="_Toc166249373" w:history="1">
            <w:r w:rsidR="00C766A2" w:rsidRPr="004B0993">
              <w:rPr>
                <w:rStyle w:val="Hyperlink"/>
                <w:noProof/>
              </w:rPr>
              <w:t>Background and Application Overview</w:t>
            </w:r>
            <w:r w:rsidR="00C766A2">
              <w:rPr>
                <w:noProof/>
                <w:webHidden/>
              </w:rPr>
              <w:tab/>
            </w:r>
            <w:r w:rsidR="00C766A2">
              <w:rPr>
                <w:noProof/>
                <w:webHidden/>
              </w:rPr>
              <w:fldChar w:fldCharType="begin"/>
            </w:r>
            <w:r w:rsidR="00C766A2">
              <w:rPr>
                <w:noProof/>
                <w:webHidden/>
              </w:rPr>
              <w:instrText xml:space="preserve"> PAGEREF _Toc166249373 \h </w:instrText>
            </w:r>
            <w:r w:rsidR="00C766A2">
              <w:rPr>
                <w:noProof/>
                <w:webHidden/>
              </w:rPr>
            </w:r>
            <w:r w:rsidR="00C766A2">
              <w:rPr>
                <w:noProof/>
                <w:webHidden/>
              </w:rPr>
              <w:fldChar w:fldCharType="separate"/>
            </w:r>
            <w:r w:rsidR="00C766A2">
              <w:rPr>
                <w:noProof/>
                <w:webHidden/>
              </w:rPr>
              <w:t>3</w:t>
            </w:r>
            <w:r w:rsidR="00C766A2">
              <w:rPr>
                <w:noProof/>
                <w:webHidden/>
              </w:rPr>
              <w:fldChar w:fldCharType="end"/>
            </w:r>
          </w:hyperlink>
        </w:p>
        <w:p w14:paraId="321FF10C" w14:textId="200F7D65"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74" w:history="1">
            <w:r w:rsidR="00C766A2" w:rsidRPr="004B0993">
              <w:rPr>
                <w:rStyle w:val="Hyperlink"/>
                <w:noProof/>
              </w:rPr>
              <w:t>Patient Panel</w:t>
            </w:r>
            <w:r w:rsidR="00C766A2">
              <w:rPr>
                <w:noProof/>
                <w:webHidden/>
              </w:rPr>
              <w:tab/>
            </w:r>
            <w:r w:rsidR="00C766A2">
              <w:rPr>
                <w:noProof/>
                <w:webHidden/>
              </w:rPr>
              <w:fldChar w:fldCharType="begin"/>
            </w:r>
            <w:r w:rsidR="00C766A2">
              <w:rPr>
                <w:noProof/>
                <w:webHidden/>
              </w:rPr>
              <w:instrText xml:space="preserve"> PAGEREF _Toc166249374 \h </w:instrText>
            </w:r>
            <w:r w:rsidR="00C766A2">
              <w:rPr>
                <w:noProof/>
                <w:webHidden/>
              </w:rPr>
            </w:r>
            <w:r w:rsidR="00C766A2">
              <w:rPr>
                <w:noProof/>
                <w:webHidden/>
              </w:rPr>
              <w:fldChar w:fldCharType="separate"/>
            </w:r>
            <w:r w:rsidR="00C766A2">
              <w:rPr>
                <w:noProof/>
                <w:webHidden/>
              </w:rPr>
              <w:t>4</w:t>
            </w:r>
            <w:r w:rsidR="00C766A2">
              <w:rPr>
                <w:noProof/>
                <w:webHidden/>
              </w:rPr>
              <w:fldChar w:fldCharType="end"/>
            </w:r>
          </w:hyperlink>
        </w:p>
        <w:p w14:paraId="0E6F21BE" w14:textId="6A267E33"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75" w:history="1">
            <w:r w:rsidR="00C766A2" w:rsidRPr="004B0993">
              <w:rPr>
                <w:rStyle w:val="Hyperlink"/>
                <w:noProof/>
              </w:rPr>
              <w:t>Factor 1a: Patient Panel Need</w:t>
            </w:r>
            <w:r w:rsidR="00C766A2">
              <w:rPr>
                <w:noProof/>
                <w:webHidden/>
              </w:rPr>
              <w:tab/>
            </w:r>
            <w:r w:rsidR="00C766A2">
              <w:rPr>
                <w:noProof/>
                <w:webHidden/>
              </w:rPr>
              <w:fldChar w:fldCharType="begin"/>
            </w:r>
            <w:r w:rsidR="00C766A2">
              <w:rPr>
                <w:noProof/>
                <w:webHidden/>
              </w:rPr>
              <w:instrText xml:space="preserve"> PAGEREF _Toc166249375 \h </w:instrText>
            </w:r>
            <w:r w:rsidR="00C766A2">
              <w:rPr>
                <w:noProof/>
                <w:webHidden/>
              </w:rPr>
            </w:r>
            <w:r w:rsidR="00C766A2">
              <w:rPr>
                <w:noProof/>
                <w:webHidden/>
              </w:rPr>
              <w:fldChar w:fldCharType="separate"/>
            </w:r>
            <w:r w:rsidR="00C766A2">
              <w:rPr>
                <w:noProof/>
                <w:webHidden/>
              </w:rPr>
              <w:t>9</w:t>
            </w:r>
            <w:r w:rsidR="00C766A2">
              <w:rPr>
                <w:noProof/>
                <w:webHidden/>
              </w:rPr>
              <w:fldChar w:fldCharType="end"/>
            </w:r>
          </w:hyperlink>
        </w:p>
        <w:p w14:paraId="586E3B55" w14:textId="4EB6ED5A"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76" w:history="1">
            <w:r w:rsidR="00C766A2" w:rsidRPr="004B0993">
              <w:rPr>
                <w:rStyle w:val="Hyperlink"/>
                <w:noProof/>
              </w:rPr>
              <w:t>Factor 1: b) Public health value, improved health outcomes and quality of life; assurances of health equity</w:t>
            </w:r>
            <w:r w:rsidR="00C766A2">
              <w:rPr>
                <w:noProof/>
                <w:webHidden/>
              </w:rPr>
              <w:tab/>
            </w:r>
            <w:r w:rsidR="00C766A2">
              <w:rPr>
                <w:noProof/>
                <w:webHidden/>
              </w:rPr>
              <w:fldChar w:fldCharType="begin"/>
            </w:r>
            <w:r w:rsidR="00C766A2">
              <w:rPr>
                <w:noProof/>
                <w:webHidden/>
              </w:rPr>
              <w:instrText xml:space="preserve"> PAGEREF _Toc166249376 \h </w:instrText>
            </w:r>
            <w:r w:rsidR="00C766A2">
              <w:rPr>
                <w:noProof/>
                <w:webHidden/>
              </w:rPr>
            </w:r>
            <w:r w:rsidR="00C766A2">
              <w:rPr>
                <w:noProof/>
                <w:webHidden/>
              </w:rPr>
              <w:fldChar w:fldCharType="separate"/>
            </w:r>
            <w:r w:rsidR="00C766A2">
              <w:rPr>
                <w:noProof/>
                <w:webHidden/>
              </w:rPr>
              <w:t>12</w:t>
            </w:r>
            <w:r w:rsidR="00C766A2">
              <w:rPr>
                <w:noProof/>
                <w:webHidden/>
              </w:rPr>
              <w:fldChar w:fldCharType="end"/>
            </w:r>
          </w:hyperlink>
        </w:p>
        <w:p w14:paraId="17E70665" w14:textId="724886AF"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77" w:history="1">
            <w:r w:rsidR="00C766A2" w:rsidRPr="004B0993">
              <w:rPr>
                <w:rStyle w:val="Hyperlink"/>
                <w:noProof/>
              </w:rPr>
              <w:t>Factor 1: c) Efficiency, Continuity of Care, Coordination of Care</w:t>
            </w:r>
            <w:r w:rsidR="00C766A2">
              <w:rPr>
                <w:noProof/>
                <w:webHidden/>
              </w:rPr>
              <w:tab/>
            </w:r>
            <w:r w:rsidR="00C766A2">
              <w:rPr>
                <w:noProof/>
                <w:webHidden/>
              </w:rPr>
              <w:fldChar w:fldCharType="begin"/>
            </w:r>
            <w:r w:rsidR="00C766A2">
              <w:rPr>
                <w:noProof/>
                <w:webHidden/>
              </w:rPr>
              <w:instrText xml:space="preserve"> PAGEREF _Toc166249377 \h </w:instrText>
            </w:r>
            <w:r w:rsidR="00C766A2">
              <w:rPr>
                <w:noProof/>
                <w:webHidden/>
              </w:rPr>
            </w:r>
            <w:r w:rsidR="00C766A2">
              <w:rPr>
                <w:noProof/>
                <w:webHidden/>
              </w:rPr>
              <w:fldChar w:fldCharType="separate"/>
            </w:r>
            <w:r w:rsidR="00C766A2">
              <w:rPr>
                <w:noProof/>
                <w:webHidden/>
              </w:rPr>
              <w:t>15</w:t>
            </w:r>
            <w:r w:rsidR="00C766A2">
              <w:rPr>
                <w:noProof/>
                <w:webHidden/>
              </w:rPr>
              <w:fldChar w:fldCharType="end"/>
            </w:r>
          </w:hyperlink>
        </w:p>
        <w:p w14:paraId="14ED145B" w14:textId="5278291D"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78" w:history="1">
            <w:r w:rsidR="00C766A2" w:rsidRPr="004B0993">
              <w:rPr>
                <w:rStyle w:val="Hyperlink"/>
                <w:noProof/>
              </w:rPr>
              <w:t>Factor 1: d) Consultation</w:t>
            </w:r>
            <w:r w:rsidR="00C766A2">
              <w:rPr>
                <w:noProof/>
                <w:webHidden/>
              </w:rPr>
              <w:tab/>
            </w:r>
            <w:r w:rsidR="00C766A2">
              <w:rPr>
                <w:noProof/>
                <w:webHidden/>
              </w:rPr>
              <w:fldChar w:fldCharType="begin"/>
            </w:r>
            <w:r w:rsidR="00C766A2">
              <w:rPr>
                <w:noProof/>
                <w:webHidden/>
              </w:rPr>
              <w:instrText xml:space="preserve"> PAGEREF _Toc166249378 \h </w:instrText>
            </w:r>
            <w:r w:rsidR="00C766A2">
              <w:rPr>
                <w:noProof/>
                <w:webHidden/>
              </w:rPr>
            </w:r>
            <w:r w:rsidR="00C766A2">
              <w:rPr>
                <w:noProof/>
                <w:webHidden/>
              </w:rPr>
              <w:fldChar w:fldCharType="separate"/>
            </w:r>
            <w:r w:rsidR="00C766A2">
              <w:rPr>
                <w:noProof/>
                <w:webHidden/>
              </w:rPr>
              <w:t>16</w:t>
            </w:r>
            <w:r w:rsidR="00C766A2">
              <w:rPr>
                <w:noProof/>
                <w:webHidden/>
              </w:rPr>
              <w:fldChar w:fldCharType="end"/>
            </w:r>
          </w:hyperlink>
        </w:p>
        <w:p w14:paraId="66329B5B" w14:textId="7F93E0D7"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79" w:history="1">
            <w:r w:rsidR="00C766A2" w:rsidRPr="004B0993">
              <w:rPr>
                <w:rStyle w:val="Hyperlink"/>
                <w:noProof/>
              </w:rPr>
              <w:t>Factor 1: e) Evidence of Sound Community Engagement through the Patient Panel</w:t>
            </w:r>
            <w:r w:rsidR="00C766A2">
              <w:rPr>
                <w:noProof/>
                <w:webHidden/>
              </w:rPr>
              <w:tab/>
            </w:r>
            <w:r w:rsidR="00C766A2">
              <w:rPr>
                <w:noProof/>
                <w:webHidden/>
              </w:rPr>
              <w:fldChar w:fldCharType="begin"/>
            </w:r>
            <w:r w:rsidR="00C766A2">
              <w:rPr>
                <w:noProof/>
                <w:webHidden/>
              </w:rPr>
              <w:instrText xml:space="preserve"> PAGEREF _Toc166249379 \h </w:instrText>
            </w:r>
            <w:r w:rsidR="00C766A2">
              <w:rPr>
                <w:noProof/>
                <w:webHidden/>
              </w:rPr>
            </w:r>
            <w:r w:rsidR="00C766A2">
              <w:rPr>
                <w:noProof/>
                <w:webHidden/>
              </w:rPr>
              <w:fldChar w:fldCharType="separate"/>
            </w:r>
            <w:r w:rsidR="00C766A2">
              <w:rPr>
                <w:noProof/>
                <w:webHidden/>
              </w:rPr>
              <w:t>16</w:t>
            </w:r>
            <w:r w:rsidR="00C766A2">
              <w:rPr>
                <w:noProof/>
                <w:webHidden/>
              </w:rPr>
              <w:fldChar w:fldCharType="end"/>
            </w:r>
          </w:hyperlink>
        </w:p>
        <w:p w14:paraId="3E7EEA05" w14:textId="5F619890"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80" w:history="1">
            <w:r w:rsidR="00C766A2" w:rsidRPr="004B0993">
              <w:rPr>
                <w:rStyle w:val="Hyperlink"/>
                <w:noProof/>
              </w:rPr>
              <w:t>Factor 1: f) Competition on price, total medical expenses (TME), costs and other measures of health care spending</w:t>
            </w:r>
            <w:r w:rsidR="00C766A2">
              <w:rPr>
                <w:noProof/>
                <w:webHidden/>
              </w:rPr>
              <w:tab/>
            </w:r>
            <w:r w:rsidR="00C766A2">
              <w:rPr>
                <w:noProof/>
                <w:webHidden/>
              </w:rPr>
              <w:fldChar w:fldCharType="begin"/>
            </w:r>
            <w:r w:rsidR="00C766A2">
              <w:rPr>
                <w:noProof/>
                <w:webHidden/>
              </w:rPr>
              <w:instrText xml:space="preserve"> PAGEREF _Toc166249380 \h </w:instrText>
            </w:r>
            <w:r w:rsidR="00C766A2">
              <w:rPr>
                <w:noProof/>
                <w:webHidden/>
              </w:rPr>
            </w:r>
            <w:r w:rsidR="00C766A2">
              <w:rPr>
                <w:noProof/>
                <w:webHidden/>
              </w:rPr>
              <w:fldChar w:fldCharType="separate"/>
            </w:r>
            <w:r w:rsidR="00C766A2">
              <w:rPr>
                <w:noProof/>
                <w:webHidden/>
              </w:rPr>
              <w:t>17</w:t>
            </w:r>
            <w:r w:rsidR="00C766A2">
              <w:rPr>
                <w:noProof/>
                <w:webHidden/>
              </w:rPr>
              <w:fldChar w:fldCharType="end"/>
            </w:r>
          </w:hyperlink>
        </w:p>
        <w:p w14:paraId="25E4943D" w14:textId="5EFDE617"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81" w:history="1">
            <w:r w:rsidR="00C766A2" w:rsidRPr="004B0993">
              <w:rPr>
                <w:rStyle w:val="Hyperlink"/>
                <w:noProof/>
              </w:rPr>
              <w:t>Factor 1 Summary</w:t>
            </w:r>
            <w:r w:rsidR="00C766A2">
              <w:rPr>
                <w:noProof/>
                <w:webHidden/>
              </w:rPr>
              <w:tab/>
            </w:r>
            <w:r w:rsidR="00C766A2">
              <w:rPr>
                <w:noProof/>
                <w:webHidden/>
              </w:rPr>
              <w:fldChar w:fldCharType="begin"/>
            </w:r>
            <w:r w:rsidR="00C766A2">
              <w:rPr>
                <w:noProof/>
                <w:webHidden/>
              </w:rPr>
              <w:instrText xml:space="preserve"> PAGEREF _Toc166249381 \h </w:instrText>
            </w:r>
            <w:r w:rsidR="00C766A2">
              <w:rPr>
                <w:noProof/>
                <w:webHidden/>
              </w:rPr>
            </w:r>
            <w:r w:rsidR="00C766A2">
              <w:rPr>
                <w:noProof/>
                <w:webHidden/>
              </w:rPr>
              <w:fldChar w:fldCharType="separate"/>
            </w:r>
            <w:r w:rsidR="00C766A2">
              <w:rPr>
                <w:noProof/>
                <w:webHidden/>
              </w:rPr>
              <w:t>18</w:t>
            </w:r>
            <w:r w:rsidR="00C766A2">
              <w:rPr>
                <w:noProof/>
                <w:webHidden/>
              </w:rPr>
              <w:fldChar w:fldCharType="end"/>
            </w:r>
          </w:hyperlink>
        </w:p>
        <w:p w14:paraId="4D17BA82" w14:textId="45BA94F1"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82" w:history="1">
            <w:r w:rsidR="00C766A2" w:rsidRPr="004B0993">
              <w:rPr>
                <w:rStyle w:val="Hyperlink"/>
                <w:noProof/>
              </w:rPr>
              <w:t>Factor 2: Cost containment, Improved Public Health Outcomes and Delivery System Transformation</w:t>
            </w:r>
            <w:r w:rsidR="00C766A2">
              <w:rPr>
                <w:noProof/>
                <w:webHidden/>
              </w:rPr>
              <w:tab/>
            </w:r>
            <w:r w:rsidR="00C766A2">
              <w:rPr>
                <w:noProof/>
                <w:webHidden/>
              </w:rPr>
              <w:fldChar w:fldCharType="begin"/>
            </w:r>
            <w:r w:rsidR="00C766A2">
              <w:rPr>
                <w:noProof/>
                <w:webHidden/>
              </w:rPr>
              <w:instrText xml:space="preserve"> PAGEREF _Toc166249382 \h </w:instrText>
            </w:r>
            <w:r w:rsidR="00C766A2">
              <w:rPr>
                <w:noProof/>
                <w:webHidden/>
              </w:rPr>
            </w:r>
            <w:r w:rsidR="00C766A2">
              <w:rPr>
                <w:noProof/>
                <w:webHidden/>
              </w:rPr>
              <w:fldChar w:fldCharType="separate"/>
            </w:r>
            <w:r w:rsidR="00C766A2">
              <w:rPr>
                <w:noProof/>
                <w:webHidden/>
              </w:rPr>
              <w:t>19</w:t>
            </w:r>
            <w:r w:rsidR="00C766A2">
              <w:rPr>
                <w:noProof/>
                <w:webHidden/>
              </w:rPr>
              <w:fldChar w:fldCharType="end"/>
            </w:r>
          </w:hyperlink>
        </w:p>
        <w:p w14:paraId="225AD89B" w14:textId="6BC1974C"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83" w:history="1">
            <w:r w:rsidR="00C766A2" w:rsidRPr="004B0993">
              <w:rPr>
                <w:rStyle w:val="Hyperlink"/>
                <w:noProof/>
              </w:rPr>
              <w:t>Factor 2 Summary</w:t>
            </w:r>
            <w:r w:rsidR="00C766A2">
              <w:rPr>
                <w:noProof/>
                <w:webHidden/>
              </w:rPr>
              <w:tab/>
            </w:r>
            <w:r w:rsidR="00C766A2">
              <w:rPr>
                <w:noProof/>
                <w:webHidden/>
              </w:rPr>
              <w:fldChar w:fldCharType="begin"/>
            </w:r>
            <w:r w:rsidR="00C766A2">
              <w:rPr>
                <w:noProof/>
                <w:webHidden/>
              </w:rPr>
              <w:instrText xml:space="preserve"> PAGEREF _Toc166249383 \h </w:instrText>
            </w:r>
            <w:r w:rsidR="00C766A2">
              <w:rPr>
                <w:noProof/>
                <w:webHidden/>
              </w:rPr>
            </w:r>
            <w:r w:rsidR="00C766A2">
              <w:rPr>
                <w:noProof/>
                <w:webHidden/>
              </w:rPr>
              <w:fldChar w:fldCharType="separate"/>
            </w:r>
            <w:r w:rsidR="00C766A2">
              <w:rPr>
                <w:noProof/>
                <w:webHidden/>
              </w:rPr>
              <w:t>20</w:t>
            </w:r>
            <w:r w:rsidR="00C766A2">
              <w:rPr>
                <w:noProof/>
                <w:webHidden/>
              </w:rPr>
              <w:fldChar w:fldCharType="end"/>
            </w:r>
          </w:hyperlink>
        </w:p>
        <w:p w14:paraId="123481D0" w14:textId="5BF4B17D"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84" w:history="1">
            <w:r w:rsidR="00C766A2" w:rsidRPr="004B0993">
              <w:rPr>
                <w:rStyle w:val="Hyperlink"/>
                <w:noProof/>
              </w:rPr>
              <w:t>Factor 3: Relevant Licensure/Oversight Compliance</w:t>
            </w:r>
            <w:r w:rsidR="00C766A2">
              <w:rPr>
                <w:noProof/>
                <w:webHidden/>
              </w:rPr>
              <w:tab/>
            </w:r>
            <w:r w:rsidR="00C766A2">
              <w:rPr>
                <w:noProof/>
                <w:webHidden/>
              </w:rPr>
              <w:fldChar w:fldCharType="begin"/>
            </w:r>
            <w:r w:rsidR="00C766A2">
              <w:rPr>
                <w:noProof/>
                <w:webHidden/>
              </w:rPr>
              <w:instrText xml:space="preserve"> PAGEREF _Toc166249384 \h </w:instrText>
            </w:r>
            <w:r w:rsidR="00C766A2">
              <w:rPr>
                <w:noProof/>
                <w:webHidden/>
              </w:rPr>
            </w:r>
            <w:r w:rsidR="00C766A2">
              <w:rPr>
                <w:noProof/>
                <w:webHidden/>
              </w:rPr>
              <w:fldChar w:fldCharType="separate"/>
            </w:r>
            <w:r w:rsidR="00C766A2">
              <w:rPr>
                <w:noProof/>
                <w:webHidden/>
              </w:rPr>
              <w:t>20</w:t>
            </w:r>
            <w:r w:rsidR="00C766A2">
              <w:rPr>
                <w:noProof/>
                <w:webHidden/>
              </w:rPr>
              <w:fldChar w:fldCharType="end"/>
            </w:r>
          </w:hyperlink>
        </w:p>
        <w:p w14:paraId="0364B154" w14:textId="58F2DD5B"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85" w:history="1">
            <w:r w:rsidR="00C766A2" w:rsidRPr="004B0993">
              <w:rPr>
                <w:rStyle w:val="Hyperlink"/>
                <w:noProof/>
              </w:rPr>
              <w:t>Factor 4: Demonstration of Sufficient Funds as Supported by an Independent CPA Analysis</w:t>
            </w:r>
            <w:r w:rsidR="00C766A2">
              <w:rPr>
                <w:noProof/>
                <w:webHidden/>
              </w:rPr>
              <w:tab/>
            </w:r>
            <w:r w:rsidR="00C766A2">
              <w:rPr>
                <w:noProof/>
                <w:webHidden/>
              </w:rPr>
              <w:fldChar w:fldCharType="begin"/>
            </w:r>
            <w:r w:rsidR="00C766A2">
              <w:rPr>
                <w:noProof/>
                <w:webHidden/>
              </w:rPr>
              <w:instrText xml:space="preserve"> PAGEREF _Toc166249385 \h </w:instrText>
            </w:r>
            <w:r w:rsidR="00C766A2">
              <w:rPr>
                <w:noProof/>
                <w:webHidden/>
              </w:rPr>
            </w:r>
            <w:r w:rsidR="00C766A2">
              <w:rPr>
                <w:noProof/>
                <w:webHidden/>
              </w:rPr>
              <w:fldChar w:fldCharType="separate"/>
            </w:r>
            <w:r w:rsidR="00C766A2">
              <w:rPr>
                <w:noProof/>
                <w:webHidden/>
              </w:rPr>
              <w:t>20</w:t>
            </w:r>
            <w:r w:rsidR="00C766A2">
              <w:rPr>
                <w:noProof/>
                <w:webHidden/>
              </w:rPr>
              <w:fldChar w:fldCharType="end"/>
            </w:r>
          </w:hyperlink>
        </w:p>
        <w:p w14:paraId="48F38FCC" w14:textId="7DA484BC"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86" w:history="1">
            <w:r w:rsidR="00C766A2" w:rsidRPr="004B0993">
              <w:rPr>
                <w:rStyle w:val="Hyperlink"/>
                <w:noProof/>
              </w:rPr>
              <w:t>Factor 5: Assessment of the Proposed Project’s Relative Merit</w:t>
            </w:r>
            <w:r w:rsidR="00C766A2">
              <w:rPr>
                <w:noProof/>
                <w:webHidden/>
              </w:rPr>
              <w:tab/>
            </w:r>
            <w:r w:rsidR="00C766A2">
              <w:rPr>
                <w:noProof/>
                <w:webHidden/>
              </w:rPr>
              <w:fldChar w:fldCharType="begin"/>
            </w:r>
            <w:r w:rsidR="00C766A2">
              <w:rPr>
                <w:noProof/>
                <w:webHidden/>
              </w:rPr>
              <w:instrText xml:space="preserve"> PAGEREF _Toc166249386 \h </w:instrText>
            </w:r>
            <w:r w:rsidR="00C766A2">
              <w:rPr>
                <w:noProof/>
                <w:webHidden/>
              </w:rPr>
            </w:r>
            <w:r w:rsidR="00C766A2">
              <w:rPr>
                <w:noProof/>
                <w:webHidden/>
              </w:rPr>
              <w:fldChar w:fldCharType="separate"/>
            </w:r>
            <w:r w:rsidR="00C766A2">
              <w:rPr>
                <w:noProof/>
                <w:webHidden/>
              </w:rPr>
              <w:t>21</w:t>
            </w:r>
            <w:r w:rsidR="00C766A2">
              <w:rPr>
                <w:noProof/>
                <w:webHidden/>
              </w:rPr>
              <w:fldChar w:fldCharType="end"/>
            </w:r>
          </w:hyperlink>
        </w:p>
        <w:p w14:paraId="42E06C5C" w14:textId="6A974458"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87" w:history="1">
            <w:r w:rsidR="00C766A2" w:rsidRPr="004B0993">
              <w:rPr>
                <w:rStyle w:val="Hyperlink"/>
                <w:noProof/>
              </w:rPr>
              <w:t>Factor 6: Fulfillment of DPH Community-based Health Initiatives Guideline: Overall Application</w:t>
            </w:r>
            <w:r w:rsidR="00C766A2">
              <w:rPr>
                <w:noProof/>
                <w:webHidden/>
              </w:rPr>
              <w:tab/>
            </w:r>
            <w:r w:rsidR="00C766A2">
              <w:rPr>
                <w:noProof/>
                <w:webHidden/>
              </w:rPr>
              <w:fldChar w:fldCharType="begin"/>
            </w:r>
            <w:r w:rsidR="00C766A2">
              <w:rPr>
                <w:noProof/>
                <w:webHidden/>
              </w:rPr>
              <w:instrText xml:space="preserve"> PAGEREF _Toc166249387 \h </w:instrText>
            </w:r>
            <w:r w:rsidR="00C766A2">
              <w:rPr>
                <w:noProof/>
                <w:webHidden/>
              </w:rPr>
            </w:r>
            <w:r w:rsidR="00C766A2">
              <w:rPr>
                <w:noProof/>
                <w:webHidden/>
              </w:rPr>
              <w:fldChar w:fldCharType="separate"/>
            </w:r>
            <w:r w:rsidR="00C766A2">
              <w:rPr>
                <w:noProof/>
                <w:webHidden/>
              </w:rPr>
              <w:t>23</w:t>
            </w:r>
            <w:r w:rsidR="00C766A2">
              <w:rPr>
                <w:noProof/>
                <w:webHidden/>
              </w:rPr>
              <w:fldChar w:fldCharType="end"/>
            </w:r>
          </w:hyperlink>
        </w:p>
        <w:p w14:paraId="36A9EACD" w14:textId="57651A90"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88" w:history="1">
            <w:r w:rsidR="00C766A2" w:rsidRPr="004B0993">
              <w:rPr>
                <w:rStyle w:val="Hyperlink"/>
                <w:noProof/>
              </w:rPr>
              <w:t>Findings and Recommendations</w:t>
            </w:r>
            <w:r w:rsidR="00C766A2">
              <w:rPr>
                <w:noProof/>
                <w:webHidden/>
              </w:rPr>
              <w:tab/>
            </w:r>
            <w:r w:rsidR="00C766A2">
              <w:rPr>
                <w:noProof/>
                <w:webHidden/>
              </w:rPr>
              <w:fldChar w:fldCharType="begin"/>
            </w:r>
            <w:r w:rsidR="00C766A2">
              <w:rPr>
                <w:noProof/>
                <w:webHidden/>
              </w:rPr>
              <w:instrText xml:space="preserve"> PAGEREF _Toc166249388 \h </w:instrText>
            </w:r>
            <w:r w:rsidR="00C766A2">
              <w:rPr>
                <w:noProof/>
                <w:webHidden/>
              </w:rPr>
            </w:r>
            <w:r w:rsidR="00C766A2">
              <w:rPr>
                <w:noProof/>
                <w:webHidden/>
              </w:rPr>
              <w:fldChar w:fldCharType="separate"/>
            </w:r>
            <w:r w:rsidR="00C766A2">
              <w:rPr>
                <w:noProof/>
                <w:webHidden/>
              </w:rPr>
              <w:t>24</w:t>
            </w:r>
            <w:r w:rsidR="00C766A2">
              <w:rPr>
                <w:noProof/>
                <w:webHidden/>
              </w:rPr>
              <w:fldChar w:fldCharType="end"/>
            </w:r>
          </w:hyperlink>
        </w:p>
        <w:p w14:paraId="2FA18B19" w14:textId="6D2D5B1F"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89" w:history="1">
            <w:r w:rsidR="00C766A2" w:rsidRPr="004B0993">
              <w:rPr>
                <w:rStyle w:val="Hyperlink"/>
                <w:noProof/>
              </w:rPr>
              <w:t>Other Conditions</w:t>
            </w:r>
            <w:r w:rsidR="00C766A2">
              <w:rPr>
                <w:noProof/>
                <w:webHidden/>
              </w:rPr>
              <w:tab/>
            </w:r>
            <w:r w:rsidR="00C766A2">
              <w:rPr>
                <w:noProof/>
                <w:webHidden/>
              </w:rPr>
              <w:fldChar w:fldCharType="begin"/>
            </w:r>
            <w:r w:rsidR="00C766A2">
              <w:rPr>
                <w:noProof/>
                <w:webHidden/>
              </w:rPr>
              <w:instrText xml:space="preserve"> PAGEREF _Toc166249389 \h </w:instrText>
            </w:r>
            <w:r w:rsidR="00C766A2">
              <w:rPr>
                <w:noProof/>
                <w:webHidden/>
              </w:rPr>
            </w:r>
            <w:r w:rsidR="00C766A2">
              <w:rPr>
                <w:noProof/>
                <w:webHidden/>
              </w:rPr>
              <w:fldChar w:fldCharType="separate"/>
            </w:r>
            <w:r w:rsidR="00C766A2">
              <w:rPr>
                <w:noProof/>
                <w:webHidden/>
              </w:rPr>
              <w:t>24</w:t>
            </w:r>
            <w:r w:rsidR="00C766A2">
              <w:rPr>
                <w:noProof/>
                <w:webHidden/>
              </w:rPr>
              <w:fldChar w:fldCharType="end"/>
            </w:r>
          </w:hyperlink>
        </w:p>
        <w:p w14:paraId="636202A4" w14:textId="242D4B62"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90" w:history="1">
            <w:r w:rsidR="00C766A2" w:rsidRPr="004B0993">
              <w:rPr>
                <w:rStyle w:val="Hyperlink"/>
                <w:noProof/>
                <w:bdr w:val="none" w:sz="0" w:space="0" w:color="auto" w:frame="1"/>
              </w:rPr>
              <w:t>Appendix I: Required Measures for Annual Reporting</w:t>
            </w:r>
            <w:r w:rsidR="00C766A2">
              <w:rPr>
                <w:noProof/>
                <w:webHidden/>
              </w:rPr>
              <w:tab/>
            </w:r>
            <w:r w:rsidR="00C766A2">
              <w:rPr>
                <w:noProof/>
                <w:webHidden/>
              </w:rPr>
              <w:fldChar w:fldCharType="begin"/>
            </w:r>
            <w:r w:rsidR="00C766A2">
              <w:rPr>
                <w:noProof/>
                <w:webHidden/>
              </w:rPr>
              <w:instrText xml:space="preserve"> PAGEREF _Toc166249390 \h </w:instrText>
            </w:r>
            <w:r w:rsidR="00C766A2">
              <w:rPr>
                <w:noProof/>
                <w:webHidden/>
              </w:rPr>
            </w:r>
            <w:r w:rsidR="00C766A2">
              <w:rPr>
                <w:noProof/>
                <w:webHidden/>
              </w:rPr>
              <w:fldChar w:fldCharType="separate"/>
            </w:r>
            <w:r w:rsidR="00C766A2">
              <w:rPr>
                <w:noProof/>
                <w:webHidden/>
              </w:rPr>
              <w:t>25</w:t>
            </w:r>
            <w:r w:rsidR="00C766A2">
              <w:rPr>
                <w:noProof/>
                <w:webHidden/>
              </w:rPr>
              <w:fldChar w:fldCharType="end"/>
            </w:r>
          </w:hyperlink>
        </w:p>
        <w:p w14:paraId="420C2F23" w14:textId="2DCC482E"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91" w:history="1">
            <w:r w:rsidR="00C766A2" w:rsidRPr="004B0993">
              <w:rPr>
                <w:rStyle w:val="Hyperlink"/>
                <w:noProof/>
              </w:rPr>
              <w:t>Appendix II: Literature Review</w:t>
            </w:r>
            <w:r w:rsidR="00C766A2">
              <w:rPr>
                <w:noProof/>
                <w:webHidden/>
              </w:rPr>
              <w:tab/>
            </w:r>
            <w:r w:rsidR="00C766A2">
              <w:rPr>
                <w:noProof/>
                <w:webHidden/>
              </w:rPr>
              <w:fldChar w:fldCharType="begin"/>
            </w:r>
            <w:r w:rsidR="00C766A2">
              <w:rPr>
                <w:noProof/>
                <w:webHidden/>
              </w:rPr>
              <w:instrText xml:space="preserve"> PAGEREF _Toc166249391 \h </w:instrText>
            </w:r>
            <w:r w:rsidR="00C766A2">
              <w:rPr>
                <w:noProof/>
                <w:webHidden/>
              </w:rPr>
            </w:r>
            <w:r w:rsidR="00C766A2">
              <w:rPr>
                <w:noProof/>
                <w:webHidden/>
              </w:rPr>
              <w:fldChar w:fldCharType="separate"/>
            </w:r>
            <w:r w:rsidR="00C766A2">
              <w:rPr>
                <w:noProof/>
                <w:webHidden/>
              </w:rPr>
              <w:t>26</w:t>
            </w:r>
            <w:r w:rsidR="00C766A2">
              <w:rPr>
                <w:noProof/>
                <w:webHidden/>
              </w:rPr>
              <w:fldChar w:fldCharType="end"/>
            </w:r>
          </w:hyperlink>
        </w:p>
        <w:p w14:paraId="68791838" w14:textId="2F40E85D" w:rsidR="00C766A2"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249392" w:history="1">
            <w:r w:rsidR="00C766A2" w:rsidRPr="004B0993">
              <w:rPr>
                <w:rStyle w:val="Hyperlink"/>
                <w:noProof/>
              </w:rPr>
              <w:t>REFERENCES</w:t>
            </w:r>
            <w:r w:rsidR="00C766A2">
              <w:rPr>
                <w:noProof/>
                <w:webHidden/>
              </w:rPr>
              <w:tab/>
            </w:r>
            <w:r w:rsidR="00C766A2">
              <w:rPr>
                <w:noProof/>
                <w:webHidden/>
              </w:rPr>
              <w:fldChar w:fldCharType="begin"/>
            </w:r>
            <w:r w:rsidR="00C766A2">
              <w:rPr>
                <w:noProof/>
                <w:webHidden/>
              </w:rPr>
              <w:instrText xml:space="preserve"> PAGEREF _Toc166249392 \h </w:instrText>
            </w:r>
            <w:r w:rsidR="00C766A2">
              <w:rPr>
                <w:noProof/>
                <w:webHidden/>
              </w:rPr>
            </w:r>
            <w:r w:rsidR="00C766A2">
              <w:rPr>
                <w:noProof/>
                <w:webHidden/>
              </w:rPr>
              <w:fldChar w:fldCharType="separate"/>
            </w:r>
            <w:r w:rsidR="00C766A2">
              <w:rPr>
                <w:noProof/>
                <w:webHidden/>
              </w:rPr>
              <w:t>28</w:t>
            </w:r>
            <w:r w:rsidR="00C766A2">
              <w:rPr>
                <w:noProof/>
                <w:webHidden/>
              </w:rPr>
              <w:fldChar w:fldCharType="end"/>
            </w:r>
          </w:hyperlink>
        </w:p>
        <w:p w14:paraId="0675CDB9" w14:textId="08A319A1" w:rsidR="008650F2" w:rsidRPr="008440BF" w:rsidRDefault="008650F2">
          <w:pPr>
            <w:rPr>
              <w:rFonts w:asciiTheme="minorHAnsi" w:hAnsiTheme="minorHAnsi"/>
              <w:szCs w:val="24"/>
              <w:highlight w:val="yellow"/>
            </w:rPr>
          </w:pPr>
          <w:r w:rsidRPr="008440BF">
            <w:rPr>
              <w:rFonts w:asciiTheme="minorHAnsi" w:hAnsiTheme="minorHAnsi"/>
              <w:b/>
              <w:bCs/>
              <w:noProof/>
              <w:szCs w:val="24"/>
              <w:highlight w:val="yellow"/>
            </w:rPr>
            <w:fldChar w:fldCharType="end"/>
          </w:r>
        </w:p>
      </w:sdtContent>
    </w:sdt>
    <w:p w14:paraId="71FF1976" w14:textId="77777777" w:rsidR="00B447F3" w:rsidRPr="008440BF" w:rsidRDefault="00B447F3">
      <w:pPr>
        <w:rPr>
          <w:rFonts w:asciiTheme="minorHAnsi" w:hAnsiTheme="minorHAnsi"/>
          <w:highlight w:val="yellow"/>
        </w:rPr>
        <w:sectPr w:rsidR="00B447F3" w:rsidRPr="008440BF" w:rsidSect="008A62EB">
          <w:pgSz w:w="12240" w:h="15840"/>
          <w:pgMar w:top="1360" w:right="980" w:bottom="1120" w:left="860" w:header="0" w:footer="937" w:gutter="0"/>
          <w:cols w:space="720"/>
        </w:sectPr>
      </w:pPr>
    </w:p>
    <w:p w14:paraId="32F6900F" w14:textId="32AA11D4" w:rsidR="00B447F3" w:rsidRPr="008440BF" w:rsidRDefault="00A4110F" w:rsidP="00824DA0">
      <w:pPr>
        <w:pStyle w:val="Heading1"/>
        <w:ind w:left="0"/>
        <w:rPr>
          <w:rFonts w:asciiTheme="minorHAnsi" w:hAnsiTheme="minorHAnsi"/>
          <w:color w:val="1F497D" w:themeColor="text2"/>
        </w:rPr>
      </w:pPr>
      <w:bookmarkStart w:id="1" w:name="Background:_Emerson_Endoscopy_and_Digest"/>
      <w:bookmarkStart w:id="2" w:name="_Toc166249373"/>
      <w:bookmarkEnd w:id="1"/>
      <w:r w:rsidRPr="008440BF">
        <w:rPr>
          <w:rFonts w:asciiTheme="minorHAnsi" w:hAnsiTheme="minorHAnsi"/>
          <w:color w:val="1F497D" w:themeColor="text2"/>
        </w:rPr>
        <w:lastRenderedPageBreak/>
        <w:t>Background</w:t>
      </w:r>
      <w:r w:rsidR="001B1F77" w:rsidRPr="008440BF">
        <w:rPr>
          <w:rFonts w:asciiTheme="minorHAnsi" w:hAnsiTheme="minorHAnsi"/>
          <w:color w:val="1F497D" w:themeColor="text2"/>
        </w:rPr>
        <w:t xml:space="preserve"> </w:t>
      </w:r>
      <w:r w:rsidRPr="008440BF">
        <w:rPr>
          <w:rFonts w:asciiTheme="minorHAnsi" w:hAnsiTheme="minorHAnsi"/>
          <w:color w:val="1F497D" w:themeColor="text2"/>
        </w:rPr>
        <w:t>and Application Overview</w:t>
      </w:r>
      <w:bookmarkEnd w:id="2"/>
    </w:p>
    <w:p w14:paraId="62E2021C" w14:textId="596E3987" w:rsidR="0089773A" w:rsidRPr="008440BF" w:rsidRDefault="0089773A" w:rsidP="589EEDE0">
      <w:pPr>
        <w:pStyle w:val="BodyText"/>
        <w:spacing w:before="1"/>
        <w:rPr>
          <w:rFonts w:asciiTheme="minorHAnsi" w:hAnsiTheme="minorHAnsi"/>
        </w:rPr>
      </w:pPr>
      <w:r w:rsidRPr="008440BF">
        <w:rPr>
          <w:rFonts w:asciiTheme="minorHAnsi" w:hAnsiTheme="minorHAnsi"/>
          <w:b/>
          <w:bCs/>
        </w:rPr>
        <w:t>Beth Israel Lahey Health Surgery Center Plymouth</w:t>
      </w:r>
      <w:r w:rsidRPr="008440BF">
        <w:rPr>
          <w:rFonts w:asciiTheme="minorHAnsi" w:hAnsiTheme="minorHAnsi"/>
          <w:sz w:val="20"/>
          <w:szCs w:val="20"/>
        </w:rPr>
        <w:t xml:space="preserve"> </w:t>
      </w:r>
      <w:r w:rsidR="000E3E53" w:rsidRPr="008440BF">
        <w:rPr>
          <w:rFonts w:asciiTheme="minorHAnsi" w:hAnsiTheme="minorHAnsi"/>
          <w:b/>
          <w:bCs/>
        </w:rPr>
        <w:t>(Applicant)</w:t>
      </w:r>
      <w:r w:rsidR="00BD49F5" w:rsidRPr="008440BF">
        <w:rPr>
          <w:rFonts w:asciiTheme="minorHAnsi" w:hAnsiTheme="minorHAnsi"/>
        </w:rPr>
        <w:t xml:space="preserve"> </w:t>
      </w:r>
    </w:p>
    <w:p w14:paraId="6052F862" w14:textId="7B49B06A" w:rsidR="00B93D41" w:rsidRPr="008440BF" w:rsidRDefault="00761828" w:rsidP="589EEDE0">
      <w:pPr>
        <w:pStyle w:val="BodyText"/>
        <w:spacing w:before="1"/>
        <w:rPr>
          <w:rFonts w:asciiTheme="minorHAnsi" w:eastAsia="Times New Roman" w:hAnsiTheme="minorHAnsi"/>
          <w:kern w:val="2"/>
        </w:rPr>
      </w:pPr>
      <w:r w:rsidRPr="008440BF">
        <w:rPr>
          <w:rFonts w:asciiTheme="minorHAnsi" w:eastAsia="Times New Roman" w:hAnsiTheme="minorHAnsi"/>
          <w:kern w:val="2"/>
        </w:rPr>
        <w:t>The Applicant is a newly formed joint venture between BILH Surgery Center Plymouth Hospital Holdco, LLC, a subsidiary of Beth Israel Deaconess Hospital - Plymouth, Inc. (“BID Plymouth” or “Hospital”), and Pilgrim ASC LLC, a subsidiary of Plymouth Bay Orthopedic Associates, P.C. (“PBOA”). The joint venture was created for the purpose of operating the ASC proposed</w:t>
      </w:r>
      <w:r w:rsidR="00A4270D" w:rsidRPr="008440BF">
        <w:rPr>
          <w:rFonts w:asciiTheme="minorHAnsi" w:eastAsia="Times New Roman" w:hAnsiTheme="minorHAnsi"/>
          <w:kern w:val="2"/>
        </w:rPr>
        <w:t xml:space="preserve"> in</w:t>
      </w:r>
      <w:r w:rsidRPr="008440BF">
        <w:rPr>
          <w:rFonts w:asciiTheme="minorHAnsi" w:eastAsia="Times New Roman" w:hAnsiTheme="minorHAnsi"/>
          <w:kern w:val="2"/>
        </w:rPr>
        <w:t xml:space="preserve"> this Application. </w:t>
      </w:r>
      <w:r w:rsidR="00424E8B" w:rsidRPr="008440BF">
        <w:rPr>
          <w:rFonts w:asciiTheme="minorHAnsi" w:eastAsia="Times New Roman" w:hAnsiTheme="minorHAnsi"/>
          <w:kern w:val="2"/>
        </w:rPr>
        <w:t xml:space="preserve">The </w:t>
      </w:r>
      <w:r w:rsidR="00671BC5" w:rsidRPr="008440BF">
        <w:rPr>
          <w:rFonts w:asciiTheme="minorHAnsi" w:eastAsia="Times New Roman" w:hAnsiTheme="minorHAnsi"/>
          <w:kern w:val="2"/>
        </w:rPr>
        <w:t>proposed ASC</w:t>
      </w:r>
      <w:r w:rsidR="00424E8B" w:rsidRPr="008440BF">
        <w:rPr>
          <w:rFonts w:asciiTheme="minorHAnsi" w:eastAsia="Times New Roman" w:hAnsiTheme="minorHAnsi"/>
          <w:kern w:val="2"/>
        </w:rPr>
        <w:t xml:space="preserve"> will provide outpatient </w:t>
      </w:r>
      <w:r w:rsidR="00AB1EBE" w:rsidRPr="008440BF">
        <w:rPr>
          <w:rFonts w:asciiTheme="minorHAnsi" w:eastAsia="Times New Roman" w:hAnsiTheme="minorHAnsi"/>
          <w:kern w:val="2"/>
        </w:rPr>
        <w:t>orthopedic surgery services for patients seeking treatment for musculoskeletal pain and conditions.</w:t>
      </w:r>
    </w:p>
    <w:p w14:paraId="63C767FD" w14:textId="60C5D78B" w:rsidR="00CB4771" w:rsidRPr="008440BF" w:rsidRDefault="00CB4771" w:rsidP="589EEDE0">
      <w:pPr>
        <w:pStyle w:val="BodyText"/>
        <w:spacing w:before="1"/>
        <w:rPr>
          <w:rFonts w:asciiTheme="minorHAnsi" w:hAnsiTheme="minorHAnsi"/>
          <w:highlight w:val="yellow"/>
        </w:rPr>
      </w:pPr>
    </w:p>
    <w:p w14:paraId="20EAC6DD" w14:textId="04CD6C8A" w:rsidR="005C34B6" w:rsidRPr="008440BF" w:rsidRDefault="005C34B6" w:rsidP="00271AF1">
      <w:pPr>
        <w:pStyle w:val="BodyText"/>
        <w:rPr>
          <w:rFonts w:asciiTheme="minorHAnsi" w:hAnsiTheme="minorHAnsi"/>
          <w:b/>
          <w:bCs/>
        </w:rPr>
      </w:pPr>
      <w:r w:rsidRPr="008440BF">
        <w:rPr>
          <w:rFonts w:asciiTheme="minorHAnsi" w:hAnsiTheme="minorHAnsi"/>
          <w:b/>
          <w:bCs/>
        </w:rPr>
        <w:t>BID Plymouth</w:t>
      </w:r>
    </w:p>
    <w:p w14:paraId="79D54788" w14:textId="77777777" w:rsidR="00CB4771" w:rsidRPr="008440BF" w:rsidRDefault="00CB4771" w:rsidP="74902BFB">
      <w:pPr>
        <w:spacing w:after="120"/>
        <w:rPr>
          <w:rFonts w:asciiTheme="minorHAnsi" w:eastAsia="Times New Roman" w:hAnsiTheme="minorHAnsi"/>
          <w:kern w:val="2"/>
          <w:sz w:val="20"/>
        </w:rPr>
      </w:pPr>
      <w:r w:rsidRPr="74902BFB">
        <w:rPr>
          <w:rFonts w:asciiTheme="minorHAnsi" w:eastAsia="Times New Roman" w:hAnsiTheme="minorHAnsi"/>
          <w:kern w:val="2"/>
        </w:rPr>
        <w:t>BID Plymouth is a 170-bed acute care hospital serving the communities of Plymouth, Carver, Kingston, Middleboro, Duxbury, Marshfield, Bourne, Pembroke, Sandwich, Halifax, and Plympton. The Hospital provides a full range of comprehensive community hospital services including primary and preventative care, emergency services, inpatient acute care, inpatient psychiatric services, and specialty services. The Hospital joined Beth Israel Deaconess in 2014 and is currently a member hospital of Beth Israel Lahey Health (“BILH”).</w:t>
      </w:r>
      <w:r w:rsidRPr="74902BFB">
        <w:rPr>
          <w:rStyle w:val="FootnoteReference"/>
          <w:rFonts w:asciiTheme="minorHAnsi" w:eastAsia="Times New Roman" w:hAnsiTheme="minorHAnsi"/>
          <w:kern w:val="2"/>
        </w:rPr>
        <w:footnoteReference w:id="2"/>
      </w:r>
    </w:p>
    <w:p w14:paraId="30F71E76" w14:textId="77777777" w:rsidR="003F61CA" w:rsidRPr="008440BF" w:rsidRDefault="003F61CA" w:rsidP="0050297E">
      <w:pPr>
        <w:pStyle w:val="BodyText"/>
        <w:rPr>
          <w:rFonts w:asciiTheme="minorHAnsi" w:hAnsiTheme="minorHAnsi"/>
          <w:b/>
          <w:bCs/>
        </w:rPr>
      </w:pPr>
    </w:p>
    <w:p w14:paraId="20ADB93C" w14:textId="64B93A1C" w:rsidR="000D38A9" w:rsidRPr="008440BF" w:rsidRDefault="0050297E" w:rsidP="0050297E">
      <w:pPr>
        <w:pStyle w:val="BodyText"/>
        <w:rPr>
          <w:rFonts w:asciiTheme="minorHAnsi" w:hAnsiTheme="minorHAnsi"/>
          <w:b/>
          <w:bCs/>
        </w:rPr>
      </w:pPr>
      <w:r w:rsidRPr="008440BF">
        <w:rPr>
          <w:rFonts w:asciiTheme="minorHAnsi" w:hAnsiTheme="minorHAnsi"/>
          <w:b/>
          <w:bCs/>
        </w:rPr>
        <w:t>PBOA</w:t>
      </w:r>
    </w:p>
    <w:p w14:paraId="6FD92E62" w14:textId="7ACB29DC" w:rsidR="00CB4771" w:rsidRPr="008440BF" w:rsidRDefault="00CB4771" w:rsidP="00BE63BC">
      <w:pPr>
        <w:spacing w:after="120"/>
        <w:rPr>
          <w:rFonts w:asciiTheme="minorHAnsi" w:eastAsia="Times New Roman" w:hAnsiTheme="minorHAnsi"/>
          <w:kern w:val="2"/>
          <w:szCs w:val="24"/>
        </w:rPr>
      </w:pPr>
      <w:r w:rsidRPr="008440BF">
        <w:rPr>
          <w:rFonts w:asciiTheme="minorHAnsi" w:eastAsia="Times New Roman" w:hAnsiTheme="minorHAnsi"/>
          <w:kern w:val="2"/>
          <w:szCs w:val="24"/>
        </w:rPr>
        <w:t xml:space="preserve">PBOA is a full-service musculoskeletal practice, including orthopedic surgeons trained in the management of the full spectrum of musculoskeletal diagnoses. PBOA also offers interventional pain management, occupational and physical therapy, surgical and non-surgical treatment options, as well as urgent orthopedic care services. PBOA has offices in Plymouth, Duxbury, and Sandwich, and its surgeons primarily perform surgery at BID Plymouth. </w:t>
      </w:r>
    </w:p>
    <w:p w14:paraId="756EF52F" w14:textId="40BA3191" w:rsidR="00B93D41" w:rsidRPr="008440BF" w:rsidRDefault="00B93D41" w:rsidP="589EEDE0">
      <w:pPr>
        <w:pStyle w:val="BodyText"/>
        <w:spacing w:before="1"/>
        <w:rPr>
          <w:rFonts w:asciiTheme="minorHAnsi" w:hAnsiTheme="minorHAnsi"/>
          <w:b/>
          <w:bCs/>
          <w:highlight w:val="yellow"/>
        </w:rPr>
      </w:pPr>
    </w:p>
    <w:p w14:paraId="2310518C" w14:textId="77777777" w:rsidR="0013387F" w:rsidRPr="008440BF" w:rsidRDefault="00275BAD" w:rsidP="0013387F">
      <w:pPr>
        <w:widowControl/>
        <w:adjustRightInd w:val="0"/>
        <w:rPr>
          <w:rFonts w:asciiTheme="minorHAnsi" w:hAnsiTheme="minorHAnsi"/>
          <w:szCs w:val="24"/>
        </w:rPr>
      </w:pPr>
      <w:r w:rsidRPr="008440BF">
        <w:rPr>
          <w:rFonts w:asciiTheme="minorHAnsi" w:hAnsiTheme="minorHAnsi"/>
          <w:szCs w:val="24"/>
        </w:rPr>
        <w:t>In compliance with 105 CMR 100.715(B)(2)(a)(3),</w:t>
      </w:r>
      <w:r w:rsidR="00B0577D" w:rsidRPr="008440BF">
        <w:rPr>
          <w:rFonts w:asciiTheme="minorHAnsi" w:hAnsiTheme="minorHAnsi"/>
          <w:szCs w:val="24"/>
        </w:rPr>
        <w:t xml:space="preserve"> the Applicant is affiliated with </w:t>
      </w:r>
      <w:r w:rsidR="0013387F" w:rsidRPr="008440BF">
        <w:rPr>
          <w:rFonts w:asciiTheme="minorHAnsi" w:hAnsiTheme="minorHAnsi"/>
          <w:szCs w:val="24"/>
        </w:rPr>
        <w:t>Beth Israel Lahey</w:t>
      </w:r>
    </w:p>
    <w:p w14:paraId="4AD6DBAB" w14:textId="6652AA43" w:rsidR="003708FC" w:rsidRPr="008440BF" w:rsidRDefault="0013387F" w:rsidP="0013387F">
      <w:pPr>
        <w:pStyle w:val="BodyText"/>
        <w:spacing w:before="1"/>
        <w:rPr>
          <w:rFonts w:asciiTheme="minorHAnsi" w:hAnsiTheme="minorHAnsi"/>
          <w:highlight w:val="yellow"/>
        </w:rPr>
      </w:pPr>
      <w:r w:rsidRPr="008440BF">
        <w:rPr>
          <w:rFonts w:asciiTheme="minorHAnsi" w:hAnsiTheme="minorHAnsi"/>
        </w:rPr>
        <w:t>Health Performance Network</w:t>
      </w:r>
      <w:r w:rsidR="00D35F27" w:rsidRPr="008440BF">
        <w:rPr>
          <w:rFonts w:asciiTheme="minorHAnsi" w:hAnsiTheme="minorHAnsi"/>
        </w:rPr>
        <w:t>, a Health Policy Commission (HPC)</w:t>
      </w:r>
      <w:r w:rsidR="00BD49F5" w:rsidRPr="008440BF">
        <w:rPr>
          <w:rFonts w:asciiTheme="minorHAnsi" w:hAnsiTheme="minorHAnsi"/>
        </w:rPr>
        <w:t xml:space="preserve"> </w:t>
      </w:r>
      <w:r w:rsidR="00D35F27" w:rsidRPr="008440BF">
        <w:rPr>
          <w:rFonts w:asciiTheme="minorHAnsi" w:hAnsiTheme="minorHAnsi"/>
        </w:rPr>
        <w:t>Certified Accountable Care Organization (ACO).</w:t>
      </w:r>
      <w:r w:rsidR="0099359B" w:rsidRPr="008440BF">
        <w:rPr>
          <w:rStyle w:val="FootnoteReference"/>
          <w:rFonts w:asciiTheme="minorHAnsi" w:hAnsiTheme="minorHAnsi"/>
        </w:rPr>
        <w:footnoteReference w:id="3"/>
      </w:r>
      <w:r w:rsidR="00A714B5" w:rsidRPr="008440BF">
        <w:rPr>
          <w:rFonts w:asciiTheme="minorHAnsi" w:hAnsiTheme="minorHAnsi"/>
        </w:rPr>
        <w:t xml:space="preserve"> </w:t>
      </w:r>
    </w:p>
    <w:p w14:paraId="563F07B2" w14:textId="77777777" w:rsidR="00D76DC2" w:rsidRPr="008440BF" w:rsidRDefault="00D76DC2" w:rsidP="003708FC">
      <w:pPr>
        <w:pStyle w:val="BodyText"/>
        <w:spacing w:before="1"/>
        <w:rPr>
          <w:rFonts w:asciiTheme="minorHAnsi" w:hAnsiTheme="minorHAnsi"/>
          <w:highlight w:val="yellow"/>
        </w:rPr>
      </w:pPr>
    </w:p>
    <w:p w14:paraId="35043E1F" w14:textId="6F3A70FC" w:rsidR="00B447F3" w:rsidRPr="008440BF" w:rsidRDefault="00771859" w:rsidP="009F136E">
      <w:pPr>
        <w:pStyle w:val="BodyText"/>
        <w:spacing w:before="1"/>
        <w:rPr>
          <w:rFonts w:asciiTheme="minorHAnsi" w:hAnsiTheme="minorHAnsi"/>
          <w:b/>
          <w:bCs/>
        </w:rPr>
      </w:pPr>
      <w:r w:rsidRPr="008440BF">
        <w:rPr>
          <w:rFonts w:asciiTheme="minorHAnsi" w:hAnsiTheme="minorHAnsi"/>
          <w:b/>
          <w:bCs/>
        </w:rPr>
        <w:t>Proposed Project</w:t>
      </w:r>
      <w:r w:rsidR="00AD716F" w:rsidRPr="008440BF">
        <w:rPr>
          <w:rFonts w:asciiTheme="minorHAnsi" w:hAnsiTheme="minorHAnsi"/>
          <w:sz w:val="20"/>
        </w:rPr>
        <w:t xml:space="preserve">    </w:t>
      </w:r>
    </w:p>
    <w:p w14:paraId="7ECFFE6E" w14:textId="3EA18581" w:rsidR="00B447F3" w:rsidRPr="008440BF" w:rsidRDefault="00647B9B" w:rsidP="005B3CDA">
      <w:pPr>
        <w:pStyle w:val="BodyText"/>
        <w:rPr>
          <w:rFonts w:asciiTheme="minorHAnsi" w:hAnsiTheme="minorHAnsi"/>
        </w:rPr>
      </w:pPr>
      <w:r w:rsidRPr="008440BF">
        <w:rPr>
          <w:rFonts w:asciiTheme="minorHAnsi" w:hAnsiTheme="minorHAnsi"/>
        </w:rPr>
        <w:t xml:space="preserve">The Proposed ASC will </w:t>
      </w:r>
      <w:r w:rsidR="005744D5" w:rsidRPr="008440BF">
        <w:rPr>
          <w:rFonts w:asciiTheme="minorHAnsi" w:hAnsiTheme="minorHAnsi"/>
        </w:rPr>
        <w:t xml:space="preserve">be 19,091 Gross Square Feet (GSF) </w:t>
      </w:r>
      <w:r w:rsidRPr="008440BF">
        <w:rPr>
          <w:rFonts w:asciiTheme="minorHAnsi" w:hAnsiTheme="minorHAnsi"/>
        </w:rPr>
        <w:t>consist</w:t>
      </w:r>
      <w:r w:rsidR="005744D5" w:rsidRPr="008440BF">
        <w:rPr>
          <w:rFonts w:asciiTheme="minorHAnsi" w:hAnsiTheme="minorHAnsi"/>
        </w:rPr>
        <w:t>ing</w:t>
      </w:r>
      <w:r w:rsidRPr="008440BF">
        <w:rPr>
          <w:rFonts w:asciiTheme="minorHAnsi" w:hAnsiTheme="minorHAnsi"/>
        </w:rPr>
        <w:t xml:space="preserve"> of the following:</w:t>
      </w:r>
    </w:p>
    <w:p w14:paraId="495282FA" w14:textId="4BFE83F7" w:rsidR="00647B9B" w:rsidRPr="008440BF" w:rsidRDefault="0046463B" w:rsidP="007A5A8F">
      <w:pPr>
        <w:pStyle w:val="BodyText"/>
        <w:numPr>
          <w:ilvl w:val="0"/>
          <w:numId w:val="9"/>
        </w:numPr>
        <w:ind w:left="1080"/>
        <w:rPr>
          <w:rFonts w:asciiTheme="minorHAnsi" w:hAnsiTheme="minorHAnsi"/>
        </w:rPr>
      </w:pPr>
      <w:r w:rsidRPr="008440BF">
        <w:rPr>
          <w:rFonts w:asciiTheme="minorHAnsi" w:hAnsiTheme="minorHAnsi"/>
        </w:rPr>
        <w:t>4</w:t>
      </w:r>
      <w:r w:rsidR="00647B9B" w:rsidRPr="008440BF">
        <w:rPr>
          <w:rFonts w:asciiTheme="minorHAnsi" w:hAnsiTheme="minorHAnsi"/>
        </w:rPr>
        <w:t xml:space="preserve"> operating rooms</w:t>
      </w:r>
      <w:r w:rsidR="004D5540" w:rsidRPr="008440BF">
        <w:rPr>
          <w:rFonts w:asciiTheme="minorHAnsi" w:hAnsiTheme="minorHAnsi"/>
        </w:rPr>
        <w:t xml:space="preserve"> (ORs)</w:t>
      </w:r>
      <w:r w:rsidR="00647B9B" w:rsidRPr="008440BF">
        <w:rPr>
          <w:rFonts w:asciiTheme="minorHAnsi" w:hAnsiTheme="minorHAnsi"/>
        </w:rPr>
        <w:t>, as well as related support and administrative areas</w:t>
      </w:r>
    </w:p>
    <w:p w14:paraId="07526AD7" w14:textId="1630715B" w:rsidR="00647B9B" w:rsidRPr="008440BF" w:rsidRDefault="009A6DD3" w:rsidP="007A5A8F">
      <w:pPr>
        <w:pStyle w:val="BodyText"/>
        <w:numPr>
          <w:ilvl w:val="0"/>
          <w:numId w:val="9"/>
        </w:numPr>
        <w:ind w:left="1080"/>
        <w:rPr>
          <w:rFonts w:asciiTheme="minorHAnsi" w:hAnsiTheme="minorHAnsi"/>
        </w:rPr>
      </w:pPr>
      <w:r w:rsidRPr="008440BF">
        <w:rPr>
          <w:rFonts w:asciiTheme="minorHAnsi" w:hAnsiTheme="minorHAnsi"/>
        </w:rPr>
        <w:t>16 pre/post operative bays</w:t>
      </w:r>
    </w:p>
    <w:p w14:paraId="2E000ACE" w14:textId="37330361" w:rsidR="00647B9B" w:rsidRPr="008440BF" w:rsidRDefault="00A165C7" w:rsidP="007A5A8F">
      <w:pPr>
        <w:pStyle w:val="BodyText"/>
        <w:numPr>
          <w:ilvl w:val="0"/>
          <w:numId w:val="9"/>
        </w:numPr>
        <w:ind w:left="1080"/>
        <w:rPr>
          <w:rFonts w:asciiTheme="minorHAnsi" w:hAnsiTheme="minorHAnsi"/>
        </w:rPr>
      </w:pPr>
      <w:r w:rsidRPr="008440BF">
        <w:rPr>
          <w:rFonts w:asciiTheme="minorHAnsi" w:hAnsiTheme="minorHAnsi"/>
        </w:rPr>
        <w:t>L</w:t>
      </w:r>
      <w:r w:rsidR="00647B9B" w:rsidRPr="008440BF">
        <w:rPr>
          <w:rFonts w:asciiTheme="minorHAnsi" w:hAnsiTheme="minorHAnsi"/>
        </w:rPr>
        <w:t>obby</w:t>
      </w:r>
      <w:r w:rsidRPr="008440BF">
        <w:rPr>
          <w:rFonts w:asciiTheme="minorHAnsi" w:hAnsiTheme="minorHAnsi"/>
        </w:rPr>
        <w:t>,</w:t>
      </w:r>
      <w:r w:rsidR="00647B9B" w:rsidRPr="008440BF">
        <w:rPr>
          <w:rFonts w:asciiTheme="minorHAnsi" w:hAnsiTheme="minorHAnsi"/>
        </w:rPr>
        <w:t xml:space="preserve"> waiting area</w:t>
      </w:r>
      <w:r w:rsidRPr="008440BF">
        <w:rPr>
          <w:rFonts w:asciiTheme="minorHAnsi" w:hAnsiTheme="minorHAnsi"/>
        </w:rPr>
        <w:t>, lounge, and lockers</w:t>
      </w:r>
      <w:r w:rsidR="00647B9B" w:rsidRPr="008440BF">
        <w:rPr>
          <w:rFonts w:asciiTheme="minorHAnsi" w:hAnsiTheme="minorHAnsi"/>
        </w:rPr>
        <w:t xml:space="preserve"> </w:t>
      </w:r>
    </w:p>
    <w:p w14:paraId="2A9CAAF6" w14:textId="50B524BA" w:rsidR="00437DD1" w:rsidRPr="008440BF" w:rsidRDefault="00437DD1" w:rsidP="007A5A8F">
      <w:pPr>
        <w:pStyle w:val="BodyText"/>
        <w:numPr>
          <w:ilvl w:val="0"/>
          <w:numId w:val="9"/>
        </w:numPr>
        <w:ind w:left="1080"/>
        <w:rPr>
          <w:rFonts w:asciiTheme="minorHAnsi" w:hAnsiTheme="minorHAnsi"/>
        </w:rPr>
      </w:pPr>
      <w:r w:rsidRPr="008440BF">
        <w:rPr>
          <w:rFonts w:asciiTheme="minorHAnsi" w:hAnsiTheme="minorHAnsi"/>
        </w:rPr>
        <w:t>S</w:t>
      </w:r>
      <w:r w:rsidR="00647B9B" w:rsidRPr="008440BF">
        <w:rPr>
          <w:rFonts w:asciiTheme="minorHAnsi" w:hAnsiTheme="minorHAnsi"/>
        </w:rPr>
        <w:t xml:space="preserve">terile processing, </w:t>
      </w:r>
      <w:r w:rsidRPr="008440BF">
        <w:rPr>
          <w:rFonts w:asciiTheme="minorHAnsi" w:hAnsiTheme="minorHAnsi"/>
        </w:rPr>
        <w:t>including tank storage</w:t>
      </w:r>
    </w:p>
    <w:p w14:paraId="5489B566" w14:textId="4C3F1992" w:rsidR="00647B9B" w:rsidRPr="008440BF" w:rsidRDefault="00437DD1" w:rsidP="007A5A8F">
      <w:pPr>
        <w:pStyle w:val="BodyText"/>
        <w:numPr>
          <w:ilvl w:val="0"/>
          <w:numId w:val="9"/>
        </w:numPr>
        <w:ind w:left="1080"/>
        <w:rPr>
          <w:rFonts w:asciiTheme="minorHAnsi" w:hAnsiTheme="minorHAnsi"/>
        </w:rPr>
      </w:pPr>
      <w:r w:rsidRPr="008440BF">
        <w:rPr>
          <w:rFonts w:asciiTheme="minorHAnsi" w:hAnsiTheme="minorHAnsi"/>
        </w:rPr>
        <w:t>Loadin</w:t>
      </w:r>
      <w:r w:rsidR="009A6DD3" w:rsidRPr="008440BF">
        <w:rPr>
          <w:rFonts w:asciiTheme="minorHAnsi" w:hAnsiTheme="minorHAnsi"/>
        </w:rPr>
        <w:t>g</w:t>
      </w:r>
      <w:r w:rsidRPr="008440BF">
        <w:rPr>
          <w:rFonts w:asciiTheme="minorHAnsi" w:hAnsiTheme="minorHAnsi"/>
        </w:rPr>
        <w:t xml:space="preserve"> dock, </w:t>
      </w:r>
      <w:r w:rsidR="00DB3DA0" w:rsidRPr="008440BF">
        <w:rPr>
          <w:rFonts w:asciiTheme="minorHAnsi" w:hAnsiTheme="minorHAnsi"/>
        </w:rPr>
        <w:t>utility rooms/ storage</w:t>
      </w:r>
      <w:r w:rsidR="00647B9B" w:rsidRPr="008440BF">
        <w:rPr>
          <w:rFonts w:asciiTheme="minorHAnsi" w:hAnsiTheme="minorHAnsi"/>
        </w:rPr>
        <w:t xml:space="preserve"> </w:t>
      </w:r>
    </w:p>
    <w:p w14:paraId="0C60B3A1" w14:textId="2F9C06E4" w:rsidR="00B447F3" w:rsidRPr="008440BF" w:rsidRDefault="00E83764">
      <w:pPr>
        <w:pStyle w:val="BodyText"/>
        <w:rPr>
          <w:rFonts w:asciiTheme="minorHAnsi" w:hAnsiTheme="minorHAnsi"/>
          <w:sz w:val="20"/>
        </w:rPr>
      </w:pPr>
      <w:r w:rsidRPr="008440BF">
        <w:rPr>
          <w:rFonts w:asciiTheme="minorHAnsi" w:hAnsiTheme="minorHAnsi"/>
          <w:sz w:val="20"/>
        </w:rPr>
        <w:tab/>
      </w:r>
    </w:p>
    <w:p w14:paraId="4490F91E" w14:textId="77777777" w:rsidR="00377AB3" w:rsidRPr="008440BF" w:rsidRDefault="00FE3DC1" w:rsidP="589EEDE0">
      <w:pPr>
        <w:pStyle w:val="BodyText"/>
        <w:rPr>
          <w:rFonts w:asciiTheme="minorHAnsi" w:hAnsiTheme="minorHAnsi"/>
        </w:rPr>
      </w:pPr>
      <w:r w:rsidRPr="008440BF">
        <w:rPr>
          <w:rFonts w:asciiTheme="minorHAnsi" w:hAnsiTheme="minorHAnsi"/>
        </w:rPr>
        <w:t xml:space="preserve">The proposed ASC will support </w:t>
      </w:r>
      <w:r w:rsidR="00DA236F" w:rsidRPr="008440BF">
        <w:rPr>
          <w:rFonts w:asciiTheme="minorHAnsi" w:hAnsiTheme="minorHAnsi"/>
        </w:rPr>
        <w:t xml:space="preserve">surgical procedures </w:t>
      </w:r>
      <w:r w:rsidR="00466474" w:rsidRPr="008440BF">
        <w:rPr>
          <w:rFonts w:asciiTheme="minorHAnsi" w:hAnsiTheme="minorHAnsi"/>
        </w:rPr>
        <w:t xml:space="preserve">currently performed </w:t>
      </w:r>
      <w:r w:rsidR="003E5960" w:rsidRPr="008440BF">
        <w:rPr>
          <w:rFonts w:asciiTheme="minorHAnsi" w:hAnsiTheme="minorHAnsi"/>
        </w:rPr>
        <w:t>at BID Plymouth.</w:t>
      </w:r>
      <w:r w:rsidR="00DA236F" w:rsidRPr="008440BF">
        <w:rPr>
          <w:rFonts w:asciiTheme="minorHAnsi" w:hAnsiTheme="minorHAnsi"/>
        </w:rPr>
        <w:t xml:space="preserve"> </w:t>
      </w:r>
      <w:r w:rsidR="003A0B15" w:rsidRPr="008440BF">
        <w:rPr>
          <w:rFonts w:asciiTheme="minorHAnsi" w:hAnsiTheme="minorHAnsi"/>
        </w:rPr>
        <w:t xml:space="preserve">The Applicant anticipates that the majority of the procedures performed at the proposed ASC will be cases that </w:t>
      </w:r>
      <w:r w:rsidR="005C281E" w:rsidRPr="008440BF">
        <w:rPr>
          <w:rFonts w:asciiTheme="minorHAnsi" w:hAnsiTheme="minorHAnsi"/>
        </w:rPr>
        <w:t xml:space="preserve">are clinically </w:t>
      </w:r>
      <w:r w:rsidR="003A492A" w:rsidRPr="008440BF">
        <w:rPr>
          <w:rFonts w:asciiTheme="minorHAnsi" w:hAnsiTheme="minorHAnsi"/>
        </w:rPr>
        <w:t xml:space="preserve">appropriate to be </w:t>
      </w:r>
      <w:r w:rsidR="003A0B15" w:rsidRPr="008440BF">
        <w:rPr>
          <w:rFonts w:asciiTheme="minorHAnsi" w:hAnsiTheme="minorHAnsi"/>
        </w:rPr>
        <w:t xml:space="preserve">shifted from the hospital setting to the ASC setting without </w:t>
      </w:r>
      <w:r w:rsidR="003A0B15" w:rsidRPr="008440BF">
        <w:rPr>
          <w:rFonts w:asciiTheme="minorHAnsi" w:hAnsiTheme="minorHAnsi"/>
        </w:rPr>
        <w:lastRenderedPageBreak/>
        <w:t xml:space="preserve">compromising quality or outcomes. </w:t>
      </w:r>
      <w:r w:rsidR="009A2D75" w:rsidRPr="008440BF">
        <w:rPr>
          <w:rFonts w:asciiTheme="minorHAnsi" w:hAnsiTheme="minorHAnsi"/>
        </w:rPr>
        <w:t xml:space="preserve">Based on the orthopedic procedures most commonly performed on an outpatient basis at BID Plymouth, the Applicant expects the following procedures will comprise the majority of procedures at the proposed ASC: </w:t>
      </w:r>
    </w:p>
    <w:p w14:paraId="262654BE" w14:textId="3B3BE198" w:rsidR="00377AB3" w:rsidRPr="008440BF" w:rsidRDefault="00377AB3" w:rsidP="00377AB3">
      <w:pPr>
        <w:pStyle w:val="BodyText"/>
        <w:numPr>
          <w:ilvl w:val="0"/>
          <w:numId w:val="39"/>
        </w:numPr>
        <w:rPr>
          <w:rFonts w:asciiTheme="minorHAnsi" w:hAnsiTheme="minorHAnsi"/>
        </w:rPr>
      </w:pPr>
      <w:r w:rsidRPr="008440BF">
        <w:rPr>
          <w:rFonts w:asciiTheme="minorHAnsi" w:hAnsiTheme="minorHAnsi"/>
        </w:rPr>
        <w:t>T</w:t>
      </w:r>
      <w:r w:rsidR="009A2D75" w:rsidRPr="008440BF">
        <w:rPr>
          <w:rFonts w:asciiTheme="minorHAnsi" w:hAnsiTheme="minorHAnsi"/>
        </w:rPr>
        <w:t>otal knee arthroplasty (“TKA”)</w:t>
      </w:r>
    </w:p>
    <w:p w14:paraId="04343398" w14:textId="576EB277" w:rsidR="00377AB3" w:rsidRPr="008440BF" w:rsidRDefault="00377AB3" w:rsidP="00377AB3">
      <w:pPr>
        <w:pStyle w:val="BodyText"/>
        <w:numPr>
          <w:ilvl w:val="0"/>
          <w:numId w:val="39"/>
        </w:numPr>
        <w:rPr>
          <w:rFonts w:asciiTheme="minorHAnsi" w:hAnsiTheme="minorHAnsi"/>
        </w:rPr>
      </w:pPr>
      <w:r w:rsidRPr="008440BF">
        <w:rPr>
          <w:rFonts w:asciiTheme="minorHAnsi" w:hAnsiTheme="minorHAnsi"/>
        </w:rPr>
        <w:t>K</w:t>
      </w:r>
      <w:r w:rsidR="009A2D75" w:rsidRPr="008440BF">
        <w:rPr>
          <w:rFonts w:asciiTheme="minorHAnsi" w:hAnsiTheme="minorHAnsi"/>
        </w:rPr>
        <w:t>nee arthroscopy</w:t>
      </w:r>
    </w:p>
    <w:p w14:paraId="2036EAEA" w14:textId="31352832" w:rsidR="00377AB3" w:rsidRPr="008440BF" w:rsidRDefault="00377AB3" w:rsidP="00377AB3">
      <w:pPr>
        <w:pStyle w:val="BodyText"/>
        <w:numPr>
          <w:ilvl w:val="0"/>
          <w:numId w:val="39"/>
        </w:numPr>
        <w:rPr>
          <w:rFonts w:asciiTheme="minorHAnsi" w:hAnsiTheme="minorHAnsi"/>
        </w:rPr>
      </w:pPr>
      <w:r w:rsidRPr="008440BF">
        <w:rPr>
          <w:rFonts w:asciiTheme="minorHAnsi" w:hAnsiTheme="minorHAnsi"/>
        </w:rPr>
        <w:t>S</w:t>
      </w:r>
      <w:r w:rsidR="009A2D75" w:rsidRPr="008440BF">
        <w:rPr>
          <w:rFonts w:asciiTheme="minorHAnsi" w:hAnsiTheme="minorHAnsi"/>
        </w:rPr>
        <w:t>houlder arthroscopy</w:t>
      </w:r>
    </w:p>
    <w:p w14:paraId="006E1DD5" w14:textId="304C71F5" w:rsidR="00377AB3" w:rsidRPr="008440BF" w:rsidRDefault="00377AB3" w:rsidP="00377AB3">
      <w:pPr>
        <w:pStyle w:val="BodyText"/>
        <w:numPr>
          <w:ilvl w:val="0"/>
          <w:numId w:val="39"/>
        </w:numPr>
        <w:rPr>
          <w:rFonts w:asciiTheme="minorHAnsi" w:hAnsiTheme="minorHAnsi"/>
        </w:rPr>
      </w:pPr>
      <w:r w:rsidRPr="008440BF">
        <w:rPr>
          <w:rFonts w:asciiTheme="minorHAnsi" w:hAnsiTheme="minorHAnsi"/>
        </w:rPr>
        <w:t>C</w:t>
      </w:r>
      <w:r w:rsidR="009A2D75" w:rsidRPr="008440BF">
        <w:rPr>
          <w:rFonts w:asciiTheme="minorHAnsi" w:hAnsiTheme="minorHAnsi"/>
        </w:rPr>
        <w:t>arpal tunnel surgery</w:t>
      </w:r>
    </w:p>
    <w:p w14:paraId="5E924FC8" w14:textId="01A71D27" w:rsidR="00377AB3" w:rsidRPr="008440BF" w:rsidRDefault="00377AB3" w:rsidP="00377AB3">
      <w:pPr>
        <w:pStyle w:val="BodyText"/>
        <w:numPr>
          <w:ilvl w:val="0"/>
          <w:numId w:val="39"/>
        </w:numPr>
        <w:rPr>
          <w:rFonts w:asciiTheme="minorHAnsi" w:hAnsiTheme="minorHAnsi"/>
          <w:sz w:val="20"/>
          <w:szCs w:val="20"/>
        </w:rPr>
      </w:pPr>
      <w:r w:rsidRPr="008440BF">
        <w:rPr>
          <w:rFonts w:asciiTheme="minorHAnsi" w:hAnsiTheme="minorHAnsi"/>
        </w:rPr>
        <w:t>T</w:t>
      </w:r>
      <w:r w:rsidR="009A2D75" w:rsidRPr="008440BF">
        <w:rPr>
          <w:rFonts w:asciiTheme="minorHAnsi" w:hAnsiTheme="minorHAnsi"/>
        </w:rPr>
        <w:t>otal hip arthroplasty</w:t>
      </w:r>
    </w:p>
    <w:p w14:paraId="0E5E94A2" w14:textId="77777777" w:rsidR="00377AB3" w:rsidRPr="008440BF" w:rsidRDefault="00377AB3" w:rsidP="589EEDE0">
      <w:pPr>
        <w:pStyle w:val="BodyText"/>
        <w:rPr>
          <w:rFonts w:asciiTheme="minorHAnsi" w:hAnsiTheme="minorHAnsi"/>
          <w:sz w:val="20"/>
          <w:szCs w:val="20"/>
        </w:rPr>
      </w:pPr>
    </w:p>
    <w:p w14:paraId="1B22A2EF" w14:textId="22059AE1" w:rsidR="00B447F3" w:rsidRPr="008440BF" w:rsidRDefault="00E96F24" w:rsidP="74902BFB">
      <w:pPr>
        <w:pStyle w:val="BodyText"/>
        <w:rPr>
          <w:rFonts w:asciiTheme="minorHAnsi" w:hAnsiTheme="minorHAnsi"/>
          <w:highlight w:val="yellow"/>
        </w:rPr>
      </w:pPr>
      <w:r w:rsidRPr="74902BFB">
        <w:rPr>
          <w:rFonts w:asciiTheme="minorHAnsi" w:hAnsiTheme="minorHAnsi"/>
        </w:rPr>
        <w:t xml:space="preserve">The Applicant asserts that </w:t>
      </w:r>
      <w:r w:rsidR="002766D7" w:rsidRPr="74902BFB">
        <w:rPr>
          <w:rFonts w:asciiTheme="minorHAnsi" w:hAnsiTheme="minorHAnsi"/>
        </w:rPr>
        <w:t>t</w:t>
      </w:r>
      <w:r w:rsidR="00D034DA" w:rsidRPr="74902BFB">
        <w:rPr>
          <w:rFonts w:asciiTheme="minorHAnsi" w:hAnsiTheme="minorHAnsi"/>
        </w:rPr>
        <w:t>he proposed A</w:t>
      </w:r>
      <w:r w:rsidR="003B1A7D" w:rsidRPr="74902BFB">
        <w:rPr>
          <w:rFonts w:asciiTheme="minorHAnsi" w:hAnsiTheme="minorHAnsi"/>
        </w:rPr>
        <w:t xml:space="preserve">SC </w:t>
      </w:r>
      <w:r w:rsidR="00D034DA" w:rsidRPr="74902BFB">
        <w:rPr>
          <w:rFonts w:asciiTheme="minorHAnsi" w:hAnsiTheme="minorHAnsi"/>
        </w:rPr>
        <w:t>will</w:t>
      </w:r>
      <w:r w:rsidR="00617CCC" w:rsidRPr="74902BFB">
        <w:rPr>
          <w:rFonts w:asciiTheme="minorHAnsi" w:hAnsiTheme="minorHAnsi"/>
        </w:rPr>
        <w:t xml:space="preserve"> provide the</w:t>
      </w:r>
      <w:r w:rsidR="00C27221" w:rsidRPr="74902BFB">
        <w:rPr>
          <w:rFonts w:asciiTheme="minorHAnsi" w:hAnsiTheme="minorHAnsi"/>
        </w:rPr>
        <w:t xml:space="preserve"> Patient Panel </w:t>
      </w:r>
      <w:r w:rsidR="00967067" w:rsidRPr="74902BFB">
        <w:rPr>
          <w:rFonts w:asciiTheme="minorHAnsi" w:hAnsiTheme="minorHAnsi"/>
        </w:rPr>
        <w:t xml:space="preserve">with </w:t>
      </w:r>
      <w:r w:rsidR="00617CCC" w:rsidRPr="74902BFB">
        <w:rPr>
          <w:rFonts w:asciiTheme="minorHAnsi" w:hAnsiTheme="minorHAnsi"/>
        </w:rPr>
        <w:t xml:space="preserve">an </w:t>
      </w:r>
      <w:r w:rsidRPr="74902BFB">
        <w:rPr>
          <w:rFonts w:asciiTheme="minorHAnsi" w:hAnsiTheme="minorHAnsi"/>
        </w:rPr>
        <w:t xml:space="preserve">alternative to </w:t>
      </w:r>
      <w:r w:rsidR="00C27221" w:rsidRPr="74902BFB">
        <w:rPr>
          <w:rFonts w:asciiTheme="minorHAnsi" w:hAnsiTheme="minorHAnsi"/>
        </w:rPr>
        <w:t xml:space="preserve">receiving </w:t>
      </w:r>
      <w:r w:rsidR="00617CCC" w:rsidRPr="74902BFB">
        <w:rPr>
          <w:rFonts w:asciiTheme="minorHAnsi" w:hAnsiTheme="minorHAnsi"/>
        </w:rPr>
        <w:t>services</w:t>
      </w:r>
      <w:r w:rsidRPr="74902BFB">
        <w:rPr>
          <w:rFonts w:asciiTheme="minorHAnsi" w:hAnsiTheme="minorHAnsi"/>
        </w:rPr>
        <w:t xml:space="preserve"> in the hospital setting</w:t>
      </w:r>
      <w:r w:rsidR="00237372" w:rsidRPr="74902BFB">
        <w:rPr>
          <w:rFonts w:asciiTheme="minorHAnsi" w:hAnsiTheme="minorHAnsi"/>
        </w:rPr>
        <w:t xml:space="preserve"> or at other ASCs located f</w:t>
      </w:r>
      <w:r w:rsidR="00950010" w:rsidRPr="74902BFB">
        <w:rPr>
          <w:rFonts w:asciiTheme="minorHAnsi" w:hAnsiTheme="minorHAnsi"/>
        </w:rPr>
        <w:t>u</w:t>
      </w:r>
      <w:r w:rsidR="00237372" w:rsidRPr="74902BFB">
        <w:rPr>
          <w:rFonts w:asciiTheme="minorHAnsi" w:hAnsiTheme="minorHAnsi"/>
        </w:rPr>
        <w:t>rther away</w:t>
      </w:r>
      <w:r w:rsidR="00617CCC" w:rsidRPr="74902BFB">
        <w:rPr>
          <w:rFonts w:asciiTheme="minorHAnsi" w:hAnsiTheme="minorHAnsi"/>
        </w:rPr>
        <w:t>, which</w:t>
      </w:r>
      <w:r w:rsidR="00D211A2" w:rsidRPr="74902BFB">
        <w:rPr>
          <w:rFonts w:asciiTheme="minorHAnsi" w:hAnsiTheme="minorHAnsi"/>
        </w:rPr>
        <w:t xml:space="preserve"> can result in</w:t>
      </w:r>
      <w:r w:rsidRPr="74902BFB">
        <w:rPr>
          <w:rFonts w:asciiTheme="minorHAnsi" w:hAnsiTheme="minorHAnsi"/>
        </w:rPr>
        <w:t xml:space="preserve"> cost savings to insurers and patients. </w:t>
      </w:r>
    </w:p>
    <w:p w14:paraId="3DAF6559" w14:textId="77777777" w:rsidR="008917DC" w:rsidRPr="008440BF" w:rsidRDefault="008917DC" w:rsidP="008917DC">
      <w:pPr>
        <w:spacing w:before="87"/>
        <w:rPr>
          <w:rFonts w:asciiTheme="minorHAnsi" w:hAnsiTheme="minorHAnsi"/>
          <w:b/>
          <w:color w:val="42558C"/>
          <w:sz w:val="28"/>
          <w:highlight w:val="yellow"/>
        </w:rPr>
      </w:pPr>
      <w:bookmarkStart w:id="3" w:name="Patient_Panel3F"/>
      <w:bookmarkEnd w:id="3"/>
    </w:p>
    <w:p w14:paraId="0723DB56" w14:textId="48E6148E" w:rsidR="00B447F3" w:rsidRPr="008440BF" w:rsidRDefault="00A4110F" w:rsidP="00C776B7">
      <w:pPr>
        <w:pStyle w:val="Heading1"/>
        <w:ind w:left="0"/>
        <w:rPr>
          <w:rFonts w:asciiTheme="minorHAnsi" w:hAnsiTheme="minorHAnsi"/>
        </w:rPr>
      </w:pPr>
      <w:bookmarkStart w:id="4" w:name="_Toc166249374"/>
      <w:r w:rsidRPr="008440BF">
        <w:rPr>
          <w:rFonts w:asciiTheme="minorHAnsi" w:hAnsiTheme="minorHAnsi"/>
          <w:color w:val="1F497D" w:themeColor="text2"/>
        </w:rPr>
        <w:t>Patient Panel</w:t>
      </w:r>
      <w:r w:rsidR="000F1587" w:rsidRPr="008440BF">
        <w:rPr>
          <w:rStyle w:val="FootnoteReference"/>
          <w:rFonts w:asciiTheme="minorHAnsi" w:hAnsiTheme="minorHAnsi"/>
          <w:color w:val="42558C"/>
        </w:rPr>
        <w:footnoteReference w:id="4"/>
      </w:r>
      <w:bookmarkEnd w:id="4"/>
    </w:p>
    <w:p w14:paraId="4E66DA15" w14:textId="17AC79CD" w:rsidR="007332ED" w:rsidRPr="008440BF" w:rsidRDefault="007332ED" w:rsidP="306DA086">
      <w:pPr>
        <w:spacing w:after="240"/>
        <w:rPr>
          <w:rFonts w:asciiTheme="minorHAnsi" w:hAnsiTheme="minorHAnsi"/>
        </w:rPr>
      </w:pPr>
      <w:r w:rsidRPr="306DA086">
        <w:rPr>
          <w:rFonts w:asciiTheme="minorHAnsi" w:hAnsiTheme="minorHAnsi"/>
        </w:rPr>
        <w:t xml:space="preserve">The Proposed Project is for a new entity, which has no existing Patient Panel. The discussion of Patient Panel </w:t>
      </w:r>
      <w:r w:rsidRPr="306DA086">
        <w:rPr>
          <w:rFonts w:asciiTheme="minorHAnsi" w:hAnsiTheme="minorHAnsi"/>
          <w:sz w:val="23"/>
          <w:szCs w:val="23"/>
        </w:rPr>
        <w:t xml:space="preserve">in this analysis refers to </w:t>
      </w:r>
      <w:r w:rsidRPr="306DA086">
        <w:rPr>
          <w:rFonts w:asciiTheme="minorHAnsi" w:hAnsiTheme="minorHAnsi"/>
        </w:rPr>
        <w:t>the</w:t>
      </w:r>
      <w:r w:rsidR="008E650B" w:rsidRPr="306DA086">
        <w:rPr>
          <w:rFonts w:asciiTheme="minorHAnsi" w:hAnsiTheme="minorHAnsi"/>
        </w:rPr>
        <w:t xml:space="preserve"> patients</w:t>
      </w:r>
      <w:r w:rsidR="00EC798F" w:rsidRPr="306DA086">
        <w:rPr>
          <w:rFonts w:asciiTheme="minorHAnsi" w:hAnsiTheme="minorHAnsi"/>
        </w:rPr>
        <w:t xml:space="preserve"> of the</w:t>
      </w:r>
      <w:r w:rsidRPr="306DA086">
        <w:rPr>
          <w:rFonts w:asciiTheme="minorHAnsi" w:hAnsiTheme="minorHAnsi"/>
        </w:rPr>
        <w:t xml:space="preserve"> health care facilities affiliated with the Applicant</w:t>
      </w:r>
      <w:r w:rsidRPr="306DA086">
        <w:rPr>
          <w:rFonts w:asciiTheme="minorHAnsi" w:hAnsiTheme="minorHAnsi"/>
          <w:sz w:val="23"/>
          <w:szCs w:val="23"/>
        </w:rPr>
        <w:t xml:space="preserve">, as directed by the regulation. </w:t>
      </w:r>
      <w:r w:rsidRPr="306DA086">
        <w:rPr>
          <w:rFonts w:asciiTheme="minorHAnsi" w:hAnsiTheme="minorHAnsi"/>
        </w:rPr>
        <w:t xml:space="preserve">The Applicant relied on patient data from BID Plymouth and PBOA’s Outpatient Orthopedic Surgery Panel </w:t>
      </w:r>
      <w:r w:rsidR="003C702D">
        <w:rPr>
          <w:rFonts w:asciiTheme="minorHAnsi" w:hAnsiTheme="minorHAnsi"/>
        </w:rPr>
        <w:t xml:space="preserve">as the </w:t>
      </w:r>
      <w:r w:rsidR="00F40C0D">
        <w:rPr>
          <w:rFonts w:asciiTheme="minorHAnsi" w:hAnsiTheme="minorHAnsi"/>
        </w:rPr>
        <w:t xml:space="preserve">population </w:t>
      </w:r>
      <w:r w:rsidR="000931E3">
        <w:rPr>
          <w:rFonts w:asciiTheme="minorHAnsi" w:hAnsiTheme="minorHAnsi"/>
        </w:rPr>
        <w:t xml:space="preserve">currently using the services </w:t>
      </w:r>
      <w:r w:rsidR="0013074E">
        <w:rPr>
          <w:rFonts w:asciiTheme="minorHAnsi" w:hAnsiTheme="minorHAnsi"/>
        </w:rPr>
        <w:t xml:space="preserve">proposed by the ASC </w:t>
      </w:r>
      <w:r w:rsidRPr="306DA086">
        <w:rPr>
          <w:rFonts w:asciiTheme="minorHAnsi" w:hAnsiTheme="minorHAnsi"/>
        </w:rPr>
        <w:t xml:space="preserve">to assess the need for the Proposed Project. Staff finds this is an acceptable way to define Patient Panel. </w:t>
      </w:r>
      <w:bookmarkStart w:id="5" w:name="Patient_Information_(2019)"/>
      <w:bookmarkEnd w:id="5"/>
    </w:p>
    <w:p w14:paraId="5AC945B2" w14:textId="3319D972" w:rsidR="007332ED" w:rsidRPr="008440BF" w:rsidRDefault="007332ED" w:rsidP="00AF344F">
      <w:pPr>
        <w:jc w:val="center"/>
        <w:rPr>
          <w:rFonts w:asciiTheme="minorHAnsi" w:hAnsiTheme="minorHAnsi"/>
          <w:b/>
          <w:bCs/>
        </w:rPr>
      </w:pPr>
      <w:r w:rsidRPr="008440BF">
        <w:rPr>
          <w:rFonts w:asciiTheme="minorHAnsi" w:hAnsiTheme="minorHAnsi"/>
          <w:b/>
          <w:bCs/>
          <w:u w:val="single"/>
        </w:rPr>
        <w:t xml:space="preserve">Table </w:t>
      </w:r>
      <w:r w:rsidR="00F90FC0" w:rsidRPr="008440BF">
        <w:rPr>
          <w:rFonts w:asciiTheme="minorHAnsi" w:hAnsiTheme="minorHAnsi"/>
          <w:b/>
          <w:bCs/>
          <w:u w:val="single"/>
        </w:rPr>
        <w:t>1</w:t>
      </w:r>
      <w:r w:rsidRPr="008440BF">
        <w:rPr>
          <w:rFonts w:asciiTheme="minorHAnsi" w:hAnsiTheme="minorHAnsi"/>
          <w:b/>
          <w:bCs/>
          <w:u w:val="single"/>
        </w:rPr>
        <w:t>:</w:t>
      </w:r>
      <w:r w:rsidRPr="008440BF">
        <w:rPr>
          <w:rFonts w:asciiTheme="minorHAnsi" w:hAnsiTheme="minorHAnsi"/>
          <w:b/>
          <w:bCs/>
        </w:rPr>
        <w:t xml:space="preserve"> Overview of </w:t>
      </w:r>
      <w:r w:rsidR="00AF344F" w:rsidRPr="008440BF">
        <w:rPr>
          <w:rFonts w:asciiTheme="minorHAnsi" w:hAnsiTheme="minorHAnsi"/>
          <w:b/>
          <w:bCs/>
        </w:rPr>
        <w:t xml:space="preserve">Unique </w:t>
      </w:r>
      <w:r w:rsidRPr="008440BF">
        <w:rPr>
          <w:rFonts w:asciiTheme="minorHAnsi" w:hAnsiTheme="minorHAnsi"/>
          <w:b/>
          <w:bCs/>
        </w:rPr>
        <w:t>Patient</w:t>
      </w:r>
      <w:r w:rsidR="00457A25" w:rsidRPr="008440BF">
        <w:rPr>
          <w:rFonts w:asciiTheme="minorHAnsi" w:hAnsiTheme="minorHAnsi"/>
          <w:b/>
          <w:bCs/>
        </w:rPr>
        <w:t>s</w:t>
      </w:r>
      <w:r w:rsidRPr="008440BF">
        <w:rPr>
          <w:rFonts w:asciiTheme="minorHAnsi" w:hAnsiTheme="minorHAnsi"/>
          <w:b/>
          <w:bCs/>
        </w:rPr>
        <w:t xml:space="preserve"> Served by Affiliated Health Care Facilities</w:t>
      </w:r>
    </w:p>
    <w:tbl>
      <w:tblPr>
        <w:tblStyle w:val="TableGrid"/>
        <w:tblW w:w="0" w:type="auto"/>
        <w:jc w:val="center"/>
        <w:tblLook w:val="04A0" w:firstRow="1" w:lastRow="0" w:firstColumn="1" w:lastColumn="0" w:noHBand="0" w:noVBand="1"/>
      </w:tblPr>
      <w:tblGrid>
        <w:gridCol w:w="2452"/>
        <w:gridCol w:w="2452"/>
        <w:gridCol w:w="2453"/>
        <w:gridCol w:w="2453"/>
      </w:tblGrid>
      <w:tr w:rsidR="007332ED" w:rsidRPr="008440BF" w14:paraId="0BA3DBBB" w14:textId="77777777" w:rsidTr="003B243A">
        <w:trPr>
          <w:cantSplit/>
          <w:tblHeader/>
          <w:jc w:val="center"/>
        </w:trPr>
        <w:tc>
          <w:tcPr>
            <w:tcW w:w="2452" w:type="dxa"/>
            <w:shd w:val="clear" w:color="auto" w:fill="D9D9D9" w:themeFill="background1" w:themeFillShade="D9"/>
          </w:tcPr>
          <w:p w14:paraId="7683B758" w14:textId="77777777" w:rsidR="007332ED" w:rsidRPr="008440BF" w:rsidRDefault="007332ED" w:rsidP="00C22C69">
            <w:pPr>
              <w:spacing w:after="240"/>
              <w:rPr>
                <w:rFonts w:asciiTheme="minorHAnsi" w:hAnsiTheme="minorHAnsi"/>
                <w:b/>
                <w:bCs/>
              </w:rPr>
            </w:pPr>
          </w:p>
        </w:tc>
        <w:tc>
          <w:tcPr>
            <w:tcW w:w="2452" w:type="dxa"/>
            <w:shd w:val="clear" w:color="auto" w:fill="D9D9D9" w:themeFill="background1" w:themeFillShade="D9"/>
          </w:tcPr>
          <w:p w14:paraId="361DAA93" w14:textId="77777777" w:rsidR="007332ED" w:rsidRPr="008440BF" w:rsidRDefault="007332ED" w:rsidP="16788216">
            <w:pPr>
              <w:spacing w:after="240"/>
              <w:jc w:val="center"/>
              <w:rPr>
                <w:rFonts w:asciiTheme="minorHAnsi" w:hAnsiTheme="minorHAnsi"/>
                <w:b/>
                <w:bCs/>
              </w:rPr>
            </w:pPr>
            <w:r w:rsidRPr="16788216">
              <w:rPr>
                <w:rFonts w:asciiTheme="minorHAnsi" w:hAnsiTheme="minorHAnsi"/>
                <w:b/>
                <w:bCs/>
              </w:rPr>
              <w:t>2021</w:t>
            </w:r>
          </w:p>
        </w:tc>
        <w:tc>
          <w:tcPr>
            <w:tcW w:w="2453" w:type="dxa"/>
            <w:shd w:val="clear" w:color="auto" w:fill="D9D9D9" w:themeFill="background1" w:themeFillShade="D9"/>
          </w:tcPr>
          <w:p w14:paraId="2B2589C4" w14:textId="77777777" w:rsidR="007332ED" w:rsidRPr="008440BF" w:rsidRDefault="007332ED" w:rsidP="00DD5E61">
            <w:pPr>
              <w:spacing w:after="240"/>
              <w:jc w:val="center"/>
              <w:rPr>
                <w:rFonts w:asciiTheme="minorHAnsi" w:hAnsiTheme="minorHAnsi"/>
                <w:b/>
                <w:bCs/>
              </w:rPr>
            </w:pPr>
            <w:r w:rsidRPr="008440BF">
              <w:rPr>
                <w:rFonts w:asciiTheme="minorHAnsi" w:hAnsiTheme="minorHAnsi"/>
                <w:b/>
                <w:bCs/>
              </w:rPr>
              <w:t>2022</w:t>
            </w:r>
          </w:p>
        </w:tc>
        <w:tc>
          <w:tcPr>
            <w:tcW w:w="2453" w:type="dxa"/>
            <w:shd w:val="clear" w:color="auto" w:fill="D9D9D9" w:themeFill="background1" w:themeFillShade="D9"/>
          </w:tcPr>
          <w:p w14:paraId="5A22FF2A" w14:textId="77777777" w:rsidR="007332ED" w:rsidRPr="008440BF" w:rsidRDefault="007332ED" w:rsidP="16788216">
            <w:pPr>
              <w:spacing w:after="240"/>
              <w:jc w:val="center"/>
              <w:rPr>
                <w:rFonts w:asciiTheme="minorHAnsi" w:hAnsiTheme="minorHAnsi"/>
                <w:b/>
                <w:bCs/>
              </w:rPr>
            </w:pPr>
            <w:r w:rsidRPr="16788216">
              <w:rPr>
                <w:rFonts w:asciiTheme="minorHAnsi" w:hAnsiTheme="minorHAnsi"/>
                <w:b/>
                <w:bCs/>
              </w:rPr>
              <w:t>2023</w:t>
            </w:r>
          </w:p>
        </w:tc>
      </w:tr>
      <w:tr w:rsidR="007332ED" w:rsidRPr="008440BF" w14:paraId="5D9509B6" w14:textId="77777777" w:rsidTr="003B243A">
        <w:trPr>
          <w:cantSplit/>
          <w:jc w:val="center"/>
        </w:trPr>
        <w:tc>
          <w:tcPr>
            <w:tcW w:w="2452" w:type="dxa"/>
            <w:shd w:val="clear" w:color="auto" w:fill="F2F2F2" w:themeFill="background1" w:themeFillShade="F2"/>
          </w:tcPr>
          <w:p w14:paraId="283156DF" w14:textId="4199A521" w:rsidR="007332ED" w:rsidRPr="008440BF" w:rsidRDefault="007332ED" w:rsidP="00C22C69">
            <w:pPr>
              <w:spacing w:after="240"/>
              <w:rPr>
                <w:rFonts w:asciiTheme="minorHAnsi" w:hAnsiTheme="minorHAnsi"/>
                <w:b/>
                <w:bCs/>
              </w:rPr>
            </w:pPr>
            <w:r w:rsidRPr="008440BF">
              <w:rPr>
                <w:rFonts w:asciiTheme="minorHAnsi" w:hAnsiTheme="minorHAnsi"/>
                <w:b/>
                <w:bCs/>
              </w:rPr>
              <w:t>BID Plymouth</w:t>
            </w:r>
            <w:r w:rsidR="00D71048">
              <w:rPr>
                <w:rStyle w:val="FootnoteReference"/>
                <w:rFonts w:asciiTheme="minorHAnsi" w:hAnsiTheme="minorHAnsi"/>
                <w:b/>
                <w:bCs/>
              </w:rPr>
              <w:footnoteReference w:id="5"/>
            </w:r>
          </w:p>
        </w:tc>
        <w:tc>
          <w:tcPr>
            <w:tcW w:w="2452" w:type="dxa"/>
          </w:tcPr>
          <w:p w14:paraId="07DE7CDC" w14:textId="77777777" w:rsidR="007332ED" w:rsidRPr="008440BF" w:rsidRDefault="007332ED" w:rsidP="00DD5E61">
            <w:pPr>
              <w:spacing w:after="240"/>
              <w:jc w:val="center"/>
              <w:rPr>
                <w:rFonts w:asciiTheme="minorHAnsi" w:hAnsiTheme="minorHAnsi"/>
              </w:rPr>
            </w:pPr>
            <w:r w:rsidRPr="008440BF">
              <w:rPr>
                <w:rFonts w:asciiTheme="minorHAnsi" w:hAnsiTheme="minorHAnsi"/>
              </w:rPr>
              <w:t>89,731</w:t>
            </w:r>
          </w:p>
        </w:tc>
        <w:tc>
          <w:tcPr>
            <w:tcW w:w="2453" w:type="dxa"/>
          </w:tcPr>
          <w:p w14:paraId="7D68C136" w14:textId="77777777" w:rsidR="007332ED" w:rsidRPr="008440BF" w:rsidRDefault="007332ED" w:rsidP="00DD5E61">
            <w:pPr>
              <w:spacing w:after="240"/>
              <w:jc w:val="center"/>
              <w:rPr>
                <w:rFonts w:asciiTheme="minorHAnsi" w:hAnsiTheme="minorHAnsi"/>
              </w:rPr>
            </w:pPr>
            <w:r w:rsidRPr="008440BF">
              <w:rPr>
                <w:rFonts w:asciiTheme="minorHAnsi" w:hAnsiTheme="minorHAnsi"/>
              </w:rPr>
              <w:t>83,796</w:t>
            </w:r>
          </w:p>
        </w:tc>
        <w:tc>
          <w:tcPr>
            <w:tcW w:w="2453" w:type="dxa"/>
          </w:tcPr>
          <w:p w14:paraId="36C924C9" w14:textId="77777777" w:rsidR="007332ED" w:rsidRPr="008440BF" w:rsidRDefault="007332ED" w:rsidP="00DD5E61">
            <w:pPr>
              <w:spacing w:after="240"/>
              <w:jc w:val="center"/>
              <w:rPr>
                <w:rFonts w:asciiTheme="minorHAnsi" w:hAnsiTheme="minorHAnsi"/>
              </w:rPr>
            </w:pPr>
            <w:r w:rsidRPr="008440BF">
              <w:rPr>
                <w:rFonts w:asciiTheme="minorHAnsi" w:hAnsiTheme="minorHAnsi"/>
              </w:rPr>
              <w:t>82,191</w:t>
            </w:r>
          </w:p>
        </w:tc>
      </w:tr>
      <w:tr w:rsidR="007332ED" w:rsidRPr="008440BF" w14:paraId="2E8B72AF" w14:textId="77777777" w:rsidTr="003B243A">
        <w:trPr>
          <w:cantSplit/>
          <w:jc w:val="center"/>
        </w:trPr>
        <w:tc>
          <w:tcPr>
            <w:tcW w:w="2452" w:type="dxa"/>
            <w:shd w:val="clear" w:color="auto" w:fill="F2F2F2" w:themeFill="background1" w:themeFillShade="F2"/>
          </w:tcPr>
          <w:p w14:paraId="39A26B07" w14:textId="23FE8533" w:rsidR="007332ED" w:rsidRPr="008440BF" w:rsidRDefault="007332ED" w:rsidP="00C22C69">
            <w:pPr>
              <w:spacing w:after="240"/>
              <w:rPr>
                <w:rFonts w:asciiTheme="minorHAnsi" w:hAnsiTheme="minorHAnsi"/>
                <w:b/>
                <w:bCs/>
              </w:rPr>
            </w:pPr>
            <w:r w:rsidRPr="008440BF">
              <w:rPr>
                <w:rFonts w:asciiTheme="minorHAnsi" w:hAnsiTheme="minorHAnsi"/>
                <w:b/>
                <w:bCs/>
              </w:rPr>
              <w:t>PBOA</w:t>
            </w:r>
            <w:r w:rsidR="00DB01C5" w:rsidRPr="008440BF">
              <w:rPr>
                <w:rFonts w:asciiTheme="minorHAnsi" w:hAnsiTheme="minorHAnsi"/>
                <w:b/>
                <w:bCs/>
              </w:rPr>
              <w:t xml:space="preserve"> Surgical Panel</w:t>
            </w:r>
            <w:r w:rsidR="0020019D">
              <w:rPr>
                <w:rStyle w:val="FootnoteReference"/>
                <w:rFonts w:asciiTheme="minorHAnsi" w:hAnsiTheme="minorHAnsi"/>
                <w:b/>
                <w:bCs/>
              </w:rPr>
              <w:footnoteReference w:id="6"/>
            </w:r>
            <w:r w:rsidR="0020019D" w:rsidRPr="0020019D">
              <w:rPr>
                <w:rFonts w:asciiTheme="minorHAnsi" w:hAnsiTheme="minorHAnsi"/>
                <w:b/>
                <w:bCs/>
                <w:vertAlign w:val="superscript"/>
              </w:rPr>
              <w:t>,</w:t>
            </w:r>
            <w:r w:rsidR="006C2EDB" w:rsidRPr="008440BF">
              <w:rPr>
                <w:rStyle w:val="FootnoteReference"/>
                <w:rFonts w:asciiTheme="minorHAnsi" w:hAnsiTheme="minorHAnsi"/>
                <w:b/>
                <w:bCs/>
              </w:rPr>
              <w:footnoteReference w:id="7"/>
            </w:r>
          </w:p>
        </w:tc>
        <w:tc>
          <w:tcPr>
            <w:tcW w:w="2452" w:type="dxa"/>
          </w:tcPr>
          <w:p w14:paraId="26F0B234" w14:textId="77777777" w:rsidR="007332ED" w:rsidRPr="008440BF" w:rsidRDefault="007332ED" w:rsidP="00DD5E61">
            <w:pPr>
              <w:spacing w:after="240"/>
              <w:jc w:val="center"/>
              <w:rPr>
                <w:rFonts w:asciiTheme="minorHAnsi" w:hAnsiTheme="minorHAnsi"/>
              </w:rPr>
            </w:pPr>
            <w:r w:rsidRPr="008440BF">
              <w:rPr>
                <w:rFonts w:asciiTheme="minorHAnsi" w:hAnsiTheme="minorHAnsi"/>
              </w:rPr>
              <w:t>1,700</w:t>
            </w:r>
          </w:p>
        </w:tc>
        <w:tc>
          <w:tcPr>
            <w:tcW w:w="2453" w:type="dxa"/>
          </w:tcPr>
          <w:p w14:paraId="7AF13361" w14:textId="77777777" w:rsidR="007332ED" w:rsidRPr="008440BF" w:rsidRDefault="007332ED" w:rsidP="00DD5E61">
            <w:pPr>
              <w:spacing w:after="240"/>
              <w:jc w:val="center"/>
              <w:rPr>
                <w:rFonts w:asciiTheme="minorHAnsi" w:hAnsiTheme="minorHAnsi"/>
              </w:rPr>
            </w:pPr>
            <w:r w:rsidRPr="008440BF">
              <w:rPr>
                <w:rFonts w:asciiTheme="minorHAnsi" w:hAnsiTheme="minorHAnsi"/>
              </w:rPr>
              <w:t>2,644</w:t>
            </w:r>
          </w:p>
        </w:tc>
        <w:tc>
          <w:tcPr>
            <w:tcW w:w="2453" w:type="dxa"/>
          </w:tcPr>
          <w:p w14:paraId="124CFCD0" w14:textId="77777777" w:rsidR="007332ED" w:rsidRPr="008440BF" w:rsidRDefault="007332ED" w:rsidP="00DD5E61">
            <w:pPr>
              <w:spacing w:after="240"/>
              <w:jc w:val="center"/>
              <w:rPr>
                <w:rFonts w:asciiTheme="minorHAnsi" w:hAnsiTheme="minorHAnsi"/>
              </w:rPr>
            </w:pPr>
            <w:r w:rsidRPr="008440BF">
              <w:rPr>
                <w:rFonts w:asciiTheme="minorHAnsi" w:hAnsiTheme="minorHAnsi"/>
              </w:rPr>
              <w:t>2,892</w:t>
            </w:r>
          </w:p>
        </w:tc>
      </w:tr>
      <w:tr w:rsidR="00DB01C5" w:rsidRPr="008440BF" w14:paraId="63E8D853" w14:textId="77777777" w:rsidTr="003B243A">
        <w:trPr>
          <w:cantSplit/>
          <w:jc w:val="center"/>
        </w:trPr>
        <w:tc>
          <w:tcPr>
            <w:tcW w:w="2452" w:type="dxa"/>
            <w:shd w:val="clear" w:color="auto" w:fill="F2F2F2" w:themeFill="background1" w:themeFillShade="F2"/>
          </w:tcPr>
          <w:p w14:paraId="279C9824" w14:textId="4099A39D" w:rsidR="00DB01C5" w:rsidRPr="008440BF" w:rsidRDefault="00DB01C5" w:rsidP="00C22C69">
            <w:pPr>
              <w:spacing w:after="240"/>
              <w:rPr>
                <w:rFonts w:asciiTheme="minorHAnsi" w:hAnsiTheme="minorHAnsi"/>
                <w:b/>
                <w:bCs/>
              </w:rPr>
            </w:pPr>
            <w:r w:rsidRPr="008440BF">
              <w:rPr>
                <w:rFonts w:asciiTheme="minorHAnsi" w:hAnsiTheme="minorHAnsi"/>
                <w:b/>
                <w:bCs/>
              </w:rPr>
              <w:t xml:space="preserve">BID Plymouth Orthopedic Surgical </w:t>
            </w:r>
            <w:r w:rsidR="00C334D3" w:rsidRPr="008440BF">
              <w:rPr>
                <w:rFonts w:asciiTheme="minorHAnsi" w:hAnsiTheme="minorHAnsi"/>
                <w:b/>
                <w:bCs/>
              </w:rPr>
              <w:t>Population</w:t>
            </w:r>
          </w:p>
        </w:tc>
        <w:tc>
          <w:tcPr>
            <w:tcW w:w="2452" w:type="dxa"/>
          </w:tcPr>
          <w:p w14:paraId="3D855A25" w14:textId="7D87117D" w:rsidR="00DB01C5" w:rsidRPr="008440BF" w:rsidRDefault="006C0ADD" w:rsidP="00DD5E61">
            <w:pPr>
              <w:spacing w:after="240"/>
              <w:jc w:val="center"/>
              <w:rPr>
                <w:rFonts w:asciiTheme="minorHAnsi" w:hAnsiTheme="minorHAnsi"/>
              </w:rPr>
            </w:pPr>
            <w:r w:rsidRPr="008440BF">
              <w:rPr>
                <w:rFonts w:asciiTheme="minorHAnsi" w:hAnsiTheme="minorHAnsi"/>
              </w:rPr>
              <w:t>2,309</w:t>
            </w:r>
          </w:p>
        </w:tc>
        <w:tc>
          <w:tcPr>
            <w:tcW w:w="2453" w:type="dxa"/>
          </w:tcPr>
          <w:p w14:paraId="3FE018B4" w14:textId="242EA637" w:rsidR="00DB01C5" w:rsidRPr="008440BF" w:rsidRDefault="007052A9" w:rsidP="00DD5E61">
            <w:pPr>
              <w:spacing w:after="240"/>
              <w:jc w:val="center"/>
              <w:rPr>
                <w:rFonts w:asciiTheme="minorHAnsi" w:hAnsiTheme="minorHAnsi"/>
              </w:rPr>
            </w:pPr>
            <w:r w:rsidRPr="008440BF">
              <w:rPr>
                <w:rFonts w:asciiTheme="minorHAnsi" w:hAnsiTheme="minorHAnsi"/>
              </w:rPr>
              <w:t>2,417</w:t>
            </w:r>
          </w:p>
        </w:tc>
        <w:tc>
          <w:tcPr>
            <w:tcW w:w="2453" w:type="dxa"/>
          </w:tcPr>
          <w:p w14:paraId="13209460" w14:textId="08E0CB23" w:rsidR="00DB01C5" w:rsidRPr="008440BF" w:rsidRDefault="0032794D" w:rsidP="00DD5E61">
            <w:pPr>
              <w:spacing w:after="240"/>
              <w:jc w:val="center"/>
              <w:rPr>
                <w:rFonts w:asciiTheme="minorHAnsi" w:hAnsiTheme="minorHAnsi"/>
              </w:rPr>
            </w:pPr>
            <w:r w:rsidRPr="008440BF">
              <w:rPr>
                <w:rFonts w:asciiTheme="minorHAnsi" w:hAnsiTheme="minorHAnsi"/>
              </w:rPr>
              <w:t>2,542</w:t>
            </w:r>
          </w:p>
        </w:tc>
      </w:tr>
    </w:tbl>
    <w:p w14:paraId="36BB631D" w14:textId="77777777" w:rsidR="007332ED" w:rsidRPr="008440BF" w:rsidRDefault="007332ED" w:rsidP="007332ED">
      <w:pPr>
        <w:spacing w:after="240"/>
        <w:rPr>
          <w:rFonts w:asciiTheme="minorHAnsi" w:hAnsiTheme="minorHAnsi"/>
          <w:sz w:val="20"/>
        </w:rPr>
      </w:pPr>
    </w:p>
    <w:p w14:paraId="4DD62A93" w14:textId="693C32AF" w:rsidR="007332ED" w:rsidRPr="008440BF" w:rsidRDefault="007332ED" w:rsidP="007332ED">
      <w:pPr>
        <w:pStyle w:val="BodyText"/>
        <w:spacing w:before="1"/>
        <w:rPr>
          <w:rFonts w:asciiTheme="minorHAnsi" w:hAnsiTheme="minorHAnsi"/>
          <w:highlight w:val="yellow"/>
        </w:rPr>
      </w:pPr>
      <w:r w:rsidRPr="008440BF">
        <w:rPr>
          <w:rFonts w:asciiTheme="minorHAnsi" w:hAnsiTheme="minorHAnsi"/>
        </w:rPr>
        <w:t xml:space="preserve">Table </w:t>
      </w:r>
      <w:r w:rsidR="00F90FC0" w:rsidRPr="008440BF">
        <w:rPr>
          <w:rFonts w:asciiTheme="minorHAnsi" w:hAnsiTheme="minorHAnsi"/>
        </w:rPr>
        <w:t>2</w:t>
      </w:r>
      <w:r w:rsidRPr="008440BF">
        <w:rPr>
          <w:rFonts w:asciiTheme="minorHAnsi" w:hAnsiTheme="minorHAnsi"/>
        </w:rPr>
        <w:t xml:space="preserve"> presents patient information for the BID Plymouth’s overall patient population during fiscal year (FY)2023. Staff notes the following observations about these data below:</w:t>
      </w:r>
    </w:p>
    <w:p w14:paraId="2C2C177B" w14:textId="77777777" w:rsidR="007332ED" w:rsidRPr="008440BF" w:rsidRDefault="007332ED" w:rsidP="007332ED">
      <w:pPr>
        <w:pStyle w:val="ListParagraph"/>
        <w:numPr>
          <w:ilvl w:val="0"/>
          <w:numId w:val="8"/>
        </w:numPr>
        <w:tabs>
          <w:tab w:val="left" w:pos="939"/>
          <w:tab w:val="left" w:pos="940"/>
        </w:tabs>
        <w:ind w:left="939" w:right="896"/>
        <w:rPr>
          <w:rFonts w:asciiTheme="minorHAnsi" w:hAnsiTheme="minorHAnsi"/>
        </w:rPr>
      </w:pPr>
      <w:r w:rsidRPr="008440BF">
        <w:rPr>
          <w:rFonts w:asciiTheme="minorHAnsi" w:hAnsiTheme="minorHAnsi"/>
          <w:b/>
        </w:rPr>
        <w:t xml:space="preserve">Age: </w:t>
      </w:r>
      <w:r w:rsidRPr="008440BF">
        <w:rPr>
          <w:rFonts w:asciiTheme="minorHAnsi" w:hAnsiTheme="minorHAnsi"/>
          <w:bCs/>
        </w:rPr>
        <w:t>Patients aged 65+ were the largest cohort at 37%, follow closely by the 45-</w:t>
      </w:r>
      <w:r w:rsidRPr="008440BF">
        <w:rPr>
          <w:rFonts w:asciiTheme="minorHAnsi" w:hAnsiTheme="minorHAnsi"/>
          <w:bCs/>
        </w:rPr>
        <w:lastRenderedPageBreak/>
        <w:t>64 age range at 29%</w:t>
      </w:r>
    </w:p>
    <w:p w14:paraId="328D8780" w14:textId="3E47E4E5" w:rsidR="007332ED" w:rsidRPr="008440BF" w:rsidRDefault="007332ED" w:rsidP="0460F6A4">
      <w:pPr>
        <w:pStyle w:val="ListParagraph"/>
        <w:numPr>
          <w:ilvl w:val="0"/>
          <w:numId w:val="8"/>
        </w:numPr>
        <w:tabs>
          <w:tab w:val="left" w:pos="939"/>
          <w:tab w:val="left" w:pos="940"/>
        </w:tabs>
        <w:spacing w:before="4"/>
        <w:ind w:left="939" w:right="270"/>
        <w:rPr>
          <w:rFonts w:asciiTheme="minorHAnsi" w:hAnsiTheme="minorHAnsi"/>
        </w:rPr>
      </w:pPr>
      <w:r w:rsidRPr="0460F6A4">
        <w:rPr>
          <w:rFonts w:asciiTheme="minorHAnsi" w:hAnsiTheme="minorHAnsi"/>
          <w:b/>
          <w:bCs/>
        </w:rPr>
        <w:t xml:space="preserve">Race/Ethnicity: </w:t>
      </w:r>
      <w:r w:rsidRPr="0460F6A4">
        <w:rPr>
          <w:rFonts w:asciiTheme="minorHAnsi" w:hAnsiTheme="minorHAnsi"/>
        </w:rPr>
        <w:t xml:space="preserve"> majority of patients (88%) identified as White (non-Hispanic), which is slightly higher than the 2020 US Census for Plymouth County of 83% White.</w:t>
      </w:r>
      <w:r w:rsidRPr="0460F6A4">
        <w:rPr>
          <w:rStyle w:val="EndnoteReference"/>
          <w:rFonts w:asciiTheme="minorHAnsi" w:hAnsiTheme="minorHAnsi"/>
        </w:rPr>
        <w:endnoteReference w:id="2"/>
      </w:r>
      <w:r w:rsidRPr="0460F6A4">
        <w:rPr>
          <w:rFonts w:asciiTheme="minorHAnsi" w:hAnsiTheme="minorHAnsi"/>
          <w:b/>
          <w:bCs/>
        </w:rPr>
        <w:t xml:space="preserve"> </w:t>
      </w:r>
    </w:p>
    <w:p w14:paraId="7A940DB7" w14:textId="77777777" w:rsidR="007332ED" w:rsidRPr="008440BF" w:rsidRDefault="007332ED" w:rsidP="007332ED">
      <w:pPr>
        <w:pStyle w:val="ListParagraph"/>
        <w:numPr>
          <w:ilvl w:val="0"/>
          <w:numId w:val="8"/>
        </w:numPr>
        <w:tabs>
          <w:tab w:val="left" w:pos="939"/>
          <w:tab w:val="left" w:pos="940"/>
        </w:tabs>
        <w:spacing w:before="2"/>
        <w:ind w:left="939" w:right="366"/>
        <w:rPr>
          <w:rFonts w:asciiTheme="minorHAnsi" w:hAnsiTheme="minorHAnsi"/>
          <w:bCs/>
        </w:rPr>
      </w:pPr>
      <w:r w:rsidRPr="008440BF">
        <w:rPr>
          <w:rFonts w:asciiTheme="minorHAnsi" w:hAnsiTheme="minorHAnsi"/>
          <w:b/>
        </w:rPr>
        <w:t xml:space="preserve">Patient Origin: </w:t>
      </w:r>
      <w:r w:rsidRPr="008440BF">
        <w:rPr>
          <w:rFonts w:asciiTheme="minorHAnsi" w:hAnsiTheme="minorHAnsi"/>
          <w:bCs/>
        </w:rPr>
        <w:t>Approximately 72% of patients are from Plymouth County.</w:t>
      </w:r>
    </w:p>
    <w:p w14:paraId="1CDF2BFB" w14:textId="77777777" w:rsidR="007332ED" w:rsidRPr="008440BF" w:rsidRDefault="007332ED" w:rsidP="007332ED">
      <w:pPr>
        <w:pStyle w:val="ListParagraph"/>
        <w:numPr>
          <w:ilvl w:val="0"/>
          <w:numId w:val="8"/>
        </w:numPr>
        <w:tabs>
          <w:tab w:val="left" w:pos="939"/>
          <w:tab w:val="left" w:pos="940"/>
        </w:tabs>
        <w:ind w:right="1260"/>
        <w:rPr>
          <w:rFonts w:asciiTheme="minorHAnsi" w:hAnsiTheme="minorHAnsi"/>
          <w:b/>
          <w:bCs/>
        </w:rPr>
      </w:pPr>
      <w:r w:rsidRPr="008440BF">
        <w:rPr>
          <w:rFonts w:asciiTheme="minorHAnsi" w:hAnsiTheme="minorHAnsi"/>
          <w:b/>
          <w:bCs/>
        </w:rPr>
        <w:t xml:space="preserve">Payer Mix: </w:t>
      </w:r>
      <w:r w:rsidRPr="008440BF">
        <w:rPr>
          <w:rFonts w:asciiTheme="minorHAnsi" w:hAnsiTheme="minorHAnsi"/>
          <w:bCs/>
        </w:rPr>
        <w:t>Approximately 40% of patients were covered by a commercial insurance plan, 34% were insured through Medicare, 18% through Medicaid.</w:t>
      </w:r>
    </w:p>
    <w:p w14:paraId="38A6F175" w14:textId="77777777" w:rsidR="007332ED" w:rsidRPr="008440BF" w:rsidRDefault="007332ED" w:rsidP="007332ED">
      <w:pPr>
        <w:rPr>
          <w:rFonts w:asciiTheme="minorHAnsi" w:hAnsiTheme="minorHAnsi"/>
          <w:highlight w:val="yellow"/>
        </w:rPr>
      </w:pPr>
    </w:p>
    <w:p w14:paraId="7789F4F6" w14:textId="2678A439" w:rsidR="007332ED" w:rsidRPr="008440BF" w:rsidRDefault="007332ED" w:rsidP="00AF344F">
      <w:pPr>
        <w:jc w:val="center"/>
        <w:rPr>
          <w:rFonts w:asciiTheme="minorHAnsi" w:hAnsiTheme="minorHAnsi"/>
          <w:b/>
          <w:bCs/>
        </w:rPr>
      </w:pPr>
      <w:r w:rsidRPr="008440BF">
        <w:rPr>
          <w:rFonts w:asciiTheme="minorHAnsi" w:hAnsiTheme="minorHAnsi"/>
          <w:b/>
          <w:bCs/>
          <w:u w:val="single"/>
        </w:rPr>
        <w:t xml:space="preserve">Table </w:t>
      </w:r>
      <w:r w:rsidR="00F90FC0" w:rsidRPr="008440BF">
        <w:rPr>
          <w:rFonts w:asciiTheme="minorHAnsi" w:hAnsiTheme="minorHAnsi"/>
          <w:b/>
          <w:bCs/>
          <w:u w:val="single"/>
        </w:rPr>
        <w:t>2</w:t>
      </w:r>
      <w:r w:rsidRPr="008440BF">
        <w:rPr>
          <w:rFonts w:asciiTheme="minorHAnsi" w:hAnsiTheme="minorHAnsi"/>
          <w:b/>
          <w:bCs/>
          <w:u w:val="single"/>
        </w:rPr>
        <w:t>:</w:t>
      </w:r>
      <w:r w:rsidRPr="008440BF">
        <w:rPr>
          <w:rFonts w:asciiTheme="minorHAnsi" w:hAnsiTheme="minorHAnsi"/>
          <w:b/>
          <w:bCs/>
        </w:rPr>
        <w:t xml:space="preserve"> Overview of BID-Plymouth Patient Population (FY2023)</w:t>
      </w:r>
    </w:p>
    <w:tbl>
      <w:tblPr>
        <w:tblStyle w:val="TableGrid"/>
        <w:tblW w:w="0" w:type="auto"/>
        <w:jc w:val="center"/>
        <w:tblLook w:val="04A0" w:firstRow="1" w:lastRow="0" w:firstColumn="1" w:lastColumn="0" w:noHBand="0" w:noVBand="1"/>
      </w:tblPr>
      <w:tblGrid>
        <w:gridCol w:w="4315"/>
        <w:gridCol w:w="1800"/>
      </w:tblGrid>
      <w:tr w:rsidR="007332ED" w:rsidRPr="008440BF" w14:paraId="4BC20766" w14:textId="77777777" w:rsidTr="00AF344F">
        <w:trPr>
          <w:cantSplit/>
          <w:trHeight w:val="300"/>
          <w:tblHeader/>
          <w:jc w:val="center"/>
        </w:trPr>
        <w:tc>
          <w:tcPr>
            <w:tcW w:w="4315" w:type="dxa"/>
          </w:tcPr>
          <w:p w14:paraId="02876AF2" w14:textId="77777777" w:rsidR="007332ED" w:rsidRPr="008440BF" w:rsidRDefault="007332ED" w:rsidP="00AF344F">
            <w:pPr>
              <w:pStyle w:val="BodyText"/>
              <w:rPr>
                <w:rFonts w:asciiTheme="minorHAnsi" w:hAnsiTheme="minorHAnsi"/>
                <w:b/>
                <w:sz w:val="22"/>
                <w:szCs w:val="22"/>
              </w:rPr>
            </w:pPr>
          </w:p>
        </w:tc>
        <w:tc>
          <w:tcPr>
            <w:tcW w:w="1800" w:type="dxa"/>
            <w:shd w:val="clear" w:color="auto" w:fill="F2F2F2" w:themeFill="background1" w:themeFillShade="F2"/>
          </w:tcPr>
          <w:p w14:paraId="201E76D8" w14:textId="77777777" w:rsidR="007332ED" w:rsidRPr="008440BF" w:rsidRDefault="007332ED" w:rsidP="00AF344F">
            <w:pPr>
              <w:pStyle w:val="BodyText"/>
              <w:rPr>
                <w:rFonts w:asciiTheme="minorHAnsi" w:hAnsiTheme="minorHAnsi"/>
                <w:b/>
                <w:sz w:val="22"/>
                <w:szCs w:val="22"/>
              </w:rPr>
            </w:pPr>
            <w:r w:rsidRPr="008440BF">
              <w:rPr>
                <w:rFonts w:asciiTheme="minorHAnsi" w:hAnsiTheme="minorHAnsi"/>
                <w:b/>
                <w:sz w:val="22"/>
                <w:szCs w:val="22"/>
              </w:rPr>
              <w:t>Totals</w:t>
            </w:r>
          </w:p>
        </w:tc>
      </w:tr>
      <w:tr w:rsidR="007332ED" w:rsidRPr="008440BF" w14:paraId="37A1074D" w14:textId="77777777" w:rsidTr="00AF344F">
        <w:trPr>
          <w:cantSplit/>
          <w:trHeight w:val="300"/>
          <w:jc w:val="center"/>
        </w:trPr>
        <w:tc>
          <w:tcPr>
            <w:tcW w:w="4315" w:type="dxa"/>
          </w:tcPr>
          <w:p w14:paraId="6DA2B71C" w14:textId="77777777" w:rsidR="007332ED" w:rsidRPr="008440BF" w:rsidRDefault="007332ED" w:rsidP="00AF344F">
            <w:pPr>
              <w:pStyle w:val="BodyText"/>
              <w:rPr>
                <w:rFonts w:asciiTheme="minorHAnsi" w:hAnsiTheme="minorHAnsi"/>
                <w:b/>
                <w:sz w:val="22"/>
                <w:szCs w:val="22"/>
              </w:rPr>
            </w:pPr>
            <w:r w:rsidRPr="008440BF">
              <w:rPr>
                <w:rFonts w:asciiTheme="minorHAnsi" w:hAnsiTheme="minorHAnsi"/>
                <w:b/>
                <w:sz w:val="22"/>
                <w:szCs w:val="22"/>
              </w:rPr>
              <w:t>Total Patients</w:t>
            </w:r>
          </w:p>
        </w:tc>
        <w:tc>
          <w:tcPr>
            <w:tcW w:w="1800" w:type="dxa"/>
          </w:tcPr>
          <w:p w14:paraId="16578BF6" w14:textId="77777777" w:rsidR="007332ED" w:rsidRPr="008440BF" w:rsidRDefault="007332ED" w:rsidP="00AF344F">
            <w:pPr>
              <w:pStyle w:val="BodyText"/>
              <w:rPr>
                <w:rFonts w:asciiTheme="minorHAnsi" w:hAnsiTheme="minorHAnsi"/>
                <w:bCs/>
                <w:sz w:val="22"/>
                <w:szCs w:val="22"/>
                <w:highlight w:val="yellow"/>
              </w:rPr>
            </w:pPr>
            <w:r w:rsidRPr="008440BF">
              <w:rPr>
                <w:rFonts w:asciiTheme="minorHAnsi" w:hAnsiTheme="minorHAnsi"/>
              </w:rPr>
              <w:t>82,191</w:t>
            </w:r>
          </w:p>
        </w:tc>
      </w:tr>
      <w:tr w:rsidR="007332ED" w:rsidRPr="008440BF" w14:paraId="77BF93B3" w14:textId="77777777" w:rsidTr="00AF344F">
        <w:trPr>
          <w:cantSplit/>
          <w:trHeight w:val="300"/>
          <w:jc w:val="center"/>
        </w:trPr>
        <w:tc>
          <w:tcPr>
            <w:tcW w:w="4315" w:type="dxa"/>
            <w:shd w:val="clear" w:color="auto" w:fill="F2F2F2" w:themeFill="background1" w:themeFillShade="F2"/>
          </w:tcPr>
          <w:p w14:paraId="37A1F1E2" w14:textId="77777777" w:rsidR="007332ED" w:rsidRPr="008440BF" w:rsidRDefault="007332ED" w:rsidP="00AF344F">
            <w:pPr>
              <w:pStyle w:val="BodyText"/>
              <w:rPr>
                <w:rFonts w:asciiTheme="minorHAnsi" w:hAnsiTheme="minorHAnsi"/>
                <w:b/>
                <w:sz w:val="22"/>
                <w:szCs w:val="22"/>
              </w:rPr>
            </w:pPr>
            <w:r w:rsidRPr="008440BF">
              <w:rPr>
                <w:rFonts w:asciiTheme="minorHAnsi" w:hAnsiTheme="minorHAnsi"/>
                <w:b/>
                <w:sz w:val="22"/>
                <w:szCs w:val="22"/>
              </w:rPr>
              <w:t>Gender</w:t>
            </w:r>
          </w:p>
        </w:tc>
        <w:tc>
          <w:tcPr>
            <w:tcW w:w="1800" w:type="dxa"/>
            <w:shd w:val="clear" w:color="auto" w:fill="F2F2F2" w:themeFill="background1" w:themeFillShade="F2"/>
          </w:tcPr>
          <w:p w14:paraId="5AC94DEE" w14:textId="77777777" w:rsidR="007332ED" w:rsidRPr="008440BF" w:rsidRDefault="007332ED" w:rsidP="00AF344F">
            <w:pPr>
              <w:pStyle w:val="BodyText"/>
              <w:rPr>
                <w:rFonts w:asciiTheme="minorHAnsi" w:hAnsiTheme="minorHAnsi"/>
                <w:bCs/>
                <w:sz w:val="22"/>
                <w:szCs w:val="22"/>
                <w:highlight w:val="yellow"/>
              </w:rPr>
            </w:pPr>
          </w:p>
        </w:tc>
      </w:tr>
      <w:tr w:rsidR="007332ED" w:rsidRPr="008440BF" w14:paraId="036A629B" w14:textId="77777777" w:rsidTr="00AF344F">
        <w:trPr>
          <w:cantSplit/>
          <w:trHeight w:val="300"/>
          <w:jc w:val="center"/>
        </w:trPr>
        <w:tc>
          <w:tcPr>
            <w:tcW w:w="4315" w:type="dxa"/>
          </w:tcPr>
          <w:p w14:paraId="0B923DFB" w14:textId="01B7C0F6" w:rsidR="007332ED" w:rsidRPr="008440BF" w:rsidRDefault="007332ED" w:rsidP="00AF344F">
            <w:pPr>
              <w:pStyle w:val="BodyText"/>
              <w:ind w:left="144"/>
              <w:rPr>
                <w:rFonts w:asciiTheme="minorHAnsi" w:hAnsiTheme="minorHAnsi"/>
                <w:bCs/>
                <w:sz w:val="22"/>
                <w:szCs w:val="22"/>
              </w:rPr>
            </w:pPr>
            <w:r w:rsidRPr="008440BF">
              <w:rPr>
                <w:rFonts w:asciiTheme="minorHAnsi" w:hAnsiTheme="minorHAnsi"/>
                <w:bCs/>
                <w:sz w:val="22"/>
                <w:szCs w:val="22"/>
              </w:rPr>
              <w:t>Male</w:t>
            </w:r>
          </w:p>
        </w:tc>
        <w:tc>
          <w:tcPr>
            <w:tcW w:w="1800" w:type="dxa"/>
          </w:tcPr>
          <w:p w14:paraId="046074B8"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42.2%</w:t>
            </w:r>
          </w:p>
        </w:tc>
      </w:tr>
      <w:tr w:rsidR="007332ED" w:rsidRPr="008440BF" w14:paraId="30331A51" w14:textId="77777777" w:rsidTr="00AF344F">
        <w:trPr>
          <w:cantSplit/>
          <w:trHeight w:val="300"/>
          <w:jc w:val="center"/>
        </w:trPr>
        <w:tc>
          <w:tcPr>
            <w:tcW w:w="4315" w:type="dxa"/>
          </w:tcPr>
          <w:p w14:paraId="23558AC9" w14:textId="77777777" w:rsidR="007332ED" w:rsidRPr="008440BF" w:rsidRDefault="007332ED" w:rsidP="00AF344F">
            <w:pPr>
              <w:pStyle w:val="BodyText"/>
              <w:ind w:left="144"/>
              <w:rPr>
                <w:rFonts w:asciiTheme="minorHAnsi" w:hAnsiTheme="minorHAnsi"/>
                <w:bCs/>
                <w:sz w:val="22"/>
                <w:szCs w:val="22"/>
              </w:rPr>
            </w:pPr>
            <w:r w:rsidRPr="008440BF">
              <w:rPr>
                <w:rFonts w:asciiTheme="minorHAnsi" w:hAnsiTheme="minorHAnsi"/>
                <w:bCs/>
                <w:sz w:val="22"/>
                <w:szCs w:val="22"/>
              </w:rPr>
              <w:t>Female</w:t>
            </w:r>
            <w:r w:rsidRPr="008440BF">
              <w:rPr>
                <w:rStyle w:val="FootnoteReference"/>
                <w:rFonts w:asciiTheme="minorHAnsi" w:hAnsiTheme="minorHAnsi"/>
                <w:bCs/>
                <w:sz w:val="22"/>
                <w:szCs w:val="22"/>
              </w:rPr>
              <w:footnoteReference w:id="8"/>
            </w:r>
          </w:p>
        </w:tc>
        <w:tc>
          <w:tcPr>
            <w:tcW w:w="1800" w:type="dxa"/>
          </w:tcPr>
          <w:p w14:paraId="23B9F685"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57.8%</w:t>
            </w:r>
          </w:p>
        </w:tc>
      </w:tr>
      <w:tr w:rsidR="007332ED" w:rsidRPr="008440BF" w14:paraId="06DABA59" w14:textId="77777777" w:rsidTr="00AF344F">
        <w:trPr>
          <w:cantSplit/>
          <w:trHeight w:val="300"/>
          <w:jc w:val="center"/>
        </w:trPr>
        <w:tc>
          <w:tcPr>
            <w:tcW w:w="4315" w:type="dxa"/>
          </w:tcPr>
          <w:p w14:paraId="338572A3" w14:textId="77777777" w:rsidR="007332ED" w:rsidRPr="008440BF" w:rsidRDefault="007332ED" w:rsidP="00AF344F">
            <w:pPr>
              <w:pStyle w:val="BodyText"/>
              <w:ind w:left="144"/>
              <w:rPr>
                <w:rFonts w:asciiTheme="minorHAnsi" w:hAnsiTheme="minorHAnsi"/>
                <w:bCs/>
                <w:sz w:val="22"/>
                <w:szCs w:val="22"/>
              </w:rPr>
            </w:pPr>
            <w:r w:rsidRPr="008440BF">
              <w:rPr>
                <w:rFonts w:asciiTheme="minorHAnsi" w:hAnsiTheme="minorHAnsi"/>
                <w:bCs/>
                <w:sz w:val="22"/>
                <w:szCs w:val="22"/>
              </w:rPr>
              <w:t>Total</w:t>
            </w:r>
          </w:p>
        </w:tc>
        <w:tc>
          <w:tcPr>
            <w:tcW w:w="1800" w:type="dxa"/>
          </w:tcPr>
          <w:p w14:paraId="218BAF8F"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bCs/>
              </w:rPr>
              <w:t>100.0%</w:t>
            </w:r>
          </w:p>
        </w:tc>
      </w:tr>
      <w:tr w:rsidR="007332ED" w:rsidRPr="008440BF" w14:paraId="2BCBA9C0" w14:textId="77777777" w:rsidTr="00AF344F">
        <w:trPr>
          <w:cantSplit/>
          <w:trHeight w:val="300"/>
          <w:jc w:val="center"/>
        </w:trPr>
        <w:tc>
          <w:tcPr>
            <w:tcW w:w="4315" w:type="dxa"/>
          </w:tcPr>
          <w:p w14:paraId="102BA10E" w14:textId="77777777" w:rsidR="007332ED" w:rsidRPr="008440BF" w:rsidRDefault="007332ED" w:rsidP="00AF344F">
            <w:pPr>
              <w:pStyle w:val="BodyText"/>
              <w:rPr>
                <w:rFonts w:asciiTheme="minorHAnsi" w:hAnsiTheme="minorHAnsi"/>
                <w:b/>
                <w:sz w:val="22"/>
                <w:szCs w:val="22"/>
              </w:rPr>
            </w:pPr>
            <w:r w:rsidRPr="008440BF">
              <w:rPr>
                <w:rFonts w:asciiTheme="minorHAnsi" w:hAnsiTheme="minorHAnsi"/>
                <w:b/>
                <w:sz w:val="22"/>
                <w:szCs w:val="22"/>
              </w:rPr>
              <w:t>Age</w:t>
            </w:r>
          </w:p>
        </w:tc>
        <w:tc>
          <w:tcPr>
            <w:tcW w:w="1800" w:type="dxa"/>
          </w:tcPr>
          <w:p w14:paraId="74CE5CD1" w14:textId="77777777" w:rsidR="007332ED" w:rsidRPr="008440BF" w:rsidRDefault="007332ED" w:rsidP="00AF344F">
            <w:pPr>
              <w:pStyle w:val="BodyText"/>
              <w:rPr>
                <w:rFonts w:asciiTheme="minorHAnsi" w:hAnsiTheme="minorHAnsi"/>
                <w:bCs/>
                <w:highlight w:val="yellow"/>
              </w:rPr>
            </w:pPr>
          </w:p>
        </w:tc>
      </w:tr>
      <w:tr w:rsidR="007332ED" w:rsidRPr="008440BF" w14:paraId="0C15ECFD" w14:textId="77777777" w:rsidTr="00AF344F">
        <w:trPr>
          <w:cantSplit/>
          <w:trHeight w:val="300"/>
          <w:jc w:val="center"/>
        </w:trPr>
        <w:tc>
          <w:tcPr>
            <w:tcW w:w="4315" w:type="dxa"/>
          </w:tcPr>
          <w:p w14:paraId="3F3BECE9" w14:textId="77777777" w:rsidR="007332ED" w:rsidRPr="008440BF" w:rsidRDefault="007332ED" w:rsidP="00AF344F">
            <w:pPr>
              <w:pStyle w:val="BodyText"/>
              <w:ind w:left="144"/>
              <w:rPr>
                <w:rFonts w:asciiTheme="minorHAnsi" w:hAnsiTheme="minorHAnsi"/>
                <w:bCs/>
                <w:sz w:val="22"/>
                <w:szCs w:val="22"/>
              </w:rPr>
            </w:pPr>
            <w:r w:rsidRPr="008440BF">
              <w:rPr>
                <w:rFonts w:asciiTheme="minorHAnsi" w:hAnsiTheme="minorHAnsi"/>
                <w:bCs/>
                <w:sz w:val="22"/>
                <w:szCs w:val="22"/>
              </w:rPr>
              <w:t>0-17</w:t>
            </w:r>
          </w:p>
        </w:tc>
        <w:tc>
          <w:tcPr>
            <w:tcW w:w="1800" w:type="dxa"/>
          </w:tcPr>
          <w:p w14:paraId="78FC8F64"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8.2%</w:t>
            </w:r>
          </w:p>
        </w:tc>
      </w:tr>
      <w:tr w:rsidR="007332ED" w:rsidRPr="008440BF" w14:paraId="00F8EC42" w14:textId="77777777" w:rsidTr="00AF344F">
        <w:trPr>
          <w:cantSplit/>
          <w:trHeight w:val="300"/>
          <w:jc w:val="center"/>
        </w:trPr>
        <w:tc>
          <w:tcPr>
            <w:tcW w:w="4315" w:type="dxa"/>
          </w:tcPr>
          <w:p w14:paraId="40314A8D" w14:textId="77777777" w:rsidR="007332ED" w:rsidRPr="008440BF" w:rsidRDefault="007332ED" w:rsidP="00AF344F">
            <w:pPr>
              <w:pStyle w:val="BodyText"/>
              <w:ind w:left="144"/>
              <w:rPr>
                <w:rFonts w:asciiTheme="minorHAnsi" w:hAnsiTheme="minorHAnsi"/>
                <w:bCs/>
                <w:sz w:val="22"/>
                <w:szCs w:val="22"/>
              </w:rPr>
            </w:pPr>
            <w:r w:rsidRPr="008440BF">
              <w:rPr>
                <w:rFonts w:asciiTheme="minorHAnsi" w:hAnsiTheme="minorHAnsi"/>
                <w:bCs/>
                <w:sz w:val="22"/>
                <w:szCs w:val="22"/>
              </w:rPr>
              <w:t>18-25</w:t>
            </w:r>
          </w:p>
        </w:tc>
        <w:tc>
          <w:tcPr>
            <w:tcW w:w="1800" w:type="dxa"/>
          </w:tcPr>
          <w:p w14:paraId="3E05D63E"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5.9%</w:t>
            </w:r>
          </w:p>
        </w:tc>
      </w:tr>
      <w:tr w:rsidR="007332ED" w:rsidRPr="008440BF" w14:paraId="6DE2B5A5" w14:textId="77777777" w:rsidTr="00AF344F">
        <w:trPr>
          <w:cantSplit/>
          <w:trHeight w:val="300"/>
          <w:jc w:val="center"/>
        </w:trPr>
        <w:tc>
          <w:tcPr>
            <w:tcW w:w="4315" w:type="dxa"/>
          </w:tcPr>
          <w:p w14:paraId="688C4A62" w14:textId="77777777" w:rsidR="007332ED" w:rsidRPr="008440BF" w:rsidRDefault="007332ED" w:rsidP="00AF344F">
            <w:pPr>
              <w:pStyle w:val="BodyText"/>
              <w:ind w:left="144"/>
              <w:rPr>
                <w:rFonts w:asciiTheme="minorHAnsi" w:hAnsiTheme="minorHAnsi"/>
                <w:bCs/>
                <w:sz w:val="22"/>
                <w:szCs w:val="22"/>
              </w:rPr>
            </w:pPr>
            <w:r w:rsidRPr="008440BF">
              <w:rPr>
                <w:rFonts w:asciiTheme="minorHAnsi" w:hAnsiTheme="minorHAnsi"/>
                <w:bCs/>
                <w:sz w:val="22"/>
                <w:szCs w:val="22"/>
              </w:rPr>
              <w:t>26-45</w:t>
            </w:r>
          </w:p>
        </w:tc>
        <w:tc>
          <w:tcPr>
            <w:tcW w:w="1800" w:type="dxa"/>
          </w:tcPr>
          <w:p w14:paraId="690E8A76"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20.3%</w:t>
            </w:r>
          </w:p>
        </w:tc>
      </w:tr>
      <w:tr w:rsidR="007332ED" w:rsidRPr="008440BF" w14:paraId="21ACB6BE" w14:textId="77777777" w:rsidTr="00AF344F">
        <w:trPr>
          <w:cantSplit/>
          <w:trHeight w:val="300"/>
          <w:jc w:val="center"/>
        </w:trPr>
        <w:tc>
          <w:tcPr>
            <w:tcW w:w="4315" w:type="dxa"/>
          </w:tcPr>
          <w:p w14:paraId="2D5F608C" w14:textId="77777777" w:rsidR="007332ED" w:rsidRPr="008440BF" w:rsidRDefault="007332ED" w:rsidP="00AF344F">
            <w:pPr>
              <w:pStyle w:val="BodyText"/>
              <w:ind w:left="144"/>
              <w:rPr>
                <w:rFonts w:asciiTheme="minorHAnsi" w:hAnsiTheme="minorHAnsi"/>
                <w:bCs/>
                <w:sz w:val="22"/>
                <w:szCs w:val="22"/>
              </w:rPr>
            </w:pPr>
            <w:r w:rsidRPr="008440BF">
              <w:rPr>
                <w:rFonts w:asciiTheme="minorHAnsi" w:hAnsiTheme="minorHAnsi"/>
                <w:bCs/>
                <w:sz w:val="22"/>
                <w:szCs w:val="22"/>
              </w:rPr>
              <w:t>46-64</w:t>
            </w:r>
          </w:p>
        </w:tc>
        <w:tc>
          <w:tcPr>
            <w:tcW w:w="1800" w:type="dxa"/>
          </w:tcPr>
          <w:p w14:paraId="3F079A06"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28.8%</w:t>
            </w:r>
          </w:p>
        </w:tc>
      </w:tr>
      <w:tr w:rsidR="007332ED" w:rsidRPr="008440BF" w14:paraId="2F875A79" w14:textId="77777777" w:rsidTr="00AF344F">
        <w:trPr>
          <w:cantSplit/>
          <w:trHeight w:val="300"/>
          <w:jc w:val="center"/>
        </w:trPr>
        <w:tc>
          <w:tcPr>
            <w:tcW w:w="4315" w:type="dxa"/>
          </w:tcPr>
          <w:p w14:paraId="79EB5356" w14:textId="77777777" w:rsidR="007332ED" w:rsidRPr="008440BF" w:rsidRDefault="007332ED" w:rsidP="00AF344F">
            <w:pPr>
              <w:pStyle w:val="BodyText"/>
              <w:ind w:left="144"/>
              <w:rPr>
                <w:rFonts w:asciiTheme="minorHAnsi" w:hAnsiTheme="minorHAnsi"/>
                <w:bCs/>
                <w:sz w:val="22"/>
                <w:szCs w:val="22"/>
              </w:rPr>
            </w:pPr>
            <w:r w:rsidRPr="008440BF">
              <w:rPr>
                <w:rFonts w:asciiTheme="minorHAnsi" w:hAnsiTheme="minorHAnsi"/>
                <w:bCs/>
                <w:sz w:val="22"/>
                <w:szCs w:val="22"/>
              </w:rPr>
              <w:t>65+</w:t>
            </w:r>
          </w:p>
        </w:tc>
        <w:tc>
          <w:tcPr>
            <w:tcW w:w="1800" w:type="dxa"/>
          </w:tcPr>
          <w:p w14:paraId="53E912E9"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36.9%</w:t>
            </w:r>
          </w:p>
        </w:tc>
      </w:tr>
      <w:tr w:rsidR="007332ED" w:rsidRPr="008440BF" w14:paraId="0908C48B" w14:textId="77777777" w:rsidTr="00AF344F">
        <w:trPr>
          <w:cantSplit/>
          <w:trHeight w:val="300"/>
          <w:jc w:val="center"/>
        </w:trPr>
        <w:tc>
          <w:tcPr>
            <w:tcW w:w="4315" w:type="dxa"/>
          </w:tcPr>
          <w:p w14:paraId="76A6A806" w14:textId="017248FB" w:rsidR="007332ED" w:rsidRPr="008440BF" w:rsidRDefault="007332ED" w:rsidP="00AF344F">
            <w:pPr>
              <w:pStyle w:val="BodyText"/>
              <w:ind w:left="144"/>
              <w:rPr>
                <w:rFonts w:asciiTheme="minorHAnsi" w:hAnsiTheme="minorHAnsi"/>
                <w:bCs/>
                <w:sz w:val="22"/>
                <w:szCs w:val="22"/>
              </w:rPr>
            </w:pPr>
            <w:r w:rsidRPr="008440BF">
              <w:rPr>
                <w:rFonts w:asciiTheme="minorHAnsi" w:hAnsiTheme="minorHAnsi"/>
                <w:bCs/>
                <w:sz w:val="22"/>
                <w:szCs w:val="22"/>
              </w:rPr>
              <w:t>Total</w:t>
            </w:r>
          </w:p>
        </w:tc>
        <w:tc>
          <w:tcPr>
            <w:tcW w:w="1800" w:type="dxa"/>
          </w:tcPr>
          <w:p w14:paraId="7288E6BD"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bCs/>
              </w:rPr>
              <w:t>100.0%</w:t>
            </w:r>
          </w:p>
        </w:tc>
      </w:tr>
      <w:tr w:rsidR="007332ED" w:rsidRPr="008440BF" w14:paraId="34C5452A" w14:textId="77777777" w:rsidTr="00AF344F">
        <w:trPr>
          <w:cantSplit/>
          <w:trHeight w:val="300"/>
          <w:jc w:val="center"/>
        </w:trPr>
        <w:tc>
          <w:tcPr>
            <w:tcW w:w="4315" w:type="dxa"/>
            <w:shd w:val="clear" w:color="auto" w:fill="F2F2F2" w:themeFill="background1" w:themeFillShade="F2"/>
          </w:tcPr>
          <w:p w14:paraId="3068C0EB" w14:textId="77777777" w:rsidR="007332ED" w:rsidRPr="008440BF" w:rsidRDefault="007332ED" w:rsidP="00AF344F">
            <w:pPr>
              <w:pStyle w:val="BodyText"/>
              <w:rPr>
                <w:rFonts w:asciiTheme="minorHAnsi" w:hAnsiTheme="minorHAnsi"/>
                <w:b/>
                <w:highlight w:val="yellow"/>
              </w:rPr>
            </w:pPr>
            <w:r w:rsidRPr="008440BF">
              <w:rPr>
                <w:rFonts w:asciiTheme="minorHAnsi" w:hAnsiTheme="minorHAnsi"/>
                <w:b/>
              </w:rPr>
              <w:t>Race</w:t>
            </w:r>
          </w:p>
        </w:tc>
        <w:tc>
          <w:tcPr>
            <w:tcW w:w="1800" w:type="dxa"/>
            <w:shd w:val="clear" w:color="auto" w:fill="F2F2F2" w:themeFill="background1" w:themeFillShade="F2"/>
          </w:tcPr>
          <w:p w14:paraId="3DBDC898" w14:textId="77777777" w:rsidR="007332ED" w:rsidRPr="008440BF" w:rsidRDefault="007332ED" w:rsidP="00AF344F">
            <w:pPr>
              <w:pStyle w:val="BodyText"/>
              <w:rPr>
                <w:rFonts w:asciiTheme="minorHAnsi" w:hAnsiTheme="minorHAnsi"/>
                <w:bCs/>
                <w:sz w:val="22"/>
                <w:szCs w:val="22"/>
                <w:highlight w:val="yellow"/>
              </w:rPr>
            </w:pPr>
          </w:p>
        </w:tc>
      </w:tr>
      <w:tr w:rsidR="007332ED" w:rsidRPr="008440BF" w14:paraId="3EF8165A" w14:textId="77777777" w:rsidTr="00AF344F">
        <w:trPr>
          <w:cantSplit/>
          <w:trHeight w:val="300"/>
          <w:jc w:val="center"/>
        </w:trPr>
        <w:tc>
          <w:tcPr>
            <w:tcW w:w="4315" w:type="dxa"/>
            <w:vAlign w:val="center"/>
          </w:tcPr>
          <w:p w14:paraId="0EFB1CD9" w14:textId="77777777" w:rsidR="007332ED" w:rsidRPr="008440BF" w:rsidRDefault="007332ED" w:rsidP="00AF344F">
            <w:pPr>
              <w:pStyle w:val="BodyText"/>
              <w:ind w:left="144"/>
              <w:rPr>
                <w:rFonts w:asciiTheme="minorHAnsi" w:hAnsiTheme="minorHAnsi"/>
                <w:bCs/>
              </w:rPr>
            </w:pPr>
            <w:r w:rsidRPr="008440BF">
              <w:rPr>
                <w:rFonts w:asciiTheme="minorHAnsi" w:hAnsiTheme="minorHAnsi"/>
                <w:color w:val="000000"/>
              </w:rPr>
              <w:t>White</w:t>
            </w:r>
          </w:p>
        </w:tc>
        <w:tc>
          <w:tcPr>
            <w:tcW w:w="1800" w:type="dxa"/>
          </w:tcPr>
          <w:p w14:paraId="528E7A56"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88.5%</w:t>
            </w:r>
          </w:p>
        </w:tc>
      </w:tr>
      <w:tr w:rsidR="007332ED" w:rsidRPr="008440BF" w14:paraId="070752AF" w14:textId="77777777" w:rsidTr="00AF344F">
        <w:trPr>
          <w:cantSplit/>
          <w:trHeight w:val="300"/>
          <w:jc w:val="center"/>
        </w:trPr>
        <w:tc>
          <w:tcPr>
            <w:tcW w:w="4315" w:type="dxa"/>
            <w:vAlign w:val="center"/>
          </w:tcPr>
          <w:p w14:paraId="4E7E3DC1" w14:textId="77777777" w:rsidR="007332ED" w:rsidRPr="008440BF" w:rsidRDefault="007332ED" w:rsidP="00AF344F">
            <w:pPr>
              <w:pStyle w:val="BodyText"/>
              <w:ind w:left="144"/>
              <w:rPr>
                <w:rFonts w:asciiTheme="minorHAnsi" w:hAnsiTheme="minorHAnsi"/>
                <w:bCs/>
              </w:rPr>
            </w:pPr>
            <w:r w:rsidRPr="008440BF">
              <w:rPr>
                <w:rFonts w:asciiTheme="minorHAnsi" w:hAnsiTheme="minorHAnsi"/>
                <w:color w:val="000000"/>
              </w:rPr>
              <w:t>Black or African American</w:t>
            </w:r>
          </w:p>
        </w:tc>
        <w:tc>
          <w:tcPr>
            <w:tcW w:w="1800" w:type="dxa"/>
          </w:tcPr>
          <w:p w14:paraId="5C1404C1"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2.3%</w:t>
            </w:r>
          </w:p>
        </w:tc>
      </w:tr>
      <w:tr w:rsidR="007332ED" w:rsidRPr="008440BF" w14:paraId="13136048" w14:textId="77777777" w:rsidTr="00AF344F">
        <w:trPr>
          <w:cantSplit/>
          <w:trHeight w:val="300"/>
          <w:jc w:val="center"/>
        </w:trPr>
        <w:tc>
          <w:tcPr>
            <w:tcW w:w="4315" w:type="dxa"/>
            <w:vAlign w:val="center"/>
          </w:tcPr>
          <w:p w14:paraId="3EFBACA3" w14:textId="77777777" w:rsidR="007332ED" w:rsidRPr="008440BF" w:rsidRDefault="007332ED" w:rsidP="00AF344F">
            <w:pPr>
              <w:pStyle w:val="BodyText"/>
              <w:ind w:left="144"/>
              <w:rPr>
                <w:rFonts w:asciiTheme="minorHAnsi" w:hAnsiTheme="minorHAnsi"/>
                <w:bCs/>
              </w:rPr>
            </w:pPr>
            <w:r w:rsidRPr="008440BF">
              <w:rPr>
                <w:rFonts w:asciiTheme="minorHAnsi" w:hAnsiTheme="minorHAnsi"/>
                <w:color w:val="000000"/>
              </w:rPr>
              <w:t>American Indian or Alaska Native</w:t>
            </w:r>
          </w:p>
        </w:tc>
        <w:tc>
          <w:tcPr>
            <w:tcW w:w="1800" w:type="dxa"/>
          </w:tcPr>
          <w:p w14:paraId="581AB15F"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0.1%</w:t>
            </w:r>
          </w:p>
        </w:tc>
      </w:tr>
      <w:tr w:rsidR="007332ED" w:rsidRPr="008440BF" w14:paraId="6F21A40B" w14:textId="77777777" w:rsidTr="00AF344F">
        <w:trPr>
          <w:cantSplit/>
          <w:trHeight w:val="300"/>
          <w:jc w:val="center"/>
        </w:trPr>
        <w:tc>
          <w:tcPr>
            <w:tcW w:w="4315" w:type="dxa"/>
            <w:vAlign w:val="center"/>
          </w:tcPr>
          <w:p w14:paraId="69616AAB" w14:textId="77777777" w:rsidR="007332ED" w:rsidRPr="008440BF" w:rsidRDefault="007332ED" w:rsidP="00AF344F">
            <w:pPr>
              <w:pStyle w:val="BodyText"/>
              <w:ind w:left="144"/>
              <w:rPr>
                <w:rFonts w:asciiTheme="minorHAnsi" w:hAnsiTheme="minorHAnsi"/>
                <w:b/>
              </w:rPr>
            </w:pPr>
            <w:r w:rsidRPr="008440BF">
              <w:rPr>
                <w:rFonts w:asciiTheme="minorHAnsi" w:hAnsiTheme="minorHAnsi"/>
                <w:color w:val="000000"/>
              </w:rPr>
              <w:t>Asian</w:t>
            </w:r>
          </w:p>
        </w:tc>
        <w:tc>
          <w:tcPr>
            <w:tcW w:w="1800" w:type="dxa"/>
          </w:tcPr>
          <w:p w14:paraId="59460B05"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0.6%</w:t>
            </w:r>
          </w:p>
        </w:tc>
      </w:tr>
      <w:tr w:rsidR="007332ED" w:rsidRPr="008440BF" w14:paraId="68E5D584" w14:textId="77777777" w:rsidTr="00AF344F">
        <w:trPr>
          <w:cantSplit/>
          <w:trHeight w:val="300"/>
          <w:jc w:val="center"/>
        </w:trPr>
        <w:tc>
          <w:tcPr>
            <w:tcW w:w="4315" w:type="dxa"/>
            <w:vAlign w:val="center"/>
          </w:tcPr>
          <w:p w14:paraId="789F230B" w14:textId="18666DBA" w:rsidR="007332ED" w:rsidRPr="008440BF" w:rsidRDefault="007332ED" w:rsidP="00AF344F">
            <w:pPr>
              <w:pStyle w:val="BodyText"/>
              <w:ind w:left="144"/>
              <w:rPr>
                <w:rFonts w:asciiTheme="minorHAnsi" w:hAnsiTheme="minorHAnsi"/>
                <w:b/>
              </w:rPr>
            </w:pPr>
            <w:r w:rsidRPr="008440BF">
              <w:rPr>
                <w:rFonts w:asciiTheme="minorHAnsi" w:hAnsiTheme="minorHAnsi"/>
                <w:color w:val="000000"/>
              </w:rPr>
              <w:t>Native Hawaiian or Other Pacific Islander</w:t>
            </w:r>
          </w:p>
        </w:tc>
        <w:tc>
          <w:tcPr>
            <w:tcW w:w="1800" w:type="dxa"/>
          </w:tcPr>
          <w:p w14:paraId="0C105050"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0.0%</w:t>
            </w:r>
          </w:p>
        </w:tc>
      </w:tr>
      <w:tr w:rsidR="007332ED" w:rsidRPr="008440BF" w14:paraId="264B8712" w14:textId="77777777" w:rsidTr="00AF344F">
        <w:trPr>
          <w:cantSplit/>
          <w:trHeight w:val="300"/>
          <w:jc w:val="center"/>
        </w:trPr>
        <w:tc>
          <w:tcPr>
            <w:tcW w:w="4315" w:type="dxa"/>
            <w:vAlign w:val="center"/>
          </w:tcPr>
          <w:p w14:paraId="543D1B98" w14:textId="77777777" w:rsidR="007332ED" w:rsidRPr="008440BF" w:rsidRDefault="007332ED" w:rsidP="00AF344F">
            <w:pPr>
              <w:pStyle w:val="BodyText"/>
              <w:ind w:left="144"/>
              <w:rPr>
                <w:rFonts w:asciiTheme="minorHAnsi" w:hAnsiTheme="minorHAnsi"/>
                <w:bCs/>
              </w:rPr>
            </w:pPr>
            <w:r w:rsidRPr="008440BF">
              <w:rPr>
                <w:rFonts w:asciiTheme="minorHAnsi" w:hAnsiTheme="minorHAnsi"/>
                <w:color w:val="000000"/>
              </w:rPr>
              <w:t>Other</w:t>
            </w:r>
            <w:r w:rsidRPr="008440BF">
              <w:rPr>
                <w:rStyle w:val="FootnoteReference"/>
                <w:rFonts w:asciiTheme="minorHAnsi" w:hAnsiTheme="minorHAnsi"/>
                <w:color w:val="000000"/>
              </w:rPr>
              <w:footnoteReference w:id="9"/>
            </w:r>
          </w:p>
        </w:tc>
        <w:tc>
          <w:tcPr>
            <w:tcW w:w="1800" w:type="dxa"/>
          </w:tcPr>
          <w:p w14:paraId="47586C9C"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1.7%</w:t>
            </w:r>
          </w:p>
        </w:tc>
      </w:tr>
      <w:tr w:rsidR="007332ED" w:rsidRPr="008440BF" w14:paraId="351720F9" w14:textId="77777777" w:rsidTr="00AF344F">
        <w:trPr>
          <w:cantSplit/>
          <w:trHeight w:val="300"/>
          <w:jc w:val="center"/>
        </w:trPr>
        <w:tc>
          <w:tcPr>
            <w:tcW w:w="4315" w:type="dxa"/>
            <w:vAlign w:val="center"/>
          </w:tcPr>
          <w:p w14:paraId="3A8994AE" w14:textId="77777777" w:rsidR="007332ED" w:rsidRPr="008440BF" w:rsidRDefault="007332ED" w:rsidP="00AF344F">
            <w:pPr>
              <w:pStyle w:val="BodyText"/>
              <w:ind w:left="144"/>
              <w:rPr>
                <w:rFonts w:asciiTheme="minorHAnsi" w:hAnsiTheme="minorHAnsi"/>
                <w:bCs/>
              </w:rPr>
            </w:pPr>
            <w:r w:rsidRPr="008440BF">
              <w:rPr>
                <w:rFonts w:asciiTheme="minorHAnsi" w:hAnsiTheme="minorHAnsi"/>
                <w:color w:val="000000"/>
              </w:rPr>
              <w:t>Patient Declined</w:t>
            </w:r>
          </w:p>
        </w:tc>
        <w:tc>
          <w:tcPr>
            <w:tcW w:w="1800" w:type="dxa"/>
          </w:tcPr>
          <w:p w14:paraId="4B19BA91"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6.7%</w:t>
            </w:r>
          </w:p>
        </w:tc>
      </w:tr>
      <w:tr w:rsidR="007332ED" w:rsidRPr="008440BF" w14:paraId="7074ED2C" w14:textId="77777777" w:rsidTr="00AF344F">
        <w:trPr>
          <w:cantSplit/>
          <w:trHeight w:val="300"/>
          <w:jc w:val="center"/>
        </w:trPr>
        <w:tc>
          <w:tcPr>
            <w:tcW w:w="4315" w:type="dxa"/>
          </w:tcPr>
          <w:p w14:paraId="5358B132" w14:textId="2C8C26F2" w:rsidR="007332ED" w:rsidRPr="008440BF" w:rsidRDefault="007332ED" w:rsidP="00AF344F">
            <w:pPr>
              <w:pStyle w:val="BodyText"/>
              <w:ind w:left="144"/>
              <w:rPr>
                <w:rFonts w:asciiTheme="minorHAnsi" w:hAnsiTheme="minorHAnsi"/>
                <w:bCs/>
              </w:rPr>
            </w:pPr>
            <w:r w:rsidRPr="008440BF">
              <w:rPr>
                <w:rFonts w:asciiTheme="minorHAnsi" w:hAnsiTheme="minorHAnsi"/>
                <w:bCs/>
              </w:rPr>
              <w:t>Total</w:t>
            </w:r>
          </w:p>
        </w:tc>
        <w:tc>
          <w:tcPr>
            <w:tcW w:w="1800" w:type="dxa"/>
          </w:tcPr>
          <w:p w14:paraId="0C92A29C" w14:textId="77777777" w:rsidR="007332ED" w:rsidRPr="008440BF" w:rsidRDefault="007332ED" w:rsidP="00AF344F">
            <w:pPr>
              <w:pStyle w:val="BodyText"/>
              <w:rPr>
                <w:rFonts w:asciiTheme="minorHAnsi" w:hAnsiTheme="minorHAnsi"/>
                <w:bCs/>
              </w:rPr>
            </w:pPr>
            <w:r w:rsidRPr="008440BF">
              <w:rPr>
                <w:rFonts w:asciiTheme="minorHAnsi" w:hAnsiTheme="minorHAnsi"/>
                <w:bCs/>
              </w:rPr>
              <w:t>100.0%</w:t>
            </w:r>
          </w:p>
        </w:tc>
      </w:tr>
      <w:tr w:rsidR="007332ED" w:rsidRPr="008440BF" w14:paraId="48F85F94" w14:textId="77777777" w:rsidTr="00AF344F">
        <w:trPr>
          <w:cantSplit/>
          <w:trHeight w:val="300"/>
          <w:jc w:val="center"/>
        </w:trPr>
        <w:tc>
          <w:tcPr>
            <w:tcW w:w="4315" w:type="dxa"/>
            <w:tcBorders>
              <w:bottom w:val="single" w:sz="4" w:space="0" w:color="auto"/>
            </w:tcBorders>
            <w:shd w:val="clear" w:color="auto" w:fill="F2F2F2" w:themeFill="background1" w:themeFillShade="F2"/>
          </w:tcPr>
          <w:p w14:paraId="50BB9B28" w14:textId="77777777" w:rsidR="007332ED" w:rsidRPr="008440BF" w:rsidRDefault="007332ED" w:rsidP="00AF344F">
            <w:pPr>
              <w:pStyle w:val="BodyText"/>
              <w:rPr>
                <w:rFonts w:asciiTheme="minorHAnsi" w:hAnsiTheme="minorHAnsi"/>
                <w:b/>
                <w:highlight w:val="yellow"/>
              </w:rPr>
            </w:pPr>
            <w:r w:rsidRPr="008440BF">
              <w:rPr>
                <w:rFonts w:asciiTheme="minorHAnsi" w:hAnsiTheme="minorHAnsi"/>
                <w:b/>
              </w:rPr>
              <w:t>Ethnicity</w:t>
            </w:r>
          </w:p>
        </w:tc>
        <w:tc>
          <w:tcPr>
            <w:tcW w:w="1800" w:type="dxa"/>
            <w:tcBorders>
              <w:bottom w:val="single" w:sz="4" w:space="0" w:color="auto"/>
            </w:tcBorders>
            <w:shd w:val="clear" w:color="auto" w:fill="F2F2F2" w:themeFill="background1" w:themeFillShade="F2"/>
          </w:tcPr>
          <w:p w14:paraId="483C3635" w14:textId="77777777" w:rsidR="007332ED" w:rsidRPr="008440BF" w:rsidRDefault="007332ED" w:rsidP="00AF344F">
            <w:pPr>
              <w:pStyle w:val="BodyText"/>
              <w:rPr>
                <w:rFonts w:asciiTheme="minorHAnsi" w:hAnsiTheme="minorHAnsi"/>
                <w:b/>
                <w:sz w:val="22"/>
                <w:szCs w:val="22"/>
                <w:highlight w:val="yellow"/>
              </w:rPr>
            </w:pPr>
          </w:p>
        </w:tc>
      </w:tr>
      <w:tr w:rsidR="007332ED" w:rsidRPr="008440BF" w14:paraId="710E3F77" w14:textId="77777777" w:rsidTr="00AF344F">
        <w:trPr>
          <w:cantSplit/>
          <w:trHeight w:val="300"/>
          <w:jc w:val="center"/>
        </w:trPr>
        <w:tc>
          <w:tcPr>
            <w:tcW w:w="4315" w:type="dxa"/>
            <w:shd w:val="clear" w:color="auto" w:fill="auto"/>
            <w:vAlign w:val="center"/>
          </w:tcPr>
          <w:p w14:paraId="7B777FD0" w14:textId="17BEE957" w:rsidR="007332ED" w:rsidRPr="008440BF" w:rsidRDefault="007332ED" w:rsidP="00AF344F">
            <w:pPr>
              <w:pStyle w:val="BodyText"/>
              <w:ind w:left="144"/>
              <w:rPr>
                <w:rFonts w:asciiTheme="minorHAnsi" w:hAnsiTheme="minorHAnsi"/>
                <w:bCs/>
              </w:rPr>
            </w:pPr>
            <w:r w:rsidRPr="008440BF">
              <w:rPr>
                <w:rFonts w:asciiTheme="minorHAnsi" w:hAnsiTheme="minorHAnsi"/>
                <w:bCs/>
              </w:rPr>
              <w:t>Hispanic/Latino</w:t>
            </w:r>
          </w:p>
        </w:tc>
        <w:tc>
          <w:tcPr>
            <w:tcW w:w="1800" w:type="dxa"/>
            <w:shd w:val="clear" w:color="auto" w:fill="auto"/>
          </w:tcPr>
          <w:p w14:paraId="326F409B" w14:textId="77777777" w:rsidR="007332ED" w:rsidRPr="008440BF" w:rsidRDefault="007332ED" w:rsidP="00AF344F">
            <w:pPr>
              <w:pStyle w:val="BodyText"/>
              <w:ind w:left="144"/>
              <w:rPr>
                <w:rFonts w:asciiTheme="minorHAnsi" w:hAnsiTheme="minorHAnsi"/>
                <w:bCs/>
                <w:highlight w:val="yellow"/>
              </w:rPr>
            </w:pPr>
            <w:r w:rsidRPr="008440BF">
              <w:rPr>
                <w:rFonts w:asciiTheme="minorHAnsi" w:hAnsiTheme="minorHAnsi"/>
                <w:color w:val="000000"/>
              </w:rPr>
              <w:t>1.88%</w:t>
            </w:r>
          </w:p>
        </w:tc>
      </w:tr>
      <w:tr w:rsidR="007332ED" w:rsidRPr="008440BF" w14:paraId="5243D81F" w14:textId="77777777" w:rsidTr="00AF344F">
        <w:trPr>
          <w:cantSplit/>
          <w:trHeight w:val="300"/>
          <w:jc w:val="center"/>
        </w:trPr>
        <w:tc>
          <w:tcPr>
            <w:tcW w:w="4315" w:type="dxa"/>
            <w:shd w:val="clear" w:color="auto" w:fill="auto"/>
            <w:vAlign w:val="center"/>
          </w:tcPr>
          <w:p w14:paraId="4AA5AB2C" w14:textId="120A68FA" w:rsidR="007332ED" w:rsidRPr="008440BF" w:rsidRDefault="007332ED" w:rsidP="00AF344F">
            <w:pPr>
              <w:pStyle w:val="BodyText"/>
              <w:ind w:left="144"/>
              <w:rPr>
                <w:rFonts w:asciiTheme="minorHAnsi" w:hAnsiTheme="minorHAnsi"/>
                <w:bCs/>
              </w:rPr>
            </w:pPr>
            <w:r w:rsidRPr="008440BF">
              <w:rPr>
                <w:rFonts w:asciiTheme="minorHAnsi" w:hAnsiTheme="minorHAnsi"/>
                <w:bCs/>
              </w:rPr>
              <w:t>Not Hispanic/Latino</w:t>
            </w:r>
          </w:p>
        </w:tc>
        <w:tc>
          <w:tcPr>
            <w:tcW w:w="1800" w:type="dxa"/>
            <w:shd w:val="clear" w:color="auto" w:fill="auto"/>
          </w:tcPr>
          <w:p w14:paraId="50A48309" w14:textId="77777777" w:rsidR="007332ED" w:rsidRPr="008440BF" w:rsidRDefault="007332ED" w:rsidP="00AF344F">
            <w:pPr>
              <w:pStyle w:val="BodyText"/>
              <w:ind w:left="144"/>
              <w:rPr>
                <w:rFonts w:asciiTheme="minorHAnsi" w:hAnsiTheme="minorHAnsi"/>
                <w:bCs/>
                <w:highlight w:val="yellow"/>
              </w:rPr>
            </w:pPr>
            <w:r w:rsidRPr="008440BF">
              <w:rPr>
                <w:rFonts w:asciiTheme="minorHAnsi" w:hAnsiTheme="minorHAnsi"/>
                <w:color w:val="000000"/>
              </w:rPr>
              <w:t>87.10%</w:t>
            </w:r>
          </w:p>
        </w:tc>
      </w:tr>
      <w:tr w:rsidR="007332ED" w:rsidRPr="008440BF" w14:paraId="3538A411" w14:textId="77777777" w:rsidTr="00AF344F">
        <w:trPr>
          <w:cantSplit/>
          <w:trHeight w:val="300"/>
          <w:jc w:val="center"/>
        </w:trPr>
        <w:tc>
          <w:tcPr>
            <w:tcW w:w="4315" w:type="dxa"/>
            <w:shd w:val="clear" w:color="auto" w:fill="auto"/>
            <w:vAlign w:val="center"/>
          </w:tcPr>
          <w:p w14:paraId="0FC6EDAA" w14:textId="346A0567" w:rsidR="007332ED" w:rsidRPr="008440BF" w:rsidRDefault="007332ED" w:rsidP="00AF344F">
            <w:pPr>
              <w:pStyle w:val="BodyText"/>
              <w:rPr>
                <w:rFonts w:asciiTheme="minorHAnsi" w:hAnsiTheme="minorHAnsi"/>
                <w:b/>
              </w:rPr>
            </w:pPr>
            <w:r w:rsidRPr="008440BF">
              <w:rPr>
                <w:rFonts w:asciiTheme="minorHAnsi" w:hAnsiTheme="minorHAnsi"/>
                <w:color w:val="000000"/>
              </w:rPr>
              <w:t>Unknown</w:t>
            </w:r>
            <w:r w:rsidRPr="008440BF">
              <w:rPr>
                <w:rStyle w:val="FootnoteReference"/>
                <w:rFonts w:asciiTheme="minorHAnsi" w:hAnsiTheme="minorHAnsi"/>
                <w:color w:val="000000"/>
              </w:rPr>
              <w:footnoteReference w:id="10"/>
            </w:r>
          </w:p>
        </w:tc>
        <w:tc>
          <w:tcPr>
            <w:tcW w:w="1800" w:type="dxa"/>
            <w:shd w:val="clear" w:color="auto" w:fill="auto"/>
          </w:tcPr>
          <w:p w14:paraId="5D984269" w14:textId="77777777" w:rsidR="007332ED" w:rsidRPr="008440BF" w:rsidRDefault="007332ED" w:rsidP="00AF344F">
            <w:pPr>
              <w:pStyle w:val="BodyText"/>
              <w:rPr>
                <w:rFonts w:asciiTheme="minorHAnsi" w:hAnsiTheme="minorHAnsi"/>
                <w:b/>
                <w:highlight w:val="yellow"/>
              </w:rPr>
            </w:pPr>
            <w:r w:rsidRPr="008440BF">
              <w:rPr>
                <w:rFonts w:asciiTheme="minorHAnsi" w:hAnsiTheme="minorHAnsi"/>
                <w:color w:val="000000"/>
              </w:rPr>
              <w:t>11.02%</w:t>
            </w:r>
          </w:p>
        </w:tc>
      </w:tr>
      <w:tr w:rsidR="007332ED" w:rsidRPr="008440BF" w14:paraId="015CE1DE" w14:textId="77777777" w:rsidTr="00AF344F">
        <w:trPr>
          <w:cantSplit/>
          <w:trHeight w:val="300"/>
          <w:jc w:val="center"/>
        </w:trPr>
        <w:tc>
          <w:tcPr>
            <w:tcW w:w="4315" w:type="dxa"/>
            <w:shd w:val="clear" w:color="auto" w:fill="auto"/>
          </w:tcPr>
          <w:p w14:paraId="58FAE58F" w14:textId="4FBD60AA" w:rsidR="007332ED" w:rsidRPr="008440BF" w:rsidRDefault="007332ED" w:rsidP="00AF344F">
            <w:pPr>
              <w:pStyle w:val="BodyText"/>
              <w:ind w:left="144"/>
              <w:rPr>
                <w:rFonts w:asciiTheme="minorHAnsi" w:hAnsiTheme="minorHAnsi"/>
                <w:bCs/>
              </w:rPr>
            </w:pPr>
            <w:r w:rsidRPr="008440BF">
              <w:rPr>
                <w:rFonts w:asciiTheme="minorHAnsi" w:hAnsiTheme="minorHAnsi"/>
                <w:bCs/>
              </w:rPr>
              <w:t>Total</w:t>
            </w:r>
          </w:p>
        </w:tc>
        <w:tc>
          <w:tcPr>
            <w:tcW w:w="1800" w:type="dxa"/>
            <w:shd w:val="clear" w:color="auto" w:fill="auto"/>
          </w:tcPr>
          <w:p w14:paraId="2C45806F" w14:textId="77777777" w:rsidR="007332ED" w:rsidRPr="008440BF" w:rsidRDefault="007332ED" w:rsidP="00AF344F">
            <w:pPr>
              <w:pStyle w:val="BodyText"/>
              <w:ind w:left="144"/>
              <w:rPr>
                <w:rFonts w:asciiTheme="minorHAnsi" w:hAnsiTheme="minorHAnsi"/>
                <w:bCs/>
                <w:highlight w:val="yellow"/>
              </w:rPr>
            </w:pPr>
            <w:r w:rsidRPr="008440BF">
              <w:rPr>
                <w:rFonts w:asciiTheme="minorHAnsi" w:hAnsiTheme="minorHAnsi"/>
                <w:bCs/>
              </w:rPr>
              <w:t>100.0%</w:t>
            </w:r>
          </w:p>
        </w:tc>
      </w:tr>
      <w:tr w:rsidR="007332ED" w:rsidRPr="008440BF" w14:paraId="4AFB0CB7" w14:textId="77777777" w:rsidTr="00AF344F">
        <w:trPr>
          <w:cantSplit/>
          <w:trHeight w:val="300"/>
          <w:jc w:val="center"/>
        </w:trPr>
        <w:tc>
          <w:tcPr>
            <w:tcW w:w="4315" w:type="dxa"/>
            <w:tcBorders>
              <w:bottom w:val="single" w:sz="4" w:space="0" w:color="auto"/>
            </w:tcBorders>
            <w:shd w:val="clear" w:color="auto" w:fill="F2F2F2" w:themeFill="background1" w:themeFillShade="F2"/>
          </w:tcPr>
          <w:p w14:paraId="6351B652" w14:textId="77777777" w:rsidR="007332ED" w:rsidRPr="008440BF" w:rsidRDefault="007332ED" w:rsidP="00AF344F">
            <w:pPr>
              <w:pStyle w:val="BodyText"/>
              <w:rPr>
                <w:rFonts w:asciiTheme="minorHAnsi" w:hAnsiTheme="minorHAnsi"/>
                <w:b/>
                <w:sz w:val="22"/>
                <w:szCs w:val="22"/>
              </w:rPr>
            </w:pPr>
            <w:r w:rsidRPr="008440BF">
              <w:rPr>
                <w:rFonts w:asciiTheme="minorHAnsi" w:hAnsiTheme="minorHAnsi"/>
                <w:b/>
                <w:sz w:val="22"/>
                <w:szCs w:val="22"/>
              </w:rPr>
              <w:t>Patient Origin</w:t>
            </w:r>
            <w:r w:rsidRPr="008440BF">
              <w:rPr>
                <w:rFonts w:asciiTheme="minorHAnsi" w:hAnsiTheme="minorHAnsi"/>
              </w:rPr>
              <w:t xml:space="preserve"> - </w:t>
            </w:r>
            <w:r w:rsidRPr="008440BF">
              <w:rPr>
                <w:rFonts w:asciiTheme="minorHAnsi" w:hAnsiTheme="minorHAnsi"/>
                <w:b/>
                <w:sz w:val="22"/>
                <w:szCs w:val="22"/>
              </w:rPr>
              <w:t>Top 75% Cities/Towns</w:t>
            </w:r>
          </w:p>
        </w:tc>
        <w:tc>
          <w:tcPr>
            <w:tcW w:w="1800" w:type="dxa"/>
            <w:tcBorders>
              <w:bottom w:val="single" w:sz="4" w:space="0" w:color="auto"/>
            </w:tcBorders>
            <w:shd w:val="clear" w:color="auto" w:fill="F2F2F2" w:themeFill="background1" w:themeFillShade="F2"/>
          </w:tcPr>
          <w:p w14:paraId="50CC5C3A" w14:textId="77777777" w:rsidR="007332ED" w:rsidRPr="008440BF" w:rsidRDefault="007332ED" w:rsidP="00AF344F">
            <w:pPr>
              <w:pStyle w:val="BodyText"/>
              <w:rPr>
                <w:rFonts w:asciiTheme="minorHAnsi" w:hAnsiTheme="minorHAnsi"/>
                <w:b/>
                <w:sz w:val="22"/>
                <w:szCs w:val="22"/>
                <w:highlight w:val="yellow"/>
              </w:rPr>
            </w:pPr>
          </w:p>
        </w:tc>
      </w:tr>
      <w:tr w:rsidR="007332ED" w:rsidRPr="008440BF" w14:paraId="0BC44129"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1C2394AF" w14:textId="77777777" w:rsidR="007332ED" w:rsidRPr="008440BF" w:rsidRDefault="007332ED" w:rsidP="00AF344F">
            <w:pPr>
              <w:pStyle w:val="BodyText"/>
              <w:ind w:left="144"/>
              <w:rPr>
                <w:rFonts w:asciiTheme="minorHAnsi" w:hAnsiTheme="minorHAnsi"/>
                <w:bCs/>
              </w:rPr>
            </w:pPr>
            <w:r w:rsidRPr="008440BF">
              <w:rPr>
                <w:rFonts w:asciiTheme="minorHAnsi" w:eastAsia="Times New Roman" w:hAnsiTheme="minorHAnsi"/>
              </w:rPr>
              <w:t>Plymouth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1C0BCD00" w14:textId="77777777" w:rsidR="007332ED" w:rsidRPr="008440BF" w:rsidRDefault="007332ED" w:rsidP="00AF344F">
            <w:pPr>
              <w:pStyle w:val="BodyText"/>
              <w:ind w:left="144"/>
              <w:rPr>
                <w:rFonts w:asciiTheme="minorHAnsi" w:hAnsiTheme="minorHAnsi"/>
                <w:color w:val="000000"/>
                <w:highlight w:val="yellow"/>
              </w:rPr>
            </w:pPr>
            <w:r w:rsidRPr="008440BF">
              <w:rPr>
                <w:rFonts w:asciiTheme="minorHAnsi" w:hAnsiTheme="minorHAnsi"/>
                <w:color w:val="000000"/>
              </w:rPr>
              <w:t>36.7%</w:t>
            </w:r>
          </w:p>
        </w:tc>
      </w:tr>
      <w:tr w:rsidR="007332ED" w:rsidRPr="008440BF" w14:paraId="4295E1F3"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0304724D" w14:textId="77777777" w:rsidR="007332ED" w:rsidRPr="008440BF" w:rsidRDefault="007332ED" w:rsidP="00AF344F">
            <w:pPr>
              <w:pStyle w:val="BodyText"/>
              <w:ind w:left="144"/>
              <w:rPr>
                <w:rFonts w:asciiTheme="minorHAnsi" w:hAnsiTheme="minorHAnsi"/>
                <w:bCs/>
              </w:rPr>
            </w:pPr>
            <w:r w:rsidRPr="008440BF">
              <w:rPr>
                <w:rFonts w:asciiTheme="minorHAnsi" w:eastAsia="Times New Roman" w:hAnsiTheme="minorHAnsi"/>
              </w:rPr>
              <w:lastRenderedPageBreak/>
              <w:t>Carver</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5CA1B47C" w14:textId="77777777" w:rsidR="007332ED" w:rsidRPr="008440BF" w:rsidRDefault="007332ED" w:rsidP="00AF344F">
            <w:pPr>
              <w:pStyle w:val="BodyText"/>
              <w:ind w:left="144"/>
              <w:rPr>
                <w:rFonts w:asciiTheme="minorHAnsi" w:hAnsiTheme="minorHAnsi"/>
                <w:color w:val="000000"/>
                <w:highlight w:val="yellow"/>
              </w:rPr>
            </w:pPr>
            <w:r w:rsidRPr="008440BF">
              <w:rPr>
                <w:rFonts w:asciiTheme="minorHAnsi" w:hAnsiTheme="minorHAnsi"/>
                <w:color w:val="000000"/>
              </w:rPr>
              <w:t>5.7%</w:t>
            </w:r>
          </w:p>
        </w:tc>
      </w:tr>
      <w:tr w:rsidR="007332ED" w:rsidRPr="008440BF" w14:paraId="7A50A738"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0B09FD26" w14:textId="77777777" w:rsidR="007332ED" w:rsidRPr="008440BF" w:rsidRDefault="007332ED" w:rsidP="00AF344F">
            <w:pPr>
              <w:pStyle w:val="BodyText"/>
              <w:ind w:left="144"/>
              <w:rPr>
                <w:rFonts w:asciiTheme="minorHAnsi" w:hAnsiTheme="minorHAnsi"/>
                <w:bCs/>
              </w:rPr>
            </w:pPr>
            <w:r w:rsidRPr="008440BF">
              <w:rPr>
                <w:rFonts w:asciiTheme="minorHAnsi" w:eastAsia="Times New Roman" w:hAnsiTheme="minorHAnsi"/>
              </w:rPr>
              <w:t>Kingston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1941546D" w14:textId="77777777" w:rsidR="007332ED" w:rsidRPr="008440BF" w:rsidRDefault="007332ED" w:rsidP="00AF344F">
            <w:pPr>
              <w:pStyle w:val="BodyText"/>
              <w:ind w:left="144"/>
              <w:rPr>
                <w:rFonts w:asciiTheme="minorHAnsi" w:hAnsiTheme="minorHAnsi"/>
                <w:color w:val="000000"/>
                <w:highlight w:val="yellow"/>
              </w:rPr>
            </w:pPr>
            <w:r w:rsidRPr="008440BF">
              <w:rPr>
                <w:rFonts w:asciiTheme="minorHAnsi" w:hAnsiTheme="minorHAnsi"/>
                <w:color w:val="000000"/>
              </w:rPr>
              <w:t>5.5%</w:t>
            </w:r>
          </w:p>
        </w:tc>
      </w:tr>
      <w:tr w:rsidR="007332ED" w:rsidRPr="008440BF" w14:paraId="51AC0B9C"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032C1672" w14:textId="77777777" w:rsidR="007332ED" w:rsidRPr="008440BF" w:rsidRDefault="007332ED" w:rsidP="00AF344F">
            <w:pPr>
              <w:pStyle w:val="BodyText"/>
              <w:ind w:left="144"/>
              <w:rPr>
                <w:rFonts w:asciiTheme="minorHAnsi" w:hAnsiTheme="minorHAnsi"/>
                <w:bCs/>
              </w:rPr>
            </w:pPr>
            <w:r w:rsidRPr="008440BF">
              <w:rPr>
                <w:rFonts w:asciiTheme="minorHAnsi" w:eastAsia="Times New Roman" w:hAnsiTheme="minorHAnsi"/>
              </w:rPr>
              <w:t>Middleboro</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4D65B3B5" w14:textId="77777777" w:rsidR="007332ED" w:rsidRPr="008440BF" w:rsidRDefault="007332ED" w:rsidP="00AF344F">
            <w:pPr>
              <w:pStyle w:val="BodyText"/>
              <w:ind w:left="144"/>
              <w:rPr>
                <w:rFonts w:asciiTheme="minorHAnsi" w:hAnsiTheme="minorHAnsi"/>
                <w:color w:val="000000"/>
                <w:highlight w:val="yellow"/>
              </w:rPr>
            </w:pPr>
            <w:r w:rsidRPr="008440BF">
              <w:rPr>
                <w:rFonts w:asciiTheme="minorHAnsi" w:hAnsiTheme="minorHAnsi"/>
                <w:color w:val="000000"/>
              </w:rPr>
              <w:t>4.6%</w:t>
            </w:r>
          </w:p>
        </w:tc>
      </w:tr>
      <w:tr w:rsidR="007332ED" w:rsidRPr="008440BF" w14:paraId="0F8B08D0"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50463CE2" w14:textId="77777777" w:rsidR="007332ED" w:rsidRPr="008440BF" w:rsidRDefault="007332ED" w:rsidP="00AF344F">
            <w:pPr>
              <w:pStyle w:val="BodyText"/>
              <w:ind w:left="144"/>
              <w:rPr>
                <w:rFonts w:asciiTheme="minorHAnsi" w:hAnsiTheme="minorHAnsi"/>
                <w:bCs/>
              </w:rPr>
            </w:pPr>
            <w:r w:rsidRPr="008440BF">
              <w:rPr>
                <w:rFonts w:asciiTheme="minorHAnsi" w:eastAsia="Times New Roman" w:hAnsiTheme="minorHAnsi"/>
              </w:rPr>
              <w:t>Duxbury</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319A8271" w14:textId="77777777" w:rsidR="007332ED" w:rsidRPr="008440BF" w:rsidRDefault="007332ED" w:rsidP="00AF344F">
            <w:pPr>
              <w:pStyle w:val="BodyText"/>
              <w:ind w:left="144"/>
              <w:rPr>
                <w:rFonts w:asciiTheme="minorHAnsi" w:hAnsiTheme="minorHAnsi"/>
                <w:color w:val="000000"/>
                <w:highlight w:val="yellow"/>
              </w:rPr>
            </w:pPr>
            <w:r w:rsidRPr="008440BF">
              <w:rPr>
                <w:rFonts w:asciiTheme="minorHAnsi" w:hAnsiTheme="minorHAnsi"/>
                <w:color w:val="000000"/>
              </w:rPr>
              <w:t>3.9%</w:t>
            </w:r>
          </w:p>
        </w:tc>
      </w:tr>
      <w:tr w:rsidR="007332ED" w:rsidRPr="008440BF" w14:paraId="549F2A12"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63DDCC48" w14:textId="77777777" w:rsidR="007332ED" w:rsidRPr="008440BF" w:rsidRDefault="007332ED" w:rsidP="00AF344F">
            <w:pPr>
              <w:pStyle w:val="BodyText"/>
              <w:ind w:left="144"/>
              <w:rPr>
                <w:rFonts w:asciiTheme="minorHAnsi" w:hAnsiTheme="minorHAnsi"/>
                <w:bCs/>
              </w:rPr>
            </w:pPr>
            <w:r w:rsidRPr="008440BF">
              <w:rPr>
                <w:rFonts w:asciiTheme="minorHAnsi" w:eastAsia="Times New Roman" w:hAnsiTheme="minorHAnsi"/>
              </w:rPr>
              <w:t>Marshfield</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4EF2D340" w14:textId="77777777" w:rsidR="007332ED" w:rsidRPr="008440BF" w:rsidRDefault="007332ED" w:rsidP="00AF344F">
            <w:pPr>
              <w:pStyle w:val="BodyText"/>
              <w:ind w:left="144"/>
              <w:rPr>
                <w:rFonts w:asciiTheme="minorHAnsi" w:hAnsiTheme="minorHAnsi"/>
                <w:color w:val="000000"/>
                <w:highlight w:val="yellow"/>
              </w:rPr>
            </w:pPr>
            <w:r w:rsidRPr="008440BF">
              <w:rPr>
                <w:rFonts w:asciiTheme="minorHAnsi" w:hAnsiTheme="minorHAnsi"/>
                <w:color w:val="000000"/>
              </w:rPr>
              <w:t>3.3%</w:t>
            </w:r>
          </w:p>
        </w:tc>
      </w:tr>
      <w:tr w:rsidR="007332ED" w:rsidRPr="008440BF" w14:paraId="4E9ADCCA"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791DDCFC" w14:textId="77777777" w:rsidR="007332ED" w:rsidRPr="008440BF" w:rsidRDefault="007332ED" w:rsidP="00AF344F">
            <w:pPr>
              <w:pStyle w:val="BodyText"/>
              <w:ind w:left="144"/>
              <w:rPr>
                <w:rFonts w:asciiTheme="minorHAnsi" w:hAnsiTheme="minorHAnsi"/>
                <w:bCs/>
              </w:rPr>
            </w:pPr>
            <w:r w:rsidRPr="008440BF">
              <w:rPr>
                <w:rFonts w:asciiTheme="minorHAnsi" w:eastAsia="Times New Roman" w:hAnsiTheme="minorHAnsi"/>
              </w:rPr>
              <w:t>Buzzard's Bay</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09B3B7B2" w14:textId="77777777" w:rsidR="007332ED" w:rsidRPr="008440BF" w:rsidRDefault="007332ED" w:rsidP="00AF344F">
            <w:pPr>
              <w:pStyle w:val="BodyText"/>
              <w:ind w:left="144"/>
              <w:rPr>
                <w:rFonts w:asciiTheme="minorHAnsi" w:hAnsiTheme="minorHAnsi"/>
                <w:color w:val="000000"/>
                <w:highlight w:val="yellow"/>
              </w:rPr>
            </w:pPr>
            <w:r w:rsidRPr="008440BF">
              <w:rPr>
                <w:rFonts w:asciiTheme="minorHAnsi" w:hAnsiTheme="minorHAnsi"/>
                <w:color w:val="000000"/>
              </w:rPr>
              <w:t>2.5%</w:t>
            </w:r>
          </w:p>
        </w:tc>
      </w:tr>
      <w:tr w:rsidR="007332ED" w:rsidRPr="008440BF" w14:paraId="71A287C3"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261502E8" w14:textId="77777777" w:rsidR="007332ED" w:rsidRPr="008440BF" w:rsidRDefault="007332ED" w:rsidP="00AF344F">
            <w:pPr>
              <w:pStyle w:val="BodyText"/>
              <w:ind w:left="144"/>
              <w:rPr>
                <w:rFonts w:asciiTheme="minorHAnsi" w:hAnsiTheme="minorHAnsi"/>
                <w:bCs/>
              </w:rPr>
            </w:pPr>
            <w:r w:rsidRPr="008440BF">
              <w:rPr>
                <w:rFonts w:asciiTheme="minorHAnsi" w:eastAsia="Times New Roman" w:hAnsiTheme="minorHAnsi"/>
              </w:rPr>
              <w:t>Pembroke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0F1D49BD" w14:textId="77777777" w:rsidR="007332ED" w:rsidRPr="008440BF" w:rsidRDefault="007332ED" w:rsidP="00AF344F">
            <w:pPr>
              <w:pStyle w:val="BodyText"/>
              <w:ind w:left="144"/>
              <w:rPr>
                <w:rFonts w:asciiTheme="minorHAnsi" w:hAnsiTheme="minorHAnsi"/>
                <w:color w:val="000000"/>
                <w:highlight w:val="yellow"/>
              </w:rPr>
            </w:pPr>
            <w:r w:rsidRPr="008440BF">
              <w:rPr>
                <w:rFonts w:asciiTheme="minorHAnsi" w:hAnsiTheme="minorHAnsi"/>
                <w:color w:val="000000"/>
              </w:rPr>
              <w:t>2.4%</w:t>
            </w:r>
          </w:p>
        </w:tc>
      </w:tr>
      <w:tr w:rsidR="007332ED" w:rsidRPr="008440BF" w14:paraId="487F1208"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033F3536" w14:textId="77777777" w:rsidR="007332ED" w:rsidRPr="008440BF" w:rsidRDefault="007332ED" w:rsidP="00AF344F">
            <w:pPr>
              <w:pStyle w:val="BodyText"/>
              <w:ind w:left="144"/>
              <w:rPr>
                <w:rFonts w:asciiTheme="minorHAnsi" w:hAnsiTheme="minorHAnsi"/>
                <w:bCs/>
              </w:rPr>
            </w:pPr>
            <w:r w:rsidRPr="008440BF">
              <w:rPr>
                <w:rFonts w:asciiTheme="minorHAnsi" w:eastAsia="Times New Roman" w:hAnsiTheme="minorHAnsi"/>
              </w:rPr>
              <w:t>Sandwich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2AE9055A" w14:textId="77777777" w:rsidR="007332ED" w:rsidRPr="008440BF" w:rsidRDefault="007332ED" w:rsidP="00AF344F">
            <w:pPr>
              <w:pStyle w:val="BodyText"/>
              <w:ind w:left="144"/>
              <w:rPr>
                <w:rFonts w:asciiTheme="minorHAnsi" w:hAnsiTheme="minorHAnsi"/>
                <w:color w:val="000000"/>
                <w:highlight w:val="yellow"/>
              </w:rPr>
            </w:pPr>
            <w:r w:rsidRPr="008440BF">
              <w:rPr>
                <w:rFonts w:asciiTheme="minorHAnsi" w:hAnsiTheme="minorHAnsi"/>
                <w:color w:val="000000"/>
              </w:rPr>
              <w:t>1.7%</w:t>
            </w:r>
          </w:p>
        </w:tc>
      </w:tr>
      <w:tr w:rsidR="007332ED" w:rsidRPr="008440BF" w14:paraId="255A1B84"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4DE3A08F" w14:textId="77777777" w:rsidR="007332ED" w:rsidRPr="008440BF" w:rsidRDefault="007332ED" w:rsidP="00AF344F">
            <w:pPr>
              <w:pStyle w:val="BodyText"/>
              <w:ind w:left="144"/>
              <w:rPr>
                <w:rFonts w:asciiTheme="minorHAnsi" w:eastAsia="Times New Roman" w:hAnsiTheme="minorHAnsi"/>
              </w:rPr>
            </w:pPr>
            <w:r w:rsidRPr="008440BF">
              <w:rPr>
                <w:rFonts w:asciiTheme="minorHAnsi" w:eastAsia="Times New Roman" w:hAnsiTheme="minorHAnsi"/>
              </w:rPr>
              <w:t>Halifax</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30937E1E" w14:textId="77777777" w:rsidR="007332ED" w:rsidRPr="008440BF" w:rsidRDefault="007332ED" w:rsidP="00AF344F">
            <w:pPr>
              <w:pStyle w:val="BodyText"/>
              <w:ind w:left="144"/>
              <w:rPr>
                <w:rFonts w:asciiTheme="minorHAnsi" w:hAnsiTheme="minorHAnsi"/>
                <w:color w:val="000000"/>
              </w:rPr>
            </w:pPr>
            <w:r w:rsidRPr="008440BF">
              <w:rPr>
                <w:rFonts w:asciiTheme="minorHAnsi" w:hAnsiTheme="minorHAnsi"/>
                <w:color w:val="000000"/>
              </w:rPr>
              <w:t>1.6%</w:t>
            </w:r>
          </w:p>
        </w:tc>
      </w:tr>
      <w:tr w:rsidR="007332ED" w:rsidRPr="008440BF" w14:paraId="1CE90493"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0CDE6FE5" w14:textId="77777777" w:rsidR="007332ED" w:rsidRPr="008440BF" w:rsidRDefault="007332ED" w:rsidP="00AF344F">
            <w:pPr>
              <w:pStyle w:val="BodyText"/>
              <w:ind w:left="144"/>
              <w:rPr>
                <w:rFonts w:asciiTheme="minorHAnsi" w:hAnsiTheme="minorHAnsi"/>
                <w:bCs/>
              </w:rPr>
            </w:pPr>
            <w:r w:rsidRPr="008440BF">
              <w:rPr>
                <w:rFonts w:asciiTheme="minorHAnsi" w:hAnsiTheme="minorHAnsi"/>
                <w:bCs/>
              </w:rPr>
              <w:t>Sagamore Beach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4C776EF8" w14:textId="77777777" w:rsidR="007332ED" w:rsidRPr="008440BF" w:rsidRDefault="007332ED" w:rsidP="00AF344F">
            <w:pPr>
              <w:pStyle w:val="BodyText"/>
              <w:ind w:left="144"/>
              <w:rPr>
                <w:rFonts w:asciiTheme="minorHAnsi" w:hAnsiTheme="minorHAnsi"/>
                <w:color w:val="000000"/>
              </w:rPr>
            </w:pPr>
            <w:r w:rsidRPr="008440BF">
              <w:rPr>
                <w:rFonts w:asciiTheme="minorHAnsi" w:hAnsiTheme="minorHAnsi"/>
                <w:color w:val="000000"/>
              </w:rPr>
              <w:t>1.4%</w:t>
            </w:r>
          </w:p>
        </w:tc>
      </w:tr>
      <w:tr w:rsidR="007332ED" w:rsidRPr="008440BF" w14:paraId="724E520F"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32614522" w14:textId="77777777" w:rsidR="007332ED" w:rsidRPr="008440BF" w:rsidRDefault="007332ED" w:rsidP="00AF344F">
            <w:pPr>
              <w:pStyle w:val="BodyText"/>
              <w:ind w:left="144"/>
              <w:rPr>
                <w:rFonts w:asciiTheme="minorHAnsi" w:hAnsiTheme="minorHAnsi"/>
                <w:bCs/>
              </w:rPr>
            </w:pPr>
            <w:r w:rsidRPr="008440BF">
              <w:rPr>
                <w:rFonts w:asciiTheme="minorHAnsi" w:hAnsiTheme="minorHAnsi"/>
                <w:bCs/>
              </w:rPr>
              <w:t>Mashpee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58A5F900" w14:textId="77777777" w:rsidR="007332ED" w:rsidRPr="008440BF" w:rsidRDefault="007332ED" w:rsidP="00AF344F">
            <w:pPr>
              <w:pStyle w:val="BodyText"/>
              <w:ind w:left="144"/>
              <w:rPr>
                <w:rFonts w:asciiTheme="minorHAnsi" w:hAnsiTheme="minorHAnsi"/>
                <w:color w:val="000000"/>
              </w:rPr>
            </w:pPr>
            <w:r w:rsidRPr="008440BF">
              <w:rPr>
                <w:rFonts w:asciiTheme="minorHAnsi" w:hAnsiTheme="minorHAnsi"/>
                <w:color w:val="000000"/>
              </w:rPr>
              <w:t>1.1%</w:t>
            </w:r>
          </w:p>
        </w:tc>
      </w:tr>
      <w:tr w:rsidR="007332ED" w:rsidRPr="008440BF" w14:paraId="5C561663"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41AEFA37" w14:textId="77777777" w:rsidR="007332ED" w:rsidRPr="008440BF" w:rsidRDefault="007332ED" w:rsidP="00AF344F">
            <w:pPr>
              <w:pStyle w:val="BodyText"/>
              <w:ind w:left="144"/>
              <w:rPr>
                <w:rFonts w:asciiTheme="minorHAnsi" w:hAnsiTheme="minorHAnsi"/>
                <w:bCs/>
              </w:rPr>
            </w:pPr>
            <w:r w:rsidRPr="008440BF">
              <w:rPr>
                <w:rFonts w:asciiTheme="minorHAnsi" w:hAnsiTheme="minorHAnsi"/>
                <w:bCs/>
              </w:rPr>
              <w:t>Plympton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70C1F80E" w14:textId="77777777" w:rsidR="007332ED" w:rsidRPr="008440BF" w:rsidRDefault="007332ED" w:rsidP="00AF344F">
            <w:pPr>
              <w:pStyle w:val="BodyText"/>
              <w:ind w:left="144"/>
              <w:rPr>
                <w:rFonts w:asciiTheme="minorHAnsi" w:hAnsiTheme="minorHAnsi"/>
                <w:color w:val="000000"/>
              </w:rPr>
            </w:pPr>
            <w:r w:rsidRPr="008440BF">
              <w:rPr>
                <w:rFonts w:asciiTheme="minorHAnsi" w:hAnsiTheme="minorHAnsi"/>
                <w:color w:val="000000"/>
              </w:rPr>
              <w:t>1.1%</w:t>
            </w:r>
          </w:p>
        </w:tc>
      </w:tr>
      <w:tr w:rsidR="007332ED" w:rsidRPr="008440BF" w14:paraId="72578966"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6DA5C3FB" w14:textId="77777777" w:rsidR="007332ED" w:rsidRPr="008440BF" w:rsidRDefault="007332ED" w:rsidP="00AF344F">
            <w:pPr>
              <w:pStyle w:val="BodyText"/>
              <w:ind w:left="144"/>
              <w:rPr>
                <w:rFonts w:asciiTheme="minorHAnsi" w:hAnsiTheme="minorHAnsi"/>
                <w:bCs/>
              </w:rPr>
            </w:pPr>
            <w:r w:rsidRPr="008440BF">
              <w:rPr>
                <w:rFonts w:asciiTheme="minorHAnsi" w:hAnsiTheme="minorHAnsi"/>
                <w:bCs/>
              </w:rPr>
              <w:t>Wareham</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0B5C633B" w14:textId="77777777" w:rsidR="007332ED" w:rsidRPr="008440BF" w:rsidRDefault="007332ED" w:rsidP="00AF344F">
            <w:pPr>
              <w:pStyle w:val="BodyText"/>
              <w:ind w:left="144"/>
              <w:rPr>
                <w:rFonts w:asciiTheme="minorHAnsi" w:hAnsiTheme="minorHAnsi"/>
                <w:color w:val="000000"/>
              </w:rPr>
            </w:pPr>
            <w:r w:rsidRPr="008440BF">
              <w:rPr>
                <w:rFonts w:asciiTheme="minorHAnsi" w:hAnsiTheme="minorHAnsi"/>
                <w:color w:val="000000"/>
              </w:rPr>
              <w:t>1.1%</w:t>
            </w:r>
          </w:p>
        </w:tc>
      </w:tr>
      <w:tr w:rsidR="007332ED" w:rsidRPr="008440BF" w14:paraId="3840E12B"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233F0C63" w14:textId="77777777" w:rsidR="007332ED" w:rsidRPr="008440BF" w:rsidRDefault="007332ED" w:rsidP="00AF344F">
            <w:pPr>
              <w:pStyle w:val="BodyText"/>
              <w:ind w:left="144"/>
              <w:rPr>
                <w:rFonts w:asciiTheme="minorHAnsi" w:hAnsiTheme="minorHAnsi"/>
                <w:bCs/>
              </w:rPr>
            </w:pPr>
            <w:r w:rsidRPr="008440BF">
              <w:rPr>
                <w:rFonts w:asciiTheme="minorHAnsi" w:hAnsiTheme="minorHAnsi"/>
                <w:bCs/>
              </w:rPr>
              <w:t>East Falmouth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44CAEF08" w14:textId="77777777" w:rsidR="007332ED" w:rsidRPr="008440BF" w:rsidRDefault="007332ED" w:rsidP="00AF344F">
            <w:pPr>
              <w:pStyle w:val="BodyText"/>
              <w:ind w:left="144"/>
              <w:rPr>
                <w:rFonts w:asciiTheme="minorHAnsi" w:hAnsiTheme="minorHAnsi"/>
                <w:color w:val="000000"/>
              </w:rPr>
            </w:pPr>
            <w:r w:rsidRPr="008440BF">
              <w:rPr>
                <w:rFonts w:asciiTheme="minorHAnsi" w:hAnsiTheme="minorHAnsi"/>
                <w:color w:val="000000"/>
              </w:rPr>
              <w:t>1.0%</w:t>
            </w:r>
          </w:p>
        </w:tc>
      </w:tr>
      <w:tr w:rsidR="007332ED" w:rsidRPr="008440BF" w14:paraId="3B55C62F"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2C0B119A" w14:textId="77777777" w:rsidR="007332ED" w:rsidRPr="008440BF" w:rsidRDefault="007332ED" w:rsidP="00AF344F">
            <w:pPr>
              <w:pStyle w:val="BodyText"/>
              <w:ind w:left="144"/>
              <w:rPr>
                <w:rFonts w:asciiTheme="minorHAnsi" w:hAnsiTheme="minorHAnsi"/>
                <w:bCs/>
              </w:rPr>
            </w:pPr>
            <w:r w:rsidRPr="008440BF">
              <w:rPr>
                <w:rFonts w:asciiTheme="minorHAnsi" w:hAnsiTheme="minorHAnsi"/>
                <w:bCs/>
              </w:rPr>
              <w:t>East Sandwich</w:t>
            </w:r>
          </w:p>
        </w:tc>
        <w:tc>
          <w:tcPr>
            <w:tcW w:w="1800" w:type="dxa"/>
            <w:tcBorders>
              <w:top w:val="single" w:sz="4" w:space="0" w:color="auto"/>
              <w:left w:val="single" w:sz="4" w:space="0" w:color="auto"/>
              <w:bottom w:val="single" w:sz="4" w:space="0" w:color="auto"/>
              <w:right w:val="single" w:sz="4" w:space="0" w:color="auto"/>
            </w:tcBorders>
            <w:vAlign w:val="bottom"/>
          </w:tcPr>
          <w:p w14:paraId="3FAF18C3" w14:textId="77777777" w:rsidR="007332ED" w:rsidRPr="008440BF" w:rsidRDefault="007332ED" w:rsidP="00AF344F">
            <w:pPr>
              <w:pStyle w:val="BodyText"/>
              <w:ind w:left="144"/>
              <w:rPr>
                <w:rFonts w:asciiTheme="minorHAnsi" w:hAnsiTheme="minorHAnsi"/>
                <w:color w:val="000000"/>
              </w:rPr>
            </w:pPr>
            <w:r w:rsidRPr="008440BF">
              <w:rPr>
                <w:rFonts w:asciiTheme="minorHAnsi" w:hAnsiTheme="minorHAnsi"/>
                <w:color w:val="000000"/>
              </w:rPr>
              <w:t>0.9%</w:t>
            </w:r>
          </w:p>
        </w:tc>
      </w:tr>
      <w:tr w:rsidR="007332ED" w:rsidRPr="008440BF" w14:paraId="74B954D4"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64A0CEA4" w14:textId="77777777" w:rsidR="007332ED" w:rsidRPr="008440BF" w:rsidRDefault="007332ED" w:rsidP="00AF344F">
            <w:pPr>
              <w:pStyle w:val="BodyText"/>
              <w:ind w:left="144"/>
              <w:rPr>
                <w:rFonts w:asciiTheme="minorHAnsi" w:hAnsiTheme="minorHAnsi"/>
                <w:bCs/>
              </w:rPr>
            </w:pPr>
            <w:r w:rsidRPr="008440BF">
              <w:rPr>
                <w:rFonts w:asciiTheme="minorHAnsi" w:hAnsiTheme="minorHAnsi"/>
                <w:bCs/>
              </w:rPr>
              <w:t>Lakeville</w:t>
            </w:r>
          </w:p>
        </w:tc>
        <w:tc>
          <w:tcPr>
            <w:tcW w:w="1800" w:type="dxa"/>
            <w:tcBorders>
              <w:top w:val="single" w:sz="4" w:space="0" w:color="auto"/>
              <w:left w:val="single" w:sz="4" w:space="0" w:color="auto"/>
              <w:bottom w:val="single" w:sz="4" w:space="0" w:color="auto"/>
              <w:right w:val="single" w:sz="4" w:space="0" w:color="auto"/>
            </w:tcBorders>
            <w:vAlign w:val="bottom"/>
          </w:tcPr>
          <w:p w14:paraId="0824540E" w14:textId="77777777" w:rsidR="007332ED" w:rsidRPr="008440BF" w:rsidRDefault="007332ED" w:rsidP="00AF344F">
            <w:pPr>
              <w:pStyle w:val="BodyText"/>
              <w:ind w:left="144"/>
              <w:rPr>
                <w:rFonts w:asciiTheme="minorHAnsi" w:hAnsiTheme="minorHAnsi"/>
                <w:color w:val="000000"/>
              </w:rPr>
            </w:pPr>
            <w:r w:rsidRPr="008440BF">
              <w:rPr>
                <w:rFonts w:asciiTheme="minorHAnsi" w:hAnsiTheme="minorHAnsi"/>
                <w:color w:val="000000"/>
              </w:rPr>
              <w:t>0.8%</w:t>
            </w:r>
          </w:p>
        </w:tc>
      </w:tr>
      <w:tr w:rsidR="007332ED" w:rsidRPr="008440BF" w14:paraId="476D09D7"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04F84E9E" w14:textId="77777777" w:rsidR="007332ED" w:rsidRPr="008440BF" w:rsidRDefault="007332ED" w:rsidP="00AF344F">
            <w:pPr>
              <w:pStyle w:val="BodyText"/>
              <w:ind w:left="144"/>
              <w:rPr>
                <w:rFonts w:asciiTheme="minorHAnsi" w:hAnsiTheme="minorHAnsi"/>
                <w:bCs/>
              </w:rPr>
            </w:pPr>
            <w:r w:rsidRPr="008440BF">
              <w:rPr>
                <w:rFonts w:asciiTheme="minorHAnsi" w:hAnsiTheme="minorHAnsi"/>
                <w:bCs/>
              </w:rPr>
              <w:t>All other patient origins</w:t>
            </w:r>
          </w:p>
        </w:tc>
        <w:tc>
          <w:tcPr>
            <w:tcW w:w="1800" w:type="dxa"/>
            <w:tcBorders>
              <w:top w:val="single" w:sz="4" w:space="0" w:color="auto"/>
              <w:left w:val="single" w:sz="4" w:space="0" w:color="auto"/>
              <w:bottom w:val="single" w:sz="4" w:space="0" w:color="auto"/>
              <w:right w:val="single" w:sz="4" w:space="0" w:color="auto"/>
            </w:tcBorders>
          </w:tcPr>
          <w:p w14:paraId="44ECB1C7" w14:textId="77777777" w:rsidR="007332ED" w:rsidRPr="008440BF" w:rsidRDefault="007332ED" w:rsidP="00AF344F">
            <w:pPr>
              <w:pStyle w:val="BodyText"/>
              <w:ind w:left="144"/>
              <w:rPr>
                <w:rFonts w:asciiTheme="minorHAnsi" w:hAnsiTheme="minorHAnsi"/>
                <w:color w:val="000000"/>
                <w:highlight w:val="yellow"/>
              </w:rPr>
            </w:pPr>
            <w:r w:rsidRPr="008440BF">
              <w:rPr>
                <w:rFonts w:asciiTheme="minorHAnsi" w:hAnsiTheme="minorHAnsi"/>
                <w:color w:val="000000"/>
              </w:rPr>
              <w:t>24.6%</w:t>
            </w:r>
          </w:p>
        </w:tc>
      </w:tr>
      <w:tr w:rsidR="007332ED" w:rsidRPr="008440BF" w14:paraId="2C70867C"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3D1F622F" w14:textId="2F323ACB" w:rsidR="007332ED" w:rsidRPr="008440BF" w:rsidRDefault="007332ED" w:rsidP="00AF344F">
            <w:pPr>
              <w:pStyle w:val="BodyText"/>
              <w:ind w:left="144"/>
              <w:rPr>
                <w:rFonts w:asciiTheme="minorHAnsi" w:hAnsiTheme="minorHAnsi"/>
                <w:bCs/>
              </w:rPr>
            </w:pPr>
            <w:r w:rsidRPr="008440BF">
              <w:rPr>
                <w:rFonts w:asciiTheme="minorHAnsi" w:hAnsiTheme="minorHAnsi"/>
                <w:bCs/>
              </w:rPr>
              <w:t>Total</w:t>
            </w:r>
          </w:p>
        </w:tc>
        <w:tc>
          <w:tcPr>
            <w:tcW w:w="1800" w:type="dxa"/>
            <w:tcBorders>
              <w:top w:val="single" w:sz="4" w:space="0" w:color="auto"/>
              <w:left w:val="single" w:sz="4" w:space="0" w:color="auto"/>
              <w:bottom w:val="single" w:sz="4" w:space="0" w:color="auto"/>
              <w:right w:val="single" w:sz="4" w:space="0" w:color="auto"/>
            </w:tcBorders>
          </w:tcPr>
          <w:p w14:paraId="7806802F" w14:textId="77777777" w:rsidR="007332ED" w:rsidRPr="008440BF" w:rsidRDefault="007332ED" w:rsidP="00AF344F">
            <w:pPr>
              <w:pStyle w:val="BodyText"/>
              <w:ind w:left="144"/>
              <w:rPr>
                <w:rFonts w:asciiTheme="minorHAnsi" w:hAnsiTheme="minorHAnsi"/>
                <w:color w:val="000000"/>
                <w:highlight w:val="yellow"/>
              </w:rPr>
            </w:pPr>
            <w:r w:rsidRPr="008440BF">
              <w:rPr>
                <w:rFonts w:asciiTheme="minorHAnsi" w:hAnsiTheme="minorHAnsi"/>
                <w:color w:val="000000"/>
              </w:rPr>
              <w:t>100.0%</w:t>
            </w:r>
          </w:p>
        </w:tc>
      </w:tr>
      <w:tr w:rsidR="007332ED" w:rsidRPr="008440BF" w14:paraId="5BE6C90D" w14:textId="77777777" w:rsidTr="00AF344F">
        <w:trPr>
          <w:cantSplit/>
          <w:trHeight w:val="300"/>
          <w:jc w:val="center"/>
        </w:trPr>
        <w:tc>
          <w:tcPr>
            <w:tcW w:w="4315" w:type="dxa"/>
            <w:tcBorders>
              <w:top w:val="single" w:sz="4" w:space="0" w:color="auto"/>
            </w:tcBorders>
            <w:shd w:val="clear" w:color="auto" w:fill="F2F2F2" w:themeFill="background1" w:themeFillShade="F2"/>
          </w:tcPr>
          <w:p w14:paraId="73E3FCD0" w14:textId="77777777" w:rsidR="007332ED" w:rsidRPr="008440BF" w:rsidRDefault="007332ED" w:rsidP="00AF344F">
            <w:pPr>
              <w:pStyle w:val="BodyText"/>
              <w:rPr>
                <w:rFonts w:asciiTheme="minorHAnsi" w:hAnsiTheme="minorHAnsi"/>
                <w:b/>
              </w:rPr>
            </w:pPr>
            <w:r w:rsidRPr="008440BF">
              <w:rPr>
                <w:rFonts w:asciiTheme="minorHAnsi" w:hAnsiTheme="minorHAnsi"/>
                <w:b/>
              </w:rPr>
              <w:t>Payer Mix</w:t>
            </w:r>
          </w:p>
        </w:tc>
        <w:tc>
          <w:tcPr>
            <w:tcW w:w="1800" w:type="dxa"/>
            <w:tcBorders>
              <w:top w:val="single" w:sz="4" w:space="0" w:color="auto"/>
            </w:tcBorders>
            <w:shd w:val="clear" w:color="auto" w:fill="F2F2F2" w:themeFill="background1" w:themeFillShade="F2"/>
          </w:tcPr>
          <w:p w14:paraId="0C66B97E" w14:textId="77777777" w:rsidR="007332ED" w:rsidRPr="008440BF" w:rsidRDefault="007332ED" w:rsidP="00AF344F">
            <w:pPr>
              <w:pStyle w:val="BodyText"/>
              <w:rPr>
                <w:rFonts w:asciiTheme="minorHAnsi" w:hAnsiTheme="minorHAnsi"/>
                <w:bCs/>
                <w:highlight w:val="yellow"/>
              </w:rPr>
            </w:pPr>
          </w:p>
        </w:tc>
      </w:tr>
      <w:tr w:rsidR="007332ED" w:rsidRPr="008440BF" w14:paraId="6DAC2B9A" w14:textId="77777777" w:rsidTr="00AF344F">
        <w:trPr>
          <w:cantSplit/>
          <w:trHeight w:val="300"/>
          <w:jc w:val="center"/>
        </w:trPr>
        <w:tc>
          <w:tcPr>
            <w:tcW w:w="4315" w:type="dxa"/>
            <w:vAlign w:val="center"/>
          </w:tcPr>
          <w:p w14:paraId="3FBBCCFE" w14:textId="77777777" w:rsidR="007332ED" w:rsidRPr="008440BF" w:rsidRDefault="007332ED" w:rsidP="00AF344F">
            <w:pPr>
              <w:pStyle w:val="BodyText"/>
              <w:ind w:left="144"/>
              <w:rPr>
                <w:rFonts w:asciiTheme="minorHAnsi" w:hAnsiTheme="minorHAnsi"/>
                <w:b/>
              </w:rPr>
            </w:pPr>
            <w:r w:rsidRPr="008440BF">
              <w:rPr>
                <w:rFonts w:asciiTheme="minorHAnsi" w:hAnsiTheme="minorHAnsi"/>
                <w:color w:val="000000"/>
              </w:rPr>
              <w:t>Commercial</w:t>
            </w:r>
          </w:p>
        </w:tc>
        <w:tc>
          <w:tcPr>
            <w:tcW w:w="1800" w:type="dxa"/>
          </w:tcPr>
          <w:p w14:paraId="22B3FAE0"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40.3%</w:t>
            </w:r>
          </w:p>
        </w:tc>
      </w:tr>
      <w:tr w:rsidR="007332ED" w:rsidRPr="008440BF" w14:paraId="0BA7A5E6" w14:textId="77777777" w:rsidTr="00AF344F">
        <w:trPr>
          <w:cantSplit/>
          <w:trHeight w:val="300"/>
          <w:jc w:val="center"/>
        </w:trPr>
        <w:tc>
          <w:tcPr>
            <w:tcW w:w="4315" w:type="dxa"/>
            <w:vAlign w:val="center"/>
          </w:tcPr>
          <w:p w14:paraId="0111B70C" w14:textId="350639D7" w:rsidR="007332ED" w:rsidRPr="008440BF" w:rsidRDefault="007332ED" w:rsidP="00AF344F">
            <w:pPr>
              <w:pStyle w:val="BodyText"/>
              <w:rPr>
                <w:rFonts w:asciiTheme="minorHAnsi" w:hAnsiTheme="minorHAnsi"/>
                <w:b/>
              </w:rPr>
            </w:pPr>
            <w:r w:rsidRPr="008440BF">
              <w:rPr>
                <w:rFonts w:asciiTheme="minorHAnsi" w:hAnsiTheme="minorHAnsi"/>
                <w:color w:val="000000"/>
              </w:rPr>
              <w:t>Medicaid</w:t>
            </w:r>
          </w:p>
        </w:tc>
        <w:tc>
          <w:tcPr>
            <w:tcW w:w="1800" w:type="dxa"/>
          </w:tcPr>
          <w:p w14:paraId="1FA803D4"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17.7%</w:t>
            </w:r>
          </w:p>
        </w:tc>
      </w:tr>
      <w:tr w:rsidR="007332ED" w:rsidRPr="008440BF" w14:paraId="1EC1A3DF" w14:textId="77777777" w:rsidTr="00AF344F">
        <w:trPr>
          <w:cantSplit/>
          <w:trHeight w:val="300"/>
          <w:jc w:val="center"/>
        </w:trPr>
        <w:tc>
          <w:tcPr>
            <w:tcW w:w="4315" w:type="dxa"/>
            <w:vAlign w:val="center"/>
          </w:tcPr>
          <w:p w14:paraId="39942B47" w14:textId="77777777" w:rsidR="007332ED" w:rsidRPr="008440BF" w:rsidRDefault="007332ED" w:rsidP="00AF344F">
            <w:pPr>
              <w:pStyle w:val="BodyText"/>
              <w:ind w:left="144"/>
              <w:rPr>
                <w:rFonts w:asciiTheme="minorHAnsi" w:hAnsiTheme="minorHAnsi"/>
                <w:b/>
              </w:rPr>
            </w:pPr>
            <w:r w:rsidRPr="008440BF">
              <w:rPr>
                <w:rFonts w:asciiTheme="minorHAnsi" w:hAnsiTheme="minorHAnsi"/>
                <w:color w:val="000000"/>
              </w:rPr>
              <w:t>Medicare</w:t>
            </w:r>
          </w:p>
        </w:tc>
        <w:tc>
          <w:tcPr>
            <w:tcW w:w="1800" w:type="dxa"/>
          </w:tcPr>
          <w:p w14:paraId="044D2644"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34.1%</w:t>
            </w:r>
          </w:p>
        </w:tc>
      </w:tr>
      <w:tr w:rsidR="007332ED" w:rsidRPr="008440BF" w14:paraId="5123CFC5" w14:textId="77777777" w:rsidTr="00AF344F">
        <w:trPr>
          <w:cantSplit/>
          <w:trHeight w:val="300"/>
          <w:jc w:val="center"/>
        </w:trPr>
        <w:tc>
          <w:tcPr>
            <w:tcW w:w="4315" w:type="dxa"/>
            <w:vAlign w:val="center"/>
          </w:tcPr>
          <w:p w14:paraId="05B85917" w14:textId="77777777" w:rsidR="007332ED" w:rsidRPr="008440BF" w:rsidRDefault="007332ED" w:rsidP="00AF344F">
            <w:pPr>
              <w:pStyle w:val="BodyText"/>
              <w:ind w:left="144"/>
              <w:rPr>
                <w:rFonts w:asciiTheme="minorHAnsi" w:hAnsiTheme="minorHAnsi"/>
                <w:b/>
              </w:rPr>
            </w:pPr>
            <w:r w:rsidRPr="008440BF">
              <w:rPr>
                <w:rFonts w:asciiTheme="minorHAnsi" w:hAnsiTheme="minorHAnsi"/>
                <w:color w:val="000000"/>
              </w:rPr>
              <w:t>Other</w:t>
            </w:r>
            <w:r w:rsidRPr="008440BF">
              <w:rPr>
                <w:rStyle w:val="FootnoteReference"/>
                <w:rFonts w:asciiTheme="minorHAnsi" w:hAnsiTheme="minorHAnsi"/>
                <w:color w:val="000000"/>
              </w:rPr>
              <w:footnoteReference w:id="11"/>
            </w:r>
          </w:p>
        </w:tc>
        <w:tc>
          <w:tcPr>
            <w:tcW w:w="1800" w:type="dxa"/>
          </w:tcPr>
          <w:p w14:paraId="0C3E67E1"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7.9%</w:t>
            </w:r>
          </w:p>
        </w:tc>
      </w:tr>
      <w:tr w:rsidR="007332ED" w:rsidRPr="008440BF" w14:paraId="72ED713C" w14:textId="77777777" w:rsidTr="00AF344F">
        <w:trPr>
          <w:cantSplit/>
          <w:trHeight w:val="300"/>
          <w:jc w:val="center"/>
        </w:trPr>
        <w:tc>
          <w:tcPr>
            <w:tcW w:w="4315" w:type="dxa"/>
            <w:vAlign w:val="center"/>
          </w:tcPr>
          <w:p w14:paraId="65E698C6" w14:textId="77777777" w:rsidR="007332ED" w:rsidRPr="008440BF" w:rsidRDefault="007332ED" w:rsidP="00AF344F">
            <w:pPr>
              <w:pStyle w:val="BodyText"/>
              <w:ind w:left="144"/>
              <w:rPr>
                <w:rFonts w:asciiTheme="minorHAnsi" w:hAnsiTheme="minorHAnsi"/>
                <w:b/>
              </w:rPr>
            </w:pPr>
            <w:r w:rsidRPr="008440BF">
              <w:rPr>
                <w:rFonts w:asciiTheme="minorHAnsi" w:hAnsiTheme="minorHAnsi"/>
                <w:color w:val="000000"/>
              </w:rPr>
              <w:t>Unknown</w:t>
            </w:r>
          </w:p>
        </w:tc>
        <w:tc>
          <w:tcPr>
            <w:tcW w:w="1800" w:type="dxa"/>
          </w:tcPr>
          <w:p w14:paraId="5A7FC676"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color w:val="000000"/>
              </w:rPr>
              <w:t>0.1%</w:t>
            </w:r>
          </w:p>
        </w:tc>
      </w:tr>
      <w:tr w:rsidR="007332ED" w:rsidRPr="008440BF" w14:paraId="7BFCF633" w14:textId="77777777" w:rsidTr="00AF344F">
        <w:trPr>
          <w:cantSplit/>
          <w:trHeight w:val="300"/>
          <w:jc w:val="center"/>
        </w:trPr>
        <w:tc>
          <w:tcPr>
            <w:tcW w:w="4315" w:type="dxa"/>
          </w:tcPr>
          <w:p w14:paraId="1A1DF8DF" w14:textId="4AE5BA82" w:rsidR="007332ED" w:rsidRPr="008440BF" w:rsidRDefault="007332ED" w:rsidP="00AF344F">
            <w:pPr>
              <w:pStyle w:val="BodyText"/>
              <w:ind w:left="144"/>
              <w:rPr>
                <w:rFonts w:asciiTheme="minorHAnsi" w:hAnsiTheme="minorHAnsi"/>
                <w:b/>
              </w:rPr>
            </w:pPr>
            <w:r w:rsidRPr="008440BF">
              <w:rPr>
                <w:rFonts w:asciiTheme="minorHAnsi" w:hAnsiTheme="minorHAnsi"/>
              </w:rPr>
              <w:t>Total</w:t>
            </w:r>
          </w:p>
        </w:tc>
        <w:tc>
          <w:tcPr>
            <w:tcW w:w="1800" w:type="dxa"/>
          </w:tcPr>
          <w:p w14:paraId="0AE1300C" w14:textId="77777777" w:rsidR="007332ED" w:rsidRPr="008440BF" w:rsidRDefault="007332ED" w:rsidP="00AF344F">
            <w:pPr>
              <w:pStyle w:val="BodyText"/>
              <w:rPr>
                <w:rFonts w:asciiTheme="minorHAnsi" w:hAnsiTheme="minorHAnsi"/>
                <w:bCs/>
                <w:highlight w:val="yellow"/>
              </w:rPr>
            </w:pPr>
            <w:r w:rsidRPr="008440BF">
              <w:rPr>
                <w:rFonts w:asciiTheme="minorHAnsi" w:hAnsiTheme="minorHAnsi"/>
              </w:rPr>
              <w:t>100.0%</w:t>
            </w:r>
          </w:p>
        </w:tc>
      </w:tr>
    </w:tbl>
    <w:p w14:paraId="327E0B6C" w14:textId="77777777" w:rsidR="007332ED" w:rsidRPr="008440BF" w:rsidRDefault="007332ED" w:rsidP="007332ED">
      <w:pPr>
        <w:rPr>
          <w:rFonts w:asciiTheme="minorHAnsi" w:hAnsiTheme="minorHAnsi"/>
          <w:highlight w:val="yellow"/>
        </w:rPr>
      </w:pPr>
    </w:p>
    <w:p w14:paraId="288902AE" w14:textId="3F379AB8" w:rsidR="007332ED" w:rsidRPr="008440BF" w:rsidRDefault="007332ED" w:rsidP="007332ED">
      <w:pPr>
        <w:spacing w:after="240"/>
        <w:rPr>
          <w:rFonts w:asciiTheme="minorHAnsi" w:hAnsiTheme="minorHAnsi"/>
        </w:rPr>
      </w:pPr>
      <w:r w:rsidRPr="008440BF">
        <w:rPr>
          <w:rFonts w:asciiTheme="minorHAnsi" w:hAnsiTheme="minorHAnsi"/>
        </w:rPr>
        <w:t xml:space="preserve">The following table details PBOA’s Orthopedic Surgery Panel details for Calendar Year (CY)2023.  </w:t>
      </w:r>
    </w:p>
    <w:p w14:paraId="2B389BE3" w14:textId="4FDFFE6C" w:rsidR="007332ED" w:rsidRPr="008440BF" w:rsidRDefault="007332ED" w:rsidP="007332ED">
      <w:pPr>
        <w:pStyle w:val="ListParagraph"/>
        <w:numPr>
          <w:ilvl w:val="0"/>
          <w:numId w:val="8"/>
        </w:numPr>
        <w:tabs>
          <w:tab w:val="left" w:pos="939"/>
          <w:tab w:val="left" w:pos="940"/>
        </w:tabs>
        <w:ind w:left="939" w:right="896"/>
        <w:rPr>
          <w:rFonts w:asciiTheme="minorHAnsi" w:hAnsiTheme="minorHAnsi"/>
        </w:rPr>
      </w:pPr>
      <w:r w:rsidRPr="008440BF">
        <w:rPr>
          <w:rFonts w:asciiTheme="minorHAnsi" w:hAnsiTheme="minorHAnsi"/>
          <w:b/>
        </w:rPr>
        <w:t xml:space="preserve">Age: </w:t>
      </w:r>
      <w:r w:rsidRPr="008440BF">
        <w:rPr>
          <w:rFonts w:asciiTheme="minorHAnsi" w:hAnsiTheme="minorHAnsi"/>
          <w:bCs/>
        </w:rPr>
        <w:t xml:space="preserve">Approximately 62% of patients are </w:t>
      </w:r>
      <w:r w:rsidR="009D031B" w:rsidRPr="008440BF">
        <w:rPr>
          <w:rFonts w:asciiTheme="minorHAnsi" w:hAnsiTheme="minorHAnsi"/>
          <w:bCs/>
        </w:rPr>
        <w:t>aged</w:t>
      </w:r>
      <w:r w:rsidRPr="008440BF">
        <w:rPr>
          <w:rFonts w:asciiTheme="minorHAnsi" w:hAnsiTheme="minorHAnsi"/>
          <w:bCs/>
        </w:rPr>
        <w:t xml:space="preserve"> 65 and older. </w:t>
      </w:r>
    </w:p>
    <w:p w14:paraId="35C122AA" w14:textId="77777777" w:rsidR="007332ED" w:rsidRPr="008440BF" w:rsidRDefault="007332ED" w:rsidP="007332ED">
      <w:pPr>
        <w:pStyle w:val="ListParagraph"/>
        <w:numPr>
          <w:ilvl w:val="0"/>
          <w:numId w:val="8"/>
        </w:numPr>
        <w:tabs>
          <w:tab w:val="left" w:pos="939"/>
          <w:tab w:val="left" w:pos="940"/>
        </w:tabs>
        <w:spacing w:before="4"/>
        <w:ind w:left="939" w:right="270"/>
        <w:rPr>
          <w:rFonts w:asciiTheme="minorHAnsi" w:hAnsiTheme="minorHAnsi"/>
        </w:rPr>
      </w:pPr>
      <w:r w:rsidRPr="008440BF">
        <w:rPr>
          <w:rFonts w:asciiTheme="minorHAnsi" w:hAnsiTheme="minorHAnsi"/>
          <w:b/>
          <w:bCs/>
        </w:rPr>
        <w:t xml:space="preserve">Race: </w:t>
      </w:r>
      <w:r w:rsidRPr="008440BF">
        <w:rPr>
          <w:rFonts w:asciiTheme="minorHAnsi" w:hAnsiTheme="minorHAnsi"/>
        </w:rPr>
        <w:t>The majority of patients (75%) identify as White. Staff notes that a significant portion of patients (24%) either declined or stated “Unknown” in collection of race data.</w:t>
      </w:r>
      <w:r w:rsidRPr="008440BF">
        <w:rPr>
          <w:rFonts w:asciiTheme="minorHAnsi" w:hAnsiTheme="minorHAnsi"/>
          <w:b/>
          <w:bCs/>
        </w:rPr>
        <w:t xml:space="preserve"> </w:t>
      </w:r>
    </w:p>
    <w:p w14:paraId="4D5BAD5F" w14:textId="77777777" w:rsidR="007332ED" w:rsidRPr="008440BF" w:rsidRDefault="007332ED" w:rsidP="007332ED">
      <w:pPr>
        <w:pStyle w:val="ListParagraph"/>
        <w:numPr>
          <w:ilvl w:val="0"/>
          <w:numId w:val="8"/>
        </w:numPr>
        <w:tabs>
          <w:tab w:val="left" w:pos="939"/>
          <w:tab w:val="left" w:pos="940"/>
        </w:tabs>
        <w:spacing w:before="2"/>
        <w:ind w:left="939" w:right="366"/>
        <w:rPr>
          <w:rFonts w:asciiTheme="minorHAnsi" w:hAnsiTheme="minorHAnsi"/>
          <w:bCs/>
        </w:rPr>
      </w:pPr>
      <w:r w:rsidRPr="008440BF">
        <w:rPr>
          <w:rFonts w:asciiTheme="minorHAnsi" w:hAnsiTheme="minorHAnsi"/>
          <w:b/>
        </w:rPr>
        <w:t xml:space="preserve">Patient Origin: </w:t>
      </w:r>
      <w:r w:rsidRPr="008440BF">
        <w:rPr>
          <w:rFonts w:asciiTheme="minorHAnsi" w:hAnsiTheme="minorHAnsi"/>
          <w:bCs/>
        </w:rPr>
        <w:t>Approximately one third of patients originate from Plymouth, MA.</w:t>
      </w:r>
    </w:p>
    <w:p w14:paraId="5116F8A4" w14:textId="77777777" w:rsidR="007332ED" w:rsidRPr="008440BF" w:rsidRDefault="007332ED" w:rsidP="007332ED">
      <w:pPr>
        <w:pStyle w:val="ListParagraph"/>
        <w:numPr>
          <w:ilvl w:val="0"/>
          <w:numId w:val="8"/>
        </w:numPr>
        <w:tabs>
          <w:tab w:val="left" w:pos="939"/>
          <w:tab w:val="left" w:pos="940"/>
        </w:tabs>
        <w:ind w:right="1260"/>
        <w:rPr>
          <w:rFonts w:asciiTheme="minorHAnsi" w:hAnsiTheme="minorHAnsi"/>
          <w:b/>
          <w:bCs/>
        </w:rPr>
      </w:pPr>
      <w:r w:rsidRPr="008440BF">
        <w:rPr>
          <w:rFonts w:asciiTheme="minorHAnsi" w:hAnsiTheme="minorHAnsi"/>
          <w:b/>
          <w:bCs/>
        </w:rPr>
        <w:t xml:space="preserve">Payer Mix: </w:t>
      </w:r>
      <w:r w:rsidRPr="008440BF">
        <w:rPr>
          <w:rFonts w:asciiTheme="minorHAnsi" w:hAnsiTheme="minorHAnsi"/>
        </w:rPr>
        <w:t xml:space="preserve">Approximately half of patients were covered by Commercial insurance, followed closely by 44% Medicare. </w:t>
      </w:r>
    </w:p>
    <w:p w14:paraId="794D9154" w14:textId="77777777" w:rsidR="007332ED" w:rsidRPr="008440BF" w:rsidRDefault="007332ED" w:rsidP="007332ED">
      <w:pPr>
        <w:tabs>
          <w:tab w:val="left" w:pos="939"/>
          <w:tab w:val="left" w:pos="940"/>
        </w:tabs>
        <w:ind w:left="580" w:right="1260"/>
        <w:rPr>
          <w:rFonts w:asciiTheme="minorHAnsi" w:hAnsiTheme="minorHAnsi"/>
          <w:b/>
          <w:bCs/>
          <w:highlight w:val="yellow"/>
        </w:rPr>
      </w:pPr>
    </w:p>
    <w:p w14:paraId="2FCD36FB" w14:textId="3C44B5CE" w:rsidR="007332ED" w:rsidRPr="008440BF" w:rsidRDefault="007332ED" w:rsidP="00AF344F">
      <w:pPr>
        <w:jc w:val="center"/>
        <w:rPr>
          <w:rFonts w:asciiTheme="minorHAnsi" w:hAnsiTheme="minorHAnsi"/>
          <w:b/>
          <w:bCs/>
        </w:rPr>
      </w:pPr>
      <w:r w:rsidRPr="008440BF">
        <w:rPr>
          <w:rFonts w:asciiTheme="minorHAnsi" w:hAnsiTheme="minorHAnsi"/>
          <w:b/>
          <w:bCs/>
          <w:u w:val="single"/>
        </w:rPr>
        <w:t xml:space="preserve">Table </w:t>
      </w:r>
      <w:r w:rsidR="00F90FC0" w:rsidRPr="008440BF">
        <w:rPr>
          <w:rFonts w:asciiTheme="minorHAnsi" w:hAnsiTheme="minorHAnsi"/>
          <w:b/>
          <w:bCs/>
          <w:u w:val="single"/>
        </w:rPr>
        <w:t>3</w:t>
      </w:r>
      <w:r w:rsidRPr="008440BF">
        <w:rPr>
          <w:rFonts w:asciiTheme="minorHAnsi" w:hAnsiTheme="minorHAnsi"/>
          <w:b/>
          <w:bCs/>
          <w:u w:val="single"/>
        </w:rPr>
        <w:t>:</w:t>
      </w:r>
      <w:r w:rsidRPr="008440BF">
        <w:rPr>
          <w:rFonts w:asciiTheme="minorHAnsi" w:hAnsiTheme="minorHAnsi"/>
          <w:b/>
          <w:bCs/>
        </w:rPr>
        <w:t xml:space="preserve"> PBOA Orthopedic Surgery Panel Overview CY2023</w:t>
      </w:r>
    </w:p>
    <w:tbl>
      <w:tblPr>
        <w:tblStyle w:val="TableGrid"/>
        <w:tblW w:w="0" w:type="auto"/>
        <w:jc w:val="center"/>
        <w:tblLook w:val="04A0" w:firstRow="1" w:lastRow="0" w:firstColumn="1" w:lastColumn="0" w:noHBand="0" w:noVBand="1"/>
      </w:tblPr>
      <w:tblGrid>
        <w:gridCol w:w="4315"/>
        <w:gridCol w:w="1800"/>
      </w:tblGrid>
      <w:tr w:rsidR="007332ED" w:rsidRPr="008440BF" w14:paraId="5058759D" w14:textId="77777777" w:rsidTr="00AF344F">
        <w:trPr>
          <w:cantSplit/>
          <w:trHeight w:val="300"/>
          <w:tblHeader/>
          <w:jc w:val="center"/>
        </w:trPr>
        <w:tc>
          <w:tcPr>
            <w:tcW w:w="4315" w:type="dxa"/>
          </w:tcPr>
          <w:p w14:paraId="6EC31193" w14:textId="77777777" w:rsidR="007332ED" w:rsidRPr="008440BF" w:rsidRDefault="007332ED" w:rsidP="00C22C69">
            <w:pPr>
              <w:pStyle w:val="BodyText"/>
              <w:rPr>
                <w:rFonts w:asciiTheme="minorHAnsi" w:hAnsiTheme="minorHAnsi"/>
                <w:b/>
                <w:sz w:val="22"/>
                <w:szCs w:val="22"/>
              </w:rPr>
            </w:pPr>
          </w:p>
        </w:tc>
        <w:tc>
          <w:tcPr>
            <w:tcW w:w="1800" w:type="dxa"/>
            <w:shd w:val="clear" w:color="auto" w:fill="F2F2F2" w:themeFill="background1" w:themeFillShade="F2"/>
          </w:tcPr>
          <w:p w14:paraId="4C861ECD" w14:textId="77777777" w:rsidR="007332ED" w:rsidRPr="008440BF" w:rsidRDefault="007332ED" w:rsidP="00C22C69">
            <w:pPr>
              <w:pStyle w:val="BodyText"/>
              <w:jc w:val="center"/>
              <w:rPr>
                <w:rFonts w:asciiTheme="minorHAnsi" w:hAnsiTheme="minorHAnsi"/>
                <w:b/>
                <w:sz w:val="22"/>
                <w:szCs w:val="22"/>
              </w:rPr>
            </w:pPr>
            <w:r w:rsidRPr="008440BF">
              <w:rPr>
                <w:rFonts w:asciiTheme="minorHAnsi" w:hAnsiTheme="minorHAnsi"/>
                <w:b/>
                <w:sz w:val="22"/>
                <w:szCs w:val="22"/>
              </w:rPr>
              <w:t>Totals</w:t>
            </w:r>
          </w:p>
        </w:tc>
      </w:tr>
      <w:tr w:rsidR="007332ED" w:rsidRPr="008440BF" w14:paraId="791ACDEF" w14:textId="77777777" w:rsidTr="00AF344F">
        <w:trPr>
          <w:cantSplit/>
          <w:trHeight w:val="300"/>
          <w:jc w:val="center"/>
        </w:trPr>
        <w:tc>
          <w:tcPr>
            <w:tcW w:w="4315" w:type="dxa"/>
          </w:tcPr>
          <w:p w14:paraId="6CA4EB63" w14:textId="77777777" w:rsidR="007332ED" w:rsidRPr="008440BF" w:rsidRDefault="007332ED" w:rsidP="00C22C69">
            <w:pPr>
              <w:pStyle w:val="BodyText"/>
              <w:rPr>
                <w:rFonts w:asciiTheme="minorHAnsi" w:hAnsiTheme="minorHAnsi"/>
                <w:b/>
                <w:sz w:val="22"/>
                <w:szCs w:val="22"/>
              </w:rPr>
            </w:pPr>
            <w:r w:rsidRPr="008440BF">
              <w:rPr>
                <w:rFonts w:asciiTheme="minorHAnsi" w:hAnsiTheme="minorHAnsi"/>
                <w:b/>
                <w:sz w:val="22"/>
                <w:szCs w:val="22"/>
              </w:rPr>
              <w:t>Total Patients</w:t>
            </w:r>
          </w:p>
        </w:tc>
        <w:tc>
          <w:tcPr>
            <w:tcW w:w="1800" w:type="dxa"/>
          </w:tcPr>
          <w:p w14:paraId="0DE72FA0" w14:textId="77777777" w:rsidR="007332ED" w:rsidRPr="008440BF" w:rsidRDefault="007332ED" w:rsidP="00C22C69">
            <w:pPr>
              <w:pStyle w:val="BodyText"/>
              <w:jc w:val="right"/>
              <w:rPr>
                <w:rFonts w:asciiTheme="minorHAnsi" w:hAnsiTheme="minorHAnsi"/>
                <w:bCs/>
                <w:sz w:val="22"/>
                <w:szCs w:val="22"/>
                <w:highlight w:val="yellow"/>
              </w:rPr>
            </w:pPr>
            <w:r w:rsidRPr="008440BF">
              <w:rPr>
                <w:rFonts w:asciiTheme="minorHAnsi" w:hAnsiTheme="minorHAnsi"/>
                <w:bCs/>
                <w:sz w:val="22"/>
                <w:szCs w:val="22"/>
              </w:rPr>
              <w:t>2,892</w:t>
            </w:r>
          </w:p>
        </w:tc>
      </w:tr>
      <w:tr w:rsidR="007332ED" w:rsidRPr="008440BF" w14:paraId="5C2912B3" w14:textId="77777777" w:rsidTr="00AF344F">
        <w:trPr>
          <w:cantSplit/>
          <w:trHeight w:val="300"/>
          <w:jc w:val="center"/>
        </w:trPr>
        <w:tc>
          <w:tcPr>
            <w:tcW w:w="4315" w:type="dxa"/>
            <w:shd w:val="clear" w:color="auto" w:fill="F2F2F2" w:themeFill="background1" w:themeFillShade="F2"/>
          </w:tcPr>
          <w:p w14:paraId="145B4E9A" w14:textId="77777777" w:rsidR="007332ED" w:rsidRPr="008440BF" w:rsidRDefault="007332ED" w:rsidP="00C22C69">
            <w:pPr>
              <w:pStyle w:val="BodyText"/>
              <w:rPr>
                <w:rFonts w:asciiTheme="minorHAnsi" w:hAnsiTheme="minorHAnsi"/>
                <w:b/>
                <w:sz w:val="22"/>
                <w:szCs w:val="22"/>
              </w:rPr>
            </w:pPr>
            <w:r w:rsidRPr="008440BF">
              <w:rPr>
                <w:rFonts w:asciiTheme="minorHAnsi" w:hAnsiTheme="minorHAnsi"/>
                <w:b/>
                <w:sz w:val="22"/>
                <w:szCs w:val="22"/>
              </w:rPr>
              <w:t>Gender</w:t>
            </w:r>
          </w:p>
        </w:tc>
        <w:tc>
          <w:tcPr>
            <w:tcW w:w="1800" w:type="dxa"/>
            <w:shd w:val="clear" w:color="auto" w:fill="F2F2F2" w:themeFill="background1" w:themeFillShade="F2"/>
          </w:tcPr>
          <w:p w14:paraId="0DE31854" w14:textId="77777777" w:rsidR="007332ED" w:rsidRPr="008440BF" w:rsidRDefault="007332ED" w:rsidP="00C22C69">
            <w:pPr>
              <w:pStyle w:val="BodyText"/>
              <w:jc w:val="right"/>
              <w:rPr>
                <w:rFonts w:asciiTheme="minorHAnsi" w:hAnsiTheme="minorHAnsi"/>
                <w:bCs/>
                <w:sz w:val="22"/>
                <w:szCs w:val="22"/>
                <w:highlight w:val="yellow"/>
              </w:rPr>
            </w:pPr>
          </w:p>
        </w:tc>
      </w:tr>
      <w:tr w:rsidR="007332ED" w:rsidRPr="008440BF" w14:paraId="185C92C8" w14:textId="77777777" w:rsidTr="00AF344F">
        <w:trPr>
          <w:cantSplit/>
          <w:trHeight w:val="300"/>
          <w:jc w:val="center"/>
        </w:trPr>
        <w:tc>
          <w:tcPr>
            <w:tcW w:w="4315" w:type="dxa"/>
          </w:tcPr>
          <w:p w14:paraId="2EBF421B"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 xml:space="preserve">Male </w:t>
            </w:r>
          </w:p>
        </w:tc>
        <w:tc>
          <w:tcPr>
            <w:tcW w:w="1800" w:type="dxa"/>
            <w:vAlign w:val="center"/>
          </w:tcPr>
          <w:p w14:paraId="7A57E0EB" w14:textId="77777777" w:rsidR="007332ED" w:rsidRPr="008440BF" w:rsidRDefault="007332ED" w:rsidP="00C22C69">
            <w:pPr>
              <w:pStyle w:val="BodyText"/>
              <w:jc w:val="right"/>
              <w:rPr>
                <w:rFonts w:asciiTheme="minorHAnsi" w:hAnsiTheme="minorHAnsi"/>
                <w:bCs/>
                <w:highlight w:val="yellow"/>
              </w:rPr>
            </w:pPr>
            <w:r w:rsidRPr="008440BF">
              <w:rPr>
                <w:rFonts w:asciiTheme="minorHAnsi" w:hAnsiTheme="minorHAnsi"/>
                <w:color w:val="000000"/>
              </w:rPr>
              <w:t>44.1%</w:t>
            </w:r>
          </w:p>
        </w:tc>
      </w:tr>
      <w:tr w:rsidR="007332ED" w:rsidRPr="008440BF" w14:paraId="13C26663" w14:textId="77777777" w:rsidTr="00AF344F">
        <w:trPr>
          <w:cantSplit/>
          <w:trHeight w:val="300"/>
          <w:jc w:val="center"/>
        </w:trPr>
        <w:tc>
          <w:tcPr>
            <w:tcW w:w="4315" w:type="dxa"/>
          </w:tcPr>
          <w:p w14:paraId="3277BC6D"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lastRenderedPageBreak/>
              <w:t>Female</w:t>
            </w:r>
          </w:p>
        </w:tc>
        <w:tc>
          <w:tcPr>
            <w:tcW w:w="1800" w:type="dxa"/>
            <w:vAlign w:val="center"/>
          </w:tcPr>
          <w:p w14:paraId="36847D29" w14:textId="77777777" w:rsidR="007332ED" w:rsidRPr="008440BF" w:rsidRDefault="007332ED" w:rsidP="00C22C69">
            <w:pPr>
              <w:pStyle w:val="BodyText"/>
              <w:jc w:val="right"/>
              <w:rPr>
                <w:rFonts w:asciiTheme="minorHAnsi" w:hAnsiTheme="minorHAnsi"/>
                <w:bCs/>
                <w:highlight w:val="yellow"/>
              </w:rPr>
            </w:pPr>
            <w:r w:rsidRPr="008440BF">
              <w:rPr>
                <w:rFonts w:asciiTheme="minorHAnsi" w:hAnsiTheme="minorHAnsi"/>
                <w:color w:val="000000"/>
              </w:rPr>
              <w:t>55.9%</w:t>
            </w:r>
          </w:p>
        </w:tc>
      </w:tr>
      <w:tr w:rsidR="007332ED" w:rsidRPr="008440BF" w14:paraId="2E9A7EA0" w14:textId="77777777" w:rsidTr="00AF344F">
        <w:trPr>
          <w:cantSplit/>
          <w:trHeight w:val="300"/>
          <w:jc w:val="center"/>
        </w:trPr>
        <w:tc>
          <w:tcPr>
            <w:tcW w:w="4315" w:type="dxa"/>
          </w:tcPr>
          <w:p w14:paraId="23DEAB4C"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Total</w:t>
            </w:r>
          </w:p>
        </w:tc>
        <w:tc>
          <w:tcPr>
            <w:tcW w:w="1800" w:type="dxa"/>
          </w:tcPr>
          <w:p w14:paraId="305E5974" w14:textId="77777777" w:rsidR="007332ED" w:rsidRPr="008440BF" w:rsidRDefault="007332ED" w:rsidP="00C22C69">
            <w:pPr>
              <w:pStyle w:val="BodyText"/>
              <w:jc w:val="right"/>
              <w:rPr>
                <w:rFonts w:asciiTheme="minorHAnsi" w:hAnsiTheme="minorHAnsi"/>
                <w:bCs/>
                <w:highlight w:val="yellow"/>
              </w:rPr>
            </w:pPr>
            <w:r w:rsidRPr="008440BF">
              <w:rPr>
                <w:rFonts w:asciiTheme="minorHAnsi" w:hAnsiTheme="minorHAnsi"/>
                <w:bCs/>
              </w:rPr>
              <w:t>100.0%</w:t>
            </w:r>
          </w:p>
        </w:tc>
      </w:tr>
      <w:tr w:rsidR="007332ED" w:rsidRPr="008440BF" w14:paraId="1B4E66D4" w14:textId="77777777" w:rsidTr="00AF344F">
        <w:trPr>
          <w:cantSplit/>
          <w:trHeight w:val="300"/>
          <w:jc w:val="center"/>
        </w:trPr>
        <w:tc>
          <w:tcPr>
            <w:tcW w:w="4315" w:type="dxa"/>
            <w:shd w:val="clear" w:color="auto" w:fill="F2F2F2" w:themeFill="background1" w:themeFillShade="F2"/>
          </w:tcPr>
          <w:p w14:paraId="77F87E8A" w14:textId="77777777" w:rsidR="007332ED" w:rsidRPr="008440BF" w:rsidRDefault="007332ED" w:rsidP="00C22C69">
            <w:pPr>
              <w:pStyle w:val="BodyText"/>
              <w:rPr>
                <w:rFonts w:asciiTheme="minorHAnsi" w:hAnsiTheme="minorHAnsi"/>
                <w:b/>
                <w:sz w:val="22"/>
                <w:szCs w:val="22"/>
              </w:rPr>
            </w:pPr>
            <w:r w:rsidRPr="008440BF">
              <w:rPr>
                <w:rFonts w:asciiTheme="minorHAnsi" w:hAnsiTheme="minorHAnsi"/>
                <w:b/>
                <w:sz w:val="22"/>
                <w:szCs w:val="22"/>
              </w:rPr>
              <w:t>Age</w:t>
            </w:r>
          </w:p>
        </w:tc>
        <w:tc>
          <w:tcPr>
            <w:tcW w:w="1800" w:type="dxa"/>
            <w:shd w:val="clear" w:color="auto" w:fill="F2F2F2" w:themeFill="background1" w:themeFillShade="F2"/>
          </w:tcPr>
          <w:p w14:paraId="131B59BD" w14:textId="77777777" w:rsidR="007332ED" w:rsidRPr="008440BF" w:rsidRDefault="007332ED" w:rsidP="00C22C69">
            <w:pPr>
              <w:pStyle w:val="BodyText"/>
              <w:jc w:val="right"/>
              <w:rPr>
                <w:rFonts w:asciiTheme="minorHAnsi" w:hAnsiTheme="minorHAnsi"/>
                <w:bCs/>
                <w:highlight w:val="yellow"/>
              </w:rPr>
            </w:pPr>
          </w:p>
        </w:tc>
      </w:tr>
      <w:tr w:rsidR="007332ED" w:rsidRPr="008440BF" w14:paraId="5A423AEA" w14:textId="77777777" w:rsidTr="00AF344F">
        <w:trPr>
          <w:cantSplit/>
          <w:trHeight w:val="300"/>
          <w:jc w:val="center"/>
        </w:trPr>
        <w:tc>
          <w:tcPr>
            <w:tcW w:w="4315" w:type="dxa"/>
          </w:tcPr>
          <w:p w14:paraId="29CB8B37"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0-17</w:t>
            </w:r>
          </w:p>
        </w:tc>
        <w:tc>
          <w:tcPr>
            <w:tcW w:w="1800" w:type="dxa"/>
            <w:vAlign w:val="center"/>
          </w:tcPr>
          <w:p w14:paraId="00A8794D" w14:textId="77777777" w:rsidR="007332ED" w:rsidRPr="008440BF" w:rsidRDefault="007332ED" w:rsidP="00C22C69">
            <w:pPr>
              <w:pStyle w:val="BodyText"/>
              <w:jc w:val="right"/>
              <w:rPr>
                <w:rFonts w:asciiTheme="minorHAnsi" w:hAnsiTheme="minorHAnsi"/>
                <w:bCs/>
                <w:highlight w:val="yellow"/>
              </w:rPr>
            </w:pPr>
            <w:r w:rsidRPr="008440BF">
              <w:rPr>
                <w:rFonts w:asciiTheme="minorHAnsi" w:hAnsiTheme="minorHAnsi"/>
                <w:color w:val="000000"/>
              </w:rPr>
              <w:t>1.1%</w:t>
            </w:r>
          </w:p>
        </w:tc>
      </w:tr>
      <w:tr w:rsidR="007332ED" w:rsidRPr="008440BF" w14:paraId="401242F9" w14:textId="77777777" w:rsidTr="00AF344F">
        <w:trPr>
          <w:cantSplit/>
          <w:trHeight w:val="300"/>
          <w:jc w:val="center"/>
        </w:trPr>
        <w:tc>
          <w:tcPr>
            <w:tcW w:w="4315" w:type="dxa"/>
          </w:tcPr>
          <w:p w14:paraId="39DB08D6"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18-64</w:t>
            </w:r>
          </w:p>
        </w:tc>
        <w:tc>
          <w:tcPr>
            <w:tcW w:w="1800" w:type="dxa"/>
            <w:vAlign w:val="center"/>
          </w:tcPr>
          <w:p w14:paraId="22EED947" w14:textId="77777777" w:rsidR="007332ED" w:rsidRPr="008440BF" w:rsidRDefault="007332ED" w:rsidP="00C22C69">
            <w:pPr>
              <w:pStyle w:val="BodyText"/>
              <w:jc w:val="right"/>
              <w:rPr>
                <w:rFonts w:asciiTheme="minorHAnsi" w:hAnsiTheme="minorHAnsi"/>
                <w:bCs/>
                <w:highlight w:val="yellow"/>
              </w:rPr>
            </w:pPr>
            <w:r w:rsidRPr="008440BF">
              <w:rPr>
                <w:rFonts w:asciiTheme="minorHAnsi" w:hAnsiTheme="minorHAnsi"/>
                <w:color w:val="000000"/>
              </w:rPr>
              <w:t>36.8%</w:t>
            </w:r>
          </w:p>
        </w:tc>
      </w:tr>
      <w:tr w:rsidR="007332ED" w:rsidRPr="008440BF" w14:paraId="694FEE62" w14:textId="77777777" w:rsidTr="00AF344F">
        <w:trPr>
          <w:cantSplit/>
          <w:trHeight w:val="300"/>
          <w:jc w:val="center"/>
        </w:trPr>
        <w:tc>
          <w:tcPr>
            <w:tcW w:w="4315" w:type="dxa"/>
          </w:tcPr>
          <w:p w14:paraId="17A01D8E"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65+</w:t>
            </w:r>
          </w:p>
        </w:tc>
        <w:tc>
          <w:tcPr>
            <w:tcW w:w="1800" w:type="dxa"/>
            <w:vAlign w:val="center"/>
          </w:tcPr>
          <w:p w14:paraId="749A94EB" w14:textId="77777777" w:rsidR="007332ED" w:rsidRPr="008440BF" w:rsidRDefault="007332ED" w:rsidP="00C22C69">
            <w:pPr>
              <w:pStyle w:val="BodyText"/>
              <w:jc w:val="right"/>
              <w:rPr>
                <w:rFonts w:asciiTheme="minorHAnsi" w:hAnsiTheme="minorHAnsi"/>
                <w:bCs/>
                <w:highlight w:val="yellow"/>
              </w:rPr>
            </w:pPr>
            <w:r w:rsidRPr="008440BF">
              <w:rPr>
                <w:rFonts w:asciiTheme="minorHAnsi" w:hAnsiTheme="minorHAnsi"/>
                <w:color w:val="000000"/>
              </w:rPr>
              <w:t>62.1%</w:t>
            </w:r>
          </w:p>
        </w:tc>
      </w:tr>
      <w:tr w:rsidR="007332ED" w:rsidRPr="008440BF" w14:paraId="494043AD" w14:textId="77777777" w:rsidTr="00AF344F">
        <w:trPr>
          <w:cantSplit/>
          <w:trHeight w:val="300"/>
          <w:jc w:val="center"/>
        </w:trPr>
        <w:tc>
          <w:tcPr>
            <w:tcW w:w="4315" w:type="dxa"/>
          </w:tcPr>
          <w:p w14:paraId="3A791EE9"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 xml:space="preserve">Total </w:t>
            </w:r>
          </w:p>
        </w:tc>
        <w:tc>
          <w:tcPr>
            <w:tcW w:w="1800" w:type="dxa"/>
          </w:tcPr>
          <w:p w14:paraId="53A3AD68" w14:textId="77777777" w:rsidR="007332ED" w:rsidRPr="008440BF" w:rsidRDefault="007332ED" w:rsidP="00C22C69">
            <w:pPr>
              <w:pStyle w:val="BodyText"/>
              <w:jc w:val="right"/>
              <w:rPr>
                <w:rFonts w:asciiTheme="minorHAnsi" w:hAnsiTheme="minorHAnsi"/>
                <w:bCs/>
                <w:highlight w:val="yellow"/>
              </w:rPr>
            </w:pPr>
            <w:r w:rsidRPr="008440BF">
              <w:rPr>
                <w:rFonts w:asciiTheme="minorHAnsi" w:hAnsiTheme="minorHAnsi"/>
                <w:bCs/>
              </w:rPr>
              <w:t>100.0%</w:t>
            </w:r>
          </w:p>
        </w:tc>
      </w:tr>
      <w:tr w:rsidR="007332ED" w:rsidRPr="008440BF" w14:paraId="728B3152" w14:textId="77777777" w:rsidTr="00AF344F">
        <w:trPr>
          <w:cantSplit/>
          <w:trHeight w:val="300"/>
          <w:jc w:val="center"/>
        </w:trPr>
        <w:tc>
          <w:tcPr>
            <w:tcW w:w="4315" w:type="dxa"/>
            <w:shd w:val="clear" w:color="auto" w:fill="F2F2F2" w:themeFill="background1" w:themeFillShade="F2"/>
          </w:tcPr>
          <w:p w14:paraId="417115F8" w14:textId="77777777" w:rsidR="007332ED" w:rsidRPr="008440BF" w:rsidRDefault="007332ED" w:rsidP="00C22C69">
            <w:pPr>
              <w:pStyle w:val="BodyText"/>
              <w:rPr>
                <w:rFonts w:asciiTheme="minorHAnsi" w:hAnsiTheme="minorHAnsi"/>
                <w:b/>
                <w:highlight w:val="yellow"/>
              </w:rPr>
            </w:pPr>
            <w:r w:rsidRPr="008440BF">
              <w:rPr>
                <w:rFonts w:asciiTheme="minorHAnsi" w:hAnsiTheme="minorHAnsi"/>
                <w:b/>
              </w:rPr>
              <w:t>Race</w:t>
            </w:r>
          </w:p>
        </w:tc>
        <w:tc>
          <w:tcPr>
            <w:tcW w:w="1800" w:type="dxa"/>
            <w:shd w:val="clear" w:color="auto" w:fill="F2F2F2" w:themeFill="background1" w:themeFillShade="F2"/>
          </w:tcPr>
          <w:p w14:paraId="2A64A7EE" w14:textId="77777777" w:rsidR="007332ED" w:rsidRPr="008440BF" w:rsidRDefault="007332ED" w:rsidP="00C22C69">
            <w:pPr>
              <w:pStyle w:val="BodyText"/>
              <w:jc w:val="right"/>
              <w:rPr>
                <w:rFonts w:asciiTheme="minorHAnsi" w:hAnsiTheme="minorHAnsi"/>
                <w:bCs/>
                <w:sz w:val="22"/>
                <w:szCs w:val="22"/>
                <w:highlight w:val="yellow"/>
              </w:rPr>
            </w:pPr>
          </w:p>
        </w:tc>
      </w:tr>
      <w:tr w:rsidR="007332ED" w:rsidRPr="008440BF" w14:paraId="415FA573" w14:textId="77777777" w:rsidTr="00AF344F">
        <w:trPr>
          <w:cantSplit/>
          <w:trHeight w:val="300"/>
          <w:jc w:val="center"/>
        </w:trPr>
        <w:tc>
          <w:tcPr>
            <w:tcW w:w="4315" w:type="dxa"/>
            <w:vAlign w:val="center"/>
          </w:tcPr>
          <w:p w14:paraId="60F00B27" w14:textId="77777777" w:rsidR="007332ED" w:rsidRPr="008440BF" w:rsidRDefault="007332ED" w:rsidP="00C22C69">
            <w:pPr>
              <w:pStyle w:val="BodyText"/>
              <w:ind w:left="144"/>
              <w:rPr>
                <w:rFonts w:asciiTheme="minorHAnsi" w:hAnsiTheme="minorHAnsi"/>
                <w:bCs/>
              </w:rPr>
            </w:pPr>
            <w:r w:rsidRPr="008440BF">
              <w:rPr>
                <w:rFonts w:asciiTheme="minorHAnsi" w:hAnsiTheme="minorHAnsi"/>
                <w:color w:val="000000"/>
              </w:rPr>
              <w:t>White</w:t>
            </w:r>
          </w:p>
        </w:tc>
        <w:tc>
          <w:tcPr>
            <w:tcW w:w="1800" w:type="dxa"/>
            <w:vAlign w:val="center"/>
          </w:tcPr>
          <w:p w14:paraId="73E8B473" w14:textId="77777777" w:rsidR="007332ED" w:rsidRPr="008440BF" w:rsidRDefault="007332ED" w:rsidP="00C22C69">
            <w:pPr>
              <w:pStyle w:val="BodyText"/>
              <w:jc w:val="right"/>
              <w:rPr>
                <w:rFonts w:asciiTheme="minorHAnsi" w:hAnsiTheme="minorHAnsi"/>
                <w:bCs/>
              </w:rPr>
            </w:pPr>
            <w:r w:rsidRPr="008440BF">
              <w:rPr>
                <w:rFonts w:asciiTheme="minorHAnsi" w:hAnsiTheme="minorHAnsi"/>
                <w:color w:val="000000"/>
              </w:rPr>
              <w:t>74.6%</w:t>
            </w:r>
          </w:p>
        </w:tc>
      </w:tr>
      <w:tr w:rsidR="007332ED" w:rsidRPr="008440BF" w14:paraId="62AB524D" w14:textId="77777777" w:rsidTr="00AF344F">
        <w:trPr>
          <w:cantSplit/>
          <w:trHeight w:val="300"/>
          <w:jc w:val="center"/>
        </w:trPr>
        <w:tc>
          <w:tcPr>
            <w:tcW w:w="4315" w:type="dxa"/>
            <w:vAlign w:val="center"/>
          </w:tcPr>
          <w:p w14:paraId="0D5B086B" w14:textId="77777777" w:rsidR="007332ED" w:rsidRPr="008440BF" w:rsidRDefault="007332ED" w:rsidP="00C22C69">
            <w:pPr>
              <w:pStyle w:val="BodyText"/>
              <w:ind w:left="144"/>
              <w:rPr>
                <w:rFonts w:asciiTheme="minorHAnsi" w:hAnsiTheme="minorHAnsi"/>
                <w:bCs/>
              </w:rPr>
            </w:pPr>
            <w:r w:rsidRPr="008440BF">
              <w:rPr>
                <w:rFonts w:asciiTheme="minorHAnsi" w:hAnsiTheme="minorHAnsi"/>
                <w:color w:val="000000"/>
              </w:rPr>
              <w:t>Black or African American</w:t>
            </w:r>
          </w:p>
        </w:tc>
        <w:tc>
          <w:tcPr>
            <w:tcW w:w="1800" w:type="dxa"/>
            <w:vAlign w:val="center"/>
          </w:tcPr>
          <w:p w14:paraId="785EA9F7" w14:textId="77777777" w:rsidR="007332ED" w:rsidRPr="008440BF" w:rsidRDefault="007332ED" w:rsidP="00C22C69">
            <w:pPr>
              <w:pStyle w:val="BodyText"/>
              <w:jc w:val="right"/>
              <w:rPr>
                <w:rFonts w:asciiTheme="minorHAnsi" w:hAnsiTheme="minorHAnsi"/>
                <w:bCs/>
              </w:rPr>
            </w:pPr>
            <w:r w:rsidRPr="008440BF">
              <w:rPr>
                <w:rFonts w:asciiTheme="minorHAnsi" w:hAnsiTheme="minorHAnsi"/>
                <w:color w:val="000000"/>
              </w:rPr>
              <w:t>0.4%</w:t>
            </w:r>
          </w:p>
        </w:tc>
      </w:tr>
      <w:tr w:rsidR="007332ED" w:rsidRPr="008440BF" w14:paraId="68BDCCEC" w14:textId="77777777" w:rsidTr="00AF344F">
        <w:trPr>
          <w:cantSplit/>
          <w:trHeight w:val="300"/>
          <w:jc w:val="center"/>
        </w:trPr>
        <w:tc>
          <w:tcPr>
            <w:tcW w:w="4315" w:type="dxa"/>
            <w:vAlign w:val="center"/>
          </w:tcPr>
          <w:p w14:paraId="618151A0" w14:textId="77777777" w:rsidR="007332ED" w:rsidRPr="008440BF" w:rsidRDefault="007332ED" w:rsidP="00C22C69">
            <w:pPr>
              <w:pStyle w:val="BodyText"/>
              <w:ind w:left="144"/>
              <w:rPr>
                <w:rFonts w:asciiTheme="minorHAnsi" w:hAnsiTheme="minorHAnsi"/>
                <w:bCs/>
              </w:rPr>
            </w:pPr>
            <w:r w:rsidRPr="008440BF">
              <w:rPr>
                <w:rFonts w:asciiTheme="minorHAnsi" w:hAnsiTheme="minorHAnsi"/>
                <w:color w:val="000000"/>
              </w:rPr>
              <w:t>Other</w:t>
            </w:r>
            <w:r w:rsidRPr="008440BF">
              <w:rPr>
                <w:rStyle w:val="FootnoteReference"/>
                <w:rFonts w:asciiTheme="minorHAnsi" w:hAnsiTheme="minorHAnsi"/>
                <w:color w:val="000000"/>
              </w:rPr>
              <w:footnoteReference w:id="12"/>
            </w:r>
          </w:p>
        </w:tc>
        <w:tc>
          <w:tcPr>
            <w:tcW w:w="1800" w:type="dxa"/>
            <w:vAlign w:val="center"/>
          </w:tcPr>
          <w:p w14:paraId="3925586B" w14:textId="77777777" w:rsidR="007332ED" w:rsidRPr="008440BF" w:rsidRDefault="007332ED" w:rsidP="00C22C69">
            <w:pPr>
              <w:pStyle w:val="BodyText"/>
              <w:jc w:val="right"/>
              <w:rPr>
                <w:rFonts w:asciiTheme="minorHAnsi" w:hAnsiTheme="minorHAnsi"/>
                <w:bCs/>
              </w:rPr>
            </w:pPr>
            <w:r w:rsidRPr="008440BF">
              <w:rPr>
                <w:rFonts w:asciiTheme="minorHAnsi" w:hAnsiTheme="minorHAnsi"/>
                <w:color w:val="000000"/>
              </w:rPr>
              <w:t>0.8%</w:t>
            </w:r>
          </w:p>
        </w:tc>
      </w:tr>
      <w:tr w:rsidR="007332ED" w:rsidRPr="008440BF" w14:paraId="21E90BD9" w14:textId="77777777" w:rsidTr="00AF344F">
        <w:trPr>
          <w:cantSplit/>
          <w:trHeight w:val="300"/>
          <w:jc w:val="center"/>
        </w:trPr>
        <w:tc>
          <w:tcPr>
            <w:tcW w:w="4315" w:type="dxa"/>
            <w:vAlign w:val="center"/>
          </w:tcPr>
          <w:p w14:paraId="546B6196" w14:textId="77777777" w:rsidR="007332ED" w:rsidRPr="008440BF" w:rsidRDefault="007332ED" w:rsidP="00C22C69">
            <w:pPr>
              <w:pStyle w:val="BodyText"/>
              <w:ind w:left="144"/>
              <w:rPr>
                <w:rFonts w:asciiTheme="minorHAnsi" w:hAnsiTheme="minorHAnsi"/>
                <w:bCs/>
              </w:rPr>
            </w:pPr>
            <w:r w:rsidRPr="008440BF">
              <w:rPr>
                <w:rFonts w:asciiTheme="minorHAnsi" w:hAnsiTheme="minorHAnsi"/>
                <w:color w:val="000000"/>
              </w:rPr>
              <w:t>Unknown/ Patient Declined</w:t>
            </w:r>
          </w:p>
        </w:tc>
        <w:tc>
          <w:tcPr>
            <w:tcW w:w="1800" w:type="dxa"/>
            <w:vAlign w:val="center"/>
          </w:tcPr>
          <w:p w14:paraId="368B87E4" w14:textId="77777777" w:rsidR="007332ED" w:rsidRPr="008440BF" w:rsidRDefault="007332ED" w:rsidP="00C22C69">
            <w:pPr>
              <w:pStyle w:val="BodyText"/>
              <w:jc w:val="right"/>
              <w:rPr>
                <w:rFonts w:asciiTheme="minorHAnsi" w:hAnsiTheme="minorHAnsi"/>
                <w:bCs/>
              </w:rPr>
            </w:pPr>
            <w:r w:rsidRPr="008440BF">
              <w:rPr>
                <w:rFonts w:asciiTheme="minorHAnsi" w:hAnsiTheme="minorHAnsi"/>
                <w:color w:val="000000"/>
              </w:rPr>
              <w:t>24.2%</w:t>
            </w:r>
          </w:p>
        </w:tc>
      </w:tr>
      <w:tr w:rsidR="007332ED" w:rsidRPr="008440BF" w14:paraId="59B52799" w14:textId="77777777" w:rsidTr="00AF344F">
        <w:trPr>
          <w:cantSplit/>
          <w:trHeight w:val="300"/>
          <w:jc w:val="center"/>
        </w:trPr>
        <w:tc>
          <w:tcPr>
            <w:tcW w:w="4315" w:type="dxa"/>
          </w:tcPr>
          <w:p w14:paraId="04784B64" w14:textId="77777777" w:rsidR="007332ED" w:rsidRPr="008440BF" w:rsidRDefault="007332ED" w:rsidP="00C22C69">
            <w:pPr>
              <w:pStyle w:val="BodyText"/>
              <w:ind w:left="144"/>
              <w:rPr>
                <w:rFonts w:asciiTheme="minorHAnsi" w:hAnsiTheme="minorHAnsi"/>
                <w:bCs/>
              </w:rPr>
            </w:pPr>
            <w:r w:rsidRPr="008440BF">
              <w:rPr>
                <w:rFonts w:asciiTheme="minorHAnsi" w:hAnsiTheme="minorHAnsi"/>
                <w:bCs/>
              </w:rPr>
              <w:t xml:space="preserve">Total </w:t>
            </w:r>
          </w:p>
        </w:tc>
        <w:tc>
          <w:tcPr>
            <w:tcW w:w="1800" w:type="dxa"/>
          </w:tcPr>
          <w:p w14:paraId="15F100B7" w14:textId="77777777" w:rsidR="007332ED" w:rsidRPr="008440BF" w:rsidRDefault="007332ED" w:rsidP="00C22C69">
            <w:pPr>
              <w:pStyle w:val="BodyText"/>
              <w:jc w:val="right"/>
              <w:rPr>
                <w:rFonts w:asciiTheme="minorHAnsi" w:hAnsiTheme="minorHAnsi"/>
                <w:bCs/>
              </w:rPr>
            </w:pPr>
            <w:r w:rsidRPr="008440BF">
              <w:rPr>
                <w:rFonts w:asciiTheme="minorHAnsi" w:hAnsiTheme="minorHAnsi"/>
                <w:bCs/>
              </w:rPr>
              <w:t>100.0%</w:t>
            </w:r>
          </w:p>
        </w:tc>
      </w:tr>
      <w:tr w:rsidR="007332ED" w:rsidRPr="008440BF" w14:paraId="3B053811" w14:textId="77777777" w:rsidTr="00AF344F">
        <w:trPr>
          <w:cantSplit/>
          <w:trHeight w:val="300"/>
          <w:jc w:val="center"/>
        </w:trPr>
        <w:tc>
          <w:tcPr>
            <w:tcW w:w="4315" w:type="dxa"/>
            <w:tcBorders>
              <w:bottom w:val="single" w:sz="4" w:space="0" w:color="auto"/>
            </w:tcBorders>
            <w:shd w:val="clear" w:color="auto" w:fill="F2F2F2" w:themeFill="background1" w:themeFillShade="F2"/>
          </w:tcPr>
          <w:p w14:paraId="15BCFE7D" w14:textId="77777777" w:rsidR="007332ED" w:rsidRPr="008440BF" w:rsidRDefault="007332ED" w:rsidP="00C22C69">
            <w:pPr>
              <w:pStyle w:val="BodyText"/>
              <w:rPr>
                <w:rFonts w:asciiTheme="minorHAnsi" w:hAnsiTheme="minorHAnsi"/>
                <w:b/>
              </w:rPr>
            </w:pPr>
            <w:r w:rsidRPr="008440BF">
              <w:rPr>
                <w:rFonts w:asciiTheme="minorHAnsi" w:hAnsiTheme="minorHAnsi"/>
                <w:b/>
              </w:rPr>
              <w:t>Patient Origin</w:t>
            </w:r>
            <w:r w:rsidRPr="008440BF">
              <w:rPr>
                <w:rFonts w:asciiTheme="minorHAnsi" w:hAnsiTheme="minorHAnsi"/>
              </w:rPr>
              <w:t xml:space="preserve"> - </w:t>
            </w:r>
            <w:r w:rsidRPr="008440BF">
              <w:rPr>
                <w:rFonts w:asciiTheme="minorHAnsi" w:hAnsiTheme="minorHAnsi"/>
                <w:b/>
              </w:rPr>
              <w:t>Top Ten Cities/Towns</w:t>
            </w:r>
          </w:p>
        </w:tc>
        <w:tc>
          <w:tcPr>
            <w:tcW w:w="1800" w:type="dxa"/>
            <w:tcBorders>
              <w:bottom w:val="single" w:sz="4" w:space="0" w:color="auto"/>
            </w:tcBorders>
            <w:shd w:val="clear" w:color="auto" w:fill="F2F2F2" w:themeFill="background1" w:themeFillShade="F2"/>
          </w:tcPr>
          <w:p w14:paraId="0E7BB617" w14:textId="77777777" w:rsidR="007332ED" w:rsidRPr="008440BF" w:rsidRDefault="007332ED" w:rsidP="00C22C69">
            <w:pPr>
              <w:pStyle w:val="BodyText"/>
              <w:jc w:val="right"/>
              <w:rPr>
                <w:rFonts w:asciiTheme="minorHAnsi" w:hAnsiTheme="minorHAnsi"/>
                <w:b/>
                <w:highlight w:val="yellow"/>
              </w:rPr>
            </w:pPr>
          </w:p>
        </w:tc>
      </w:tr>
      <w:tr w:rsidR="007332ED" w:rsidRPr="008440BF" w14:paraId="7907C6EC"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5244C85B"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color w:val="000000"/>
              </w:rPr>
              <w:t>Plymouth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33C71F47"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hAnsiTheme="minorHAnsi"/>
                <w:color w:val="000000"/>
                <w:sz w:val="22"/>
                <w:szCs w:val="22"/>
              </w:rPr>
              <w:t>32.8%</w:t>
            </w:r>
          </w:p>
        </w:tc>
      </w:tr>
      <w:tr w:rsidR="007332ED" w:rsidRPr="008440BF" w14:paraId="34689F8A"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3A674DA9"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color w:val="000000"/>
              </w:rPr>
              <w:t>Carver</w:t>
            </w:r>
          </w:p>
        </w:tc>
        <w:tc>
          <w:tcPr>
            <w:tcW w:w="1800" w:type="dxa"/>
            <w:tcBorders>
              <w:top w:val="nil"/>
              <w:left w:val="single" w:sz="4" w:space="0" w:color="auto"/>
              <w:bottom w:val="single" w:sz="4" w:space="0" w:color="auto"/>
              <w:right w:val="single" w:sz="4" w:space="0" w:color="auto"/>
            </w:tcBorders>
            <w:shd w:val="clear" w:color="auto" w:fill="auto"/>
            <w:vAlign w:val="bottom"/>
          </w:tcPr>
          <w:p w14:paraId="281B2509"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hAnsiTheme="minorHAnsi"/>
                <w:color w:val="000000"/>
                <w:sz w:val="22"/>
                <w:szCs w:val="22"/>
              </w:rPr>
              <w:t>6.5%</w:t>
            </w:r>
          </w:p>
        </w:tc>
      </w:tr>
      <w:tr w:rsidR="007332ED" w:rsidRPr="008440BF" w14:paraId="665333C7"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2CBD3FBC"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color w:val="000000"/>
              </w:rPr>
              <w:t>Kingston</w:t>
            </w:r>
          </w:p>
        </w:tc>
        <w:tc>
          <w:tcPr>
            <w:tcW w:w="1800" w:type="dxa"/>
            <w:tcBorders>
              <w:top w:val="nil"/>
              <w:left w:val="single" w:sz="4" w:space="0" w:color="auto"/>
              <w:bottom w:val="single" w:sz="4" w:space="0" w:color="auto"/>
              <w:right w:val="single" w:sz="4" w:space="0" w:color="auto"/>
            </w:tcBorders>
            <w:shd w:val="clear" w:color="auto" w:fill="auto"/>
            <w:vAlign w:val="bottom"/>
          </w:tcPr>
          <w:p w14:paraId="7342D786"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hAnsiTheme="minorHAnsi"/>
                <w:color w:val="000000"/>
                <w:sz w:val="22"/>
                <w:szCs w:val="22"/>
              </w:rPr>
              <w:t>4.7%</w:t>
            </w:r>
          </w:p>
        </w:tc>
      </w:tr>
      <w:tr w:rsidR="007332ED" w:rsidRPr="008440BF" w14:paraId="7C426F72"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20F63C20"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color w:val="000000"/>
              </w:rPr>
              <w:t>Middleborough</w:t>
            </w:r>
          </w:p>
        </w:tc>
        <w:tc>
          <w:tcPr>
            <w:tcW w:w="1800" w:type="dxa"/>
            <w:tcBorders>
              <w:top w:val="nil"/>
              <w:left w:val="single" w:sz="4" w:space="0" w:color="auto"/>
              <w:bottom w:val="single" w:sz="4" w:space="0" w:color="auto"/>
              <w:right w:val="single" w:sz="4" w:space="0" w:color="auto"/>
            </w:tcBorders>
            <w:shd w:val="clear" w:color="auto" w:fill="auto"/>
            <w:vAlign w:val="bottom"/>
          </w:tcPr>
          <w:p w14:paraId="216D6182"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hAnsiTheme="minorHAnsi"/>
                <w:color w:val="000000"/>
                <w:sz w:val="22"/>
                <w:szCs w:val="22"/>
              </w:rPr>
              <w:t>4.6%</w:t>
            </w:r>
          </w:p>
        </w:tc>
      </w:tr>
      <w:tr w:rsidR="007332ED" w:rsidRPr="008440BF" w14:paraId="01E1A042"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1BBA6399"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color w:val="000000"/>
              </w:rPr>
              <w:t>Duxbury</w:t>
            </w:r>
          </w:p>
        </w:tc>
        <w:tc>
          <w:tcPr>
            <w:tcW w:w="1800" w:type="dxa"/>
            <w:tcBorders>
              <w:top w:val="nil"/>
              <w:left w:val="single" w:sz="4" w:space="0" w:color="auto"/>
              <w:bottom w:val="single" w:sz="4" w:space="0" w:color="auto"/>
              <w:right w:val="single" w:sz="4" w:space="0" w:color="auto"/>
            </w:tcBorders>
            <w:shd w:val="clear" w:color="auto" w:fill="auto"/>
            <w:vAlign w:val="bottom"/>
          </w:tcPr>
          <w:p w14:paraId="588BAFBC"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hAnsiTheme="minorHAnsi"/>
                <w:color w:val="000000"/>
                <w:sz w:val="22"/>
                <w:szCs w:val="22"/>
              </w:rPr>
              <w:t>4.4%</w:t>
            </w:r>
          </w:p>
        </w:tc>
      </w:tr>
      <w:tr w:rsidR="007332ED" w:rsidRPr="008440BF" w14:paraId="34636B8D"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47CDB91A"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color w:val="000000"/>
              </w:rPr>
              <w:t>Bourne</w:t>
            </w:r>
          </w:p>
        </w:tc>
        <w:tc>
          <w:tcPr>
            <w:tcW w:w="1800" w:type="dxa"/>
            <w:tcBorders>
              <w:top w:val="nil"/>
              <w:left w:val="single" w:sz="4" w:space="0" w:color="auto"/>
              <w:bottom w:val="single" w:sz="4" w:space="0" w:color="auto"/>
              <w:right w:val="single" w:sz="4" w:space="0" w:color="auto"/>
            </w:tcBorders>
            <w:shd w:val="clear" w:color="auto" w:fill="auto"/>
            <w:vAlign w:val="bottom"/>
          </w:tcPr>
          <w:p w14:paraId="3A42EBF8"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hAnsiTheme="minorHAnsi"/>
                <w:color w:val="000000"/>
                <w:sz w:val="22"/>
                <w:szCs w:val="22"/>
              </w:rPr>
              <w:t>4.3%</w:t>
            </w:r>
          </w:p>
        </w:tc>
      </w:tr>
      <w:tr w:rsidR="007332ED" w:rsidRPr="008440BF" w14:paraId="3BADE996"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6521CD9F"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color w:val="000000"/>
              </w:rPr>
              <w:t>Barnstable</w:t>
            </w:r>
          </w:p>
        </w:tc>
        <w:tc>
          <w:tcPr>
            <w:tcW w:w="1800" w:type="dxa"/>
            <w:tcBorders>
              <w:top w:val="nil"/>
              <w:left w:val="single" w:sz="4" w:space="0" w:color="auto"/>
              <w:bottom w:val="single" w:sz="4" w:space="0" w:color="auto"/>
              <w:right w:val="single" w:sz="4" w:space="0" w:color="auto"/>
            </w:tcBorders>
            <w:shd w:val="clear" w:color="auto" w:fill="auto"/>
            <w:vAlign w:val="bottom"/>
          </w:tcPr>
          <w:p w14:paraId="5CDA3EF3"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hAnsiTheme="minorHAnsi"/>
                <w:color w:val="000000"/>
                <w:sz w:val="22"/>
                <w:szCs w:val="22"/>
              </w:rPr>
              <w:t>4.0%</w:t>
            </w:r>
          </w:p>
        </w:tc>
      </w:tr>
      <w:tr w:rsidR="007332ED" w:rsidRPr="008440BF" w14:paraId="2E673359"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19E6FC42"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color w:val="000000"/>
              </w:rPr>
              <w:t>Sandwich</w:t>
            </w:r>
          </w:p>
        </w:tc>
        <w:tc>
          <w:tcPr>
            <w:tcW w:w="1800" w:type="dxa"/>
            <w:tcBorders>
              <w:top w:val="nil"/>
              <w:left w:val="single" w:sz="4" w:space="0" w:color="auto"/>
              <w:bottom w:val="single" w:sz="4" w:space="0" w:color="auto"/>
              <w:right w:val="single" w:sz="4" w:space="0" w:color="auto"/>
            </w:tcBorders>
            <w:shd w:val="clear" w:color="auto" w:fill="auto"/>
            <w:vAlign w:val="bottom"/>
          </w:tcPr>
          <w:p w14:paraId="4D681E82"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hAnsiTheme="minorHAnsi"/>
                <w:color w:val="000000"/>
                <w:sz w:val="22"/>
                <w:szCs w:val="22"/>
              </w:rPr>
              <w:t>3.4%</w:t>
            </w:r>
          </w:p>
        </w:tc>
      </w:tr>
      <w:tr w:rsidR="007332ED" w:rsidRPr="008440BF" w14:paraId="0BA5660D"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4829BA2B"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color w:val="000000"/>
              </w:rPr>
              <w:t>Wareham</w:t>
            </w:r>
          </w:p>
        </w:tc>
        <w:tc>
          <w:tcPr>
            <w:tcW w:w="1800" w:type="dxa"/>
            <w:tcBorders>
              <w:top w:val="nil"/>
              <w:left w:val="single" w:sz="4" w:space="0" w:color="auto"/>
              <w:bottom w:val="single" w:sz="4" w:space="0" w:color="auto"/>
              <w:right w:val="single" w:sz="4" w:space="0" w:color="auto"/>
            </w:tcBorders>
            <w:shd w:val="clear" w:color="auto" w:fill="auto"/>
            <w:vAlign w:val="bottom"/>
          </w:tcPr>
          <w:p w14:paraId="03D7DF7D"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hAnsiTheme="minorHAnsi"/>
                <w:color w:val="000000"/>
                <w:sz w:val="22"/>
                <w:szCs w:val="22"/>
              </w:rPr>
              <w:t>2.7%</w:t>
            </w:r>
          </w:p>
        </w:tc>
      </w:tr>
      <w:tr w:rsidR="007332ED" w:rsidRPr="008440BF" w14:paraId="4A614CFF"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6348B791"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color w:val="000000"/>
              </w:rPr>
              <w:t>Marshfield</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77B73460" w14:textId="77777777" w:rsidR="007332ED" w:rsidRPr="008440BF" w:rsidRDefault="007332ED" w:rsidP="00C22C69">
            <w:pPr>
              <w:jc w:val="right"/>
              <w:rPr>
                <w:rFonts w:asciiTheme="minorHAnsi" w:hAnsiTheme="minorHAnsi"/>
                <w:color w:val="000000"/>
                <w:szCs w:val="24"/>
              </w:rPr>
            </w:pPr>
            <w:r w:rsidRPr="008440BF">
              <w:rPr>
                <w:rFonts w:asciiTheme="minorHAnsi" w:hAnsiTheme="minorHAnsi"/>
                <w:color w:val="000000"/>
                <w:sz w:val="22"/>
                <w:szCs w:val="22"/>
              </w:rPr>
              <w:t>2.6%</w:t>
            </w:r>
          </w:p>
        </w:tc>
      </w:tr>
      <w:tr w:rsidR="007332ED" w:rsidRPr="008440BF" w14:paraId="3030D2CB"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11D3B1E0"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color w:val="000000"/>
              </w:rPr>
              <w:t>Pembroke</w:t>
            </w:r>
          </w:p>
        </w:tc>
        <w:tc>
          <w:tcPr>
            <w:tcW w:w="1800" w:type="dxa"/>
            <w:tcBorders>
              <w:top w:val="single" w:sz="4" w:space="0" w:color="auto"/>
              <w:left w:val="single" w:sz="4" w:space="0" w:color="auto"/>
              <w:bottom w:val="single" w:sz="4" w:space="0" w:color="auto"/>
              <w:right w:val="single" w:sz="4" w:space="0" w:color="auto"/>
            </w:tcBorders>
            <w:vAlign w:val="bottom"/>
          </w:tcPr>
          <w:p w14:paraId="015B8CAF"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hAnsiTheme="minorHAnsi"/>
                <w:color w:val="000000"/>
                <w:sz w:val="22"/>
                <w:szCs w:val="22"/>
              </w:rPr>
              <w:t>2.3%</w:t>
            </w:r>
          </w:p>
        </w:tc>
      </w:tr>
      <w:tr w:rsidR="007332ED" w:rsidRPr="008440BF" w14:paraId="64644766"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5C137895"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color w:val="000000"/>
              </w:rPr>
              <w:t>Falmouth</w:t>
            </w:r>
          </w:p>
        </w:tc>
        <w:tc>
          <w:tcPr>
            <w:tcW w:w="1800" w:type="dxa"/>
            <w:tcBorders>
              <w:top w:val="single" w:sz="4" w:space="0" w:color="auto"/>
              <w:left w:val="single" w:sz="4" w:space="0" w:color="auto"/>
              <w:bottom w:val="single" w:sz="4" w:space="0" w:color="auto"/>
              <w:right w:val="single" w:sz="4" w:space="0" w:color="auto"/>
            </w:tcBorders>
            <w:vAlign w:val="bottom"/>
          </w:tcPr>
          <w:p w14:paraId="7205D25E"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hAnsiTheme="minorHAnsi"/>
                <w:color w:val="000000"/>
                <w:sz w:val="22"/>
                <w:szCs w:val="22"/>
              </w:rPr>
              <w:t>2.1%</w:t>
            </w:r>
          </w:p>
        </w:tc>
      </w:tr>
      <w:tr w:rsidR="007332ED" w:rsidRPr="008440BF" w14:paraId="6BDFEDC4"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7613F994"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color w:val="000000"/>
              </w:rPr>
              <w:t>Halifax</w:t>
            </w:r>
          </w:p>
        </w:tc>
        <w:tc>
          <w:tcPr>
            <w:tcW w:w="1800" w:type="dxa"/>
            <w:tcBorders>
              <w:top w:val="single" w:sz="4" w:space="0" w:color="auto"/>
              <w:left w:val="single" w:sz="4" w:space="0" w:color="auto"/>
              <w:bottom w:val="single" w:sz="4" w:space="0" w:color="auto"/>
              <w:right w:val="single" w:sz="4" w:space="0" w:color="auto"/>
            </w:tcBorders>
            <w:vAlign w:val="bottom"/>
          </w:tcPr>
          <w:p w14:paraId="775AA7AF"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hAnsiTheme="minorHAnsi"/>
                <w:color w:val="000000"/>
                <w:sz w:val="22"/>
                <w:szCs w:val="22"/>
              </w:rPr>
              <w:t>2.1%</w:t>
            </w:r>
          </w:p>
        </w:tc>
      </w:tr>
      <w:tr w:rsidR="007332ED" w:rsidRPr="008440BF" w14:paraId="3A5C0D95"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08B16886" w14:textId="77777777" w:rsidR="007332ED" w:rsidRPr="008440BF" w:rsidRDefault="007332ED" w:rsidP="00C22C69">
            <w:pPr>
              <w:pStyle w:val="BodyText"/>
              <w:ind w:left="144"/>
              <w:rPr>
                <w:rFonts w:asciiTheme="minorHAnsi" w:hAnsiTheme="minorHAnsi"/>
                <w:bCs/>
              </w:rPr>
            </w:pPr>
            <w:r w:rsidRPr="008440BF">
              <w:rPr>
                <w:rFonts w:asciiTheme="minorHAnsi" w:hAnsiTheme="minorHAnsi"/>
                <w:bCs/>
              </w:rPr>
              <w:t>All other patient origins</w:t>
            </w:r>
          </w:p>
        </w:tc>
        <w:tc>
          <w:tcPr>
            <w:tcW w:w="1800" w:type="dxa"/>
            <w:tcBorders>
              <w:top w:val="single" w:sz="4" w:space="0" w:color="auto"/>
              <w:left w:val="single" w:sz="4" w:space="0" w:color="auto"/>
              <w:bottom w:val="single" w:sz="4" w:space="0" w:color="auto"/>
              <w:right w:val="single" w:sz="4" w:space="0" w:color="auto"/>
            </w:tcBorders>
          </w:tcPr>
          <w:p w14:paraId="19039AF3"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hAnsiTheme="minorHAnsi"/>
                <w:color w:val="000000"/>
              </w:rPr>
              <w:t>23.6%</w:t>
            </w:r>
          </w:p>
        </w:tc>
      </w:tr>
      <w:tr w:rsidR="007332ED" w:rsidRPr="008440BF" w14:paraId="0EB63C7E"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7881D488" w14:textId="77777777" w:rsidR="007332ED" w:rsidRPr="008440BF" w:rsidRDefault="007332ED" w:rsidP="00C22C69">
            <w:pPr>
              <w:pStyle w:val="BodyText"/>
              <w:ind w:left="144"/>
              <w:rPr>
                <w:rFonts w:asciiTheme="minorHAnsi" w:hAnsiTheme="minorHAnsi"/>
                <w:bCs/>
              </w:rPr>
            </w:pPr>
            <w:r w:rsidRPr="008440BF">
              <w:rPr>
                <w:rFonts w:asciiTheme="minorHAnsi" w:hAnsiTheme="minorHAnsi"/>
                <w:bCs/>
              </w:rPr>
              <w:t xml:space="preserve">Total </w:t>
            </w:r>
          </w:p>
        </w:tc>
        <w:tc>
          <w:tcPr>
            <w:tcW w:w="1800" w:type="dxa"/>
            <w:tcBorders>
              <w:top w:val="single" w:sz="4" w:space="0" w:color="auto"/>
              <w:left w:val="single" w:sz="4" w:space="0" w:color="auto"/>
              <w:bottom w:val="single" w:sz="4" w:space="0" w:color="auto"/>
              <w:right w:val="single" w:sz="4" w:space="0" w:color="auto"/>
            </w:tcBorders>
          </w:tcPr>
          <w:p w14:paraId="27C36995"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hAnsiTheme="minorHAnsi"/>
                <w:color w:val="000000"/>
              </w:rPr>
              <w:t>100.0%</w:t>
            </w:r>
          </w:p>
        </w:tc>
      </w:tr>
      <w:tr w:rsidR="007332ED" w:rsidRPr="008440BF" w14:paraId="35889D9E" w14:textId="77777777" w:rsidTr="00AF344F">
        <w:trPr>
          <w:cantSplit/>
          <w:trHeight w:val="300"/>
          <w:jc w:val="center"/>
        </w:trPr>
        <w:tc>
          <w:tcPr>
            <w:tcW w:w="4315" w:type="dxa"/>
            <w:tcBorders>
              <w:top w:val="single" w:sz="4" w:space="0" w:color="auto"/>
            </w:tcBorders>
            <w:shd w:val="clear" w:color="auto" w:fill="F2F2F2" w:themeFill="background1" w:themeFillShade="F2"/>
          </w:tcPr>
          <w:p w14:paraId="003B6C91" w14:textId="77777777" w:rsidR="007332ED" w:rsidRPr="008440BF" w:rsidRDefault="007332ED" w:rsidP="00C22C69">
            <w:pPr>
              <w:pStyle w:val="BodyText"/>
              <w:rPr>
                <w:rFonts w:asciiTheme="minorHAnsi" w:hAnsiTheme="minorHAnsi"/>
                <w:b/>
              </w:rPr>
            </w:pPr>
            <w:r w:rsidRPr="008440BF">
              <w:rPr>
                <w:rFonts w:asciiTheme="minorHAnsi" w:hAnsiTheme="minorHAnsi"/>
                <w:b/>
              </w:rPr>
              <w:t>Payer Mix</w:t>
            </w:r>
            <w:r w:rsidRPr="008440BF">
              <w:rPr>
                <w:rStyle w:val="FootnoteReference"/>
                <w:rFonts w:asciiTheme="minorHAnsi" w:hAnsiTheme="minorHAnsi"/>
                <w:b/>
              </w:rPr>
              <w:footnoteReference w:id="13"/>
            </w:r>
          </w:p>
        </w:tc>
        <w:tc>
          <w:tcPr>
            <w:tcW w:w="1800" w:type="dxa"/>
            <w:tcBorders>
              <w:top w:val="single" w:sz="4" w:space="0" w:color="auto"/>
            </w:tcBorders>
            <w:shd w:val="clear" w:color="auto" w:fill="F2F2F2" w:themeFill="background1" w:themeFillShade="F2"/>
          </w:tcPr>
          <w:p w14:paraId="02C0B266" w14:textId="77777777" w:rsidR="007332ED" w:rsidRPr="008440BF" w:rsidRDefault="007332ED" w:rsidP="00C22C69">
            <w:pPr>
              <w:pStyle w:val="BodyText"/>
              <w:jc w:val="right"/>
              <w:rPr>
                <w:rFonts w:asciiTheme="minorHAnsi" w:hAnsiTheme="minorHAnsi"/>
                <w:bCs/>
                <w:highlight w:val="yellow"/>
              </w:rPr>
            </w:pPr>
          </w:p>
        </w:tc>
      </w:tr>
      <w:tr w:rsidR="007332ED" w:rsidRPr="008440BF" w14:paraId="612485A6" w14:textId="77777777" w:rsidTr="00AF344F">
        <w:trPr>
          <w:cantSplit/>
          <w:trHeight w:val="300"/>
          <w:jc w:val="center"/>
        </w:trPr>
        <w:tc>
          <w:tcPr>
            <w:tcW w:w="4315" w:type="dxa"/>
            <w:vAlign w:val="center"/>
          </w:tcPr>
          <w:p w14:paraId="55137ED7" w14:textId="77777777" w:rsidR="007332ED" w:rsidRPr="008440BF" w:rsidRDefault="007332ED" w:rsidP="00C22C69">
            <w:pPr>
              <w:pStyle w:val="BodyText"/>
              <w:ind w:left="144"/>
              <w:rPr>
                <w:rFonts w:asciiTheme="minorHAnsi" w:hAnsiTheme="minorHAnsi"/>
                <w:b/>
              </w:rPr>
            </w:pPr>
            <w:r w:rsidRPr="008440BF">
              <w:rPr>
                <w:rFonts w:asciiTheme="minorHAnsi" w:eastAsia="Times New Roman" w:hAnsiTheme="minorHAnsi"/>
                <w:color w:val="000000"/>
              </w:rPr>
              <w:t>Commercial</w:t>
            </w:r>
          </w:p>
        </w:tc>
        <w:tc>
          <w:tcPr>
            <w:tcW w:w="1800" w:type="dxa"/>
            <w:vAlign w:val="center"/>
          </w:tcPr>
          <w:p w14:paraId="67F5F0D2" w14:textId="77777777" w:rsidR="007332ED" w:rsidRPr="008440BF" w:rsidRDefault="007332ED" w:rsidP="00C22C69">
            <w:pPr>
              <w:pStyle w:val="BodyText"/>
              <w:jc w:val="right"/>
              <w:rPr>
                <w:rFonts w:asciiTheme="minorHAnsi" w:hAnsiTheme="minorHAnsi"/>
                <w:bCs/>
              </w:rPr>
            </w:pPr>
            <w:r w:rsidRPr="008440BF">
              <w:rPr>
                <w:rFonts w:asciiTheme="minorHAnsi" w:hAnsiTheme="minorHAnsi"/>
                <w:color w:val="000000"/>
              </w:rPr>
              <w:t>49.7%</w:t>
            </w:r>
          </w:p>
        </w:tc>
      </w:tr>
      <w:tr w:rsidR="007332ED" w:rsidRPr="008440BF" w14:paraId="29C347C7" w14:textId="77777777" w:rsidTr="00AF344F">
        <w:trPr>
          <w:cantSplit/>
          <w:trHeight w:val="300"/>
          <w:jc w:val="center"/>
        </w:trPr>
        <w:tc>
          <w:tcPr>
            <w:tcW w:w="4315" w:type="dxa"/>
            <w:vAlign w:val="center"/>
          </w:tcPr>
          <w:p w14:paraId="51281795" w14:textId="77777777" w:rsidR="007332ED" w:rsidRPr="008440BF" w:rsidRDefault="007332ED" w:rsidP="00C22C69">
            <w:pPr>
              <w:pStyle w:val="BodyText"/>
              <w:rPr>
                <w:rFonts w:asciiTheme="minorHAnsi" w:hAnsiTheme="minorHAnsi"/>
                <w:b/>
              </w:rPr>
            </w:pPr>
            <w:r w:rsidRPr="008440BF">
              <w:rPr>
                <w:rFonts w:asciiTheme="minorHAnsi" w:eastAsia="Times New Roman" w:hAnsiTheme="minorHAnsi"/>
                <w:color w:val="000000"/>
              </w:rPr>
              <w:t xml:space="preserve">   Medicare</w:t>
            </w:r>
          </w:p>
        </w:tc>
        <w:tc>
          <w:tcPr>
            <w:tcW w:w="1800" w:type="dxa"/>
            <w:vAlign w:val="center"/>
          </w:tcPr>
          <w:p w14:paraId="0A1D86A6" w14:textId="77777777" w:rsidR="007332ED" w:rsidRPr="008440BF" w:rsidRDefault="007332ED" w:rsidP="00C22C69">
            <w:pPr>
              <w:pStyle w:val="BodyText"/>
              <w:jc w:val="right"/>
              <w:rPr>
                <w:rFonts w:asciiTheme="minorHAnsi" w:hAnsiTheme="minorHAnsi"/>
                <w:bCs/>
              </w:rPr>
            </w:pPr>
            <w:r w:rsidRPr="008440BF">
              <w:rPr>
                <w:rFonts w:asciiTheme="minorHAnsi" w:hAnsiTheme="minorHAnsi"/>
                <w:color w:val="000000"/>
              </w:rPr>
              <w:t>44.4%</w:t>
            </w:r>
          </w:p>
        </w:tc>
      </w:tr>
      <w:tr w:rsidR="007332ED" w:rsidRPr="008440BF" w14:paraId="5212D4BA" w14:textId="77777777" w:rsidTr="00AF344F">
        <w:trPr>
          <w:cantSplit/>
          <w:trHeight w:val="300"/>
          <w:jc w:val="center"/>
        </w:trPr>
        <w:tc>
          <w:tcPr>
            <w:tcW w:w="4315" w:type="dxa"/>
            <w:vAlign w:val="center"/>
          </w:tcPr>
          <w:p w14:paraId="43A55CFB" w14:textId="77777777" w:rsidR="007332ED" w:rsidRPr="008440BF" w:rsidRDefault="007332ED" w:rsidP="00C22C69">
            <w:pPr>
              <w:pStyle w:val="BodyText"/>
              <w:ind w:left="144"/>
              <w:rPr>
                <w:rFonts w:asciiTheme="minorHAnsi" w:hAnsiTheme="minorHAnsi"/>
                <w:b/>
              </w:rPr>
            </w:pPr>
            <w:r w:rsidRPr="008440BF">
              <w:rPr>
                <w:rFonts w:asciiTheme="minorHAnsi" w:eastAsia="Times New Roman" w:hAnsiTheme="minorHAnsi"/>
                <w:color w:val="000000"/>
              </w:rPr>
              <w:t>Medicaid</w:t>
            </w:r>
          </w:p>
        </w:tc>
        <w:tc>
          <w:tcPr>
            <w:tcW w:w="1800" w:type="dxa"/>
            <w:vAlign w:val="center"/>
          </w:tcPr>
          <w:p w14:paraId="39ECF229" w14:textId="77777777" w:rsidR="007332ED" w:rsidRPr="008440BF" w:rsidRDefault="007332ED" w:rsidP="00C22C69">
            <w:pPr>
              <w:pStyle w:val="BodyText"/>
              <w:jc w:val="right"/>
              <w:rPr>
                <w:rFonts w:asciiTheme="minorHAnsi" w:hAnsiTheme="minorHAnsi"/>
                <w:bCs/>
              </w:rPr>
            </w:pPr>
            <w:r w:rsidRPr="008440BF">
              <w:rPr>
                <w:rFonts w:asciiTheme="minorHAnsi" w:hAnsiTheme="minorHAnsi"/>
                <w:color w:val="000000"/>
              </w:rPr>
              <w:t>1.3%</w:t>
            </w:r>
          </w:p>
        </w:tc>
      </w:tr>
      <w:tr w:rsidR="007332ED" w:rsidRPr="008440BF" w14:paraId="68BB0122" w14:textId="77777777" w:rsidTr="00AF344F">
        <w:trPr>
          <w:cantSplit/>
          <w:trHeight w:val="300"/>
          <w:jc w:val="center"/>
        </w:trPr>
        <w:tc>
          <w:tcPr>
            <w:tcW w:w="4315" w:type="dxa"/>
            <w:vAlign w:val="center"/>
          </w:tcPr>
          <w:p w14:paraId="3777C880" w14:textId="77777777" w:rsidR="007332ED" w:rsidRPr="008440BF" w:rsidRDefault="007332ED" w:rsidP="00C22C69">
            <w:pPr>
              <w:pStyle w:val="BodyText"/>
              <w:ind w:left="144"/>
              <w:rPr>
                <w:rFonts w:asciiTheme="minorHAnsi" w:hAnsiTheme="minorHAnsi"/>
                <w:b/>
              </w:rPr>
            </w:pPr>
            <w:r w:rsidRPr="008440BF">
              <w:rPr>
                <w:rFonts w:asciiTheme="minorHAnsi" w:eastAsia="Times New Roman" w:hAnsiTheme="minorHAnsi"/>
                <w:color w:val="000000"/>
              </w:rPr>
              <w:t>Multiple Payers</w:t>
            </w:r>
          </w:p>
        </w:tc>
        <w:tc>
          <w:tcPr>
            <w:tcW w:w="1800" w:type="dxa"/>
            <w:vAlign w:val="center"/>
          </w:tcPr>
          <w:p w14:paraId="0953A3AE" w14:textId="77777777" w:rsidR="007332ED" w:rsidRPr="008440BF" w:rsidRDefault="007332ED" w:rsidP="00C22C69">
            <w:pPr>
              <w:pStyle w:val="BodyText"/>
              <w:jc w:val="right"/>
              <w:rPr>
                <w:rFonts w:asciiTheme="minorHAnsi" w:hAnsiTheme="minorHAnsi"/>
                <w:bCs/>
              </w:rPr>
            </w:pPr>
            <w:r w:rsidRPr="008440BF">
              <w:rPr>
                <w:rFonts w:asciiTheme="minorHAnsi" w:hAnsiTheme="minorHAnsi"/>
                <w:color w:val="000000"/>
              </w:rPr>
              <w:t>0.0%</w:t>
            </w:r>
          </w:p>
        </w:tc>
      </w:tr>
      <w:tr w:rsidR="007332ED" w:rsidRPr="008440BF" w14:paraId="67CC195D" w14:textId="77777777" w:rsidTr="00AF344F">
        <w:trPr>
          <w:cantSplit/>
          <w:trHeight w:val="300"/>
          <w:jc w:val="center"/>
        </w:trPr>
        <w:tc>
          <w:tcPr>
            <w:tcW w:w="4315" w:type="dxa"/>
            <w:vAlign w:val="center"/>
          </w:tcPr>
          <w:p w14:paraId="692754A8" w14:textId="77777777" w:rsidR="007332ED" w:rsidRPr="008440BF" w:rsidRDefault="007332ED" w:rsidP="00C22C69">
            <w:pPr>
              <w:pStyle w:val="BodyText"/>
              <w:ind w:left="144"/>
              <w:rPr>
                <w:rFonts w:asciiTheme="minorHAnsi" w:hAnsiTheme="minorHAnsi"/>
                <w:b/>
              </w:rPr>
            </w:pPr>
            <w:r w:rsidRPr="008440BF">
              <w:rPr>
                <w:rFonts w:asciiTheme="minorHAnsi" w:eastAsia="Times New Roman" w:hAnsiTheme="minorHAnsi"/>
                <w:color w:val="000000"/>
              </w:rPr>
              <w:t>Other</w:t>
            </w:r>
          </w:p>
        </w:tc>
        <w:tc>
          <w:tcPr>
            <w:tcW w:w="1800" w:type="dxa"/>
            <w:vAlign w:val="center"/>
          </w:tcPr>
          <w:p w14:paraId="24E7B309" w14:textId="77777777" w:rsidR="007332ED" w:rsidRPr="008440BF" w:rsidRDefault="007332ED" w:rsidP="00C22C69">
            <w:pPr>
              <w:pStyle w:val="BodyText"/>
              <w:jc w:val="right"/>
              <w:rPr>
                <w:rFonts w:asciiTheme="minorHAnsi" w:hAnsiTheme="minorHAnsi"/>
                <w:bCs/>
              </w:rPr>
            </w:pPr>
            <w:r w:rsidRPr="008440BF">
              <w:rPr>
                <w:rFonts w:asciiTheme="minorHAnsi" w:hAnsiTheme="minorHAnsi"/>
                <w:color w:val="000000"/>
              </w:rPr>
              <w:t>4.6%</w:t>
            </w:r>
          </w:p>
        </w:tc>
      </w:tr>
      <w:tr w:rsidR="007332ED" w:rsidRPr="008440BF" w14:paraId="7E5F5589" w14:textId="77777777" w:rsidTr="00AF344F">
        <w:trPr>
          <w:cantSplit/>
          <w:trHeight w:val="300"/>
          <w:jc w:val="center"/>
        </w:trPr>
        <w:tc>
          <w:tcPr>
            <w:tcW w:w="4315" w:type="dxa"/>
          </w:tcPr>
          <w:p w14:paraId="1BF5EE5D" w14:textId="77777777" w:rsidR="007332ED" w:rsidRPr="008440BF" w:rsidRDefault="007332ED" w:rsidP="00C22C69">
            <w:pPr>
              <w:pStyle w:val="BodyText"/>
              <w:ind w:left="144"/>
              <w:rPr>
                <w:rFonts w:asciiTheme="minorHAnsi" w:hAnsiTheme="minorHAnsi"/>
                <w:b/>
              </w:rPr>
            </w:pPr>
            <w:r w:rsidRPr="008440BF">
              <w:rPr>
                <w:rFonts w:asciiTheme="minorHAnsi" w:hAnsiTheme="minorHAnsi"/>
              </w:rPr>
              <w:t>Total</w:t>
            </w:r>
            <w:r w:rsidRPr="008440BF">
              <w:rPr>
                <w:rStyle w:val="FootnoteReference"/>
                <w:rFonts w:asciiTheme="minorHAnsi" w:hAnsiTheme="minorHAnsi"/>
              </w:rPr>
              <w:footnoteReference w:id="14"/>
            </w:r>
          </w:p>
        </w:tc>
        <w:tc>
          <w:tcPr>
            <w:tcW w:w="1800" w:type="dxa"/>
          </w:tcPr>
          <w:p w14:paraId="44C616A3" w14:textId="77777777" w:rsidR="007332ED" w:rsidRPr="008440BF" w:rsidRDefault="007332ED" w:rsidP="00C22C69">
            <w:pPr>
              <w:pStyle w:val="BodyText"/>
              <w:jc w:val="right"/>
              <w:rPr>
                <w:rFonts w:asciiTheme="minorHAnsi" w:hAnsiTheme="minorHAnsi"/>
                <w:bCs/>
              </w:rPr>
            </w:pPr>
            <w:r w:rsidRPr="008440BF">
              <w:rPr>
                <w:rFonts w:asciiTheme="minorHAnsi" w:hAnsiTheme="minorHAnsi"/>
              </w:rPr>
              <w:t>100.0%</w:t>
            </w:r>
          </w:p>
        </w:tc>
      </w:tr>
    </w:tbl>
    <w:p w14:paraId="74921AF5" w14:textId="77777777" w:rsidR="007332ED" w:rsidRPr="008440BF" w:rsidRDefault="007332ED" w:rsidP="007332ED">
      <w:pPr>
        <w:rPr>
          <w:rFonts w:asciiTheme="minorHAnsi" w:hAnsiTheme="minorHAnsi"/>
        </w:rPr>
      </w:pPr>
    </w:p>
    <w:p w14:paraId="2421313A" w14:textId="3A97EA70" w:rsidR="007332ED" w:rsidRPr="008440BF" w:rsidRDefault="007332ED" w:rsidP="007332ED">
      <w:pPr>
        <w:rPr>
          <w:rFonts w:asciiTheme="minorHAnsi" w:hAnsiTheme="minorHAnsi"/>
        </w:rPr>
      </w:pPr>
      <w:r w:rsidRPr="008440BF">
        <w:rPr>
          <w:rFonts w:asciiTheme="minorHAnsi" w:hAnsiTheme="minorHAnsi"/>
        </w:rPr>
        <w:t xml:space="preserve">The Applicant provided further detail on the BID Plymouth’s Orthopedic Surgery population to </w:t>
      </w:r>
      <w:r w:rsidRPr="008440BF">
        <w:rPr>
          <w:rFonts w:asciiTheme="minorHAnsi" w:hAnsiTheme="minorHAnsi"/>
        </w:rPr>
        <w:lastRenderedPageBreak/>
        <w:t xml:space="preserve">better illustrate the population most likely to benefit from the Proposed Project. Table </w:t>
      </w:r>
      <w:r w:rsidR="00F90FC0" w:rsidRPr="008440BF">
        <w:rPr>
          <w:rFonts w:asciiTheme="minorHAnsi" w:hAnsiTheme="minorHAnsi"/>
        </w:rPr>
        <w:t xml:space="preserve">4 </w:t>
      </w:r>
      <w:r w:rsidRPr="008440BF">
        <w:rPr>
          <w:rFonts w:asciiTheme="minorHAnsi" w:hAnsiTheme="minorHAnsi"/>
        </w:rPr>
        <w:t>presents patient information for this patient population during FY2023. Staff notes the following observations about these data below:</w:t>
      </w:r>
    </w:p>
    <w:p w14:paraId="286A3A3D" w14:textId="3116423E" w:rsidR="007332ED" w:rsidRPr="008440BF" w:rsidRDefault="007332ED" w:rsidP="007332ED">
      <w:pPr>
        <w:pStyle w:val="ListParagraph"/>
        <w:numPr>
          <w:ilvl w:val="0"/>
          <w:numId w:val="8"/>
        </w:numPr>
        <w:tabs>
          <w:tab w:val="left" w:pos="939"/>
          <w:tab w:val="left" w:pos="940"/>
        </w:tabs>
        <w:ind w:left="939" w:right="896"/>
        <w:rPr>
          <w:rFonts w:asciiTheme="minorHAnsi" w:hAnsiTheme="minorHAnsi"/>
        </w:rPr>
      </w:pPr>
      <w:r w:rsidRPr="008440BF">
        <w:rPr>
          <w:rFonts w:asciiTheme="minorHAnsi" w:hAnsiTheme="minorHAnsi"/>
          <w:b/>
        </w:rPr>
        <w:t xml:space="preserve">Age: </w:t>
      </w:r>
      <w:r w:rsidRPr="008440BF">
        <w:rPr>
          <w:rFonts w:asciiTheme="minorHAnsi" w:hAnsiTheme="minorHAnsi"/>
          <w:bCs/>
        </w:rPr>
        <w:t xml:space="preserve">Almost 60% of the patient population are </w:t>
      </w:r>
      <w:r w:rsidR="009D031B" w:rsidRPr="008440BF">
        <w:rPr>
          <w:rFonts w:asciiTheme="minorHAnsi" w:hAnsiTheme="minorHAnsi"/>
          <w:bCs/>
        </w:rPr>
        <w:t>aged</w:t>
      </w:r>
      <w:r w:rsidRPr="008440BF">
        <w:rPr>
          <w:rFonts w:asciiTheme="minorHAnsi" w:hAnsiTheme="minorHAnsi"/>
          <w:bCs/>
        </w:rPr>
        <w:t xml:space="preserve"> 65 and older. </w:t>
      </w:r>
    </w:p>
    <w:p w14:paraId="0E490A88" w14:textId="77777777" w:rsidR="007332ED" w:rsidRPr="008440BF" w:rsidRDefault="007332ED" w:rsidP="007332ED">
      <w:pPr>
        <w:pStyle w:val="ListParagraph"/>
        <w:numPr>
          <w:ilvl w:val="0"/>
          <w:numId w:val="8"/>
        </w:numPr>
        <w:tabs>
          <w:tab w:val="left" w:pos="939"/>
          <w:tab w:val="left" w:pos="940"/>
        </w:tabs>
        <w:spacing w:before="4"/>
        <w:ind w:left="939" w:right="270"/>
        <w:rPr>
          <w:rFonts w:asciiTheme="minorHAnsi" w:hAnsiTheme="minorHAnsi"/>
        </w:rPr>
      </w:pPr>
      <w:r w:rsidRPr="008440BF">
        <w:rPr>
          <w:rFonts w:asciiTheme="minorHAnsi" w:hAnsiTheme="minorHAnsi"/>
          <w:b/>
          <w:bCs/>
        </w:rPr>
        <w:t xml:space="preserve">Race/Ethnicity: </w:t>
      </w:r>
      <w:r w:rsidRPr="008440BF">
        <w:rPr>
          <w:rFonts w:asciiTheme="minorHAnsi" w:hAnsiTheme="minorHAnsi"/>
        </w:rPr>
        <w:t>The vast majority of patients (97%) identified as White, which is significantly greater than the 2020 US Census for Plymouth County of 83% White.</w:t>
      </w:r>
      <w:r w:rsidRPr="008440BF">
        <w:rPr>
          <w:rStyle w:val="EndnoteReference"/>
          <w:rFonts w:asciiTheme="minorHAnsi" w:hAnsiTheme="minorHAnsi"/>
        </w:rPr>
        <w:endnoteReference w:id="3"/>
      </w:r>
      <w:r w:rsidRPr="008440BF">
        <w:rPr>
          <w:rFonts w:asciiTheme="minorHAnsi" w:hAnsiTheme="minorHAnsi"/>
          <w:b/>
          <w:bCs/>
        </w:rPr>
        <w:t xml:space="preserve"> </w:t>
      </w:r>
    </w:p>
    <w:p w14:paraId="2325CB1D" w14:textId="77777777" w:rsidR="007332ED" w:rsidRPr="008440BF" w:rsidRDefault="007332ED" w:rsidP="007332ED">
      <w:pPr>
        <w:pStyle w:val="ListParagraph"/>
        <w:numPr>
          <w:ilvl w:val="0"/>
          <w:numId w:val="8"/>
        </w:numPr>
        <w:tabs>
          <w:tab w:val="left" w:pos="939"/>
          <w:tab w:val="left" w:pos="940"/>
        </w:tabs>
        <w:spacing w:before="2"/>
        <w:ind w:left="939" w:right="366"/>
        <w:rPr>
          <w:rFonts w:asciiTheme="minorHAnsi" w:hAnsiTheme="minorHAnsi"/>
          <w:bCs/>
        </w:rPr>
      </w:pPr>
      <w:r w:rsidRPr="008440BF">
        <w:rPr>
          <w:rFonts w:asciiTheme="minorHAnsi" w:hAnsiTheme="minorHAnsi"/>
          <w:b/>
        </w:rPr>
        <w:t xml:space="preserve">Patient Origin: </w:t>
      </w:r>
      <w:r w:rsidRPr="008440BF">
        <w:rPr>
          <w:rFonts w:asciiTheme="minorHAnsi" w:hAnsiTheme="minorHAnsi"/>
        </w:rPr>
        <w:t>Approximately half (51.3%) of BID Plymouth’s orthopedic surgery patients originated from Plymouth, Carver, Kingston, Duxbury, and Middleboro.</w:t>
      </w:r>
    </w:p>
    <w:p w14:paraId="7BEDEADA" w14:textId="078FCF04" w:rsidR="007332ED" w:rsidRPr="008440BF" w:rsidRDefault="007332ED" w:rsidP="007332ED">
      <w:pPr>
        <w:pStyle w:val="ListParagraph"/>
        <w:numPr>
          <w:ilvl w:val="0"/>
          <w:numId w:val="8"/>
        </w:numPr>
        <w:tabs>
          <w:tab w:val="left" w:pos="939"/>
          <w:tab w:val="left" w:pos="940"/>
        </w:tabs>
        <w:ind w:right="1260"/>
        <w:rPr>
          <w:rFonts w:asciiTheme="minorHAnsi" w:hAnsiTheme="minorHAnsi"/>
          <w:b/>
          <w:bCs/>
        </w:rPr>
      </w:pPr>
      <w:r w:rsidRPr="008440BF">
        <w:rPr>
          <w:rFonts w:asciiTheme="minorHAnsi" w:hAnsiTheme="minorHAnsi"/>
          <w:b/>
          <w:bCs/>
        </w:rPr>
        <w:t xml:space="preserve">Payer Mix: </w:t>
      </w:r>
      <w:r w:rsidRPr="008440BF">
        <w:rPr>
          <w:rFonts w:asciiTheme="minorHAnsi" w:hAnsiTheme="minorHAnsi"/>
        </w:rPr>
        <w:t xml:space="preserve">Approximately 67% of patients had Medicaid or Medicare </w:t>
      </w:r>
      <w:r w:rsidR="006A22CB" w:rsidRPr="008440BF">
        <w:rPr>
          <w:rFonts w:asciiTheme="minorHAnsi" w:hAnsiTheme="minorHAnsi"/>
        </w:rPr>
        <w:t>coverage.</w:t>
      </w:r>
      <w:r w:rsidRPr="008440BF">
        <w:rPr>
          <w:rFonts w:asciiTheme="minorHAnsi" w:hAnsiTheme="minorHAnsi"/>
        </w:rPr>
        <w:t xml:space="preserve"> </w:t>
      </w:r>
    </w:p>
    <w:p w14:paraId="7157ACCC" w14:textId="77777777" w:rsidR="007332ED" w:rsidRPr="008440BF" w:rsidRDefault="007332ED" w:rsidP="007332ED">
      <w:pPr>
        <w:rPr>
          <w:rFonts w:asciiTheme="minorHAnsi" w:hAnsiTheme="minorHAnsi"/>
          <w:highlight w:val="yellow"/>
        </w:rPr>
      </w:pPr>
    </w:p>
    <w:p w14:paraId="4B8CF4D6" w14:textId="1B1BF3A8" w:rsidR="007332ED" w:rsidRPr="008440BF" w:rsidRDefault="007332ED" w:rsidP="00AF344F">
      <w:pPr>
        <w:jc w:val="center"/>
        <w:rPr>
          <w:rFonts w:asciiTheme="minorHAnsi" w:hAnsiTheme="minorHAnsi"/>
          <w:b/>
          <w:bCs/>
        </w:rPr>
      </w:pPr>
      <w:r w:rsidRPr="008440BF">
        <w:rPr>
          <w:rFonts w:asciiTheme="minorHAnsi" w:hAnsiTheme="minorHAnsi"/>
          <w:b/>
          <w:bCs/>
          <w:u w:val="single"/>
        </w:rPr>
        <w:t xml:space="preserve">Table </w:t>
      </w:r>
      <w:r w:rsidR="00F90FC0" w:rsidRPr="008440BF">
        <w:rPr>
          <w:rFonts w:asciiTheme="minorHAnsi" w:hAnsiTheme="minorHAnsi"/>
          <w:b/>
          <w:bCs/>
          <w:u w:val="single"/>
        </w:rPr>
        <w:t>4</w:t>
      </w:r>
      <w:r w:rsidRPr="008440BF">
        <w:rPr>
          <w:rFonts w:asciiTheme="minorHAnsi" w:hAnsiTheme="minorHAnsi"/>
          <w:b/>
          <w:bCs/>
        </w:rPr>
        <w:t>: BID Plymouth Orthopedic Surgery Patient Population Overview FY2023</w:t>
      </w:r>
    </w:p>
    <w:tbl>
      <w:tblPr>
        <w:tblStyle w:val="TableGrid"/>
        <w:tblW w:w="0" w:type="auto"/>
        <w:jc w:val="center"/>
        <w:tblLook w:val="04A0" w:firstRow="1" w:lastRow="0" w:firstColumn="1" w:lastColumn="0" w:noHBand="0" w:noVBand="1"/>
      </w:tblPr>
      <w:tblGrid>
        <w:gridCol w:w="4315"/>
        <w:gridCol w:w="1800"/>
      </w:tblGrid>
      <w:tr w:rsidR="007332ED" w:rsidRPr="008440BF" w14:paraId="1BF8E844" w14:textId="77777777" w:rsidTr="00AF344F">
        <w:trPr>
          <w:cantSplit/>
          <w:trHeight w:val="300"/>
          <w:tblHeader/>
          <w:jc w:val="center"/>
        </w:trPr>
        <w:tc>
          <w:tcPr>
            <w:tcW w:w="4315" w:type="dxa"/>
          </w:tcPr>
          <w:p w14:paraId="799990C7" w14:textId="77777777" w:rsidR="007332ED" w:rsidRPr="008440BF" w:rsidRDefault="007332ED" w:rsidP="00C22C69">
            <w:pPr>
              <w:pStyle w:val="BodyText"/>
              <w:rPr>
                <w:rFonts w:asciiTheme="minorHAnsi" w:hAnsiTheme="minorHAnsi"/>
                <w:b/>
                <w:sz w:val="22"/>
                <w:szCs w:val="22"/>
              </w:rPr>
            </w:pPr>
          </w:p>
        </w:tc>
        <w:tc>
          <w:tcPr>
            <w:tcW w:w="1800" w:type="dxa"/>
            <w:shd w:val="clear" w:color="auto" w:fill="F2F2F2" w:themeFill="background1" w:themeFillShade="F2"/>
          </w:tcPr>
          <w:p w14:paraId="135416BC" w14:textId="77777777" w:rsidR="007332ED" w:rsidRPr="008440BF" w:rsidRDefault="007332ED" w:rsidP="00C22C69">
            <w:pPr>
              <w:pStyle w:val="BodyText"/>
              <w:jc w:val="center"/>
              <w:rPr>
                <w:rFonts w:asciiTheme="minorHAnsi" w:hAnsiTheme="minorHAnsi"/>
                <w:b/>
                <w:sz w:val="22"/>
                <w:szCs w:val="22"/>
              </w:rPr>
            </w:pPr>
            <w:r w:rsidRPr="008440BF">
              <w:rPr>
                <w:rFonts w:asciiTheme="minorHAnsi" w:hAnsiTheme="minorHAnsi"/>
                <w:b/>
                <w:sz w:val="22"/>
                <w:szCs w:val="22"/>
              </w:rPr>
              <w:t>Totals</w:t>
            </w:r>
          </w:p>
        </w:tc>
      </w:tr>
      <w:tr w:rsidR="007332ED" w:rsidRPr="008440BF" w14:paraId="2F3A1CDB" w14:textId="77777777" w:rsidTr="00AF344F">
        <w:trPr>
          <w:cantSplit/>
          <w:trHeight w:val="300"/>
          <w:jc w:val="center"/>
        </w:trPr>
        <w:tc>
          <w:tcPr>
            <w:tcW w:w="4315" w:type="dxa"/>
          </w:tcPr>
          <w:p w14:paraId="36F3347F" w14:textId="77777777" w:rsidR="007332ED" w:rsidRPr="008440BF" w:rsidRDefault="007332ED" w:rsidP="00C22C69">
            <w:pPr>
              <w:pStyle w:val="BodyText"/>
              <w:rPr>
                <w:rFonts w:asciiTheme="minorHAnsi" w:hAnsiTheme="minorHAnsi"/>
                <w:b/>
                <w:sz w:val="22"/>
                <w:szCs w:val="22"/>
              </w:rPr>
            </w:pPr>
            <w:r w:rsidRPr="008440BF">
              <w:rPr>
                <w:rFonts w:asciiTheme="minorHAnsi" w:hAnsiTheme="minorHAnsi"/>
                <w:b/>
                <w:sz w:val="22"/>
                <w:szCs w:val="22"/>
              </w:rPr>
              <w:t>Total Patients</w:t>
            </w:r>
          </w:p>
        </w:tc>
        <w:tc>
          <w:tcPr>
            <w:tcW w:w="1800" w:type="dxa"/>
          </w:tcPr>
          <w:p w14:paraId="2B31C407" w14:textId="77777777" w:rsidR="007332ED" w:rsidRPr="008440BF" w:rsidRDefault="007332ED" w:rsidP="00C22C69">
            <w:pPr>
              <w:pStyle w:val="BodyText"/>
              <w:jc w:val="right"/>
              <w:rPr>
                <w:rFonts w:asciiTheme="minorHAnsi" w:hAnsiTheme="minorHAnsi"/>
                <w:bCs/>
              </w:rPr>
            </w:pPr>
            <w:r w:rsidRPr="008440BF">
              <w:rPr>
                <w:rFonts w:asciiTheme="minorHAnsi" w:hAnsiTheme="minorHAnsi"/>
                <w:bCs/>
              </w:rPr>
              <w:t>2,542</w:t>
            </w:r>
          </w:p>
        </w:tc>
      </w:tr>
      <w:tr w:rsidR="007332ED" w:rsidRPr="008440BF" w14:paraId="6A88A634" w14:textId="77777777" w:rsidTr="00AF344F">
        <w:trPr>
          <w:cantSplit/>
          <w:trHeight w:val="300"/>
          <w:jc w:val="center"/>
        </w:trPr>
        <w:tc>
          <w:tcPr>
            <w:tcW w:w="4315" w:type="dxa"/>
            <w:shd w:val="clear" w:color="auto" w:fill="F2F2F2" w:themeFill="background1" w:themeFillShade="F2"/>
          </w:tcPr>
          <w:p w14:paraId="6371CF01" w14:textId="77777777" w:rsidR="007332ED" w:rsidRPr="008440BF" w:rsidRDefault="007332ED" w:rsidP="00C22C69">
            <w:pPr>
              <w:pStyle w:val="BodyText"/>
              <w:rPr>
                <w:rFonts w:asciiTheme="minorHAnsi" w:hAnsiTheme="minorHAnsi"/>
                <w:b/>
                <w:sz w:val="22"/>
                <w:szCs w:val="22"/>
              </w:rPr>
            </w:pPr>
            <w:r w:rsidRPr="008440BF">
              <w:rPr>
                <w:rFonts w:asciiTheme="minorHAnsi" w:hAnsiTheme="minorHAnsi"/>
                <w:b/>
                <w:sz w:val="22"/>
                <w:szCs w:val="22"/>
              </w:rPr>
              <w:t>Gender</w:t>
            </w:r>
          </w:p>
        </w:tc>
        <w:tc>
          <w:tcPr>
            <w:tcW w:w="1800" w:type="dxa"/>
            <w:shd w:val="clear" w:color="auto" w:fill="F2F2F2" w:themeFill="background1" w:themeFillShade="F2"/>
          </w:tcPr>
          <w:p w14:paraId="201F4437" w14:textId="77777777" w:rsidR="007332ED" w:rsidRPr="008440BF" w:rsidRDefault="007332ED" w:rsidP="00C22C69">
            <w:pPr>
              <w:pStyle w:val="BodyText"/>
              <w:jc w:val="right"/>
              <w:rPr>
                <w:rFonts w:asciiTheme="minorHAnsi" w:hAnsiTheme="minorHAnsi"/>
                <w:bCs/>
                <w:highlight w:val="yellow"/>
              </w:rPr>
            </w:pPr>
          </w:p>
        </w:tc>
      </w:tr>
      <w:tr w:rsidR="007332ED" w:rsidRPr="008440BF" w14:paraId="288600EA" w14:textId="77777777" w:rsidTr="00AF344F">
        <w:trPr>
          <w:cantSplit/>
          <w:trHeight w:val="300"/>
          <w:jc w:val="center"/>
        </w:trPr>
        <w:tc>
          <w:tcPr>
            <w:tcW w:w="4315" w:type="dxa"/>
          </w:tcPr>
          <w:p w14:paraId="175D09E3"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 xml:space="preserve">Male </w:t>
            </w:r>
          </w:p>
        </w:tc>
        <w:tc>
          <w:tcPr>
            <w:tcW w:w="1800" w:type="dxa"/>
            <w:vAlign w:val="center"/>
          </w:tcPr>
          <w:p w14:paraId="6750F9A4" w14:textId="77777777" w:rsidR="007332ED" w:rsidRPr="008440BF" w:rsidRDefault="007332ED" w:rsidP="00C22C69">
            <w:pPr>
              <w:pStyle w:val="BodyText"/>
              <w:jc w:val="right"/>
              <w:rPr>
                <w:rFonts w:asciiTheme="minorHAnsi" w:hAnsiTheme="minorHAnsi"/>
                <w:bCs/>
              </w:rPr>
            </w:pPr>
            <w:r w:rsidRPr="008440BF">
              <w:rPr>
                <w:rFonts w:asciiTheme="minorHAnsi" w:hAnsiTheme="minorHAnsi"/>
                <w:color w:val="000000"/>
              </w:rPr>
              <w:t>43.6%</w:t>
            </w:r>
          </w:p>
        </w:tc>
      </w:tr>
      <w:tr w:rsidR="007332ED" w:rsidRPr="008440BF" w14:paraId="1A32C238" w14:textId="77777777" w:rsidTr="00AF344F">
        <w:trPr>
          <w:cantSplit/>
          <w:trHeight w:val="300"/>
          <w:jc w:val="center"/>
        </w:trPr>
        <w:tc>
          <w:tcPr>
            <w:tcW w:w="4315" w:type="dxa"/>
          </w:tcPr>
          <w:p w14:paraId="37DDDFE8"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Female</w:t>
            </w:r>
          </w:p>
        </w:tc>
        <w:tc>
          <w:tcPr>
            <w:tcW w:w="1800" w:type="dxa"/>
            <w:vAlign w:val="center"/>
          </w:tcPr>
          <w:p w14:paraId="55E3AB62" w14:textId="77777777" w:rsidR="007332ED" w:rsidRPr="008440BF" w:rsidRDefault="007332ED" w:rsidP="00C22C69">
            <w:pPr>
              <w:pStyle w:val="BodyText"/>
              <w:jc w:val="right"/>
              <w:rPr>
                <w:rFonts w:asciiTheme="minorHAnsi" w:hAnsiTheme="minorHAnsi"/>
                <w:bCs/>
              </w:rPr>
            </w:pPr>
            <w:r w:rsidRPr="008440BF">
              <w:rPr>
                <w:rFonts w:asciiTheme="minorHAnsi" w:hAnsiTheme="minorHAnsi"/>
                <w:color w:val="000000"/>
              </w:rPr>
              <w:t>56.3%</w:t>
            </w:r>
          </w:p>
        </w:tc>
      </w:tr>
      <w:tr w:rsidR="007332ED" w:rsidRPr="008440BF" w14:paraId="7C71938E" w14:textId="77777777" w:rsidTr="00AF344F">
        <w:trPr>
          <w:cantSplit/>
          <w:trHeight w:val="300"/>
          <w:jc w:val="center"/>
        </w:trPr>
        <w:tc>
          <w:tcPr>
            <w:tcW w:w="4315" w:type="dxa"/>
          </w:tcPr>
          <w:p w14:paraId="28519C3C"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Total</w:t>
            </w:r>
          </w:p>
        </w:tc>
        <w:tc>
          <w:tcPr>
            <w:tcW w:w="1800" w:type="dxa"/>
          </w:tcPr>
          <w:p w14:paraId="5DE384FC" w14:textId="77777777" w:rsidR="007332ED" w:rsidRPr="008440BF" w:rsidRDefault="007332ED" w:rsidP="00C22C69">
            <w:pPr>
              <w:pStyle w:val="BodyText"/>
              <w:jc w:val="right"/>
              <w:rPr>
                <w:rFonts w:asciiTheme="minorHAnsi" w:hAnsiTheme="minorHAnsi"/>
                <w:bCs/>
              </w:rPr>
            </w:pPr>
            <w:r w:rsidRPr="008440BF">
              <w:rPr>
                <w:rFonts w:asciiTheme="minorHAnsi" w:hAnsiTheme="minorHAnsi"/>
                <w:bCs/>
              </w:rPr>
              <w:t>100.0%</w:t>
            </w:r>
          </w:p>
        </w:tc>
      </w:tr>
      <w:tr w:rsidR="007332ED" w:rsidRPr="008440BF" w14:paraId="563B6049" w14:textId="77777777" w:rsidTr="00AF344F">
        <w:trPr>
          <w:cantSplit/>
          <w:trHeight w:val="300"/>
          <w:jc w:val="center"/>
        </w:trPr>
        <w:tc>
          <w:tcPr>
            <w:tcW w:w="4315" w:type="dxa"/>
            <w:shd w:val="clear" w:color="auto" w:fill="F2F2F2" w:themeFill="background1" w:themeFillShade="F2"/>
          </w:tcPr>
          <w:p w14:paraId="2C36B0E3" w14:textId="77777777" w:rsidR="007332ED" w:rsidRPr="008440BF" w:rsidRDefault="007332ED" w:rsidP="00C22C69">
            <w:pPr>
              <w:pStyle w:val="BodyText"/>
              <w:rPr>
                <w:rFonts w:asciiTheme="minorHAnsi" w:hAnsiTheme="minorHAnsi"/>
                <w:b/>
                <w:sz w:val="22"/>
                <w:szCs w:val="22"/>
              </w:rPr>
            </w:pPr>
            <w:r w:rsidRPr="008440BF">
              <w:rPr>
                <w:rFonts w:asciiTheme="minorHAnsi" w:hAnsiTheme="minorHAnsi"/>
                <w:b/>
                <w:sz w:val="22"/>
                <w:szCs w:val="22"/>
              </w:rPr>
              <w:t>Age</w:t>
            </w:r>
          </w:p>
        </w:tc>
        <w:tc>
          <w:tcPr>
            <w:tcW w:w="1800" w:type="dxa"/>
            <w:shd w:val="clear" w:color="auto" w:fill="F2F2F2" w:themeFill="background1" w:themeFillShade="F2"/>
          </w:tcPr>
          <w:p w14:paraId="492CC982" w14:textId="77777777" w:rsidR="007332ED" w:rsidRPr="008440BF" w:rsidRDefault="007332ED" w:rsidP="00C22C69">
            <w:pPr>
              <w:pStyle w:val="BodyText"/>
              <w:jc w:val="right"/>
              <w:rPr>
                <w:rFonts w:asciiTheme="minorHAnsi" w:hAnsiTheme="minorHAnsi"/>
                <w:bCs/>
              </w:rPr>
            </w:pPr>
          </w:p>
        </w:tc>
      </w:tr>
      <w:tr w:rsidR="007332ED" w:rsidRPr="008440BF" w14:paraId="7D7446C2" w14:textId="77777777" w:rsidTr="00AF344F">
        <w:trPr>
          <w:cantSplit/>
          <w:trHeight w:val="300"/>
          <w:jc w:val="center"/>
        </w:trPr>
        <w:tc>
          <w:tcPr>
            <w:tcW w:w="4315" w:type="dxa"/>
          </w:tcPr>
          <w:p w14:paraId="3EE9A51D"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0-17</w:t>
            </w:r>
          </w:p>
        </w:tc>
        <w:tc>
          <w:tcPr>
            <w:tcW w:w="1800" w:type="dxa"/>
            <w:vAlign w:val="center"/>
          </w:tcPr>
          <w:p w14:paraId="24702626" w14:textId="77777777" w:rsidR="007332ED" w:rsidRPr="008440BF" w:rsidRDefault="007332ED" w:rsidP="00C22C69">
            <w:pPr>
              <w:pStyle w:val="BodyText"/>
              <w:jc w:val="right"/>
              <w:rPr>
                <w:rFonts w:asciiTheme="minorHAnsi" w:hAnsiTheme="minorHAnsi"/>
                <w:color w:val="000000"/>
              </w:rPr>
            </w:pPr>
            <w:r w:rsidRPr="008440BF">
              <w:rPr>
                <w:rFonts w:asciiTheme="minorHAnsi" w:hAnsiTheme="minorHAnsi"/>
                <w:color w:val="000000"/>
              </w:rPr>
              <w:t>1.6%</w:t>
            </w:r>
          </w:p>
        </w:tc>
      </w:tr>
      <w:tr w:rsidR="007332ED" w:rsidRPr="008440BF" w14:paraId="0F61B08C" w14:textId="77777777" w:rsidTr="00AF344F">
        <w:trPr>
          <w:cantSplit/>
          <w:trHeight w:val="300"/>
          <w:jc w:val="center"/>
        </w:trPr>
        <w:tc>
          <w:tcPr>
            <w:tcW w:w="4315" w:type="dxa"/>
          </w:tcPr>
          <w:p w14:paraId="70CB8133"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18-25</w:t>
            </w:r>
          </w:p>
        </w:tc>
        <w:tc>
          <w:tcPr>
            <w:tcW w:w="1800" w:type="dxa"/>
            <w:vAlign w:val="center"/>
          </w:tcPr>
          <w:p w14:paraId="4A288421" w14:textId="77777777" w:rsidR="007332ED" w:rsidRPr="008440BF" w:rsidRDefault="007332ED" w:rsidP="00C22C69">
            <w:pPr>
              <w:pStyle w:val="BodyText"/>
              <w:jc w:val="right"/>
              <w:rPr>
                <w:rFonts w:asciiTheme="minorHAnsi" w:hAnsiTheme="minorHAnsi"/>
                <w:color w:val="000000"/>
              </w:rPr>
            </w:pPr>
            <w:r w:rsidRPr="008440BF">
              <w:rPr>
                <w:rFonts w:asciiTheme="minorHAnsi" w:hAnsiTheme="minorHAnsi"/>
                <w:color w:val="000000"/>
              </w:rPr>
              <w:t>1.8%</w:t>
            </w:r>
          </w:p>
        </w:tc>
      </w:tr>
      <w:tr w:rsidR="007332ED" w:rsidRPr="008440BF" w14:paraId="6BDFB160" w14:textId="77777777" w:rsidTr="00AF344F">
        <w:trPr>
          <w:cantSplit/>
          <w:trHeight w:val="300"/>
          <w:jc w:val="center"/>
        </w:trPr>
        <w:tc>
          <w:tcPr>
            <w:tcW w:w="4315" w:type="dxa"/>
          </w:tcPr>
          <w:p w14:paraId="31BE9412"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26-45</w:t>
            </w:r>
          </w:p>
        </w:tc>
        <w:tc>
          <w:tcPr>
            <w:tcW w:w="1800" w:type="dxa"/>
            <w:vAlign w:val="center"/>
          </w:tcPr>
          <w:p w14:paraId="77434CA1" w14:textId="77777777" w:rsidR="007332ED" w:rsidRPr="008440BF" w:rsidRDefault="007332ED" w:rsidP="00C22C69">
            <w:pPr>
              <w:pStyle w:val="BodyText"/>
              <w:jc w:val="right"/>
              <w:rPr>
                <w:rFonts w:asciiTheme="minorHAnsi" w:hAnsiTheme="minorHAnsi"/>
                <w:color w:val="000000"/>
              </w:rPr>
            </w:pPr>
            <w:r w:rsidRPr="008440BF">
              <w:rPr>
                <w:rFonts w:asciiTheme="minorHAnsi" w:hAnsiTheme="minorHAnsi"/>
                <w:color w:val="000000"/>
              </w:rPr>
              <w:t>7.0%</w:t>
            </w:r>
          </w:p>
        </w:tc>
      </w:tr>
      <w:tr w:rsidR="007332ED" w:rsidRPr="008440BF" w14:paraId="1CD8C463" w14:textId="77777777" w:rsidTr="00AF344F">
        <w:trPr>
          <w:cantSplit/>
          <w:trHeight w:val="300"/>
          <w:jc w:val="center"/>
        </w:trPr>
        <w:tc>
          <w:tcPr>
            <w:tcW w:w="4315" w:type="dxa"/>
          </w:tcPr>
          <w:p w14:paraId="7FA4977F"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26-64</w:t>
            </w:r>
          </w:p>
        </w:tc>
        <w:tc>
          <w:tcPr>
            <w:tcW w:w="1800" w:type="dxa"/>
            <w:vAlign w:val="center"/>
          </w:tcPr>
          <w:p w14:paraId="6854EB6E" w14:textId="77777777" w:rsidR="007332ED" w:rsidRPr="008440BF" w:rsidRDefault="007332ED" w:rsidP="00C22C69">
            <w:pPr>
              <w:pStyle w:val="BodyText"/>
              <w:jc w:val="right"/>
              <w:rPr>
                <w:rFonts w:asciiTheme="minorHAnsi" w:hAnsiTheme="minorHAnsi"/>
                <w:color w:val="000000"/>
              </w:rPr>
            </w:pPr>
            <w:r w:rsidRPr="008440BF">
              <w:rPr>
                <w:rFonts w:asciiTheme="minorHAnsi" w:hAnsiTheme="minorHAnsi"/>
                <w:color w:val="000000"/>
              </w:rPr>
              <w:t>30.5%</w:t>
            </w:r>
          </w:p>
        </w:tc>
      </w:tr>
      <w:tr w:rsidR="007332ED" w:rsidRPr="008440BF" w14:paraId="02A115C9" w14:textId="77777777" w:rsidTr="00AF344F">
        <w:trPr>
          <w:cantSplit/>
          <w:trHeight w:val="300"/>
          <w:jc w:val="center"/>
        </w:trPr>
        <w:tc>
          <w:tcPr>
            <w:tcW w:w="4315" w:type="dxa"/>
          </w:tcPr>
          <w:p w14:paraId="42F2D33F"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65+</w:t>
            </w:r>
          </w:p>
        </w:tc>
        <w:tc>
          <w:tcPr>
            <w:tcW w:w="1800" w:type="dxa"/>
            <w:vAlign w:val="center"/>
          </w:tcPr>
          <w:p w14:paraId="789EE416" w14:textId="77777777" w:rsidR="007332ED" w:rsidRPr="008440BF" w:rsidRDefault="007332ED" w:rsidP="00C22C69">
            <w:pPr>
              <w:pStyle w:val="BodyText"/>
              <w:jc w:val="right"/>
              <w:rPr>
                <w:rFonts w:asciiTheme="minorHAnsi" w:hAnsiTheme="minorHAnsi"/>
                <w:color w:val="000000"/>
              </w:rPr>
            </w:pPr>
            <w:r w:rsidRPr="008440BF">
              <w:rPr>
                <w:rFonts w:asciiTheme="minorHAnsi" w:hAnsiTheme="minorHAnsi"/>
                <w:color w:val="000000"/>
              </w:rPr>
              <w:t>59.0%</w:t>
            </w:r>
          </w:p>
        </w:tc>
      </w:tr>
      <w:tr w:rsidR="007332ED" w:rsidRPr="008440BF" w14:paraId="5B407778" w14:textId="77777777" w:rsidTr="00AF344F">
        <w:trPr>
          <w:cantSplit/>
          <w:trHeight w:val="300"/>
          <w:jc w:val="center"/>
        </w:trPr>
        <w:tc>
          <w:tcPr>
            <w:tcW w:w="4315" w:type="dxa"/>
          </w:tcPr>
          <w:p w14:paraId="78CD61CF" w14:textId="77777777" w:rsidR="007332ED" w:rsidRPr="008440BF" w:rsidRDefault="007332ED" w:rsidP="00C22C69">
            <w:pPr>
              <w:pStyle w:val="BodyText"/>
              <w:ind w:left="144"/>
              <w:rPr>
                <w:rFonts w:asciiTheme="minorHAnsi" w:hAnsiTheme="minorHAnsi"/>
                <w:bCs/>
                <w:sz w:val="22"/>
                <w:szCs w:val="22"/>
              </w:rPr>
            </w:pPr>
            <w:r w:rsidRPr="008440BF">
              <w:rPr>
                <w:rFonts w:asciiTheme="minorHAnsi" w:hAnsiTheme="minorHAnsi"/>
                <w:bCs/>
                <w:sz w:val="22"/>
                <w:szCs w:val="22"/>
              </w:rPr>
              <w:t xml:space="preserve">Total </w:t>
            </w:r>
          </w:p>
        </w:tc>
        <w:tc>
          <w:tcPr>
            <w:tcW w:w="1800" w:type="dxa"/>
          </w:tcPr>
          <w:p w14:paraId="7A2E3F54" w14:textId="77777777" w:rsidR="007332ED" w:rsidRPr="008440BF" w:rsidRDefault="007332ED" w:rsidP="00C22C69">
            <w:pPr>
              <w:pStyle w:val="BodyText"/>
              <w:jc w:val="right"/>
              <w:rPr>
                <w:rFonts w:asciiTheme="minorHAnsi" w:hAnsiTheme="minorHAnsi"/>
                <w:bCs/>
              </w:rPr>
            </w:pPr>
            <w:r w:rsidRPr="008440BF">
              <w:rPr>
                <w:rFonts w:asciiTheme="minorHAnsi" w:hAnsiTheme="minorHAnsi"/>
                <w:bCs/>
              </w:rPr>
              <w:t>100.00%</w:t>
            </w:r>
          </w:p>
        </w:tc>
      </w:tr>
      <w:tr w:rsidR="007332ED" w:rsidRPr="008440BF" w14:paraId="7B846000" w14:textId="77777777" w:rsidTr="00AF344F">
        <w:trPr>
          <w:cantSplit/>
          <w:trHeight w:val="300"/>
          <w:jc w:val="center"/>
        </w:trPr>
        <w:tc>
          <w:tcPr>
            <w:tcW w:w="4315" w:type="dxa"/>
            <w:shd w:val="clear" w:color="auto" w:fill="F2F2F2" w:themeFill="background1" w:themeFillShade="F2"/>
          </w:tcPr>
          <w:p w14:paraId="53341D78" w14:textId="77777777" w:rsidR="007332ED" w:rsidRPr="008440BF" w:rsidRDefault="007332ED" w:rsidP="00C22C69">
            <w:pPr>
              <w:pStyle w:val="BodyText"/>
              <w:rPr>
                <w:rFonts w:asciiTheme="minorHAnsi" w:hAnsiTheme="minorHAnsi"/>
                <w:b/>
                <w:highlight w:val="yellow"/>
              </w:rPr>
            </w:pPr>
            <w:r w:rsidRPr="008440BF">
              <w:rPr>
                <w:rFonts w:asciiTheme="minorHAnsi" w:hAnsiTheme="minorHAnsi"/>
                <w:b/>
              </w:rPr>
              <w:t>Race</w:t>
            </w:r>
          </w:p>
        </w:tc>
        <w:tc>
          <w:tcPr>
            <w:tcW w:w="1800" w:type="dxa"/>
            <w:shd w:val="clear" w:color="auto" w:fill="F2F2F2" w:themeFill="background1" w:themeFillShade="F2"/>
          </w:tcPr>
          <w:p w14:paraId="115B6D7F" w14:textId="77777777" w:rsidR="007332ED" w:rsidRPr="008440BF" w:rsidRDefault="007332ED" w:rsidP="00C22C69">
            <w:pPr>
              <w:pStyle w:val="BodyText"/>
              <w:jc w:val="right"/>
              <w:rPr>
                <w:rFonts w:asciiTheme="minorHAnsi" w:hAnsiTheme="minorHAnsi"/>
                <w:bCs/>
                <w:highlight w:val="yellow"/>
              </w:rPr>
            </w:pPr>
          </w:p>
        </w:tc>
      </w:tr>
      <w:tr w:rsidR="007332ED" w:rsidRPr="008440BF" w14:paraId="3099E93B" w14:textId="77777777" w:rsidTr="00AF344F">
        <w:trPr>
          <w:cantSplit/>
          <w:trHeight w:val="300"/>
          <w:jc w:val="center"/>
        </w:trPr>
        <w:tc>
          <w:tcPr>
            <w:tcW w:w="4315" w:type="dxa"/>
            <w:vAlign w:val="center"/>
          </w:tcPr>
          <w:p w14:paraId="2063C90D" w14:textId="77777777" w:rsidR="007332ED" w:rsidRPr="008440BF" w:rsidRDefault="007332ED" w:rsidP="00C22C69">
            <w:pPr>
              <w:pStyle w:val="BodyText"/>
              <w:ind w:left="144"/>
              <w:rPr>
                <w:rFonts w:asciiTheme="minorHAnsi" w:hAnsiTheme="minorHAnsi"/>
                <w:bCs/>
              </w:rPr>
            </w:pPr>
            <w:r w:rsidRPr="008440BF">
              <w:rPr>
                <w:rFonts w:asciiTheme="minorHAnsi" w:hAnsiTheme="minorHAnsi"/>
                <w:color w:val="000000"/>
              </w:rPr>
              <w:t>White</w:t>
            </w:r>
          </w:p>
        </w:tc>
        <w:tc>
          <w:tcPr>
            <w:tcW w:w="1800" w:type="dxa"/>
            <w:vAlign w:val="center"/>
          </w:tcPr>
          <w:p w14:paraId="2F24C4AD" w14:textId="77777777" w:rsidR="007332ED" w:rsidRPr="008440BF" w:rsidRDefault="007332ED" w:rsidP="00C22C69">
            <w:pPr>
              <w:pStyle w:val="BodyText"/>
              <w:jc w:val="right"/>
              <w:rPr>
                <w:rFonts w:asciiTheme="minorHAnsi" w:hAnsiTheme="minorHAnsi"/>
                <w:color w:val="000000"/>
                <w:highlight w:val="yellow"/>
              </w:rPr>
            </w:pPr>
            <w:r w:rsidRPr="008440BF">
              <w:rPr>
                <w:rFonts w:asciiTheme="minorHAnsi" w:hAnsiTheme="minorHAnsi"/>
                <w:color w:val="000000"/>
              </w:rPr>
              <w:t>97.6%</w:t>
            </w:r>
          </w:p>
        </w:tc>
      </w:tr>
      <w:tr w:rsidR="007332ED" w:rsidRPr="008440BF" w14:paraId="73A3A1CA" w14:textId="77777777" w:rsidTr="00AF344F">
        <w:trPr>
          <w:cantSplit/>
          <w:trHeight w:val="300"/>
          <w:jc w:val="center"/>
        </w:trPr>
        <w:tc>
          <w:tcPr>
            <w:tcW w:w="4315" w:type="dxa"/>
            <w:vAlign w:val="center"/>
          </w:tcPr>
          <w:p w14:paraId="1B9541BF" w14:textId="77777777" w:rsidR="007332ED" w:rsidRPr="008440BF" w:rsidRDefault="007332ED" w:rsidP="00C22C69">
            <w:pPr>
              <w:pStyle w:val="BodyText"/>
              <w:ind w:left="144"/>
              <w:rPr>
                <w:rFonts w:asciiTheme="minorHAnsi" w:hAnsiTheme="minorHAnsi"/>
                <w:bCs/>
              </w:rPr>
            </w:pPr>
            <w:r w:rsidRPr="008440BF">
              <w:rPr>
                <w:rFonts w:asciiTheme="minorHAnsi" w:hAnsiTheme="minorHAnsi"/>
                <w:color w:val="000000"/>
              </w:rPr>
              <w:t>Black or African American</w:t>
            </w:r>
          </w:p>
        </w:tc>
        <w:tc>
          <w:tcPr>
            <w:tcW w:w="1800" w:type="dxa"/>
            <w:vAlign w:val="center"/>
          </w:tcPr>
          <w:p w14:paraId="4807F089" w14:textId="77777777" w:rsidR="007332ED" w:rsidRPr="008440BF" w:rsidRDefault="007332ED" w:rsidP="00C22C69">
            <w:pPr>
              <w:pStyle w:val="BodyText"/>
              <w:jc w:val="right"/>
              <w:rPr>
                <w:rFonts w:asciiTheme="minorHAnsi" w:hAnsiTheme="minorHAnsi"/>
                <w:color w:val="000000"/>
                <w:highlight w:val="yellow"/>
              </w:rPr>
            </w:pPr>
            <w:r w:rsidRPr="008440BF">
              <w:rPr>
                <w:rFonts w:asciiTheme="minorHAnsi" w:hAnsiTheme="minorHAnsi"/>
                <w:color w:val="000000"/>
              </w:rPr>
              <w:t>0.9%</w:t>
            </w:r>
          </w:p>
        </w:tc>
      </w:tr>
      <w:tr w:rsidR="007332ED" w:rsidRPr="008440BF" w14:paraId="7E1E5F2F" w14:textId="77777777" w:rsidTr="00AF344F">
        <w:trPr>
          <w:cantSplit/>
          <w:trHeight w:val="300"/>
          <w:jc w:val="center"/>
        </w:trPr>
        <w:tc>
          <w:tcPr>
            <w:tcW w:w="4315" w:type="dxa"/>
            <w:vAlign w:val="center"/>
          </w:tcPr>
          <w:p w14:paraId="6782C368" w14:textId="77777777" w:rsidR="007332ED" w:rsidRPr="008440BF" w:rsidRDefault="007332ED" w:rsidP="00C22C69">
            <w:pPr>
              <w:pStyle w:val="BodyText"/>
              <w:ind w:left="144"/>
              <w:rPr>
                <w:rFonts w:asciiTheme="minorHAnsi" w:hAnsiTheme="minorHAnsi"/>
                <w:bCs/>
              </w:rPr>
            </w:pPr>
            <w:r w:rsidRPr="008440BF">
              <w:rPr>
                <w:rFonts w:asciiTheme="minorHAnsi" w:hAnsiTheme="minorHAnsi"/>
                <w:color w:val="000000"/>
              </w:rPr>
              <w:t>Other</w:t>
            </w:r>
            <w:r w:rsidRPr="008440BF">
              <w:rPr>
                <w:rStyle w:val="FootnoteReference"/>
                <w:rFonts w:asciiTheme="minorHAnsi" w:hAnsiTheme="minorHAnsi"/>
                <w:color w:val="000000"/>
              </w:rPr>
              <w:footnoteReference w:id="15"/>
            </w:r>
          </w:p>
        </w:tc>
        <w:tc>
          <w:tcPr>
            <w:tcW w:w="1800" w:type="dxa"/>
            <w:vAlign w:val="center"/>
          </w:tcPr>
          <w:p w14:paraId="1E8F64E5" w14:textId="77777777" w:rsidR="007332ED" w:rsidRPr="008440BF" w:rsidRDefault="007332ED" w:rsidP="00C22C69">
            <w:pPr>
              <w:pStyle w:val="BodyText"/>
              <w:jc w:val="right"/>
              <w:rPr>
                <w:rFonts w:asciiTheme="minorHAnsi" w:hAnsiTheme="minorHAnsi"/>
                <w:color w:val="000000"/>
                <w:highlight w:val="yellow"/>
              </w:rPr>
            </w:pPr>
            <w:r w:rsidRPr="008440BF">
              <w:rPr>
                <w:rFonts w:asciiTheme="minorHAnsi" w:hAnsiTheme="minorHAnsi"/>
                <w:color w:val="000000"/>
              </w:rPr>
              <w:t>1.5%</w:t>
            </w:r>
          </w:p>
        </w:tc>
      </w:tr>
      <w:tr w:rsidR="007332ED" w:rsidRPr="008440BF" w14:paraId="39EDB087" w14:textId="77777777" w:rsidTr="00AF344F">
        <w:trPr>
          <w:cantSplit/>
          <w:trHeight w:val="300"/>
          <w:jc w:val="center"/>
        </w:trPr>
        <w:tc>
          <w:tcPr>
            <w:tcW w:w="4315" w:type="dxa"/>
          </w:tcPr>
          <w:p w14:paraId="6E367E8A" w14:textId="77777777" w:rsidR="007332ED" w:rsidRPr="008440BF" w:rsidRDefault="007332ED" w:rsidP="00C22C69">
            <w:pPr>
              <w:pStyle w:val="BodyText"/>
              <w:ind w:left="144"/>
              <w:rPr>
                <w:rFonts w:asciiTheme="minorHAnsi" w:hAnsiTheme="minorHAnsi"/>
                <w:bCs/>
              </w:rPr>
            </w:pPr>
            <w:r w:rsidRPr="008440BF">
              <w:rPr>
                <w:rFonts w:asciiTheme="minorHAnsi" w:hAnsiTheme="minorHAnsi"/>
                <w:bCs/>
              </w:rPr>
              <w:t xml:space="preserve">Total </w:t>
            </w:r>
          </w:p>
        </w:tc>
        <w:tc>
          <w:tcPr>
            <w:tcW w:w="1800" w:type="dxa"/>
          </w:tcPr>
          <w:p w14:paraId="3BA166B3" w14:textId="77777777" w:rsidR="007332ED" w:rsidRPr="008440BF" w:rsidRDefault="007332ED" w:rsidP="00C22C69">
            <w:pPr>
              <w:pStyle w:val="BodyText"/>
              <w:jc w:val="right"/>
              <w:rPr>
                <w:rFonts w:asciiTheme="minorHAnsi" w:hAnsiTheme="minorHAnsi"/>
                <w:bCs/>
                <w:highlight w:val="yellow"/>
              </w:rPr>
            </w:pPr>
            <w:r w:rsidRPr="008440BF">
              <w:rPr>
                <w:rFonts w:asciiTheme="minorHAnsi" w:hAnsiTheme="minorHAnsi"/>
                <w:bCs/>
              </w:rPr>
              <w:t>100.0%</w:t>
            </w:r>
          </w:p>
        </w:tc>
      </w:tr>
      <w:tr w:rsidR="007332ED" w:rsidRPr="008440BF" w14:paraId="57A61607" w14:textId="77777777" w:rsidTr="00AF344F">
        <w:trPr>
          <w:cantSplit/>
          <w:trHeight w:val="300"/>
          <w:jc w:val="center"/>
        </w:trPr>
        <w:tc>
          <w:tcPr>
            <w:tcW w:w="4315" w:type="dxa"/>
            <w:tcBorders>
              <w:bottom w:val="single" w:sz="4" w:space="0" w:color="auto"/>
            </w:tcBorders>
            <w:shd w:val="clear" w:color="auto" w:fill="F2F2F2" w:themeFill="background1" w:themeFillShade="F2"/>
          </w:tcPr>
          <w:p w14:paraId="6E99FA2A" w14:textId="77777777" w:rsidR="007332ED" w:rsidRPr="008440BF" w:rsidRDefault="007332ED" w:rsidP="00C22C69">
            <w:pPr>
              <w:pStyle w:val="BodyText"/>
              <w:rPr>
                <w:rFonts w:asciiTheme="minorHAnsi" w:hAnsiTheme="minorHAnsi"/>
                <w:b/>
                <w:highlight w:val="yellow"/>
              </w:rPr>
            </w:pPr>
            <w:r w:rsidRPr="008440BF">
              <w:rPr>
                <w:rFonts w:asciiTheme="minorHAnsi" w:hAnsiTheme="minorHAnsi"/>
                <w:b/>
                <w:sz w:val="22"/>
                <w:szCs w:val="22"/>
              </w:rPr>
              <w:t>Patient Origin</w:t>
            </w:r>
            <w:r w:rsidRPr="008440BF">
              <w:rPr>
                <w:rFonts w:asciiTheme="minorHAnsi" w:hAnsiTheme="minorHAnsi"/>
              </w:rPr>
              <w:t xml:space="preserve"> - </w:t>
            </w:r>
            <w:r w:rsidRPr="008440BF">
              <w:rPr>
                <w:rFonts w:asciiTheme="minorHAnsi" w:hAnsiTheme="minorHAnsi"/>
                <w:b/>
                <w:sz w:val="22"/>
                <w:szCs w:val="22"/>
              </w:rPr>
              <w:t>Top Ten Cities/Towns</w:t>
            </w:r>
          </w:p>
        </w:tc>
        <w:tc>
          <w:tcPr>
            <w:tcW w:w="1800" w:type="dxa"/>
            <w:tcBorders>
              <w:bottom w:val="single" w:sz="4" w:space="0" w:color="auto"/>
            </w:tcBorders>
            <w:shd w:val="clear" w:color="auto" w:fill="F2F2F2" w:themeFill="background1" w:themeFillShade="F2"/>
          </w:tcPr>
          <w:p w14:paraId="241F1645" w14:textId="77777777" w:rsidR="007332ED" w:rsidRPr="008440BF" w:rsidRDefault="007332ED" w:rsidP="00C22C69">
            <w:pPr>
              <w:pStyle w:val="BodyText"/>
              <w:jc w:val="right"/>
              <w:rPr>
                <w:rFonts w:asciiTheme="minorHAnsi" w:hAnsiTheme="minorHAnsi"/>
                <w:b/>
                <w:highlight w:val="yellow"/>
              </w:rPr>
            </w:pPr>
          </w:p>
        </w:tc>
      </w:tr>
      <w:tr w:rsidR="007332ED" w:rsidRPr="008440BF" w14:paraId="235162D1"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19A7F6E4"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rPr>
              <w:t>Plymouth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5BB75554" w14:textId="77777777" w:rsidR="007332ED" w:rsidRPr="008440BF" w:rsidRDefault="007332ED" w:rsidP="00C22C69">
            <w:pPr>
              <w:pStyle w:val="BodyText"/>
              <w:ind w:left="144"/>
              <w:jc w:val="right"/>
              <w:rPr>
                <w:rFonts w:asciiTheme="minorHAnsi" w:hAnsiTheme="minorHAnsi"/>
                <w:color w:val="000000"/>
                <w:highlight w:val="yellow"/>
              </w:rPr>
            </w:pPr>
            <w:r w:rsidRPr="008440BF">
              <w:rPr>
                <w:rFonts w:asciiTheme="minorHAnsi" w:hAnsiTheme="minorHAnsi"/>
                <w:color w:val="000000"/>
              </w:rPr>
              <w:t>32.3%</w:t>
            </w:r>
          </w:p>
        </w:tc>
      </w:tr>
      <w:tr w:rsidR="007332ED" w:rsidRPr="008440BF" w14:paraId="60C8E99F"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0448A39A"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rPr>
              <w:t>Carver</w:t>
            </w:r>
          </w:p>
        </w:tc>
        <w:tc>
          <w:tcPr>
            <w:tcW w:w="1800" w:type="dxa"/>
            <w:tcBorders>
              <w:top w:val="nil"/>
              <w:left w:val="single" w:sz="4" w:space="0" w:color="auto"/>
              <w:bottom w:val="single" w:sz="4" w:space="0" w:color="auto"/>
              <w:right w:val="single" w:sz="4" w:space="0" w:color="auto"/>
            </w:tcBorders>
            <w:shd w:val="clear" w:color="auto" w:fill="auto"/>
            <w:vAlign w:val="bottom"/>
          </w:tcPr>
          <w:p w14:paraId="71B8FCD8" w14:textId="77777777" w:rsidR="007332ED" w:rsidRPr="008440BF" w:rsidRDefault="007332ED" w:rsidP="00C22C69">
            <w:pPr>
              <w:pStyle w:val="BodyText"/>
              <w:ind w:left="144"/>
              <w:jc w:val="right"/>
              <w:rPr>
                <w:rFonts w:asciiTheme="minorHAnsi" w:hAnsiTheme="minorHAnsi"/>
                <w:color w:val="000000"/>
                <w:highlight w:val="yellow"/>
              </w:rPr>
            </w:pPr>
            <w:r w:rsidRPr="008440BF">
              <w:rPr>
                <w:rFonts w:asciiTheme="minorHAnsi" w:hAnsiTheme="minorHAnsi"/>
                <w:color w:val="000000"/>
              </w:rPr>
              <w:t>5.6%</w:t>
            </w:r>
          </w:p>
        </w:tc>
      </w:tr>
      <w:tr w:rsidR="007332ED" w:rsidRPr="008440BF" w14:paraId="6D4E3802"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16B75C0B" w14:textId="77777777" w:rsidR="007332ED" w:rsidRPr="008440BF" w:rsidRDefault="007332ED" w:rsidP="00C22C69">
            <w:pPr>
              <w:pStyle w:val="BodyText"/>
              <w:rPr>
                <w:rFonts w:asciiTheme="minorHAnsi" w:hAnsiTheme="minorHAnsi"/>
                <w:b/>
              </w:rPr>
            </w:pPr>
            <w:r w:rsidRPr="008440BF">
              <w:rPr>
                <w:rFonts w:asciiTheme="minorHAnsi" w:eastAsia="Times New Roman" w:hAnsiTheme="minorHAnsi"/>
              </w:rPr>
              <w:t xml:space="preserve">   Kingston</w:t>
            </w:r>
          </w:p>
        </w:tc>
        <w:tc>
          <w:tcPr>
            <w:tcW w:w="1800" w:type="dxa"/>
            <w:tcBorders>
              <w:top w:val="nil"/>
              <w:left w:val="single" w:sz="4" w:space="0" w:color="auto"/>
              <w:bottom w:val="single" w:sz="4" w:space="0" w:color="auto"/>
              <w:right w:val="single" w:sz="4" w:space="0" w:color="auto"/>
            </w:tcBorders>
            <w:shd w:val="clear" w:color="auto" w:fill="auto"/>
            <w:vAlign w:val="bottom"/>
          </w:tcPr>
          <w:p w14:paraId="1352DF53" w14:textId="77777777" w:rsidR="007332ED" w:rsidRPr="008440BF" w:rsidRDefault="007332ED" w:rsidP="00C22C69">
            <w:pPr>
              <w:pStyle w:val="BodyText"/>
              <w:jc w:val="right"/>
              <w:rPr>
                <w:rFonts w:asciiTheme="minorHAnsi" w:hAnsiTheme="minorHAnsi"/>
                <w:color w:val="000000"/>
                <w:highlight w:val="yellow"/>
              </w:rPr>
            </w:pPr>
            <w:r w:rsidRPr="008440BF">
              <w:rPr>
                <w:rFonts w:asciiTheme="minorHAnsi" w:hAnsiTheme="minorHAnsi"/>
                <w:color w:val="000000"/>
              </w:rPr>
              <w:t>4.8%</w:t>
            </w:r>
          </w:p>
        </w:tc>
      </w:tr>
      <w:tr w:rsidR="007332ED" w:rsidRPr="008440BF" w14:paraId="66C3339A"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6CC7A227"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rPr>
              <w:t>Duxbury</w:t>
            </w:r>
          </w:p>
        </w:tc>
        <w:tc>
          <w:tcPr>
            <w:tcW w:w="1800" w:type="dxa"/>
            <w:tcBorders>
              <w:top w:val="nil"/>
              <w:left w:val="single" w:sz="4" w:space="0" w:color="auto"/>
              <w:bottom w:val="single" w:sz="4" w:space="0" w:color="auto"/>
              <w:right w:val="single" w:sz="4" w:space="0" w:color="auto"/>
            </w:tcBorders>
            <w:shd w:val="clear" w:color="auto" w:fill="auto"/>
            <w:vAlign w:val="bottom"/>
          </w:tcPr>
          <w:p w14:paraId="41A4B511" w14:textId="77777777" w:rsidR="007332ED" w:rsidRPr="008440BF" w:rsidRDefault="007332ED" w:rsidP="00C22C69">
            <w:pPr>
              <w:pStyle w:val="BodyText"/>
              <w:ind w:left="144"/>
              <w:jc w:val="right"/>
              <w:rPr>
                <w:rFonts w:asciiTheme="minorHAnsi" w:hAnsiTheme="minorHAnsi"/>
                <w:bCs/>
                <w:highlight w:val="yellow"/>
              </w:rPr>
            </w:pPr>
            <w:r w:rsidRPr="008440BF">
              <w:rPr>
                <w:rFonts w:asciiTheme="minorHAnsi" w:hAnsiTheme="minorHAnsi"/>
                <w:color w:val="000000"/>
              </w:rPr>
              <w:t>4.2%</w:t>
            </w:r>
          </w:p>
        </w:tc>
      </w:tr>
      <w:tr w:rsidR="007332ED" w:rsidRPr="008440BF" w14:paraId="50D8C0BE"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699F8065" w14:textId="77777777" w:rsidR="007332ED" w:rsidRPr="008440BF" w:rsidRDefault="007332ED" w:rsidP="00C22C69">
            <w:pPr>
              <w:pStyle w:val="BodyText"/>
              <w:rPr>
                <w:rFonts w:asciiTheme="minorHAnsi" w:hAnsiTheme="minorHAnsi"/>
                <w:b/>
                <w:sz w:val="22"/>
                <w:szCs w:val="22"/>
              </w:rPr>
            </w:pPr>
            <w:r w:rsidRPr="008440BF">
              <w:rPr>
                <w:rFonts w:asciiTheme="minorHAnsi" w:eastAsia="Times New Roman" w:hAnsiTheme="minorHAnsi"/>
              </w:rPr>
              <w:t xml:space="preserve">  Middleboro</w:t>
            </w:r>
          </w:p>
        </w:tc>
        <w:tc>
          <w:tcPr>
            <w:tcW w:w="1800" w:type="dxa"/>
            <w:tcBorders>
              <w:top w:val="nil"/>
              <w:left w:val="single" w:sz="4" w:space="0" w:color="auto"/>
              <w:bottom w:val="single" w:sz="4" w:space="0" w:color="auto"/>
              <w:right w:val="single" w:sz="4" w:space="0" w:color="auto"/>
            </w:tcBorders>
            <w:shd w:val="clear" w:color="auto" w:fill="auto"/>
            <w:vAlign w:val="bottom"/>
          </w:tcPr>
          <w:p w14:paraId="270DA0A6" w14:textId="77777777" w:rsidR="007332ED" w:rsidRPr="008440BF" w:rsidRDefault="007332ED" w:rsidP="00C22C69">
            <w:pPr>
              <w:pStyle w:val="BodyText"/>
              <w:jc w:val="right"/>
              <w:rPr>
                <w:rFonts w:asciiTheme="minorHAnsi" w:hAnsiTheme="minorHAnsi"/>
                <w:b/>
                <w:highlight w:val="yellow"/>
              </w:rPr>
            </w:pPr>
            <w:r w:rsidRPr="008440BF">
              <w:rPr>
                <w:rFonts w:asciiTheme="minorHAnsi" w:hAnsiTheme="minorHAnsi"/>
                <w:color w:val="000000"/>
              </w:rPr>
              <w:t>4.4%</w:t>
            </w:r>
          </w:p>
        </w:tc>
      </w:tr>
      <w:tr w:rsidR="007332ED" w:rsidRPr="008440BF" w14:paraId="7F473195"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26671AF5"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rPr>
              <w:t>Marshfield</w:t>
            </w:r>
          </w:p>
        </w:tc>
        <w:tc>
          <w:tcPr>
            <w:tcW w:w="1800" w:type="dxa"/>
            <w:tcBorders>
              <w:top w:val="nil"/>
              <w:left w:val="single" w:sz="4" w:space="0" w:color="auto"/>
              <w:bottom w:val="single" w:sz="4" w:space="0" w:color="auto"/>
              <w:right w:val="single" w:sz="4" w:space="0" w:color="auto"/>
            </w:tcBorders>
            <w:shd w:val="clear" w:color="auto" w:fill="auto"/>
            <w:vAlign w:val="bottom"/>
          </w:tcPr>
          <w:p w14:paraId="5C81EBFD" w14:textId="77777777" w:rsidR="007332ED" w:rsidRPr="008440BF" w:rsidRDefault="007332ED" w:rsidP="00C22C69">
            <w:pPr>
              <w:pStyle w:val="BodyText"/>
              <w:ind w:left="144"/>
              <w:jc w:val="right"/>
              <w:rPr>
                <w:rFonts w:asciiTheme="minorHAnsi" w:hAnsiTheme="minorHAnsi"/>
                <w:color w:val="000000"/>
                <w:highlight w:val="yellow"/>
              </w:rPr>
            </w:pPr>
            <w:r w:rsidRPr="008440BF">
              <w:rPr>
                <w:rFonts w:asciiTheme="minorHAnsi" w:hAnsiTheme="minorHAnsi"/>
                <w:color w:val="000000"/>
              </w:rPr>
              <w:t>2.2%</w:t>
            </w:r>
          </w:p>
        </w:tc>
      </w:tr>
      <w:tr w:rsidR="007332ED" w:rsidRPr="008440BF" w14:paraId="16FCF180"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694617D0"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rPr>
              <w:t>Buzzard's Bay</w:t>
            </w:r>
          </w:p>
        </w:tc>
        <w:tc>
          <w:tcPr>
            <w:tcW w:w="1800" w:type="dxa"/>
            <w:tcBorders>
              <w:top w:val="nil"/>
              <w:left w:val="single" w:sz="4" w:space="0" w:color="auto"/>
              <w:bottom w:val="single" w:sz="4" w:space="0" w:color="auto"/>
              <w:right w:val="single" w:sz="4" w:space="0" w:color="auto"/>
            </w:tcBorders>
            <w:shd w:val="clear" w:color="auto" w:fill="auto"/>
            <w:vAlign w:val="bottom"/>
          </w:tcPr>
          <w:p w14:paraId="410C7BFA" w14:textId="77777777" w:rsidR="007332ED" w:rsidRPr="008440BF" w:rsidRDefault="007332ED" w:rsidP="00C22C69">
            <w:pPr>
              <w:pStyle w:val="BodyText"/>
              <w:ind w:left="144"/>
              <w:jc w:val="right"/>
              <w:rPr>
                <w:rFonts w:asciiTheme="minorHAnsi" w:hAnsiTheme="minorHAnsi"/>
                <w:color w:val="000000"/>
                <w:highlight w:val="yellow"/>
              </w:rPr>
            </w:pPr>
            <w:r w:rsidRPr="008440BF">
              <w:rPr>
                <w:rFonts w:asciiTheme="minorHAnsi" w:hAnsiTheme="minorHAnsi"/>
                <w:color w:val="000000"/>
              </w:rPr>
              <w:t>2.2%</w:t>
            </w:r>
          </w:p>
        </w:tc>
      </w:tr>
      <w:tr w:rsidR="007332ED" w:rsidRPr="008440BF" w14:paraId="25CE0B95"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00C98083"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rPr>
              <w:t>Pembroke</w:t>
            </w:r>
          </w:p>
        </w:tc>
        <w:tc>
          <w:tcPr>
            <w:tcW w:w="1800" w:type="dxa"/>
            <w:tcBorders>
              <w:top w:val="nil"/>
              <w:left w:val="single" w:sz="4" w:space="0" w:color="auto"/>
              <w:bottom w:val="single" w:sz="4" w:space="0" w:color="auto"/>
              <w:right w:val="single" w:sz="4" w:space="0" w:color="auto"/>
            </w:tcBorders>
            <w:shd w:val="clear" w:color="auto" w:fill="auto"/>
            <w:vAlign w:val="bottom"/>
          </w:tcPr>
          <w:p w14:paraId="4D53E03B" w14:textId="77777777" w:rsidR="007332ED" w:rsidRPr="008440BF" w:rsidRDefault="007332ED" w:rsidP="00C22C69">
            <w:pPr>
              <w:pStyle w:val="BodyText"/>
              <w:ind w:left="144"/>
              <w:jc w:val="right"/>
              <w:rPr>
                <w:rFonts w:asciiTheme="minorHAnsi" w:hAnsiTheme="minorHAnsi"/>
                <w:color w:val="000000"/>
                <w:highlight w:val="yellow"/>
              </w:rPr>
            </w:pPr>
            <w:r w:rsidRPr="008440BF">
              <w:rPr>
                <w:rFonts w:asciiTheme="minorHAnsi" w:hAnsiTheme="minorHAnsi"/>
                <w:color w:val="000000"/>
              </w:rPr>
              <w:t>2.4%</w:t>
            </w:r>
          </w:p>
        </w:tc>
      </w:tr>
      <w:tr w:rsidR="007332ED" w:rsidRPr="008440BF" w14:paraId="02D1BBFC"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6C9F1164"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rPr>
              <w:t>Sandwich</w:t>
            </w:r>
          </w:p>
        </w:tc>
        <w:tc>
          <w:tcPr>
            <w:tcW w:w="1800" w:type="dxa"/>
            <w:tcBorders>
              <w:top w:val="nil"/>
              <w:left w:val="single" w:sz="4" w:space="0" w:color="auto"/>
              <w:bottom w:val="single" w:sz="4" w:space="0" w:color="auto"/>
              <w:right w:val="single" w:sz="4" w:space="0" w:color="auto"/>
            </w:tcBorders>
            <w:shd w:val="clear" w:color="auto" w:fill="auto"/>
            <w:vAlign w:val="bottom"/>
          </w:tcPr>
          <w:p w14:paraId="2D6B275C" w14:textId="77777777" w:rsidR="007332ED" w:rsidRPr="008440BF" w:rsidRDefault="007332ED" w:rsidP="00C22C69">
            <w:pPr>
              <w:pStyle w:val="BodyText"/>
              <w:ind w:left="144"/>
              <w:jc w:val="right"/>
              <w:rPr>
                <w:rFonts w:asciiTheme="minorHAnsi" w:hAnsiTheme="minorHAnsi"/>
                <w:color w:val="000000"/>
                <w:highlight w:val="yellow"/>
              </w:rPr>
            </w:pPr>
            <w:r w:rsidRPr="008440BF">
              <w:rPr>
                <w:rFonts w:asciiTheme="minorHAnsi" w:hAnsiTheme="minorHAnsi"/>
                <w:color w:val="000000"/>
              </w:rPr>
              <w:t>1.7%</w:t>
            </w:r>
          </w:p>
        </w:tc>
      </w:tr>
      <w:tr w:rsidR="007332ED" w:rsidRPr="008440BF" w14:paraId="4DE74070"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43255191"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rPr>
              <w:lastRenderedPageBreak/>
              <w:t>Halifax</w:t>
            </w:r>
          </w:p>
        </w:tc>
        <w:tc>
          <w:tcPr>
            <w:tcW w:w="1800" w:type="dxa"/>
            <w:tcBorders>
              <w:top w:val="nil"/>
              <w:left w:val="single" w:sz="4" w:space="0" w:color="auto"/>
              <w:bottom w:val="single" w:sz="4" w:space="0" w:color="auto"/>
              <w:right w:val="single" w:sz="4" w:space="0" w:color="auto"/>
            </w:tcBorders>
            <w:shd w:val="clear" w:color="auto" w:fill="auto"/>
            <w:vAlign w:val="bottom"/>
          </w:tcPr>
          <w:p w14:paraId="09B7092A" w14:textId="77777777" w:rsidR="007332ED" w:rsidRPr="008440BF" w:rsidRDefault="007332ED" w:rsidP="00C22C69">
            <w:pPr>
              <w:pStyle w:val="BodyText"/>
              <w:ind w:left="144"/>
              <w:jc w:val="right"/>
              <w:rPr>
                <w:rFonts w:asciiTheme="minorHAnsi" w:hAnsiTheme="minorHAnsi"/>
                <w:color w:val="000000"/>
                <w:highlight w:val="yellow"/>
              </w:rPr>
            </w:pPr>
            <w:r w:rsidRPr="008440BF">
              <w:rPr>
                <w:rFonts w:asciiTheme="minorHAnsi" w:hAnsiTheme="minorHAnsi"/>
                <w:color w:val="000000"/>
              </w:rPr>
              <w:t>2.0%</w:t>
            </w:r>
          </w:p>
        </w:tc>
      </w:tr>
      <w:tr w:rsidR="007332ED" w:rsidRPr="008440BF" w14:paraId="1B72A55A"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3B9FDAA9" w14:textId="77777777" w:rsidR="007332ED" w:rsidRPr="008440BF" w:rsidRDefault="007332ED" w:rsidP="00C22C69">
            <w:pPr>
              <w:pStyle w:val="BodyText"/>
              <w:ind w:left="144"/>
              <w:rPr>
                <w:rFonts w:asciiTheme="minorHAnsi" w:hAnsiTheme="minorHAnsi"/>
                <w:bCs/>
              </w:rPr>
            </w:pPr>
            <w:r w:rsidRPr="008440BF">
              <w:rPr>
                <w:rFonts w:asciiTheme="minorHAnsi" w:hAnsiTheme="minorHAnsi"/>
                <w:bCs/>
              </w:rPr>
              <w:t>All other patient origins</w:t>
            </w:r>
          </w:p>
        </w:tc>
        <w:tc>
          <w:tcPr>
            <w:tcW w:w="1800" w:type="dxa"/>
            <w:tcBorders>
              <w:top w:val="single" w:sz="4" w:space="0" w:color="auto"/>
              <w:left w:val="single" w:sz="4" w:space="0" w:color="auto"/>
              <w:bottom w:val="single" w:sz="4" w:space="0" w:color="auto"/>
              <w:right w:val="single" w:sz="4" w:space="0" w:color="auto"/>
            </w:tcBorders>
            <w:vAlign w:val="bottom"/>
          </w:tcPr>
          <w:p w14:paraId="7E94544A" w14:textId="77777777" w:rsidR="007332ED" w:rsidRPr="008440BF" w:rsidRDefault="007332ED" w:rsidP="00C22C69">
            <w:pPr>
              <w:pStyle w:val="BodyText"/>
              <w:ind w:left="144"/>
              <w:jc w:val="right"/>
              <w:rPr>
                <w:rFonts w:asciiTheme="minorHAnsi" w:hAnsiTheme="minorHAnsi"/>
                <w:color w:val="000000"/>
                <w:highlight w:val="yellow"/>
              </w:rPr>
            </w:pPr>
            <w:r w:rsidRPr="008440BF">
              <w:rPr>
                <w:rFonts w:asciiTheme="minorHAnsi" w:hAnsiTheme="minorHAnsi"/>
                <w:color w:val="000000"/>
              </w:rPr>
              <w:t>38.2%</w:t>
            </w:r>
          </w:p>
        </w:tc>
      </w:tr>
      <w:tr w:rsidR="007332ED" w:rsidRPr="008440BF" w14:paraId="078C5ED0"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183E3AF3" w14:textId="77777777" w:rsidR="007332ED" w:rsidRPr="008440BF" w:rsidRDefault="007332ED" w:rsidP="00C22C69">
            <w:pPr>
              <w:pStyle w:val="BodyText"/>
              <w:ind w:left="144"/>
              <w:rPr>
                <w:rFonts w:asciiTheme="minorHAnsi" w:hAnsiTheme="minorHAnsi"/>
                <w:bCs/>
              </w:rPr>
            </w:pPr>
            <w:r w:rsidRPr="008440BF">
              <w:rPr>
                <w:rFonts w:asciiTheme="minorHAnsi" w:hAnsiTheme="minorHAnsi"/>
                <w:bCs/>
              </w:rPr>
              <w:t xml:space="preserve">Total </w:t>
            </w:r>
          </w:p>
        </w:tc>
        <w:tc>
          <w:tcPr>
            <w:tcW w:w="1800" w:type="dxa"/>
            <w:tcBorders>
              <w:top w:val="single" w:sz="4" w:space="0" w:color="auto"/>
              <w:left w:val="single" w:sz="4" w:space="0" w:color="auto"/>
              <w:bottom w:val="single" w:sz="4" w:space="0" w:color="auto"/>
              <w:right w:val="single" w:sz="4" w:space="0" w:color="auto"/>
            </w:tcBorders>
          </w:tcPr>
          <w:p w14:paraId="26683A2C" w14:textId="77777777" w:rsidR="007332ED" w:rsidRPr="008440BF" w:rsidRDefault="007332ED" w:rsidP="00C22C69">
            <w:pPr>
              <w:pStyle w:val="BodyText"/>
              <w:ind w:left="144"/>
              <w:jc w:val="right"/>
              <w:rPr>
                <w:rFonts w:asciiTheme="minorHAnsi" w:hAnsiTheme="minorHAnsi"/>
                <w:color w:val="000000"/>
                <w:highlight w:val="yellow"/>
              </w:rPr>
            </w:pPr>
            <w:r w:rsidRPr="008440BF">
              <w:rPr>
                <w:rFonts w:asciiTheme="minorHAnsi" w:hAnsiTheme="minorHAnsi"/>
                <w:color w:val="000000"/>
              </w:rPr>
              <w:t>100.0%</w:t>
            </w:r>
          </w:p>
        </w:tc>
      </w:tr>
      <w:tr w:rsidR="007332ED" w:rsidRPr="008440BF" w14:paraId="708EE28D"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E0736" w14:textId="77777777" w:rsidR="007332ED" w:rsidRPr="008440BF" w:rsidRDefault="007332ED" w:rsidP="00C22C69">
            <w:pPr>
              <w:pStyle w:val="BodyText"/>
              <w:rPr>
                <w:rFonts w:asciiTheme="minorHAnsi" w:hAnsiTheme="minorHAnsi"/>
                <w:bCs/>
              </w:rPr>
            </w:pPr>
            <w:r w:rsidRPr="008440BF">
              <w:rPr>
                <w:rFonts w:asciiTheme="minorHAnsi" w:hAnsiTheme="minorHAnsi"/>
                <w:b/>
                <w:sz w:val="22"/>
                <w:szCs w:val="22"/>
              </w:rPr>
              <w:t>Payer Mix</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77E8E" w14:textId="77777777" w:rsidR="007332ED" w:rsidRPr="008440BF" w:rsidRDefault="007332ED" w:rsidP="00C22C69">
            <w:pPr>
              <w:pStyle w:val="BodyText"/>
              <w:ind w:left="144"/>
              <w:jc w:val="right"/>
              <w:rPr>
                <w:rFonts w:asciiTheme="minorHAnsi" w:hAnsiTheme="minorHAnsi"/>
                <w:color w:val="000000"/>
              </w:rPr>
            </w:pPr>
          </w:p>
        </w:tc>
      </w:tr>
      <w:tr w:rsidR="007332ED" w:rsidRPr="008440BF" w14:paraId="323E6B6C"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14:paraId="34963AAD"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bCs/>
                <w:iCs/>
              </w:rPr>
              <w:t>All Other</w:t>
            </w:r>
          </w:p>
        </w:tc>
        <w:tc>
          <w:tcPr>
            <w:tcW w:w="1800" w:type="dxa"/>
            <w:tcBorders>
              <w:top w:val="single" w:sz="4" w:space="0" w:color="auto"/>
              <w:left w:val="single" w:sz="4" w:space="0" w:color="auto"/>
              <w:bottom w:val="single" w:sz="4" w:space="0" w:color="auto"/>
              <w:right w:val="single" w:sz="4" w:space="0" w:color="auto"/>
            </w:tcBorders>
            <w:vAlign w:val="center"/>
          </w:tcPr>
          <w:p w14:paraId="0255D7A4"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eastAsia="Times New Roman" w:hAnsiTheme="minorHAnsi"/>
                <w:bCs/>
                <w:iCs/>
              </w:rPr>
              <w:t>33.1%</w:t>
            </w:r>
          </w:p>
        </w:tc>
      </w:tr>
      <w:tr w:rsidR="007332ED" w:rsidRPr="008440BF" w14:paraId="273FB785"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14:paraId="1FABD499"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bCs/>
                <w:iCs/>
              </w:rPr>
              <w:t>Medicaid</w:t>
            </w:r>
          </w:p>
        </w:tc>
        <w:tc>
          <w:tcPr>
            <w:tcW w:w="1800" w:type="dxa"/>
            <w:tcBorders>
              <w:top w:val="single" w:sz="4" w:space="0" w:color="auto"/>
              <w:left w:val="single" w:sz="4" w:space="0" w:color="auto"/>
              <w:bottom w:val="single" w:sz="4" w:space="0" w:color="auto"/>
              <w:right w:val="single" w:sz="4" w:space="0" w:color="auto"/>
            </w:tcBorders>
            <w:vAlign w:val="center"/>
          </w:tcPr>
          <w:p w14:paraId="1E07AB34"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eastAsia="Times New Roman" w:hAnsiTheme="minorHAnsi"/>
                <w:bCs/>
                <w:iCs/>
              </w:rPr>
              <w:t>9.6%</w:t>
            </w:r>
          </w:p>
        </w:tc>
      </w:tr>
      <w:tr w:rsidR="007332ED" w:rsidRPr="008440BF" w14:paraId="68E01533"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14:paraId="527023AF"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bCs/>
                <w:iCs/>
              </w:rPr>
              <w:t>Medicare</w:t>
            </w:r>
          </w:p>
        </w:tc>
        <w:tc>
          <w:tcPr>
            <w:tcW w:w="1800" w:type="dxa"/>
            <w:tcBorders>
              <w:top w:val="single" w:sz="4" w:space="0" w:color="auto"/>
              <w:left w:val="single" w:sz="4" w:space="0" w:color="auto"/>
              <w:bottom w:val="single" w:sz="4" w:space="0" w:color="auto"/>
              <w:right w:val="single" w:sz="4" w:space="0" w:color="auto"/>
            </w:tcBorders>
            <w:vAlign w:val="center"/>
          </w:tcPr>
          <w:p w14:paraId="3315DD85"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eastAsia="Times New Roman" w:hAnsiTheme="minorHAnsi"/>
                <w:bCs/>
                <w:iCs/>
              </w:rPr>
              <w:t>57.3%</w:t>
            </w:r>
          </w:p>
        </w:tc>
      </w:tr>
      <w:tr w:rsidR="007332ED" w:rsidRPr="008440BF" w14:paraId="2605BC68" w14:textId="77777777" w:rsidTr="00AF344F">
        <w:trPr>
          <w:cantSplit/>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14:paraId="779A3637" w14:textId="77777777" w:rsidR="007332ED" w:rsidRPr="008440BF" w:rsidRDefault="007332ED" w:rsidP="00C22C69">
            <w:pPr>
              <w:pStyle w:val="BodyText"/>
              <w:ind w:left="144"/>
              <w:rPr>
                <w:rFonts w:asciiTheme="minorHAnsi" w:hAnsiTheme="minorHAnsi"/>
                <w:bCs/>
              </w:rPr>
            </w:pPr>
            <w:r w:rsidRPr="008440BF">
              <w:rPr>
                <w:rFonts w:asciiTheme="minorHAnsi" w:eastAsia="Times New Roman" w:hAnsiTheme="minorHAnsi"/>
                <w:bCs/>
                <w:iCs/>
              </w:rPr>
              <w:t>Total</w:t>
            </w:r>
          </w:p>
        </w:tc>
        <w:tc>
          <w:tcPr>
            <w:tcW w:w="1800" w:type="dxa"/>
            <w:tcBorders>
              <w:top w:val="single" w:sz="4" w:space="0" w:color="auto"/>
              <w:left w:val="single" w:sz="4" w:space="0" w:color="auto"/>
              <w:bottom w:val="single" w:sz="4" w:space="0" w:color="auto"/>
              <w:right w:val="single" w:sz="4" w:space="0" w:color="auto"/>
            </w:tcBorders>
            <w:vAlign w:val="center"/>
          </w:tcPr>
          <w:p w14:paraId="721EE360" w14:textId="77777777" w:rsidR="007332ED" w:rsidRPr="008440BF" w:rsidRDefault="007332ED" w:rsidP="00C22C69">
            <w:pPr>
              <w:pStyle w:val="BodyText"/>
              <w:ind w:left="144"/>
              <w:jc w:val="right"/>
              <w:rPr>
                <w:rFonts w:asciiTheme="minorHAnsi" w:hAnsiTheme="minorHAnsi"/>
                <w:color w:val="000000"/>
              </w:rPr>
            </w:pPr>
            <w:r w:rsidRPr="008440BF">
              <w:rPr>
                <w:rFonts w:asciiTheme="minorHAnsi" w:eastAsia="Times New Roman" w:hAnsiTheme="minorHAnsi"/>
                <w:bCs/>
                <w:iCs/>
              </w:rPr>
              <w:t>100.0%</w:t>
            </w:r>
          </w:p>
        </w:tc>
      </w:tr>
    </w:tbl>
    <w:p w14:paraId="1D2D8CC8" w14:textId="77777777" w:rsidR="007332ED" w:rsidRPr="008440BF" w:rsidRDefault="007332ED" w:rsidP="007332ED">
      <w:pPr>
        <w:rPr>
          <w:rFonts w:asciiTheme="minorHAnsi" w:hAnsiTheme="minorHAnsi"/>
          <w:b/>
          <w:bCs/>
          <w:highlight w:val="yellow"/>
        </w:rPr>
      </w:pPr>
    </w:p>
    <w:p w14:paraId="777E83EF" w14:textId="77777777" w:rsidR="007332ED" w:rsidRPr="008440BF" w:rsidRDefault="007332ED" w:rsidP="007332ED">
      <w:pPr>
        <w:pStyle w:val="Heading1"/>
        <w:spacing w:before="268"/>
        <w:ind w:left="0"/>
        <w:rPr>
          <w:rFonts w:asciiTheme="minorHAnsi" w:hAnsiTheme="minorHAnsi"/>
        </w:rPr>
      </w:pPr>
      <w:bookmarkStart w:id="6" w:name="_Toc166249375"/>
      <w:r w:rsidRPr="008440BF">
        <w:rPr>
          <w:rFonts w:asciiTheme="minorHAnsi" w:hAnsiTheme="minorHAnsi"/>
          <w:color w:val="42558C"/>
        </w:rPr>
        <w:t>Factor 1a: Patient Panel Need</w:t>
      </w:r>
      <w:bookmarkEnd w:id="6"/>
    </w:p>
    <w:p w14:paraId="4B985944" w14:textId="768EF25E" w:rsidR="007332ED" w:rsidRPr="008440BF" w:rsidRDefault="007332ED" w:rsidP="007332ED">
      <w:pPr>
        <w:pStyle w:val="BodyText"/>
        <w:spacing w:line="269" w:lineRule="exact"/>
        <w:rPr>
          <w:rFonts w:asciiTheme="minorHAnsi" w:hAnsiTheme="minorHAnsi"/>
        </w:rPr>
      </w:pPr>
      <w:r w:rsidRPr="008440BF">
        <w:rPr>
          <w:rFonts w:asciiTheme="minorHAnsi" w:hAnsiTheme="minorHAnsi"/>
          <w:sz w:val="23"/>
          <w:szCs w:val="23"/>
        </w:rPr>
        <w:t xml:space="preserve">In this section, staff assesses whether the Applicant has sufficiently addressed Patient Panel need for the Proposed Project. </w:t>
      </w:r>
      <w:r w:rsidRPr="008440BF">
        <w:rPr>
          <w:rFonts w:asciiTheme="minorHAnsi" w:eastAsia="Times New Roman" w:hAnsiTheme="minorHAnsi"/>
          <w:color w:val="000000"/>
        </w:rPr>
        <w:t xml:space="preserve">Because the Applicant anticipates that the proposed ASC will offer a similar set of orthopedic services as the </w:t>
      </w:r>
      <w:r w:rsidR="00C619E8" w:rsidRPr="008440BF">
        <w:rPr>
          <w:rFonts w:asciiTheme="minorHAnsi" w:eastAsia="Times New Roman" w:hAnsiTheme="minorHAnsi"/>
          <w:color w:val="000000"/>
        </w:rPr>
        <w:t>hospital outpatient department (</w:t>
      </w:r>
      <w:r w:rsidRPr="008440BF">
        <w:rPr>
          <w:rFonts w:asciiTheme="minorHAnsi" w:eastAsia="Times New Roman" w:hAnsiTheme="minorHAnsi"/>
          <w:color w:val="000000"/>
        </w:rPr>
        <w:t>HOPD</w:t>
      </w:r>
      <w:r w:rsidR="00C619E8" w:rsidRPr="008440BF">
        <w:rPr>
          <w:rFonts w:asciiTheme="minorHAnsi" w:eastAsia="Times New Roman" w:hAnsiTheme="minorHAnsi"/>
          <w:color w:val="000000"/>
        </w:rPr>
        <w:t>)</w:t>
      </w:r>
      <w:r w:rsidRPr="008440BF">
        <w:rPr>
          <w:rFonts w:asciiTheme="minorHAnsi" w:eastAsia="Times New Roman" w:hAnsiTheme="minorHAnsi"/>
          <w:color w:val="000000"/>
        </w:rPr>
        <w:t xml:space="preserve">, the analysis of patient need focuses on historical and projected utilization of these particular services. </w:t>
      </w:r>
      <w:r w:rsidRPr="008440BF">
        <w:rPr>
          <w:rFonts w:asciiTheme="minorHAnsi" w:hAnsiTheme="minorHAnsi"/>
        </w:rPr>
        <w:t>The Applicant attributes Patient Panel need for an ASC to the following factors:</w:t>
      </w:r>
    </w:p>
    <w:p w14:paraId="2EA55FD8" w14:textId="77777777" w:rsidR="007332ED" w:rsidRPr="008440BF" w:rsidRDefault="007332ED" w:rsidP="007332ED">
      <w:pPr>
        <w:pStyle w:val="BodyText"/>
        <w:spacing w:line="269" w:lineRule="exact"/>
        <w:rPr>
          <w:rFonts w:asciiTheme="minorHAnsi" w:hAnsiTheme="minorHAnsi"/>
          <w:highlight w:val="yellow"/>
        </w:rPr>
      </w:pPr>
    </w:p>
    <w:p w14:paraId="195AA8A7" w14:textId="77777777" w:rsidR="007332ED" w:rsidRPr="008440BF" w:rsidRDefault="007332ED" w:rsidP="007332ED">
      <w:pPr>
        <w:pStyle w:val="BodyText"/>
        <w:numPr>
          <w:ilvl w:val="0"/>
          <w:numId w:val="10"/>
        </w:numPr>
        <w:spacing w:line="269" w:lineRule="exact"/>
        <w:rPr>
          <w:rFonts w:asciiTheme="minorHAnsi" w:hAnsiTheme="minorHAnsi"/>
        </w:rPr>
      </w:pPr>
      <w:r w:rsidRPr="008440BF">
        <w:rPr>
          <w:rFonts w:asciiTheme="minorHAnsi" w:hAnsiTheme="minorHAnsi"/>
        </w:rPr>
        <w:t>Historical and Projected Volume Increases</w:t>
      </w:r>
    </w:p>
    <w:p w14:paraId="410E4B71" w14:textId="3B319707" w:rsidR="00F71525" w:rsidRPr="008440BF" w:rsidRDefault="00F71525" w:rsidP="00F71525">
      <w:pPr>
        <w:pStyle w:val="ListParagraph"/>
        <w:numPr>
          <w:ilvl w:val="0"/>
          <w:numId w:val="10"/>
        </w:numPr>
        <w:rPr>
          <w:rFonts w:asciiTheme="minorHAnsi" w:hAnsiTheme="minorHAnsi"/>
          <w:szCs w:val="24"/>
        </w:rPr>
      </w:pPr>
      <w:r w:rsidRPr="008440BF">
        <w:rPr>
          <w:rFonts w:asciiTheme="minorHAnsi" w:hAnsiTheme="minorHAnsi"/>
          <w:szCs w:val="24"/>
        </w:rPr>
        <w:t xml:space="preserve">Growth </w:t>
      </w:r>
      <w:r w:rsidR="00A85B41" w:rsidRPr="008440BF">
        <w:rPr>
          <w:rFonts w:asciiTheme="minorHAnsi" w:hAnsiTheme="minorHAnsi"/>
          <w:szCs w:val="24"/>
        </w:rPr>
        <w:t>I</w:t>
      </w:r>
      <w:r w:rsidRPr="008440BF">
        <w:rPr>
          <w:rFonts w:asciiTheme="minorHAnsi" w:hAnsiTheme="minorHAnsi"/>
          <w:szCs w:val="24"/>
        </w:rPr>
        <w:t>n An Aging Population and Associated Conditions Requiring Surgery</w:t>
      </w:r>
    </w:p>
    <w:p w14:paraId="42CEF220" w14:textId="77777777" w:rsidR="007332ED" w:rsidRPr="008440BF" w:rsidRDefault="007332ED" w:rsidP="007332ED">
      <w:pPr>
        <w:pStyle w:val="Default"/>
        <w:numPr>
          <w:ilvl w:val="0"/>
          <w:numId w:val="10"/>
        </w:numPr>
        <w:rPr>
          <w:rFonts w:asciiTheme="minorHAnsi" w:hAnsiTheme="minorHAnsi" w:cstheme="minorHAnsi"/>
          <w:color w:val="auto"/>
        </w:rPr>
      </w:pPr>
      <w:r w:rsidRPr="008440BF">
        <w:rPr>
          <w:rFonts w:asciiTheme="minorHAnsi" w:hAnsiTheme="minorHAnsi" w:cstheme="minorHAnsi"/>
          <w:color w:val="auto"/>
        </w:rPr>
        <w:t>Shift in the surgical procedures that can safely be performed in an outpatient environment</w:t>
      </w:r>
    </w:p>
    <w:p w14:paraId="182B99A8" w14:textId="77777777" w:rsidR="007332ED" w:rsidRPr="008440BF" w:rsidRDefault="007332ED" w:rsidP="007332ED">
      <w:pPr>
        <w:rPr>
          <w:rFonts w:asciiTheme="minorHAnsi" w:hAnsiTheme="minorHAnsi"/>
          <w:highlight w:val="yellow"/>
        </w:rPr>
      </w:pPr>
    </w:p>
    <w:p w14:paraId="5BB28850" w14:textId="693C2E1D" w:rsidR="007332ED" w:rsidRPr="008440BF" w:rsidRDefault="007332ED" w:rsidP="007332ED">
      <w:pPr>
        <w:pStyle w:val="ListParagraph"/>
        <w:numPr>
          <w:ilvl w:val="0"/>
          <w:numId w:val="44"/>
        </w:numPr>
        <w:rPr>
          <w:rFonts w:asciiTheme="minorHAnsi" w:hAnsiTheme="minorHAnsi"/>
          <w:b/>
          <w:bCs/>
          <w:szCs w:val="24"/>
        </w:rPr>
      </w:pPr>
      <w:r w:rsidRPr="008440BF">
        <w:rPr>
          <w:rFonts w:asciiTheme="minorHAnsi" w:hAnsiTheme="minorHAnsi"/>
          <w:b/>
          <w:bCs/>
          <w:szCs w:val="24"/>
        </w:rPr>
        <w:t xml:space="preserve">Historical and Projected </w:t>
      </w:r>
      <w:r w:rsidR="004B6D3A" w:rsidRPr="008440BF">
        <w:rPr>
          <w:rFonts w:asciiTheme="minorHAnsi" w:hAnsiTheme="minorHAnsi"/>
          <w:b/>
          <w:bCs/>
          <w:szCs w:val="24"/>
        </w:rPr>
        <w:t xml:space="preserve">Surgical </w:t>
      </w:r>
      <w:r w:rsidRPr="008440BF">
        <w:rPr>
          <w:rFonts w:asciiTheme="minorHAnsi" w:hAnsiTheme="minorHAnsi"/>
          <w:b/>
          <w:bCs/>
          <w:szCs w:val="24"/>
        </w:rPr>
        <w:t>Volume Increases</w:t>
      </w:r>
    </w:p>
    <w:p w14:paraId="6B244D6F" w14:textId="4CFCBB6F" w:rsidR="007332ED" w:rsidRPr="008440BF" w:rsidRDefault="009C4A7F" w:rsidP="007332ED">
      <w:pPr>
        <w:rPr>
          <w:rFonts w:asciiTheme="minorHAnsi" w:hAnsiTheme="minorHAnsi"/>
          <w:szCs w:val="24"/>
        </w:rPr>
      </w:pPr>
      <w:r>
        <w:rPr>
          <w:rFonts w:asciiTheme="minorHAnsi" w:hAnsiTheme="minorHAnsi"/>
          <w:szCs w:val="24"/>
        </w:rPr>
        <w:t>The Applicant states that the Primary Service Area has seen a</w:t>
      </w:r>
      <w:r w:rsidR="003F0F81">
        <w:rPr>
          <w:rFonts w:asciiTheme="minorHAnsi" w:hAnsiTheme="minorHAnsi"/>
          <w:szCs w:val="24"/>
        </w:rPr>
        <w:t xml:space="preserve">n increase in the volume of orthopedic surgeries, a trend which is predicted to continue. </w:t>
      </w:r>
      <w:r w:rsidR="007332ED" w:rsidRPr="008440BF">
        <w:rPr>
          <w:rFonts w:asciiTheme="minorHAnsi" w:hAnsiTheme="minorHAnsi"/>
          <w:szCs w:val="24"/>
        </w:rPr>
        <w:t xml:space="preserve">Table </w:t>
      </w:r>
      <w:r w:rsidR="00E175EE" w:rsidRPr="008440BF">
        <w:rPr>
          <w:rFonts w:asciiTheme="minorHAnsi" w:hAnsiTheme="minorHAnsi"/>
          <w:szCs w:val="24"/>
        </w:rPr>
        <w:t>5</w:t>
      </w:r>
      <w:r w:rsidR="007332ED" w:rsidRPr="008440BF">
        <w:rPr>
          <w:rFonts w:asciiTheme="minorHAnsi" w:hAnsiTheme="minorHAnsi"/>
          <w:szCs w:val="24"/>
        </w:rPr>
        <w:t xml:space="preserve"> shows a </w:t>
      </w:r>
      <w:r w:rsidR="0063753E" w:rsidRPr="008440BF">
        <w:rPr>
          <w:rFonts w:asciiTheme="minorHAnsi" w:hAnsiTheme="minorHAnsi"/>
          <w:szCs w:val="24"/>
        </w:rPr>
        <w:t>65</w:t>
      </w:r>
      <w:r w:rsidR="007332ED" w:rsidRPr="008440BF">
        <w:rPr>
          <w:rFonts w:asciiTheme="minorHAnsi" w:hAnsiTheme="minorHAnsi"/>
          <w:szCs w:val="24"/>
        </w:rPr>
        <w:t xml:space="preserve">% growth in outpatient orthopedic surgeries </w:t>
      </w:r>
      <w:r w:rsidR="00F2091E" w:rsidRPr="008440BF">
        <w:rPr>
          <w:rFonts w:asciiTheme="minorHAnsi" w:hAnsiTheme="minorHAnsi"/>
          <w:szCs w:val="24"/>
        </w:rPr>
        <w:t xml:space="preserve">performed at BID Plymouth </w:t>
      </w:r>
      <w:r w:rsidR="007332ED" w:rsidRPr="008440BF">
        <w:rPr>
          <w:rFonts w:asciiTheme="minorHAnsi" w:hAnsiTheme="minorHAnsi"/>
          <w:szCs w:val="24"/>
        </w:rPr>
        <w:t>from FY2019-FY202</w:t>
      </w:r>
      <w:r w:rsidR="00F2091E" w:rsidRPr="008440BF">
        <w:rPr>
          <w:rFonts w:asciiTheme="minorHAnsi" w:hAnsiTheme="minorHAnsi"/>
          <w:szCs w:val="24"/>
        </w:rPr>
        <w:t>3</w:t>
      </w:r>
      <w:r w:rsidR="007332ED" w:rsidRPr="008440BF">
        <w:rPr>
          <w:rFonts w:asciiTheme="minorHAnsi" w:hAnsiTheme="minorHAnsi"/>
          <w:szCs w:val="24"/>
        </w:rPr>
        <w:t>.</w:t>
      </w:r>
      <w:r w:rsidR="00F2091E" w:rsidRPr="008440BF">
        <w:rPr>
          <w:rFonts w:asciiTheme="minorHAnsi" w:hAnsiTheme="minorHAnsi"/>
          <w:szCs w:val="24"/>
        </w:rPr>
        <w:t xml:space="preserve"> Growth in</w:t>
      </w:r>
      <w:r w:rsidR="00D10F3D" w:rsidRPr="008440BF">
        <w:rPr>
          <w:rFonts w:asciiTheme="minorHAnsi" w:hAnsiTheme="minorHAnsi"/>
          <w:szCs w:val="24"/>
        </w:rPr>
        <w:t xml:space="preserve"> the outpatient orthopedic surgeries is attributed to</w:t>
      </w:r>
      <w:r w:rsidR="00583C78" w:rsidRPr="008440BF">
        <w:rPr>
          <w:rFonts w:asciiTheme="minorHAnsi" w:hAnsiTheme="minorHAnsi"/>
          <w:szCs w:val="24"/>
        </w:rPr>
        <w:t xml:space="preserve"> both </w:t>
      </w:r>
      <w:r w:rsidR="00DB3CD6" w:rsidRPr="008440BF">
        <w:rPr>
          <w:rFonts w:asciiTheme="minorHAnsi" w:hAnsiTheme="minorHAnsi"/>
          <w:szCs w:val="24"/>
        </w:rPr>
        <w:t xml:space="preserve">a shift in the surgical procedures that can safely be performed in an outpatient environment and the growth in </w:t>
      </w:r>
      <w:r w:rsidR="00D301C8" w:rsidRPr="008440BF">
        <w:rPr>
          <w:rFonts w:asciiTheme="minorHAnsi" w:hAnsiTheme="minorHAnsi"/>
          <w:szCs w:val="24"/>
        </w:rPr>
        <w:t>an aging population experiencing conditions that require surgery</w:t>
      </w:r>
      <w:r w:rsidR="00467ECD" w:rsidRPr="008440BF">
        <w:rPr>
          <w:rFonts w:asciiTheme="minorHAnsi" w:hAnsiTheme="minorHAnsi"/>
          <w:szCs w:val="24"/>
        </w:rPr>
        <w:t>.</w:t>
      </w:r>
    </w:p>
    <w:p w14:paraId="6ABB9C80" w14:textId="77777777" w:rsidR="007332ED" w:rsidRPr="008440BF" w:rsidRDefault="007332ED" w:rsidP="009A2A80">
      <w:pPr>
        <w:jc w:val="center"/>
        <w:rPr>
          <w:rFonts w:asciiTheme="minorHAnsi" w:hAnsiTheme="minorHAnsi"/>
          <w:b/>
          <w:bCs/>
          <w:szCs w:val="24"/>
        </w:rPr>
      </w:pPr>
    </w:p>
    <w:p w14:paraId="1658F4A4" w14:textId="6DFB676D" w:rsidR="007332ED" w:rsidRPr="008440BF" w:rsidRDefault="007332ED" w:rsidP="009A2A80">
      <w:pPr>
        <w:jc w:val="center"/>
        <w:rPr>
          <w:rFonts w:asciiTheme="minorHAnsi" w:hAnsiTheme="minorHAnsi"/>
          <w:b/>
          <w:bCs/>
          <w:szCs w:val="24"/>
        </w:rPr>
      </w:pPr>
      <w:r w:rsidRPr="008440BF">
        <w:rPr>
          <w:rFonts w:asciiTheme="minorHAnsi" w:hAnsiTheme="minorHAnsi"/>
          <w:b/>
          <w:bCs/>
          <w:szCs w:val="24"/>
          <w:u w:val="single"/>
        </w:rPr>
        <w:t xml:space="preserve">Table </w:t>
      </w:r>
      <w:r w:rsidR="00E175EE" w:rsidRPr="008440BF">
        <w:rPr>
          <w:rFonts w:asciiTheme="minorHAnsi" w:hAnsiTheme="minorHAnsi"/>
          <w:b/>
          <w:bCs/>
          <w:szCs w:val="24"/>
          <w:u w:val="single"/>
        </w:rPr>
        <w:t>5</w:t>
      </w:r>
      <w:r w:rsidRPr="008440BF">
        <w:rPr>
          <w:rFonts w:asciiTheme="minorHAnsi" w:hAnsiTheme="minorHAnsi"/>
          <w:b/>
          <w:bCs/>
          <w:szCs w:val="24"/>
        </w:rPr>
        <w:t xml:space="preserve">: </w:t>
      </w:r>
      <w:r w:rsidR="009A2A80">
        <w:rPr>
          <w:rFonts w:asciiTheme="minorHAnsi" w:hAnsiTheme="minorHAnsi"/>
          <w:b/>
          <w:bCs/>
          <w:szCs w:val="24"/>
        </w:rPr>
        <w:t xml:space="preserve">Outpatient Orthopedic Surgeries Performed at </w:t>
      </w:r>
      <w:r w:rsidRPr="008440BF">
        <w:rPr>
          <w:rFonts w:asciiTheme="minorHAnsi" w:hAnsiTheme="minorHAnsi"/>
          <w:b/>
          <w:bCs/>
          <w:szCs w:val="24"/>
        </w:rPr>
        <w:t>BID Plymouth</w:t>
      </w:r>
      <w:r w:rsidR="00215196">
        <w:rPr>
          <w:rStyle w:val="FootnoteReference"/>
          <w:rFonts w:asciiTheme="minorHAnsi" w:hAnsiTheme="minorHAnsi"/>
          <w:b/>
          <w:bCs/>
          <w:szCs w:val="24"/>
        </w:rPr>
        <w:footnoteReference w:id="16"/>
      </w:r>
    </w:p>
    <w:tbl>
      <w:tblPr>
        <w:tblW w:w="64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84"/>
        <w:gridCol w:w="960"/>
        <w:gridCol w:w="960"/>
        <w:gridCol w:w="960"/>
        <w:gridCol w:w="960"/>
        <w:gridCol w:w="960"/>
      </w:tblGrid>
      <w:tr w:rsidR="007332ED" w:rsidRPr="008440BF" w14:paraId="3EB97A01" w14:textId="77777777" w:rsidTr="00AC2910">
        <w:trPr>
          <w:cantSplit/>
          <w:trHeight w:val="290"/>
          <w:tblHeader/>
          <w:jc w:val="center"/>
        </w:trPr>
        <w:tc>
          <w:tcPr>
            <w:tcW w:w="1684" w:type="dxa"/>
            <w:shd w:val="clear" w:color="auto" w:fill="DBE5F1" w:themeFill="accent1" w:themeFillTint="33"/>
            <w:noWrap/>
            <w:vAlign w:val="bottom"/>
            <w:hideMark/>
          </w:tcPr>
          <w:p w14:paraId="6DADFD8F" w14:textId="77777777" w:rsidR="007332ED" w:rsidRPr="008440BF" w:rsidRDefault="007332ED" w:rsidP="009A2A80">
            <w:pPr>
              <w:widowControl/>
              <w:autoSpaceDE/>
              <w:autoSpaceDN/>
              <w:jc w:val="center"/>
              <w:rPr>
                <w:rFonts w:asciiTheme="minorHAnsi" w:eastAsia="Times New Roman" w:hAnsiTheme="minorHAnsi"/>
                <w:szCs w:val="24"/>
              </w:rPr>
            </w:pPr>
          </w:p>
        </w:tc>
        <w:tc>
          <w:tcPr>
            <w:tcW w:w="960" w:type="dxa"/>
            <w:shd w:val="clear" w:color="auto" w:fill="DBE5F1" w:themeFill="accent1" w:themeFillTint="33"/>
            <w:noWrap/>
            <w:vAlign w:val="bottom"/>
            <w:hideMark/>
          </w:tcPr>
          <w:p w14:paraId="46E549D0" w14:textId="77777777" w:rsidR="007332ED" w:rsidRPr="008440BF" w:rsidRDefault="007332ED" w:rsidP="009A2A80">
            <w:pPr>
              <w:widowControl/>
              <w:autoSpaceDE/>
              <w:autoSpaceDN/>
              <w:jc w:val="center"/>
              <w:rPr>
                <w:rFonts w:asciiTheme="minorHAnsi" w:eastAsia="Times New Roman" w:hAnsiTheme="minorHAnsi"/>
                <w:b/>
                <w:bCs/>
                <w:color w:val="000000"/>
                <w:sz w:val="22"/>
                <w:szCs w:val="22"/>
              </w:rPr>
            </w:pPr>
            <w:r w:rsidRPr="008440BF">
              <w:rPr>
                <w:rFonts w:asciiTheme="minorHAnsi" w:eastAsia="Times New Roman" w:hAnsiTheme="minorHAnsi"/>
                <w:b/>
                <w:bCs/>
                <w:color w:val="000000"/>
                <w:sz w:val="22"/>
                <w:szCs w:val="22"/>
              </w:rPr>
              <w:t>2019</w:t>
            </w:r>
          </w:p>
        </w:tc>
        <w:tc>
          <w:tcPr>
            <w:tcW w:w="960" w:type="dxa"/>
            <w:shd w:val="clear" w:color="auto" w:fill="DBE5F1" w:themeFill="accent1" w:themeFillTint="33"/>
            <w:noWrap/>
            <w:vAlign w:val="bottom"/>
            <w:hideMark/>
          </w:tcPr>
          <w:p w14:paraId="654D9BEF" w14:textId="77777777" w:rsidR="007332ED" w:rsidRPr="008440BF" w:rsidRDefault="007332ED" w:rsidP="009A2A80">
            <w:pPr>
              <w:widowControl/>
              <w:autoSpaceDE/>
              <w:autoSpaceDN/>
              <w:jc w:val="center"/>
              <w:rPr>
                <w:rFonts w:asciiTheme="minorHAnsi" w:eastAsia="Times New Roman" w:hAnsiTheme="minorHAnsi"/>
                <w:b/>
                <w:bCs/>
                <w:color w:val="000000"/>
                <w:sz w:val="22"/>
                <w:szCs w:val="22"/>
              </w:rPr>
            </w:pPr>
            <w:r w:rsidRPr="008440BF">
              <w:rPr>
                <w:rFonts w:asciiTheme="minorHAnsi" w:eastAsia="Times New Roman" w:hAnsiTheme="minorHAnsi"/>
                <w:b/>
                <w:bCs/>
                <w:color w:val="000000"/>
                <w:sz w:val="22"/>
                <w:szCs w:val="22"/>
              </w:rPr>
              <w:t>2020</w:t>
            </w:r>
          </w:p>
        </w:tc>
        <w:tc>
          <w:tcPr>
            <w:tcW w:w="960" w:type="dxa"/>
            <w:shd w:val="clear" w:color="auto" w:fill="DBE5F1" w:themeFill="accent1" w:themeFillTint="33"/>
            <w:noWrap/>
            <w:vAlign w:val="bottom"/>
            <w:hideMark/>
          </w:tcPr>
          <w:p w14:paraId="6D6404D3" w14:textId="77777777" w:rsidR="007332ED" w:rsidRPr="008440BF" w:rsidRDefault="007332ED" w:rsidP="009A2A80">
            <w:pPr>
              <w:widowControl/>
              <w:autoSpaceDE/>
              <w:autoSpaceDN/>
              <w:jc w:val="center"/>
              <w:rPr>
                <w:rFonts w:asciiTheme="minorHAnsi" w:eastAsia="Times New Roman" w:hAnsiTheme="minorHAnsi"/>
                <w:b/>
                <w:bCs/>
                <w:color w:val="000000"/>
                <w:sz w:val="22"/>
                <w:szCs w:val="22"/>
              </w:rPr>
            </w:pPr>
            <w:r w:rsidRPr="008440BF">
              <w:rPr>
                <w:rFonts w:asciiTheme="minorHAnsi" w:eastAsia="Times New Roman" w:hAnsiTheme="minorHAnsi"/>
                <w:b/>
                <w:bCs/>
                <w:color w:val="000000"/>
                <w:sz w:val="22"/>
                <w:szCs w:val="22"/>
              </w:rPr>
              <w:t>2021</w:t>
            </w:r>
          </w:p>
        </w:tc>
        <w:tc>
          <w:tcPr>
            <w:tcW w:w="960" w:type="dxa"/>
            <w:shd w:val="clear" w:color="auto" w:fill="DBE5F1" w:themeFill="accent1" w:themeFillTint="33"/>
            <w:noWrap/>
            <w:vAlign w:val="bottom"/>
            <w:hideMark/>
          </w:tcPr>
          <w:p w14:paraId="311A0D29" w14:textId="77777777" w:rsidR="007332ED" w:rsidRPr="008440BF" w:rsidRDefault="007332ED" w:rsidP="009A2A80">
            <w:pPr>
              <w:widowControl/>
              <w:autoSpaceDE/>
              <w:autoSpaceDN/>
              <w:jc w:val="center"/>
              <w:rPr>
                <w:rFonts w:asciiTheme="minorHAnsi" w:eastAsia="Times New Roman" w:hAnsiTheme="minorHAnsi"/>
                <w:b/>
                <w:bCs/>
                <w:color w:val="000000"/>
                <w:sz w:val="22"/>
                <w:szCs w:val="22"/>
              </w:rPr>
            </w:pPr>
            <w:r w:rsidRPr="008440BF">
              <w:rPr>
                <w:rFonts w:asciiTheme="minorHAnsi" w:eastAsia="Times New Roman" w:hAnsiTheme="minorHAnsi"/>
                <w:b/>
                <w:bCs/>
                <w:color w:val="000000"/>
                <w:sz w:val="22"/>
                <w:szCs w:val="22"/>
              </w:rPr>
              <w:t>2022</w:t>
            </w:r>
          </w:p>
        </w:tc>
        <w:tc>
          <w:tcPr>
            <w:tcW w:w="960" w:type="dxa"/>
            <w:shd w:val="clear" w:color="auto" w:fill="DBE5F1" w:themeFill="accent1" w:themeFillTint="33"/>
            <w:noWrap/>
            <w:vAlign w:val="bottom"/>
            <w:hideMark/>
          </w:tcPr>
          <w:p w14:paraId="4F77B722" w14:textId="77777777" w:rsidR="007332ED" w:rsidRPr="008440BF" w:rsidRDefault="007332ED" w:rsidP="009A2A80">
            <w:pPr>
              <w:widowControl/>
              <w:autoSpaceDE/>
              <w:autoSpaceDN/>
              <w:jc w:val="center"/>
              <w:rPr>
                <w:rFonts w:asciiTheme="minorHAnsi" w:eastAsia="Times New Roman" w:hAnsiTheme="minorHAnsi"/>
                <w:b/>
                <w:bCs/>
                <w:color w:val="000000"/>
                <w:sz w:val="22"/>
                <w:szCs w:val="22"/>
              </w:rPr>
            </w:pPr>
            <w:r w:rsidRPr="008440BF">
              <w:rPr>
                <w:rFonts w:asciiTheme="minorHAnsi" w:eastAsia="Times New Roman" w:hAnsiTheme="minorHAnsi"/>
                <w:b/>
                <w:bCs/>
                <w:color w:val="000000"/>
                <w:sz w:val="22"/>
                <w:szCs w:val="22"/>
              </w:rPr>
              <w:t>2023</w:t>
            </w:r>
          </w:p>
        </w:tc>
      </w:tr>
      <w:tr w:rsidR="00A0287B" w:rsidRPr="008440BF" w14:paraId="295D970F" w14:textId="77777777" w:rsidTr="00AC2910">
        <w:trPr>
          <w:cantSplit/>
          <w:trHeight w:val="300"/>
          <w:jc w:val="center"/>
        </w:trPr>
        <w:tc>
          <w:tcPr>
            <w:tcW w:w="1684" w:type="dxa"/>
            <w:shd w:val="clear" w:color="auto" w:fill="D9E1F2"/>
            <w:noWrap/>
            <w:vAlign w:val="center"/>
            <w:hideMark/>
          </w:tcPr>
          <w:p w14:paraId="6C8A4C5B" w14:textId="77777777" w:rsidR="00A0287B" w:rsidRPr="008440BF" w:rsidRDefault="00A0287B" w:rsidP="00A0287B">
            <w:pPr>
              <w:widowControl/>
              <w:autoSpaceDE/>
              <w:autoSpaceDN/>
              <w:rPr>
                <w:rFonts w:asciiTheme="minorHAnsi" w:eastAsia="Times New Roman" w:hAnsiTheme="minorHAnsi"/>
                <w:color w:val="000000"/>
                <w:sz w:val="22"/>
                <w:szCs w:val="22"/>
              </w:rPr>
            </w:pPr>
            <w:r w:rsidRPr="008440BF">
              <w:rPr>
                <w:rFonts w:asciiTheme="minorHAnsi" w:eastAsia="Times New Roman" w:hAnsiTheme="minorHAnsi"/>
                <w:color w:val="000000"/>
                <w:sz w:val="22"/>
                <w:szCs w:val="22"/>
              </w:rPr>
              <w:t xml:space="preserve"> Foot &amp; Ankle</w:t>
            </w:r>
          </w:p>
        </w:tc>
        <w:tc>
          <w:tcPr>
            <w:tcW w:w="960" w:type="dxa"/>
            <w:shd w:val="clear" w:color="auto" w:fill="auto"/>
            <w:noWrap/>
            <w:vAlign w:val="center"/>
            <w:hideMark/>
          </w:tcPr>
          <w:p w14:paraId="10A030A7" w14:textId="4D148DF5" w:rsidR="00A0287B" w:rsidRPr="00F2138F" w:rsidRDefault="00A0287B" w:rsidP="00A0287B">
            <w:pPr>
              <w:widowControl/>
              <w:autoSpaceDE/>
              <w:autoSpaceDN/>
              <w:jc w:val="center"/>
              <w:rPr>
                <w:rFonts w:asciiTheme="minorHAnsi" w:eastAsia="Times New Roman" w:hAnsiTheme="minorHAnsi"/>
                <w:color w:val="000000"/>
                <w:sz w:val="22"/>
                <w:szCs w:val="22"/>
              </w:rPr>
            </w:pPr>
            <w:r w:rsidRPr="00F2138F">
              <w:rPr>
                <w:rFonts w:cs="Calibri"/>
                <w:color w:val="000000"/>
              </w:rPr>
              <w:t>164</w:t>
            </w:r>
          </w:p>
        </w:tc>
        <w:tc>
          <w:tcPr>
            <w:tcW w:w="960" w:type="dxa"/>
            <w:shd w:val="clear" w:color="auto" w:fill="auto"/>
            <w:vAlign w:val="center"/>
            <w:hideMark/>
          </w:tcPr>
          <w:p w14:paraId="6C77383A" w14:textId="66B5E1E0" w:rsidR="00A0287B" w:rsidRPr="00F2138F" w:rsidRDefault="00A0287B" w:rsidP="00A0287B">
            <w:pPr>
              <w:widowControl/>
              <w:autoSpaceDE/>
              <w:autoSpaceDN/>
              <w:jc w:val="center"/>
              <w:rPr>
                <w:rFonts w:asciiTheme="minorHAnsi" w:eastAsia="Times New Roman" w:hAnsiTheme="minorHAnsi"/>
                <w:color w:val="000000"/>
                <w:sz w:val="22"/>
                <w:szCs w:val="22"/>
              </w:rPr>
            </w:pPr>
            <w:r w:rsidRPr="00F2138F">
              <w:rPr>
                <w:rFonts w:cs="Calibri"/>
                <w:color w:val="000000"/>
              </w:rPr>
              <w:t>160</w:t>
            </w:r>
          </w:p>
        </w:tc>
        <w:tc>
          <w:tcPr>
            <w:tcW w:w="960" w:type="dxa"/>
            <w:shd w:val="clear" w:color="auto" w:fill="auto"/>
            <w:noWrap/>
            <w:vAlign w:val="center"/>
            <w:hideMark/>
          </w:tcPr>
          <w:p w14:paraId="34B506CD" w14:textId="730CF5B1" w:rsidR="00A0287B" w:rsidRPr="00F2138F" w:rsidRDefault="00A0287B" w:rsidP="00A0287B">
            <w:pPr>
              <w:widowControl/>
              <w:autoSpaceDE/>
              <w:autoSpaceDN/>
              <w:jc w:val="center"/>
              <w:rPr>
                <w:rFonts w:asciiTheme="minorHAnsi" w:eastAsia="Times New Roman" w:hAnsiTheme="minorHAnsi"/>
                <w:color w:val="000000"/>
                <w:sz w:val="22"/>
                <w:szCs w:val="22"/>
              </w:rPr>
            </w:pPr>
            <w:r w:rsidRPr="00F2138F">
              <w:rPr>
                <w:rFonts w:cs="Calibri"/>
                <w:color w:val="000000"/>
              </w:rPr>
              <w:t>133</w:t>
            </w:r>
          </w:p>
        </w:tc>
        <w:tc>
          <w:tcPr>
            <w:tcW w:w="960" w:type="dxa"/>
            <w:shd w:val="clear" w:color="auto" w:fill="auto"/>
            <w:noWrap/>
            <w:vAlign w:val="center"/>
            <w:hideMark/>
          </w:tcPr>
          <w:p w14:paraId="1FD2B885" w14:textId="37A214C0" w:rsidR="00A0287B" w:rsidRPr="00F2138F" w:rsidRDefault="00A0287B" w:rsidP="00A0287B">
            <w:pPr>
              <w:widowControl/>
              <w:autoSpaceDE/>
              <w:autoSpaceDN/>
              <w:jc w:val="center"/>
              <w:rPr>
                <w:rFonts w:asciiTheme="minorHAnsi" w:eastAsia="Times New Roman" w:hAnsiTheme="minorHAnsi"/>
                <w:color w:val="000000"/>
                <w:sz w:val="22"/>
                <w:szCs w:val="22"/>
              </w:rPr>
            </w:pPr>
            <w:r w:rsidRPr="00F2138F">
              <w:rPr>
                <w:rFonts w:cs="Calibri"/>
                <w:color w:val="000000"/>
              </w:rPr>
              <w:t>104</w:t>
            </w:r>
          </w:p>
        </w:tc>
        <w:tc>
          <w:tcPr>
            <w:tcW w:w="960" w:type="dxa"/>
            <w:shd w:val="clear" w:color="auto" w:fill="auto"/>
            <w:noWrap/>
            <w:vAlign w:val="bottom"/>
            <w:hideMark/>
          </w:tcPr>
          <w:p w14:paraId="71FD9C2E" w14:textId="6453C811" w:rsidR="00A0287B" w:rsidRPr="008440BF" w:rsidRDefault="79FDBB9E" w:rsidP="306DA086">
            <w:pPr>
              <w:widowControl/>
              <w:autoSpaceDE/>
              <w:autoSpaceDN/>
              <w:jc w:val="center"/>
              <w:rPr>
                <w:rFonts w:asciiTheme="minorHAnsi" w:eastAsia="Times New Roman" w:hAnsiTheme="minorHAnsi"/>
                <w:color w:val="000000"/>
                <w:sz w:val="22"/>
                <w:szCs w:val="22"/>
              </w:rPr>
            </w:pPr>
            <w:r w:rsidRPr="306DA086">
              <w:rPr>
                <w:rFonts w:asciiTheme="minorHAnsi" w:eastAsia="Times New Roman" w:hAnsiTheme="minorHAnsi"/>
                <w:color w:val="000000" w:themeColor="text1"/>
                <w:sz w:val="22"/>
                <w:szCs w:val="22"/>
              </w:rPr>
              <w:t>1</w:t>
            </w:r>
            <w:r w:rsidR="0010296D">
              <w:rPr>
                <w:rFonts w:asciiTheme="minorHAnsi" w:eastAsia="Times New Roman" w:hAnsiTheme="minorHAnsi"/>
                <w:color w:val="000000" w:themeColor="text1"/>
                <w:sz w:val="22"/>
                <w:szCs w:val="22"/>
              </w:rPr>
              <w:t>09</w:t>
            </w:r>
          </w:p>
        </w:tc>
      </w:tr>
      <w:tr w:rsidR="00F2138F" w:rsidRPr="008440BF" w14:paraId="136F6A74" w14:textId="77777777" w:rsidTr="00AC2910">
        <w:trPr>
          <w:cantSplit/>
          <w:trHeight w:val="300"/>
          <w:jc w:val="center"/>
        </w:trPr>
        <w:tc>
          <w:tcPr>
            <w:tcW w:w="1684" w:type="dxa"/>
            <w:shd w:val="clear" w:color="auto" w:fill="D9E1F2"/>
            <w:noWrap/>
            <w:vAlign w:val="center"/>
            <w:hideMark/>
          </w:tcPr>
          <w:p w14:paraId="0678E827" w14:textId="77777777" w:rsidR="00F2138F" w:rsidRPr="008440BF" w:rsidRDefault="00F2138F" w:rsidP="00F2138F">
            <w:pPr>
              <w:widowControl/>
              <w:autoSpaceDE/>
              <w:autoSpaceDN/>
              <w:rPr>
                <w:rFonts w:asciiTheme="minorHAnsi" w:eastAsia="Times New Roman" w:hAnsiTheme="minorHAnsi"/>
                <w:color w:val="000000"/>
                <w:sz w:val="22"/>
                <w:szCs w:val="22"/>
              </w:rPr>
            </w:pPr>
            <w:r w:rsidRPr="008440BF">
              <w:rPr>
                <w:rFonts w:asciiTheme="minorHAnsi" w:eastAsia="Times New Roman" w:hAnsiTheme="minorHAnsi"/>
                <w:color w:val="000000"/>
                <w:sz w:val="22"/>
                <w:szCs w:val="22"/>
              </w:rPr>
              <w:t>General/Other</w:t>
            </w:r>
          </w:p>
        </w:tc>
        <w:tc>
          <w:tcPr>
            <w:tcW w:w="960" w:type="dxa"/>
            <w:shd w:val="clear" w:color="auto" w:fill="auto"/>
            <w:noWrap/>
            <w:vAlign w:val="center"/>
            <w:hideMark/>
          </w:tcPr>
          <w:p w14:paraId="676EE181" w14:textId="3A23A827"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71</w:t>
            </w:r>
          </w:p>
        </w:tc>
        <w:tc>
          <w:tcPr>
            <w:tcW w:w="960" w:type="dxa"/>
            <w:shd w:val="clear" w:color="auto" w:fill="auto"/>
            <w:vAlign w:val="center"/>
            <w:hideMark/>
          </w:tcPr>
          <w:p w14:paraId="23CDFAB1" w14:textId="2C3CBAF2"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56</w:t>
            </w:r>
          </w:p>
        </w:tc>
        <w:tc>
          <w:tcPr>
            <w:tcW w:w="960" w:type="dxa"/>
            <w:shd w:val="clear" w:color="auto" w:fill="auto"/>
            <w:noWrap/>
            <w:vAlign w:val="center"/>
            <w:hideMark/>
          </w:tcPr>
          <w:p w14:paraId="30171033" w14:textId="034B6135"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88</w:t>
            </w:r>
          </w:p>
        </w:tc>
        <w:tc>
          <w:tcPr>
            <w:tcW w:w="960" w:type="dxa"/>
            <w:shd w:val="clear" w:color="auto" w:fill="auto"/>
            <w:noWrap/>
            <w:vAlign w:val="center"/>
            <w:hideMark/>
          </w:tcPr>
          <w:p w14:paraId="7FD53B55" w14:textId="68CB1612"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83</w:t>
            </w:r>
          </w:p>
        </w:tc>
        <w:tc>
          <w:tcPr>
            <w:tcW w:w="960" w:type="dxa"/>
            <w:shd w:val="clear" w:color="auto" w:fill="auto"/>
            <w:noWrap/>
            <w:vAlign w:val="center"/>
            <w:hideMark/>
          </w:tcPr>
          <w:p w14:paraId="32521EAC" w14:textId="3AE5A02A"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103</w:t>
            </w:r>
          </w:p>
        </w:tc>
      </w:tr>
      <w:tr w:rsidR="00F2138F" w:rsidRPr="008440BF" w14:paraId="3E4847A3" w14:textId="77777777" w:rsidTr="00AC2910">
        <w:trPr>
          <w:cantSplit/>
          <w:trHeight w:val="300"/>
          <w:jc w:val="center"/>
        </w:trPr>
        <w:tc>
          <w:tcPr>
            <w:tcW w:w="1684" w:type="dxa"/>
            <w:shd w:val="clear" w:color="auto" w:fill="D9E1F2"/>
            <w:noWrap/>
            <w:vAlign w:val="center"/>
            <w:hideMark/>
          </w:tcPr>
          <w:p w14:paraId="34539FEF" w14:textId="77777777" w:rsidR="00F2138F" w:rsidRPr="008440BF" w:rsidRDefault="00F2138F" w:rsidP="00F2138F">
            <w:pPr>
              <w:widowControl/>
              <w:autoSpaceDE/>
              <w:autoSpaceDN/>
              <w:rPr>
                <w:rFonts w:asciiTheme="minorHAnsi" w:eastAsia="Times New Roman" w:hAnsiTheme="minorHAnsi"/>
                <w:color w:val="000000"/>
                <w:sz w:val="22"/>
                <w:szCs w:val="22"/>
              </w:rPr>
            </w:pPr>
            <w:r w:rsidRPr="008440BF">
              <w:rPr>
                <w:rFonts w:asciiTheme="minorHAnsi" w:eastAsia="Times New Roman" w:hAnsiTheme="minorHAnsi"/>
                <w:color w:val="000000"/>
                <w:sz w:val="22"/>
                <w:szCs w:val="22"/>
              </w:rPr>
              <w:t>Hand</w:t>
            </w:r>
          </w:p>
        </w:tc>
        <w:tc>
          <w:tcPr>
            <w:tcW w:w="960" w:type="dxa"/>
            <w:shd w:val="clear" w:color="auto" w:fill="auto"/>
            <w:noWrap/>
            <w:vAlign w:val="center"/>
            <w:hideMark/>
          </w:tcPr>
          <w:p w14:paraId="072B6BB8" w14:textId="0705DF04"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730</w:t>
            </w:r>
          </w:p>
        </w:tc>
        <w:tc>
          <w:tcPr>
            <w:tcW w:w="960" w:type="dxa"/>
            <w:shd w:val="clear" w:color="auto" w:fill="auto"/>
            <w:vAlign w:val="center"/>
            <w:hideMark/>
          </w:tcPr>
          <w:p w14:paraId="27D027CB" w14:textId="185E89B1"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624</w:t>
            </w:r>
          </w:p>
        </w:tc>
        <w:tc>
          <w:tcPr>
            <w:tcW w:w="960" w:type="dxa"/>
            <w:shd w:val="clear" w:color="auto" w:fill="auto"/>
            <w:noWrap/>
            <w:vAlign w:val="center"/>
            <w:hideMark/>
          </w:tcPr>
          <w:p w14:paraId="77936831" w14:textId="1C14C866"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750</w:t>
            </w:r>
          </w:p>
        </w:tc>
        <w:tc>
          <w:tcPr>
            <w:tcW w:w="960" w:type="dxa"/>
            <w:shd w:val="clear" w:color="auto" w:fill="auto"/>
            <w:noWrap/>
            <w:vAlign w:val="center"/>
            <w:hideMark/>
          </w:tcPr>
          <w:p w14:paraId="6D110AA5" w14:textId="619441E1"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753</w:t>
            </w:r>
          </w:p>
        </w:tc>
        <w:tc>
          <w:tcPr>
            <w:tcW w:w="960" w:type="dxa"/>
            <w:shd w:val="clear" w:color="auto" w:fill="auto"/>
            <w:noWrap/>
            <w:vAlign w:val="center"/>
            <w:hideMark/>
          </w:tcPr>
          <w:p w14:paraId="41D25D0B" w14:textId="6AC5E618"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744</w:t>
            </w:r>
          </w:p>
        </w:tc>
      </w:tr>
      <w:tr w:rsidR="00F2138F" w:rsidRPr="008440BF" w14:paraId="4AFE398F" w14:textId="77777777" w:rsidTr="00AC2910">
        <w:trPr>
          <w:cantSplit/>
          <w:trHeight w:val="300"/>
          <w:jc w:val="center"/>
        </w:trPr>
        <w:tc>
          <w:tcPr>
            <w:tcW w:w="1684" w:type="dxa"/>
            <w:shd w:val="clear" w:color="auto" w:fill="D9E1F2"/>
            <w:noWrap/>
            <w:vAlign w:val="center"/>
            <w:hideMark/>
          </w:tcPr>
          <w:p w14:paraId="75F10D7B" w14:textId="77777777" w:rsidR="00F2138F" w:rsidRPr="008440BF" w:rsidRDefault="00F2138F" w:rsidP="00F2138F">
            <w:pPr>
              <w:widowControl/>
              <w:autoSpaceDE/>
              <w:autoSpaceDN/>
              <w:rPr>
                <w:rFonts w:asciiTheme="minorHAnsi" w:eastAsia="Times New Roman" w:hAnsiTheme="minorHAnsi"/>
                <w:color w:val="000000"/>
                <w:sz w:val="22"/>
                <w:szCs w:val="22"/>
              </w:rPr>
            </w:pPr>
            <w:r w:rsidRPr="008440BF">
              <w:rPr>
                <w:rFonts w:asciiTheme="minorHAnsi" w:eastAsia="Times New Roman" w:hAnsiTheme="minorHAnsi"/>
                <w:color w:val="000000"/>
                <w:sz w:val="22"/>
                <w:szCs w:val="22"/>
              </w:rPr>
              <w:t>Joint Replacement</w:t>
            </w:r>
          </w:p>
        </w:tc>
        <w:tc>
          <w:tcPr>
            <w:tcW w:w="960" w:type="dxa"/>
            <w:shd w:val="clear" w:color="auto" w:fill="auto"/>
            <w:noWrap/>
            <w:vAlign w:val="center"/>
            <w:hideMark/>
          </w:tcPr>
          <w:p w14:paraId="3B9F1CA6" w14:textId="234706BB"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28</w:t>
            </w:r>
          </w:p>
        </w:tc>
        <w:tc>
          <w:tcPr>
            <w:tcW w:w="960" w:type="dxa"/>
            <w:shd w:val="clear" w:color="auto" w:fill="auto"/>
            <w:vAlign w:val="center"/>
            <w:hideMark/>
          </w:tcPr>
          <w:p w14:paraId="621AD49C" w14:textId="70B49926"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220</w:t>
            </w:r>
          </w:p>
        </w:tc>
        <w:tc>
          <w:tcPr>
            <w:tcW w:w="960" w:type="dxa"/>
            <w:shd w:val="clear" w:color="auto" w:fill="auto"/>
            <w:noWrap/>
            <w:vAlign w:val="center"/>
            <w:hideMark/>
          </w:tcPr>
          <w:p w14:paraId="3A5B4960" w14:textId="37CF4587"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493</w:t>
            </w:r>
          </w:p>
        </w:tc>
        <w:tc>
          <w:tcPr>
            <w:tcW w:w="960" w:type="dxa"/>
            <w:shd w:val="clear" w:color="auto" w:fill="auto"/>
            <w:noWrap/>
            <w:vAlign w:val="center"/>
            <w:hideMark/>
          </w:tcPr>
          <w:p w14:paraId="5B1AC682" w14:textId="780E31DF"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644</w:t>
            </w:r>
          </w:p>
        </w:tc>
        <w:tc>
          <w:tcPr>
            <w:tcW w:w="960" w:type="dxa"/>
            <w:shd w:val="clear" w:color="auto" w:fill="auto"/>
            <w:noWrap/>
            <w:vAlign w:val="center"/>
            <w:hideMark/>
          </w:tcPr>
          <w:p w14:paraId="2D3E52E0" w14:textId="6C37141C"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846</w:t>
            </w:r>
          </w:p>
        </w:tc>
      </w:tr>
      <w:tr w:rsidR="00F2138F" w:rsidRPr="008440BF" w14:paraId="5F43B175" w14:textId="77777777" w:rsidTr="00AC2910">
        <w:trPr>
          <w:cantSplit/>
          <w:trHeight w:val="300"/>
          <w:jc w:val="center"/>
        </w:trPr>
        <w:tc>
          <w:tcPr>
            <w:tcW w:w="1684" w:type="dxa"/>
            <w:shd w:val="clear" w:color="auto" w:fill="D9E1F2"/>
            <w:noWrap/>
            <w:vAlign w:val="center"/>
            <w:hideMark/>
          </w:tcPr>
          <w:p w14:paraId="15F30928" w14:textId="77777777" w:rsidR="00F2138F" w:rsidRPr="008440BF" w:rsidRDefault="00F2138F" w:rsidP="00F2138F">
            <w:pPr>
              <w:widowControl/>
              <w:autoSpaceDE/>
              <w:autoSpaceDN/>
              <w:rPr>
                <w:rFonts w:asciiTheme="minorHAnsi" w:eastAsia="Times New Roman" w:hAnsiTheme="minorHAnsi"/>
                <w:color w:val="000000"/>
                <w:sz w:val="22"/>
                <w:szCs w:val="22"/>
              </w:rPr>
            </w:pPr>
            <w:r w:rsidRPr="008440BF">
              <w:rPr>
                <w:rFonts w:asciiTheme="minorHAnsi" w:eastAsia="Times New Roman" w:hAnsiTheme="minorHAnsi"/>
                <w:color w:val="000000"/>
                <w:sz w:val="22"/>
                <w:szCs w:val="22"/>
              </w:rPr>
              <w:t>Joint Arthroscopy</w:t>
            </w:r>
          </w:p>
        </w:tc>
        <w:tc>
          <w:tcPr>
            <w:tcW w:w="960" w:type="dxa"/>
            <w:shd w:val="clear" w:color="auto" w:fill="auto"/>
            <w:noWrap/>
            <w:vAlign w:val="center"/>
            <w:hideMark/>
          </w:tcPr>
          <w:p w14:paraId="27B2EDB8" w14:textId="2098186E"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405</w:t>
            </w:r>
          </w:p>
        </w:tc>
        <w:tc>
          <w:tcPr>
            <w:tcW w:w="960" w:type="dxa"/>
            <w:shd w:val="clear" w:color="auto" w:fill="auto"/>
            <w:vAlign w:val="center"/>
            <w:hideMark/>
          </w:tcPr>
          <w:p w14:paraId="16566970" w14:textId="312767EC"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340</w:t>
            </w:r>
          </w:p>
        </w:tc>
        <w:tc>
          <w:tcPr>
            <w:tcW w:w="960" w:type="dxa"/>
            <w:shd w:val="clear" w:color="auto" w:fill="auto"/>
            <w:noWrap/>
            <w:vAlign w:val="center"/>
            <w:hideMark/>
          </w:tcPr>
          <w:p w14:paraId="0C17AD01" w14:textId="301E74B1"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375</w:t>
            </w:r>
          </w:p>
        </w:tc>
        <w:tc>
          <w:tcPr>
            <w:tcW w:w="960" w:type="dxa"/>
            <w:shd w:val="clear" w:color="auto" w:fill="auto"/>
            <w:noWrap/>
            <w:vAlign w:val="center"/>
            <w:hideMark/>
          </w:tcPr>
          <w:p w14:paraId="0354C580" w14:textId="27F7EC41"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400</w:t>
            </w:r>
          </w:p>
        </w:tc>
        <w:tc>
          <w:tcPr>
            <w:tcW w:w="960" w:type="dxa"/>
            <w:shd w:val="clear" w:color="auto" w:fill="auto"/>
            <w:noWrap/>
            <w:vAlign w:val="center"/>
            <w:hideMark/>
          </w:tcPr>
          <w:p w14:paraId="66297393" w14:textId="077ED898"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379</w:t>
            </w:r>
          </w:p>
        </w:tc>
      </w:tr>
      <w:tr w:rsidR="00F2138F" w:rsidRPr="008440BF" w14:paraId="31190B58" w14:textId="77777777" w:rsidTr="00AC2910">
        <w:trPr>
          <w:cantSplit/>
          <w:trHeight w:val="300"/>
          <w:jc w:val="center"/>
        </w:trPr>
        <w:tc>
          <w:tcPr>
            <w:tcW w:w="1684" w:type="dxa"/>
            <w:shd w:val="clear" w:color="auto" w:fill="D9E1F2"/>
            <w:noWrap/>
            <w:vAlign w:val="center"/>
            <w:hideMark/>
          </w:tcPr>
          <w:p w14:paraId="42FBCB4B" w14:textId="77777777" w:rsidR="00F2138F" w:rsidRPr="008440BF" w:rsidRDefault="00F2138F" w:rsidP="00F2138F">
            <w:pPr>
              <w:widowControl/>
              <w:autoSpaceDE/>
              <w:autoSpaceDN/>
              <w:rPr>
                <w:rFonts w:asciiTheme="minorHAnsi" w:eastAsia="Times New Roman" w:hAnsiTheme="minorHAnsi"/>
                <w:color w:val="000000"/>
                <w:sz w:val="22"/>
                <w:szCs w:val="22"/>
              </w:rPr>
            </w:pPr>
            <w:r w:rsidRPr="008440BF">
              <w:rPr>
                <w:rFonts w:asciiTheme="minorHAnsi" w:eastAsia="Times New Roman" w:hAnsiTheme="minorHAnsi"/>
                <w:color w:val="000000"/>
                <w:sz w:val="22"/>
                <w:szCs w:val="22"/>
              </w:rPr>
              <w:t>Spine</w:t>
            </w:r>
          </w:p>
        </w:tc>
        <w:tc>
          <w:tcPr>
            <w:tcW w:w="960" w:type="dxa"/>
            <w:shd w:val="clear" w:color="auto" w:fill="auto"/>
            <w:noWrap/>
            <w:vAlign w:val="center"/>
            <w:hideMark/>
          </w:tcPr>
          <w:p w14:paraId="50B2C467" w14:textId="16AB9922"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107</w:t>
            </w:r>
          </w:p>
        </w:tc>
        <w:tc>
          <w:tcPr>
            <w:tcW w:w="960" w:type="dxa"/>
            <w:shd w:val="clear" w:color="auto" w:fill="auto"/>
            <w:vAlign w:val="center"/>
            <w:hideMark/>
          </w:tcPr>
          <w:p w14:paraId="75257A2F" w14:textId="2B1C5AF7"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98</w:t>
            </w:r>
          </w:p>
        </w:tc>
        <w:tc>
          <w:tcPr>
            <w:tcW w:w="960" w:type="dxa"/>
            <w:shd w:val="clear" w:color="auto" w:fill="auto"/>
            <w:noWrap/>
            <w:vAlign w:val="center"/>
            <w:hideMark/>
          </w:tcPr>
          <w:p w14:paraId="39CD43F4" w14:textId="1D7B49CA"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159</w:t>
            </w:r>
          </w:p>
        </w:tc>
        <w:tc>
          <w:tcPr>
            <w:tcW w:w="960" w:type="dxa"/>
            <w:shd w:val="clear" w:color="auto" w:fill="auto"/>
            <w:noWrap/>
            <w:vAlign w:val="center"/>
            <w:hideMark/>
          </w:tcPr>
          <w:p w14:paraId="12B4AA41" w14:textId="481DA34B"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194</w:t>
            </w:r>
          </w:p>
        </w:tc>
        <w:tc>
          <w:tcPr>
            <w:tcW w:w="960" w:type="dxa"/>
            <w:shd w:val="clear" w:color="auto" w:fill="auto"/>
            <w:noWrap/>
            <w:vAlign w:val="center"/>
            <w:hideMark/>
          </w:tcPr>
          <w:p w14:paraId="37F44573" w14:textId="6A3693D8"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150</w:t>
            </w:r>
          </w:p>
        </w:tc>
      </w:tr>
      <w:tr w:rsidR="00F2138F" w:rsidRPr="008440BF" w14:paraId="74E7A43F" w14:textId="77777777" w:rsidTr="00AC2910">
        <w:trPr>
          <w:cantSplit/>
          <w:trHeight w:val="300"/>
          <w:jc w:val="center"/>
        </w:trPr>
        <w:tc>
          <w:tcPr>
            <w:tcW w:w="1684" w:type="dxa"/>
            <w:shd w:val="clear" w:color="auto" w:fill="D9E1F2"/>
            <w:noWrap/>
            <w:vAlign w:val="center"/>
            <w:hideMark/>
          </w:tcPr>
          <w:p w14:paraId="28D4FC26" w14:textId="77777777" w:rsidR="00F2138F" w:rsidRPr="008440BF" w:rsidRDefault="00F2138F" w:rsidP="00F2138F">
            <w:pPr>
              <w:widowControl/>
              <w:autoSpaceDE/>
              <w:autoSpaceDN/>
              <w:rPr>
                <w:rFonts w:asciiTheme="minorHAnsi" w:eastAsia="Times New Roman" w:hAnsiTheme="minorHAnsi"/>
                <w:color w:val="000000"/>
                <w:sz w:val="22"/>
                <w:szCs w:val="22"/>
              </w:rPr>
            </w:pPr>
            <w:r w:rsidRPr="008440BF">
              <w:rPr>
                <w:rFonts w:asciiTheme="minorHAnsi" w:eastAsia="Times New Roman" w:hAnsiTheme="minorHAnsi"/>
                <w:color w:val="000000"/>
                <w:sz w:val="22"/>
                <w:szCs w:val="22"/>
              </w:rPr>
              <w:t>Trauma</w:t>
            </w:r>
          </w:p>
        </w:tc>
        <w:tc>
          <w:tcPr>
            <w:tcW w:w="960" w:type="dxa"/>
            <w:shd w:val="clear" w:color="auto" w:fill="auto"/>
            <w:noWrap/>
            <w:vAlign w:val="center"/>
            <w:hideMark/>
          </w:tcPr>
          <w:p w14:paraId="0DD9F4BB" w14:textId="39E56622"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41</w:t>
            </w:r>
          </w:p>
        </w:tc>
        <w:tc>
          <w:tcPr>
            <w:tcW w:w="960" w:type="dxa"/>
            <w:shd w:val="clear" w:color="auto" w:fill="auto"/>
            <w:vAlign w:val="center"/>
            <w:hideMark/>
          </w:tcPr>
          <w:p w14:paraId="7D8E62E0" w14:textId="4E1F241A"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60</w:t>
            </w:r>
          </w:p>
        </w:tc>
        <w:tc>
          <w:tcPr>
            <w:tcW w:w="960" w:type="dxa"/>
            <w:shd w:val="clear" w:color="auto" w:fill="auto"/>
            <w:noWrap/>
            <w:vAlign w:val="center"/>
            <w:hideMark/>
          </w:tcPr>
          <w:p w14:paraId="5A742D60" w14:textId="00B7BFA5"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54</w:t>
            </w:r>
          </w:p>
        </w:tc>
        <w:tc>
          <w:tcPr>
            <w:tcW w:w="960" w:type="dxa"/>
            <w:shd w:val="clear" w:color="auto" w:fill="auto"/>
            <w:noWrap/>
            <w:vAlign w:val="center"/>
            <w:hideMark/>
          </w:tcPr>
          <w:p w14:paraId="35FD9B69" w14:textId="219D4D46"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41</w:t>
            </w:r>
          </w:p>
        </w:tc>
        <w:tc>
          <w:tcPr>
            <w:tcW w:w="960" w:type="dxa"/>
            <w:shd w:val="clear" w:color="auto" w:fill="auto"/>
            <w:noWrap/>
            <w:vAlign w:val="center"/>
            <w:hideMark/>
          </w:tcPr>
          <w:p w14:paraId="5D3FD552" w14:textId="105E2709" w:rsidR="00F2138F" w:rsidRPr="00F2138F" w:rsidRDefault="00F2138F" w:rsidP="00F2138F">
            <w:pPr>
              <w:widowControl/>
              <w:autoSpaceDE/>
              <w:autoSpaceDN/>
              <w:jc w:val="center"/>
              <w:rPr>
                <w:rFonts w:asciiTheme="minorHAnsi" w:eastAsia="Times New Roman" w:hAnsiTheme="minorHAnsi"/>
                <w:color w:val="000000"/>
                <w:sz w:val="22"/>
                <w:szCs w:val="22"/>
              </w:rPr>
            </w:pPr>
            <w:r w:rsidRPr="00F2138F">
              <w:rPr>
                <w:rFonts w:cs="Calibri"/>
                <w:color w:val="000000"/>
              </w:rPr>
              <w:t>43</w:t>
            </w:r>
          </w:p>
        </w:tc>
      </w:tr>
      <w:tr w:rsidR="00F2138F" w:rsidRPr="008440BF" w14:paraId="421FF2BC" w14:textId="77777777" w:rsidTr="00AC2910">
        <w:trPr>
          <w:cantSplit/>
          <w:trHeight w:val="300"/>
          <w:jc w:val="center"/>
        </w:trPr>
        <w:tc>
          <w:tcPr>
            <w:tcW w:w="1684" w:type="dxa"/>
            <w:shd w:val="clear" w:color="auto" w:fill="D9E1F2"/>
            <w:noWrap/>
            <w:vAlign w:val="center"/>
            <w:hideMark/>
          </w:tcPr>
          <w:p w14:paraId="7594EF95" w14:textId="77777777" w:rsidR="00F2138F" w:rsidRPr="008440BF" w:rsidRDefault="00F2138F" w:rsidP="00F2138F">
            <w:pPr>
              <w:widowControl/>
              <w:autoSpaceDE/>
              <w:autoSpaceDN/>
              <w:rPr>
                <w:rFonts w:asciiTheme="minorHAnsi" w:eastAsia="Times New Roman" w:hAnsiTheme="minorHAnsi"/>
                <w:b/>
                <w:bCs/>
                <w:color w:val="0563C1"/>
                <w:sz w:val="22"/>
                <w:szCs w:val="22"/>
                <w:u w:val="single"/>
              </w:rPr>
            </w:pPr>
            <w:r w:rsidRPr="008440BF">
              <w:rPr>
                <w:rFonts w:asciiTheme="minorHAnsi" w:eastAsia="Times New Roman" w:hAnsiTheme="minorHAnsi"/>
                <w:b/>
                <w:bCs/>
                <w:color w:val="000000"/>
                <w:sz w:val="22"/>
                <w:szCs w:val="22"/>
              </w:rPr>
              <w:lastRenderedPageBreak/>
              <w:footnoteReference w:customMarkFollows="1" w:id="17"/>
              <w:t>Total</w:t>
            </w:r>
          </w:p>
        </w:tc>
        <w:tc>
          <w:tcPr>
            <w:tcW w:w="960" w:type="dxa"/>
            <w:shd w:val="clear" w:color="auto" w:fill="auto"/>
            <w:noWrap/>
            <w:vAlign w:val="center"/>
            <w:hideMark/>
          </w:tcPr>
          <w:p w14:paraId="6DB81A24" w14:textId="074ED9B3" w:rsidR="00F2138F" w:rsidRPr="008440BF" w:rsidRDefault="00F2138F" w:rsidP="00F2138F">
            <w:pPr>
              <w:widowControl/>
              <w:autoSpaceDE/>
              <w:autoSpaceDN/>
              <w:jc w:val="center"/>
              <w:rPr>
                <w:rFonts w:asciiTheme="minorHAnsi" w:eastAsia="Times New Roman" w:hAnsiTheme="minorHAnsi"/>
                <w:b/>
                <w:bCs/>
                <w:color w:val="000000"/>
                <w:sz w:val="22"/>
                <w:szCs w:val="22"/>
              </w:rPr>
            </w:pPr>
            <w:r>
              <w:rPr>
                <w:rFonts w:cs="Calibri"/>
                <w:b/>
                <w:bCs/>
                <w:color w:val="000000"/>
              </w:rPr>
              <w:t>1546</w:t>
            </w:r>
          </w:p>
        </w:tc>
        <w:tc>
          <w:tcPr>
            <w:tcW w:w="960" w:type="dxa"/>
            <w:shd w:val="clear" w:color="auto" w:fill="auto"/>
            <w:vAlign w:val="center"/>
            <w:hideMark/>
          </w:tcPr>
          <w:p w14:paraId="4ACFD063" w14:textId="1DE759AD" w:rsidR="00F2138F" w:rsidRPr="008440BF" w:rsidRDefault="00F2138F" w:rsidP="00F2138F">
            <w:pPr>
              <w:widowControl/>
              <w:autoSpaceDE/>
              <w:autoSpaceDN/>
              <w:jc w:val="center"/>
              <w:rPr>
                <w:rFonts w:asciiTheme="minorHAnsi" w:eastAsia="Times New Roman" w:hAnsiTheme="minorHAnsi"/>
                <w:b/>
                <w:bCs/>
                <w:color w:val="000000"/>
                <w:sz w:val="22"/>
                <w:szCs w:val="22"/>
              </w:rPr>
            </w:pPr>
            <w:r>
              <w:rPr>
                <w:rFonts w:cs="Calibri"/>
                <w:b/>
                <w:bCs/>
                <w:color w:val="000000"/>
              </w:rPr>
              <w:t>1558</w:t>
            </w:r>
          </w:p>
        </w:tc>
        <w:tc>
          <w:tcPr>
            <w:tcW w:w="960" w:type="dxa"/>
            <w:shd w:val="clear" w:color="auto" w:fill="auto"/>
            <w:noWrap/>
            <w:vAlign w:val="center"/>
            <w:hideMark/>
          </w:tcPr>
          <w:p w14:paraId="217A42CE" w14:textId="3D3D00CA" w:rsidR="00F2138F" w:rsidRPr="008440BF" w:rsidRDefault="00F2138F" w:rsidP="00F2138F">
            <w:pPr>
              <w:widowControl/>
              <w:autoSpaceDE/>
              <w:autoSpaceDN/>
              <w:jc w:val="center"/>
              <w:rPr>
                <w:rFonts w:asciiTheme="minorHAnsi" w:eastAsia="Times New Roman" w:hAnsiTheme="minorHAnsi"/>
                <w:b/>
                <w:bCs/>
                <w:color w:val="000000"/>
                <w:sz w:val="22"/>
                <w:szCs w:val="22"/>
              </w:rPr>
            </w:pPr>
            <w:r>
              <w:rPr>
                <w:rFonts w:cs="Calibri"/>
                <w:b/>
                <w:bCs/>
                <w:color w:val="000000"/>
              </w:rPr>
              <w:t>2052</w:t>
            </w:r>
          </w:p>
        </w:tc>
        <w:tc>
          <w:tcPr>
            <w:tcW w:w="960" w:type="dxa"/>
            <w:shd w:val="clear" w:color="auto" w:fill="auto"/>
            <w:noWrap/>
            <w:vAlign w:val="center"/>
            <w:hideMark/>
          </w:tcPr>
          <w:p w14:paraId="6A618E55" w14:textId="5E91E9E1" w:rsidR="00F2138F" w:rsidRPr="008440BF" w:rsidRDefault="00F2138F" w:rsidP="00F2138F">
            <w:pPr>
              <w:widowControl/>
              <w:autoSpaceDE/>
              <w:autoSpaceDN/>
              <w:jc w:val="center"/>
              <w:rPr>
                <w:rFonts w:asciiTheme="minorHAnsi" w:eastAsia="Times New Roman" w:hAnsiTheme="minorHAnsi"/>
                <w:b/>
                <w:bCs/>
                <w:color w:val="000000"/>
                <w:sz w:val="22"/>
                <w:szCs w:val="22"/>
              </w:rPr>
            </w:pPr>
            <w:r>
              <w:rPr>
                <w:rFonts w:cs="Calibri"/>
                <w:b/>
                <w:bCs/>
                <w:color w:val="000000"/>
              </w:rPr>
              <w:t>2219</w:t>
            </w:r>
          </w:p>
        </w:tc>
        <w:tc>
          <w:tcPr>
            <w:tcW w:w="960" w:type="dxa"/>
            <w:shd w:val="clear" w:color="auto" w:fill="auto"/>
            <w:noWrap/>
            <w:vAlign w:val="center"/>
            <w:hideMark/>
          </w:tcPr>
          <w:p w14:paraId="3B9E473E" w14:textId="79A1191E" w:rsidR="00F2138F" w:rsidRPr="008440BF" w:rsidRDefault="00F2138F" w:rsidP="00F2138F">
            <w:pPr>
              <w:widowControl/>
              <w:autoSpaceDE/>
              <w:autoSpaceDN/>
              <w:jc w:val="center"/>
              <w:rPr>
                <w:rFonts w:asciiTheme="minorHAnsi" w:eastAsia="Times New Roman" w:hAnsiTheme="minorHAnsi"/>
                <w:b/>
                <w:bCs/>
                <w:color w:val="000000"/>
                <w:sz w:val="22"/>
                <w:szCs w:val="22"/>
              </w:rPr>
            </w:pPr>
            <w:r>
              <w:rPr>
                <w:rFonts w:cs="Calibri"/>
                <w:b/>
                <w:bCs/>
                <w:color w:val="000000"/>
              </w:rPr>
              <w:t>2265</w:t>
            </w:r>
          </w:p>
        </w:tc>
      </w:tr>
    </w:tbl>
    <w:p w14:paraId="5EAFEEA3" w14:textId="77777777" w:rsidR="007332ED" w:rsidRPr="008440BF" w:rsidRDefault="007332ED" w:rsidP="007332ED">
      <w:pPr>
        <w:spacing w:before="120" w:after="120"/>
        <w:rPr>
          <w:rFonts w:asciiTheme="minorHAnsi" w:hAnsiTheme="minorHAnsi"/>
          <w:szCs w:val="24"/>
        </w:rPr>
      </w:pPr>
    </w:p>
    <w:p w14:paraId="721B003A" w14:textId="6663120A" w:rsidR="007332ED" w:rsidRPr="00B619B2" w:rsidRDefault="001A21D8" w:rsidP="306DA086">
      <w:pPr>
        <w:spacing w:before="120" w:after="120"/>
        <w:rPr>
          <w:rFonts w:cs="Calibri"/>
        </w:rPr>
      </w:pPr>
      <w:bookmarkStart w:id="7" w:name="_Hlk123807372"/>
      <w:bookmarkStart w:id="8" w:name="_Hlk109309331"/>
      <w:r w:rsidRPr="00B619B2">
        <w:rPr>
          <w:rFonts w:cs="Calibri"/>
        </w:rPr>
        <w:t>The Applicant</w:t>
      </w:r>
      <w:r w:rsidR="00B34C09" w:rsidRPr="00B619B2">
        <w:rPr>
          <w:rFonts w:cs="Calibri"/>
        </w:rPr>
        <w:t xml:space="preserve"> determined</w:t>
      </w:r>
      <w:r w:rsidR="001E6510" w:rsidRPr="00B619B2">
        <w:rPr>
          <w:rFonts w:cs="Calibri"/>
        </w:rPr>
        <w:t xml:space="preserve"> that</w:t>
      </w:r>
      <w:r w:rsidRPr="00B619B2">
        <w:rPr>
          <w:rFonts w:cs="Calibri"/>
        </w:rPr>
        <w:t xml:space="preserve"> approximately 83% of orthopedic cases performed at </w:t>
      </w:r>
      <w:r w:rsidR="001E6510" w:rsidRPr="00B619B2">
        <w:rPr>
          <w:rFonts w:cs="Calibri"/>
        </w:rPr>
        <w:t>BID Plymouth</w:t>
      </w:r>
      <w:r w:rsidRPr="00B619B2">
        <w:rPr>
          <w:rFonts w:cs="Calibri"/>
        </w:rPr>
        <w:t xml:space="preserve"> in FY2022 could have been performed at the ASC</w:t>
      </w:r>
      <w:r w:rsidR="00B34C09" w:rsidRPr="00B619B2">
        <w:rPr>
          <w:rFonts w:cs="Calibri"/>
        </w:rPr>
        <w:t>,</w:t>
      </w:r>
      <w:r w:rsidRPr="00B619B2">
        <w:rPr>
          <w:rFonts w:cs="Calibri"/>
        </w:rPr>
        <w:t xml:space="preserve"> and </w:t>
      </w:r>
      <w:r w:rsidR="0003122D" w:rsidRPr="00B619B2">
        <w:rPr>
          <w:rFonts w:cs="Calibri"/>
        </w:rPr>
        <w:t xml:space="preserve">the Applicant </w:t>
      </w:r>
      <w:r w:rsidR="004F6812" w:rsidRPr="00B619B2">
        <w:rPr>
          <w:rFonts w:cs="Calibri"/>
        </w:rPr>
        <w:t>projects</w:t>
      </w:r>
      <w:r w:rsidR="0003122D" w:rsidRPr="00B619B2">
        <w:rPr>
          <w:rFonts w:cs="Calibri"/>
        </w:rPr>
        <w:t xml:space="preserve"> that </w:t>
      </w:r>
      <w:r w:rsidRPr="00B619B2">
        <w:rPr>
          <w:rFonts w:cs="Calibri"/>
        </w:rPr>
        <w:t xml:space="preserve">this volume will shift </w:t>
      </w:r>
      <w:r w:rsidR="0003122D" w:rsidRPr="00B619B2">
        <w:rPr>
          <w:rFonts w:cs="Calibri"/>
        </w:rPr>
        <w:t xml:space="preserve">from the HOPD to </w:t>
      </w:r>
      <w:r w:rsidR="00435FF6" w:rsidRPr="00B619B2">
        <w:rPr>
          <w:rFonts w:cs="Calibri"/>
        </w:rPr>
        <w:t xml:space="preserve">the ASC </w:t>
      </w:r>
      <w:r w:rsidRPr="00B619B2">
        <w:rPr>
          <w:rFonts w:cs="Calibri"/>
        </w:rPr>
        <w:t>once the ASC is operational.</w:t>
      </w:r>
      <w:bookmarkEnd w:id="7"/>
      <w:r w:rsidRPr="00B619B2">
        <w:rPr>
          <w:rFonts w:cs="Calibri"/>
        </w:rPr>
        <w:footnoteReference w:id="18"/>
      </w:r>
      <w:r w:rsidRPr="00B619B2">
        <w:rPr>
          <w:rFonts w:cs="Calibri"/>
        </w:rPr>
        <w:t xml:space="preserve"> The Applicant anticipates that additional volume will </w:t>
      </w:r>
      <w:r w:rsidR="004F6812" w:rsidRPr="00B619B2">
        <w:rPr>
          <w:rFonts w:cs="Calibri"/>
        </w:rPr>
        <w:t xml:space="preserve">be generated </w:t>
      </w:r>
      <w:r w:rsidRPr="00B619B2">
        <w:rPr>
          <w:rFonts w:cs="Calibri"/>
        </w:rPr>
        <w:t>from within the BILH system</w:t>
      </w:r>
      <w:r w:rsidR="004F6812" w:rsidRPr="00B619B2">
        <w:rPr>
          <w:rFonts w:cs="Calibri"/>
        </w:rPr>
        <w:t>,</w:t>
      </w:r>
      <w:r w:rsidRPr="00B619B2">
        <w:rPr>
          <w:rFonts w:cs="Calibri"/>
        </w:rPr>
        <w:t xml:space="preserve"> </w:t>
      </w:r>
      <w:r w:rsidR="00021B82" w:rsidRPr="00B619B2">
        <w:rPr>
          <w:rFonts w:cs="Calibri"/>
        </w:rPr>
        <w:t xml:space="preserve">as the ASC will present a more geographically convenient location </w:t>
      </w:r>
      <w:r w:rsidRPr="00B619B2">
        <w:rPr>
          <w:rFonts w:cs="Calibri"/>
        </w:rPr>
        <w:t xml:space="preserve">where patients in the service area historically had travelled for orthopedic surgery. </w:t>
      </w:r>
      <w:r w:rsidR="00F227D3" w:rsidRPr="00B619B2">
        <w:rPr>
          <w:rFonts w:cs="Calibri"/>
        </w:rPr>
        <w:t>In FY</w:t>
      </w:r>
      <w:r w:rsidR="00B619B2">
        <w:rPr>
          <w:rFonts w:cs="Calibri"/>
        </w:rPr>
        <w:t>20</w:t>
      </w:r>
      <w:r w:rsidR="00F227D3" w:rsidRPr="00B619B2">
        <w:rPr>
          <w:rFonts w:cs="Calibri"/>
        </w:rPr>
        <w:t>23, patients of BILH Performance Network practices in the Plymouth region traveled out of the market for orthopedic surgery to the following: South Shore Health, New England Baptist Hospital, Good Samaritan Medical Center, Cape Cod Hospital, and Brigham and Women’s Hospital.</w:t>
      </w:r>
      <w:r w:rsidR="00B619B2">
        <w:rPr>
          <w:rFonts w:cs="Calibri"/>
        </w:rPr>
        <w:t xml:space="preserve"> </w:t>
      </w:r>
      <w:r w:rsidR="002C3782">
        <w:rPr>
          <w:rFonts w:cs="Calibri"/>
        </w:rPr>
        <w:t>The Applicant states that in</w:t>
      </w:r>
      <w:r w:rsidR="00B37544" w:rsidRPr="00627AF7">
        <w:rPr>
          <w:rFonts w:cs="Calibri"/>
        </w:rPr>
        <w:t xml:space="preserve"> FY</w:t>
      </w:r>
      <w:r w:rsidR="000767C9">
        <w:rPr>
          <w:rFonts w:cs="Calibri"/>
        </w:rPr>
        <w:t>20</w:t>
      </w:r>
      <w:r w:rsidR="00B37544" w:rsidRPr="00627AF7">
        <w:rPr>
          <w:rFonts w:cs="Calibri"/>
        </w:rPr>
        <w:t xml:space="preserve">23, 79 outpatient orthopedic cases from BILH Primary Care practices in the BID Plymouth area went to BILH hospitals other than BID Plymouth, primarily New England Baptist Hospital. </w:t>
      </w:r>
      <w:r w:rsidR="00B37544">
        <w:rPr>
          <w:rFonts w:cs="Calibri"/>
        </w:rPr>
        <w:t>These cases only represent outpatient surgical cases where the patient had a BILH primary care doctor and underrepresents the number of Plymouth County residents who left the service area for treatment. The Proposed ASC will not be limited to patients with a BILH affiliation, nor surgeons with a BILH affiliation, and therefore will improve access for all residents seeking outpatient orthopedic surgery in their community.</w:t>
      </w:r>
      <w:r w:rsidR="00AA2437">
        <w:rPr>
          <w:rFonts w:cs="Calibri"/>
        </w:rPr>
        <w:t xml:space="preserve"> </w:t>
      </w:r>
      <w:r w:rsidR="007332ED" w:rsidRPr="306DA086">
        <w:rPr>
          <w:rFonts w:asciiTheme="minorHAnsi" w:hAnsiTheme="minorHAnsi"/>
        </w:rPr>
        <w:t xml:space="preserve">The Applicant projects that the proposed ASC will perform 2,578 procedures in its first full year of operation, ramping up volume in subsequent four years of operation. The majority of cases at the proposed ASC will be outpatient orthopedic surgeries historically performed at BID Plymouth. </w:t>
      </w:r>
      <w:bookmarkEnd w:id="8"/>
    </w:p>
    <w:p w14:paraId="10E49CE5" w14:textId="77777777" w:rsidR="007332ED" w:rsidRPr="008440BF" w:rsidRDefault="007332ED" w:rsidP="007332ED">
      <w:pPr>
        <w:spacing w:before="120" w:after="120"/>
        <w:rPr>
          <w:rFonts w:asciiTheme="minorHAnsi" w:hAnsiTheme="minorHAnsi"/>
          <w:szCs w:val="24"/>
        </w:rPr>
      </w:pPr>
    </w:p>
    <w:p w14:paraId="2D63BF5B" w14:textId="17E7FF83" w:rsidR="007332ED" w:rsidRPr="008440BF" w:rsidRDefault="007332ED" w:rsidP="007332ED">
      <w:pPr>
        <w:spacing w:before="120" w:after="120"/>
        <w:rPr>
          <w:rFonts w:asciiTheme="minorHAnsi" w:hAnsiTheme="minorHAnsi"/>
          <w:b/>
          <w:bCs/>
          <w:sz w:val="20"/>
        </w:rPr>
      </w:pPr>
      <w:r w:rsidRPr="008440BF">
        <w:rPr>
          <w:rFonts w:asciiTheme="minorHAnsi" w:hAnsiTheme="minorHAnsi"/>
          <w:b/>
          <w:bCs/>
          <w:szCs w:val="24"/>
          <w:u w:val="single"/>
        </w:rPr>
        <w:t xml:space="preserve">Table </w:t>
      </w:r>
      <w:r w:rsidR="00586E44" w:rsidRPr="008440BF">
        <w:rPr>
          <w:rFonts w:asciiTheme="minorHAnsi" w:hAnsiTheme="minorHAnsi"/>
          <w:b/>
          <w:bCs/>
          <w:szCs w:val="24"/>
          <w:u w:val="single"/>
        </w:rPr>
        <w:t>6</w:t>
      </w:r>
      <w:r w:rsidRPr="008440BF">
        <w:rPr>
          <w:rFonts w:asciiTheme="minorHAnsi" w:hAnsiTheme="minorHAnsi"/>
          <w:b/>
          <w:bCs/>
          <w:szCs w:val="24"/>
          <w:u w:val="single"/>
        </w:rPr>
        <w:t>:</w:t>
      </w:r>
      <w:r w:rsidRPr="008440BF">
        <w:rPr>
          <w:rFonts w:asciiTheme="minorHAnsi" w:hAnsiTheme="minorHAnsi"/>
          <w:b/>
          <w:bCs/>
          <w:sz w:val="20"/>
        </w:rPr>
        <w:t xml:space="preserve"> </w:t>
      </w:r>
      <w:r w:rsidRPr="008440BF">
        <w:rPr>
          <w:rFonts w:asciiTheme="minorHAnsi" w:hAnsiTheme="minorHAnsi"/>
          <w:b/>
          <w:bCs/>
          <w:szCs w:val="24"/>
        </w:rPr>
        <w:t>Projected ASC Volume</w:t>
      </w:r>
      <w:r w:rsidRPr="008440BF">
        <w:rPr>
          <w:rFonts w:asciiTheme="minorHAnsi" w:hAnsiTheme="minorHAnsi"/>
          <w:b/>
          <w:bCs/>
          <w:sz w:val="20"/>
        </w:rPr>
        <w:t xml:space="preserve"> </w:t>
      </w:r>
    </w:p>
    <w:tbl>
      <w:tblPr>
        <w:tblStyle w:val="TableGrid"/>
        <w:tblW w:w="0" w:type="auto"/>
        <w:tblLook w:val="04A0" w:firstRow="1" w:lastRow="0" w:firstColumn="1" w:lastColumn="0" w:noHBand="0" w:noVBand="1"/>
      </w:tblPr>
      <w:tblGrid>
        <w:gridCol w:w="2785"/>
        <w:gridCol w:w="1169"/>
        <w:gridCol w:w="1169"/>
        <w:gridCol w:w="1169"/>
        <w:gridCol w:w="1169"/>
        <w:gridCol w:w="1169"/>
      </w:tblGrid>
      <w:tr w:rsidR="007332ED" w:rsidRPr="008440BF" w14:paraId="0722D55D" w14:textId="77777777" w:rsidTr="007E5161">
        <w:trPr>
          <w:trHeight w:val="404"/>
        </w:trPr>
        <w:tc>
          <w:tcPr>
            <w:tcW w:w="2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B0C871" w14:textId="77777777" w:rsidR="007332ED" w:rsidRPr="008440BF" w:rsidRDefault="007332ED" w:rsidP="00C22C69">
            <w:pPr>
              <w:rPr>
                <w:rFonts w:asciiTheme="minorHAnsi" w:eastAsia="Calibri" w:hAnsiTheme="minorHAnsi"/>
                <w:b/>
                <w:smallCaps/>
                <w:kern w:val="2"/>
                <w:szCs w:val="24"/>
              </w:rPr>
            </w:pPr>
            <w:bookmarkStart w:id="9" w:name="_Hlk109304993"/>
            <w:r w:rsidRPr="008440BF">
              <w:rPr>
                <w:rFonts w:asciiTheme="minorHAnsi" w:eastAsia="Calibri" w:hAnsiTheme="minorHAnsi"/>
                <w:b/>
                <w:smallCaps/>
                <w:kern w:val="2"/>
                <w:szCs w:val="24"/>
              </w:rPr>
              <w:t>Projected ASC Volume</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0694B5" w14:textId="77777777" w:rsidR="007332ED" w:rsidRPr="008440BF" w:rsidRDefault="007332ED" w:rsidP="00C22C69">
            <w:pPr>
              <w:jc w:val="center"/>
              <w:rPr>
                <w:rFonts w:asciiTheme="minorHAnsi" w:hAnsiTheme="minorHAnsi"/>
                <w:b/>
                <w:bCs/>
                <w:szCs w:val="24"/>
              </w:rPr>
            </w:pPr>
            <w:r w:rsidRPr="008440BF">
              <w:rPr>
                <w:rFonts w:asciiTheme="minorHAnsi" w:hAnsiTheme="minorHAnsi"/>
                <w:b/>
                <w:bCs/>
                <w:szCs w:val="24"/>
              </w:rPr>
              <w:t>FY2025</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83AEAF" w14:textId="77777777" w:rsidR="007332ED" w:rsidRPr="008440BF" w:rsidRDefault="007332ED" w:rsidP="00C22C69">
            <w:pPr>
              <w:jc w:val="center"/>
              <w:rPr>
                <w:rFonts w:asciiTheme="minorHAnsi" w:hAnsiTheme="minorHAnsi"/>
                <w:b/>
                <w:bCs/>
                <w:szCs w:val="24"/>
              </w:rPr>
            </w:pPr>
            <w:r w:rsidRPr="008440BF">
              <w:rPr>
                <w:rFonts w:asciiTheme="minorHAnsi" w:hAnsiTheme="minorHAnsi"/>
                <w:b/>
                <w:bCs/>
                <w:szCs w:val="24"/>
              </w:rPr>
              <w:t>FY2026</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D13BA0" w14:textId="77777777" w:rsidR="007332ED" w:rsidRPr="008440BF" w:rsidRDefault="007332ED" w:rsidP="00C22C69">
            <w:pPr>
              <w:jc w:val="center"/>
              <w:rPr>
                <w:rFonts w:asciiTheme="minorHAnsi" w:hAnsiTheme="minorHAnsi"/>
                <w:b/>
                <w:bCs/>
                <w:szCs w:val="24"/>
              </w:rPr>
            </w:pPr>
            <w:r w:rsidRPr="008440BF">
              <w:rPr>
                <w:rFonts w:asciiTheme="minorHAnsi" w:hAnsiTheme="minorHAnsi"/>
                <w:b/>
                <w:bCs/>
                <w:szCs w:val="24"/>
              </w:rPr>
              <w:t>FY2027</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E950FB" w14:textId="77777777" w:rsidR="007332ED" w:rsidRPr="008440BF" w:rsidRDefault="007332ED" w:rsidP="00C22C69">
            <w:pPr>
              <w:jc w:val="center"/>
              <w:rPr>
                <w:rFonts w:asciiTheme="minorHAnsi" w:hAnsiTheme="minorHAnsi"/>
                <w:b/>
                <w:bCs/>
                <w:szCs w:val="24"/>
              </w:rPr>
            </w:pPr>
            <w:r w:rsidRPr="008440BF">
              <w:rPr>
                <w:rFonts w:asciiTheme="minorHAnsi" w:hAnsiTheme="minorHAnsi"/>
                <w:b/>
                <w:bCs/>
                <w:szCs w:val="24"/>
              </w:rPr>
              <w:t>FY2028</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D45737" w14:textId="77777777" w:rsidR="007332ED" w:rsidRPr="008440BF" w:rsidRDefault="007332ED" w:rsidP="00C22C69">
            <w:pPr>
              <w:jc w:val="center"/>
              <w:rPr>
                <w:rFonts w:asciiTheme="minorHAnsi" w:hAnsiTheme="minorHAnsi"/>
                <w:b/>
                <w:bCs/>
                <w:szCs w:val="24"/>
              </w:rPr>
            </w:pPr>
            <w:r w:rsidRPr="008440BF">
              <w:rPr>
                <w:rFonts w:asciiTheme="minorHAnsi" w:hAnsiTheme="minorHAnsi"/>
                <w:b/>
                <w:bCs/>
                <w:szCs w:val="24"/>
              </w:rPr>
              <w:t>FY2029</w:t>
            </w:r>
          </w:p>
        </w:tc>
      </w:tr>
      <w:tr w:rsidR="007332ED" w:rsidRPr="008440BF" w14:paraId="5B320C2F" w14:textId="77777777" w:rsidTr="00C22C69">
        <w:tc>
          <w:tcPr>
            <w:tcW w:w="2785" w:type="dxa"/>
            <w:tcBorders>
              <w:top w:val="single" w:sz="4" w:space="0" w:color="auto"/>
              <w:left w:val="single" w:sz="4" w:space="0" w:color="auto"/>
              <w:bottom w:val="single" w:sz="4" w:space="0" w:color="auto"/>
              <w:right w:val="single" w:sz="4" w:space="0" w:color="auto"/>
            </w:tcBorders>
            <w:hideMark/>
          </w:tcPr>
          <w:p w14:paraId="5E601857" w14:textId="77777777" w:rsidR="007332ED" w:rsidRPr="008440BF" w:rsidRDefault="007332ED" w:rsidP="00C22C69">
            <w:pPr>
              <w:rPr>
                <w:rFonts w:asciiTheme="minorHAnsi" w:hAnsiTheme="minorHAnsi"/>
                <w:szCs w:val="24"/>
              </w:rPr>
            </w:pPr>
            <w:r w:rsidRPr="008440BF">
              <w:rPr>
                <w:rFonts w:asciiTheme="minorHAnsi" w:hAnsiTheme="minorHAnsi"/>
                <w:szCs w:val="24"/>
              </w:rPr>
              <w:t>Total Volume</w:t>
            </w:r>
          </w:p>
        </w:tc>
        <w:tc>
          <w:tcPr>
            <w:tcW w:w="1169" w:type="dxa"/>
            <w:tcBorders>
              <w:top w:val="single" w:sz="4" w:space="0" w:color="auto"/>
              <w:left w:val="single" w:sz="4" w:space="0" w:color="auto"/>
              <w:bottom w:val="single" w:sz="4" w:space="0" w:color="auto"/>
              <w:right w:val="single" w:sz="4" w:space="0" w:color="auto"/>
            </w:tcBorders>
            <w:hideMark/>
          </w:tcPr>
          <w:p w14:paraId="2792AD5B" w14:textId="77777777" w:rsidR="007332ED" w:rsidRPr="008440BF" w:rsidRDefault="007332ED" w:rsidP="00C22C69">
            <w:pPr>
              <w:jc w:val="center"/>
              <w:rPr>
                <w:rFonts w:asciiTheme="minorHAnsi" w:hAnsiTheme="minorHAnsi"/>
                <w:szCs w:val="24"/>
              </w:rPr>
            </w:pPr>
            <w:r w:rsidRPr="008440BF">
              <w:rPr>
                <w:rFonts w:asciiTheme="minorHAnsi" w:hAnsiTheme="minorHAnsi"/>
                <w:szCs w:val="24"/>
              </w:rPr>
              <w:t>2,578</w:t>
            </w:r>
          </w:p>
        </w:tc>
        <w:tc>
          <w:tcPr>
            <w:tcW w:w="1169" w:type="dxa"/>
            <w:tcBorders>
              <w:top w:val="single" w:sz="4" w:space="0" w:color="auto"/>
              <w:left w:val="single" w:sz="4" w:space="0" w:color="auto"/>
              <w:bottom w:val="single" w:sz="4" w:space="0" w:color="auto"/>
              <w:right w:val="single" w:sz="4" w:space="0" w:color="auto"/>
            </w:tcBorders>
            <w:hideMark/>
          </w:tcPr>
          <w:p w14:paraId="4111372D" w14:textId="77777777" w:rsidR="007332ED" w:rsidRPr="008440BF" w:rsidRDefault="007332ED" w:rsidP="00C22C69">
            <w:pPr>
              <w:jc w:val="center"/>
              <w:rPr>
                <w:rFonts w:asciiTheme="minorHAnsi" w:hAnsiTheme="minorHAnsi"/>
                <w:szCs w:val="24"/>
              </w:rPr>
            </w:pPr>
            <w:r w:rsidRPr="008440BF">
              <w:rPr>
                <w:rFonts w:asciiTheme="minorHAnsi" w:hAnsiTheme="minorHAnsi"/>
                <w:szCs w:val="24"/>
              </w:rPr>
              <w:t>2,871</w:t>
            </w:r>
          </w:p>
        </w:tc>
        <w:tc>
          <w:tcPr>
            <w:tcW w:w="1169" w:type="dxa"/>
            <w:tcBorders>
              <w:top w:val="single" w:sz="4" w:space="0" w:color="auto"/>
              <w:left w:val="single" w:sz="4" w:space="0" w:color="auto"/>
              <w:bottom w:val="single" w:sz="4" w:space="0" w:color="auto"/>
              <w:right w:val="single" w:sz="4" w:space="0" w:color="auto"/>
            </w:tcBorders>
            <w:hideMark/>
          </w:tcPr>
          <w:p w14:paraId="4C7E9F40" w14:textId="77777777" w:rsidR="007332ED" w:rsidRPr="008440BF" w:rsidRDefault="007332ED" w:rsidP="00C22C69">
            <w:pPr>
              <w:jc w:val="center"/>
              <w:rPr>
                <w:rFonts w:asciiTheme="minorHAnsi" w:hAnsiTheme="minorHAnsi"/>
                <w:szCs w:val="24"/>
              </w:rPr>
            </w:pPr>
            <w:r w:rsidRPr="008440BF">
              <w:rPr>
                <w:rFonts w:asciiTheme="minorHAnsi" w:hAnsiTheme="minorHAnsi"/>
                <w:szCs w:val="24"/>
              </w:rPr>
              <w:t>3,064</w:t>
            </w:r>
          </w:p>
        </w:tc>
        <w:tc>
          <w:tcPr>
            <w:tcW w:w="1169" w:type="dxa"/>
            <w:tcBorders>
              <w:top w:val="single" w:sz="4" w:space="0" w:color="auto"/>
              <w:left w:val="single" w:sz="4" w:space="0" w:color="auto"/>
              <w:bottom w:val="single" w:sz="4" w:space="0" w:color="auto"/>
              <w:right w:val="single" w:sz="4" w:space="0" w:color="auto"/>
            </w:tcBorders>
            <w:hideMark/>
          </w:tcPr>
          <w:p w14:paraId="30B0354A" w14:textId="77777777" w:rsidR="007332ED" w:rsidRPr="008440BF" w:rsidRDefault="007332ED" w:rsidP="00C22C69">
            <w:pPr>
              <w:jc w:val="center"/>
              <w:rPr>
                <w:rFonts w:asciiTheme="minorHAnsi" w:hAnsiTheme="minorHAnsi"/>
                <w:szCs w:val="24"/>
              </w:rPr>
            </w:pPr>
            <w:r w:rsidRPr="008440BF">
              <w:rPr>
                <w:rFonts w:asciiTheme="minorHAnsi" w:hAnsiTheme="minorHAnsi"/>
                <w:szCs w:val="24"/>
              </w:rPr>
              <w:t>3,197</w:t>
            </w:r>
          </w:p>
        </w:tc>
        <w:tc>
          <w:tcPr>
            <w:tcW w:w="1169" w:type="dxa"/>
            <w:tcBorders>
              <w:top w:val="single" w:sz="4" w:space="0" w:color="auto"/>
              <w:left w:val="single" w:sz="4" w:space="0" w:color="auto"/>
              <w:bottom w:val="single" w:sz="4" w:space="0" w:color="auto"/>
              <w:right w:val="single" w:sz="4" w:space="0" w:color="auto"/>
            </w:tcBorders>
            <w:hideMark/>
          </w:tcPr>
          <w:p w14:paraId="72F925F5" w14:textId="77777777" w:rsidR="007332ED" w:rsidRPr="008440BF" w:rsidRDefault="007332ED" w:rsidP="00C22C69">
            <w:pPr>
              <w:jc w:val="center"/>
              <w:rPr>
                <w:rFonts w:asciiTheme="minorHAnsi" w:hAnsiTheme="minorHAnsi"/>
                <w:szCs w:val="24"/>
              </w:rPr>
            </w:pPr>
            <w:r w:rsidRPr="008440BF">
              <w:rPr>
                <w:rFonts w:asciiTheme="minorHAnsi" w:hAnsiTheme="minorHAnsi"/>
                <w:szCs w:val="24"/>
              </w:rPr>
              <w:t>3,330</w:t>
            </w:r>
          </w:p>
        </w:tc>
      </w:tr>
    </w:tbl>
    <w:p w14:paraId="58BA4B66" w14:textId="594D94A4" w:rsidR="00723AF2" w:rsidRPr="008440BF" w:rsidRDefault="007332ED" w:rsidP="74902BFB">
      <w:pPr>
        <w:spacing w:before="240" w:after="120"/>
        <w:rPr>
          <w:rFonts w:asciiTheme="minorHAnsi" w:hAnsiTheme="minorHAnsi"/>
        </w:rPr>
      </w:pPr>
      <w:bookmarkStart w:id="10" w:name="_Hlk108436739"/>
      <w:bookmarkEnd w:id="9"/>
      <w:r w:rsidRPr="74902BFB">
        <w:rPr>
          <w:rFonts w:asciiTheme="minorHAnsi" w:hAnsiTheme="minorHAnsi"/>
        </w:rPr>
        <w:t xml:space="preserve">To determine the number of operating rooms needed to support the Patient Panel’s current and future need for an orthopedic ASC in Plymouth, the Applicant reviewed the average length of OR use for each of the subspecialities of the proposed ASC. The average procedure length time is 120 minutes, ranging from 65 minutes for average hand cases to 184 minutes for spine surgeries. These procedure times include surgical time, set-up, and turnover. </w:t>
      </w:r>
      <w:bookmarkEnd w:id="10"/>
      <w:r w:rsidRPr="74902BFB">
        <w:rPr>
          <w:rFonts w:asciiTheme="minorHAnsi" w:hAnsiTheme="minorHAnsi"/>
        </w:rPr>
        <w:t xml:space="preserve">In order to accommodate the </w:t>
      </w:r>
      <w:r w:rsidR="00021B82" w:rsidRPr="74902BFB">
        <w:rPr>
          <w:rFonts w:asciiTheme="minorHAnsi" w:hAnsiTheme="minorHAnsi"/>
        </w:rPr>
        <w:t xml:space="preserve">growth </w:t>
      </w:r>
      <w:r w:rsidRPr="74902BFB">
        <w:rPr>
          <w:rFonts w:asciiTheme="minorHAnsi" w:hAnsiTheme="minorHAnsi"/>
        </w:rPr>
        <w:t>projections, the Applicant determined four ORs would be required to meet demand based on available operating times of the Proposed ASC. Specifically, the ASC plans to be open 8 hours a day, 5 days a week, 50 weeks a year. This provides 120,000 minutes of operating time per OR. Based on the average times described above, four ORs will allow the ASC to operate at 64% capacity in Year One, ramping up to 86% capacity in Year Five.</w:t>
      </w:r>
      <w:r w:rsidR="00C1208F" w:rsidRPr="74902BFB">
        <w:rPr>
          <w:rFonts w:asciiTheme="minorHAnsi" w:hAnsiTheme="minorHAnsi"/>
        </w:rPr>
        <w:t xml:space="preserve"> </w:t>
      </w:r>
    </w:p>
    <w:p w14:paraId="4A743DFF" w14:textId="77777777" w:rsidR="00DC1972" w:rsidRPr="008440BF" w:rsidRDefault="00DC1972" w:rsidP="007332ED">
      <w:pPr>
        <w:spacing w:before="120" w:after="120"/>
        <w:rPr>
          <w:rFonts w:asciiTheme="minorHAnsi" w:hAnsiTheme="minorHAnsi"/>
          <w:szCs w:val="24"/>
        </w:rPr>
      </w:pPr>
    </w:p>
    <w:p w14:paraId="5D68BC62" w14:textId="3481B8E9" w:rsidR="00C55B00" w:rsidRPr="008440BF" w:rsidRDefault="00DC1972" w:rsidP="306DA086">
      <w:pPr>
        <w:pStyle w:val="ListParagraph"/>
        <w:shd w:val="clear" w:color="auto" w:fill="FFFFFF" w:themeFill="background1"/>
        <w:ind w:left="0" w:firstLine="0"/>
        <w:rPr>
          <w:rFonts w:asciiTheme="minorHAnsi" w:hAnsiTheme="minorHAnsi"/>
          <w:color w:val="000000" w:themeColor="text1"/>
          <w:shd w:val="clear" w:color="auto" w:fill="FFFFFF"/>
        </w:rPr>
      </w:pPr>
      <w:r w:rsidRPr="306DA086">
        <w:rPr>
          <w:rFonts w:asciiTheme="minorHAnsi" w:eastAsia="Times New Roman" w:hAnsiTheme="minorHAnsi"/>
          <w:color w:val="242424"/>
          <w:bdr w:val="none" w:sz="0" w:space="0" w:color="auto" w:frame="1"/>
        </w:rPr>
        <w:lastRenderedPageBreak/>
        <w:t xml:space="preserve">The Applicant anticipates </w:t>
      </w:r>
      <w:r w:rsidR="00CE0A4D">
        <w:rPr>
          <w:rFonts w:asciiTheme="minorHAnsi" w:eastAsia="Times New Roman" w:hAnsiTheme="minorHAnsi"/>
          <w:color w:val="242424"/>
          <w:bdr w:val="none" w:sz="0" w:space="0" w:color="auto" w:frame="1"/>
        </w:rPr>
        <w:t>that the new ASC will employ</w:t>
      </w:r>
      <w:r w:rsidRPr="306DA086">
        <w:rPr>
          <w:rFonts w:asciiTheme="minorHAnsi" w:eastAsia="Times New Roman" w:hAnsiTheme="minorHAnsi"/>
          <w:color w:val="242424"/>
          <w:bdr w:val="none" w:sz="0" w:space="0" w:color="auto" w:frame="1"/>
        </w:rPr>
        <w:t xml:space="preserve"> 12 orthopedic surgeons</w:t>
      </w:r>
      <w:r w:rsidR="007D0981">
        <w:rPr>
          <w:rStyle w:val="FootnoteReference"/>
          <w:rFonts w:asciiTheme="minorHAnsi" w:eastAsia="Times New Roman" w:hAnsiTheme="minorHAnsi"/>
          <w:color w:val="242424"/>
          <w:bdr w:val="none" w:sz="0" w:space="0" w:color="auto" w:frame="1"/>
        </w:rPr>
        <w:footnoteReference w:id="19"/>
      </w:r>
      <w:r w:rsidR="007D0981">
        <w:rPr>
          <w:rFonts w:asciiTheme="minorHAnsi" w:eastAsia="Times New Roman" w:hAnsiTheme="minorHAnsi"/>
          <w:color w:val="242424"/>
          <w:bdr w:val="none" w:sz="0" w:space="0" w:color="auto" w:frame="1"/>
        </w:rPr>
        <w:t xml:space="preserve">, </w:t>
      </w:r>
      <w:r w:rsidRPr="306DA086">
        <w:rPr>
          <w:rFonts w:asciiTheme="minorHAnsi" w:eastAsia="Times New Roman" w:hAnsiTheme="minorHAnsi"/>
          <w:color w:val="242424"/>
          <w:bdr w:val="none" w:sz="0" w:space="0" w:color="auto" w:frame="1"/>
        </w:rPr>
        <w:t xml:space="preserve">all of whom will </w:t>
      </w:r>
      <w:r w:rsidR="0041700C" w:rsidRPr="306DA086">
        <w:rPr>
          <w:rFonts w:asciiTheme="minorHAnsi" w:eastAsia="Times New Roman" w:hAnsiTheme="minorHAnsi"/>
          <w:color w:val="242424"/>
          <w:bdr w:val="none" w:sz="0" w:space="0" w:color="auto" w:frame="1"/>
        </w:rPr>
        <w:t>accept MassHealth coverage.</w:t>
      </w:r>
      <w:r w:rsidR="00E831A6" w:rsidRPr="306DA086">
        <w:rPr>
          <w:rFonts w:asciiTheme="minorHAnsi" w:eastAsia="Times New Roman" w:hAnsiTheme="minorHAnsi"/>
          <w:color w:val="242424"/>
          <w:bdr w:val="none" w:sz="0" w:space="0" w:color="auto" w:frame="1"/>
        </w:rPr>
        <w:t xml:space="preserve"> </w:t>
      </w:r>
      <w:r w:rsidR="00E831A6" w:rsidRPr="306DA086">
        <w:rPr>
          <w:rFonts w:asciiTheme="minorHAnsi" w:hAnsiTheme="minorHAnsi"/>
          <w:color w:val="000000" w:themeColor="text1"/>
          <w:shd w:val="clear" w:color="auto" w:fill="FFFFFF"/>
        </w:rPr>
        <w:t xml:space="preserve">New surgeons will be added to the existing integrated orthopedic service developed between PBOA and BID-P. </w:t>
      </w:r>
      <w:r w:rsidR="006E519A" w:rsidRPr="306DA086">
        <w:rPr>
          <w:rFonts w:asciiTheme="minorHAnsi" w:hAnsiTheme="minorHAnsi"/>
          <w:color w:val="000000" w:themeColor="text1"/>
          <w:shd w:val="clear" w:color="auto" w:fill="FFFFFF"/>
        </w:rPr>
        <w:t xml:space="preserve">The </w:t>
      </w:r>
      <w:r w:rsidR="00C55B00" w:rsidRPr="306DA086">
        <w:rPr>
          <w:rFonts w:asciiTheme="minorHAnsi" w:hAnsiTheme="minorHAnsi"/>
          <w:color w:val="000000" w:themeColor="text1"/>
          <w:shd w:val="clear" w:color="auto" w:fill="FFFFFF"/>
        </w:rPr>
        <w:t xml:space="preserve">anticipated surgeon roster includes the following </w:t>
      </w:r>
      <w:r w:rsidR="00D107EE" w:rsidRPr="306DA086">
        <w:rPr>
          <w:rFonts w:asciiTheme="minorHAnsi" w:hAnsiTheme="minorHAnsi"/>
          <w:color w:val="000000" w:themeColor="text1"/>
          <w:shd w:val="clear" w:color="auto" w:fill="FFFFFF"/>
        </w:rPr>
        <w:t xml:space="preserve">specialties, noting that </w:t>
      </w:r>
      <w:r w:rsidR="00D107EE" w:rsidRPr="306DA086">
        <w:rPr>
          <w:rFonts w:asciiTheme="minorHAnsi" w:eastAsia="Times New Roman" w:hAnsiTheme="minorHAnsi"/>
          <w:color w:val="242424"/>
          <w:bdr w:val="none" w:sz="0" w:space="0" w:color="auto" w:frame="1"/>
        </w:rPr>
        <w:t>several current surgeons practice across multiple specialties</w:t>
      </w:r>
      <w:r w:rsidR="00C55B00" w:rsidRPr="306DA086">
        <w:rPr>
          <w:rFonts w:asciiTheme="minorHAnsi" w:hAnsiTheme="minorHAnsi"/>
          <w:color w:val="000000" w:themeColor="text1"/>
          <w:shd w:val="clear" w:color="auto" w:fill="FFFFFF"/>
        </w:rPr>
        <w:t>:</w:t>
      </w:r>
    </w:p>
    <w:p w14:paraId="160FE4A7" w14:textId="77777777" w:rsidR="00C55B00" w:rsidRPr="008440BF" w:rsidRDefault="00C55B00" w:rsidP="00C55B00">
      <w:pPr>
        <w:widowControl/>
        <w:numPr>
          <w:ilvl w:val="0"/>
          <w:numId w:val="45"/>
        </w:numPr>
        <w:autoSpaceDE/>
        <w:autoSpaceDN/>
        <w:rPr>
          <w:rFonts w:asciiTheme="minorHAnsi" w:eastAsia="Times New Roman" w:hAnsiTheme="minorHAnsi"/>
          <w:color w:val="242424"/>
        </w:rPr>
      </w:pPr>
      <w:r w:rsidRPr="008440BF">
        <w:rPr>
          <w:rFonts w:asciiTheme="minorHAnsi" w:eastAsia="Times New Roman" w:hAnsiTheme="minorHAnsi"/>
          <w:i/>
          <w:iCs/>
          <w:color w:val="242424"/>
          <w:bdr w:val="none" w:sz="0" w:space="0" w:color="auto" w:frame="1"/>
        </w:rPr>
        <w:t>Two (2) Hand/Wrist/Elbow</w:t>
      </w:r>
    </w:p>
    <w:p w14:paraId="7AC3A777" w14:textId="77777777" w:rsidR="00C55B00" w:rsidRPr="008440BF" w:rsidRDefault="00C55B00" w:rsidP="00C55B00">
      <w:pPr>
        <w:widowControl/>
        <w:numPr>
          <w:ilvl w:val="0"/>
          <w:numId w:val="45"/>
        </w:numPr>
        <w:autoSpaceDE/>
        <w:autoSpaceDN/>
        <w:rPr>
          <w:rFonts w:asciiTheme="minorHAnsi" w:eastAsia="Times New Roman" w:hAnsiTheme="minorHAnsi"/>
          <w:color w:val="242424"/>
        </w:rPr>
      </w:pPr>
      <w:r w:rsidRPr="008440BF">
        <w:rPr>
          <w:rFonts w:asciiTheme="minorHAnsi" w:eastAsia="Times New Roman" w:hAnsiTheme="minorHAnsi"/>
          <w:i/>
          <w:iCs/>
          <w:color w:val="242424"/>
          <w:bdr w:val="none" w:sz="0" w:space="0" w:color="auto" w:frame="1"/>
        </w:rPr>
        <w:t xml:space="preserve">One (1) Shoulder </w:t>
      </w:r>
    </w:p>
    <w:p w14:paraId="3EFC8767" w14:textId="77777777" w:rsidR="00C55B00" w:rsidRPr="008440BF" w:rsidRDefault="00C55B00" w:rsidP="00C55B00">
      <w:pPr>
        <w:widowControl/>
        <w:numPr>
          <w:ilvl w:val="0"/>
          <w:numId w:val="45"/>
        </w:numPr>
        <w:autoSpaceDE/>
        <w:autoSpaceDN/>
        <w:rPr>
          <w:rFonts w:asciiTheme="minorHAnsi" w:eastAsia="Times New Roman" w:hAnsiTheme="minorHAnsi"/>
          <w:color w:val="242424"/>
        </w:rPr>
      </w:pPr>
      <w:r w:rsidRPr="008440BF">
        <w:rPr>
          <w:rFonts w:asciiTheme="minorHAnsi" w:eastAsia="Times New Roman" w:hAnsiTheme="minorHAnsi"/>
          <w:i/>
          <w:iCs/>
          <w:color w:val="242424"/>
          <w:bdr w:val="none" w:sz="0" w:space="0" w:color="auto" w:frame="1"/>
        </w:rPr>
        <w:t xml:space="preserve">Two (2) Sports </w:t>
      </w:r>
    </w:p>
    <w:p w14:paraId="78E347F7" w14:textId="77777777" w:rsidR="00C55B00" w:rsidRPr="008440BF" w:rsidRDefault="00C55B00" w:rsidP="00C55B00">
      <w:pPr>
        <w:widowControl/>
        <w:numPr>
          <w:ilvl w:val="0"/>
          <w:numId w:val="45"/>
        </w:numPr>
        <w:autoSpaceDE/>
        <w:autoSpaceDN/>
        <w:rPr>
          <w:rFonts w:asciiTheme="minorHAnsi" w:eastAsia="Times New Roman" w:hAnsiTheme="minorHAnsi"/>
          <w:color w:val="242424"/>
        </w:rPr>
      </w:pPr>
      <w:r w:rsidRPr="008440BF">
        <w:rPr>
          <w:rFonts w:asciiTheme="minorHAnsi" w:eastAsia="Times New Roman" w:hAnsiTheme="minorHAnsi"/>
          <w:i/>
          <w:iCs/>
          <w:color w:val="242424"/>
          <w:bdr w:val="none" w:sz="0" w:space="0" w:color="auto" w:frame="1"/>
        </w:rPr>
        <w:t>Five (5) Joint Replacement</w:t>
      </w:r>
    </w:p>
    <w:p w14:paraId="424CCEDC" w14:textId="77777777" w:rsidR="00C55B00" w:rsidRPr="008440BF" w:rsidRDefault="00C55B00" w:rsidP="00C55B00">
      <w:pPr>
        <w:widowControl/>
        <w:numPr>
          <w:ilvl w:val="0"/>
          <w:numId w:val="45"/>
        </w:numPr>
        <w:autoSpaceDE/>
        <w:autoSpaceDN/>
        <w:rPr>
          <w:rFonts w:asciiTheme="minorHAnsi" w:eastAsia="Times New Roman" w:hAnsiTheme="minorHAnsi"/>
          <w:color w:val="242424"/>
        </w:rPr>
      </w:pPr>
      <w:r w:rsidRPr="008440BF">
        <w:rPr>
          <w:rFonts w:asciiTheme="minorHAnsi" w:eastAsia="Times New Roman" w:hAnsiTheme="minorHAnsi"/>
          <w:i/>
          <w:iCs/>
          <w:color w:val="242424"/>
          <w:bdr w:val="none" w:sz="0" w:space="0" w:color="auto" w:frame="1"/>
        </w:rPr>
        <w:t xml:space="preserve">Two (2) Spine </w:t>
      </w:r>
    </w:p>
    <w:p w14:paraId="2FE6212B" w14:textId="3B11A728" w:rsidR="007332ED" w:rsidRPr="008440BF" w:rsidRDefault="00E831A6" w:rsidP="00332866">
      <w:pPr>
        <w:pStyle w:val="ListParagraph"/>
        <w:shd w:val="clear" w:color="auto" w:fill="FFFFFF"/>
        <w:ind w:left="90" w:firstLine="0"/>
        <w:rPr>
          <w:rFonts w:asciiTheme="minorHAnsi" w:hAnsiTheme="minorHAnsi"/>
          <w:iCs/>
          <w:color w:val="000000" w:themeColor="text1"/>
          <w:shd w:val="clear" w:color="auto" w:fill="FFFFFF"/>
        </w:rPr>
      </w:pPr>
      <w:r w:rsidRPr="008440BF">
        <w:rPr>
          <w:rFonts w:asciiTheme="minorHAnsi" w:hAnsiTheme="minorHAnsi"/>
          <w:iCs/>
          <w:color w:val="000000" w:themeColor="text1"/>
          <w:shd w:val="clear" w:color="auto" w:fill="FFFFFF"/>
        </w:rPr>
        <w:t xml:space="preserve">PBOA is actively recruiting surgeons from outside the market to increase access for the community and better meet the orthopedic needs of its members. The list above </w:t>
      </w:r>
      <w:r w:rsidR="00FB3112" w:rsidRPr="008440BF">
        <w:rPr>
          <w:rFonts w:asciiTheme="minorHAnsi" w:hAnsiTheme="minorHAnsi"/>
          <w:iCs/>
          <w:color w:val="000000" w:themeColor="text1"/>
          <w:shd w:val="clear" w:color="auto" w:fill="FFFFFF"/>
        </w:rPr>
        <w:t>includes</w:t>
      </w:r>
      <w:r w:rsidRPr="008440BF">
        <w:rPr>
          <w:rFonts w:asciiTheme="minorHAnsi" w:hAnsiTheme="minorHAnsi"/>
          <w:iCs/>
          <w:color w:val="000000" w:themeColor="text1"/>
          <w:shd w:val="clear" w:color="auto" w:fill="FFFFFF"/>
        </w:rPr>
        <w:t xml:space="preserve"> the current team of orthopedic surgeons as well as the immediately anticipated additions for 2024. PBOA anticipates </w:t>
      </w:r>
      <w:r w:rsidR="00FB3112" w:rsidRPr="008440BF">
        <w:rPr>
          <w:rFonts w:asciiTheme="minorHAnsi" w:hAnsiTheme="minorHAnsi"/>
          <w:iCs/>
          <w:color w:val="000000" w:themeColor="text1"/>
          <w:shd w:val="clear" w:color="auto" w:fill="FFFFFF"/>
        </w:rPr>
        <w:t xml:space="preserve">eventually </w:t>
      </w:r>
      <w:r w:rsidRPr="008440BF">
        <w:rPr>
          <w:rFonts w:asciiTheme="minorHAnsi" w:hAnsiTheme="minorHAnsi"/>
          <w:iCs/>
          <w:color w:val="000000" w:themeColor="text1"/>
          <w:shd w:val="clear" w:color="auto" w:fill="FFFFFF"/>
        </w:rPr>
        <w:t>adding two joint replacement surgeons beyond the roster.</w:t>
      </w:r>
      <w:r w:rsidR="00566125" w:rsidRPr="008440BF">
        <w:rPr>
          <w:rFonts w:asciiTheme="minorHAnsi" w:hAnsiTheme="minorHAnsi"/>
          <w:iCs/>
          <w:color w:val="000000" w:themeColor="text1"/>
          <w:shd w:val="clear" w:color="auto" w:fill="FFFFFF"/>
        </w:rPr>
        <w:t xml:space="preserve"> </w:t>
      </w:r>
      <w:r w:rsidRPr="008440BF">
        <w:rPr>
          <w:rFonts w:asciiTheme="minorHAnsi" w:hAnsiTheme="minorHAnsi"/>
          <w:iCs/>
          <w:color w:val="000000" w:themeColor="text1"/>
          <w:shd w:val="clear" w:color="auto" w:fill="FFFFFF"/>
        </w:rPr>
        <w:t>In addition to PBOA and BID</w:t>
      </w:r>
      <w:r w:rsidR="006D3F15">
        <w:rPr>
          <w:rFonts w:asciiTheme="minorHAnsi" w:hAnsiTheme="minorHAnsi"/>
          <w:iCs/>
          <w:color w:val="000000" w:themeColor="text1"/>
          <w:shd w:val="clear" w:color="auto" w:fill="FFFFFF"/>
        </w:rPr>
        <w:t>-</w:t>
      </w:r>
      <w:r w:rsidRPr="008440BF">
        <w:rPr>
          <w:rFonts w:asciiTheme="minorHAnsi" w:hAnsiTheme="minorHAnsi"/>
          <w:iCs/>
          <w:color w:val="000000" w:themeColor="text1"/>
          <w:shd w:val="clear" w:color="auto" w:fill="FFFFFF"/>
        </w:rPr>
        <w:t xml:space="preserve">P, any orthopedic surgeon also serving the Plymouth community is welcome to utilize the facility. At this time there are no prospective candidates, but </w:t>
      </w:r>
      <w:r w:rsidR="00FB3112" w:rsidRPr="008440BF">
        <w:rPr>
          <w:rFonts w:asciiTheme="minorHAnsi" w:hAnsiTheme="minorHAnsi"/>
          <w:iCs/>
          <w:color w:val="000000" w:themeColor="text1"/>
          <w:shd w:val="clear" w:color="auto" w:fill="FFFFFF"/>
        </w:rPr>
        <w:t>it is an option</w:t>
      </w:r>
      <w:r w:rsidRPr="008440BF">
        <w:rPr>
          <w:rFonts w:asciiTheme="minorHAnsi" w:hAnsiTheme="minorHAnsi"/>
          <w:iCs/>
          <w:color w:val="000000" w:themeColor="text1"/>
          <w:shd w:val="clear" w:color="auto" w:fill="FFFFFF"/>
        </w:rPr>
        <w:t xml:space="preserve"> available to </w:t>
      </w:r>
      <w:r w:rsidR="005A4F83" w:rsidRPr="008440BF">
        <w:rPr>
          <w:rFonts w:asciiTheme="minorHAnsi" w:hAnsiTheme="minorHAnsi"/>
          <w:iCs/>
          <w:color w:val="000000" w:themeColor="text1"/>
          <w:shd w:val="clear" w:color="auto" w:fill="FFFFFF"/>
        </w:rPr>
        <w:t>the local surgical community</w:t>
      </w:r>
      <w:r w:rsidRPr="008440BF">
        <w:rPr>
          <w:rFonts w:asciiTheme="minorHAnsi" w:hAnsiTheme="minorHAnsi"/>
          <w:iCs/>
          <w:color w:val="000000" w:themeColor="text1"/>
          <w:shd w:val="clear" w:color="auto" w:fill="FFFFFF"/>
        </w:rPr>
        <w:t>.</w:t>
      </w:r>
    </w:p>
    <w:p w14:paraId="77BFE79B" w14:textId="77777777" w:rsidR="00332866" w:rsidRPr="008440BF" w:rsidRDefault="00332866" w:rsidP="00332866">
      <w:pPr>
        <w:pStyle w:val="ListParagraph"/>
        <w:shd w:val="clear" w:color="auto" w:fill="FFFFFF"/>
        <w:ind w:left="90" w:firstLine="0"/>
        <w:rPr>
          <w:rFonts w:asciiTheme="minorHAnsi" w:eastAsia="Times New Roman" w:hAnsiTheme="minorHAnsi"/>
          <w:b/>
          <w:bCs/>
          <w:iCs/>
          <w:color w:val="000000"/>
          <w:bdr w:val="none" w:sz="0" w:space="0" w:color="auto" w:frame="1"/>
        </w:rPr>
      </w:pPr>
    </w:p>
    <w:p w14:paraId="2A93326F" w14:textId="7D49C560" w:rsidR="007332ED" w:rsidRPr="008440BF" w:rsidRDefault="007332ED" w:rsidP="007332ED">
      <w:pPr>
        <w:pStyle w:val="ListParagraph"/>
        <w:numPr>
          <w:ilvl w:val="0"/>
          <w:numId w:val="44"/>
        </w:numPr>
        <w:rPr>
          <w:rFonts w:asciiTheme="minorHAnsi" w:hAnsiTheme="minorHAnsi"/>
          <w:b/>
          <w:bCs/>
          <w:szCs w:val="24"/>
        </w:rPr>
      </w:pPr>
      <w:r w:rsidRPr="008440BF">
        <w:rPr>
          <w:rFonts w:asciiTheme="minorHAnsi" w:hAnsiTheme="minorHAnsi"/>
          <w:b/>
          <w:bCs/>
          <w:szCs w:val="24"/>
        </w:rPr>
        <w:t xml:space="preserve">Growth </w:t>
      </w:r>
      <w:r w:rsidR="006E2DEC" w:rsidRPr="008440BF">
        <w:rPr>
          <w:rFonts w:asciiTheme="minorHAnsi" w:hAnsiTheme="minorHAnsi"/>
          <w:b/>
          <w:bCs/>
          <w:szCs w:val="24"/>
        </w:rPr>
        <w:t>In</w:t>
      </w:r>
      <w:r w:rsidRPr="008440BF">
        <w:rPr>
          <w:rFonts w:asciiTheme="minorHAnsi" w:hAnsiTheme="minorHAnsi"/>
          <w:b/>
          <w:bCs/>
          <w:szCs w:val="24"/>
        </w:rPr>
        <w:t xml:space="preserve"> An Aging Population and Associated Conditions Requiring Surgery</w:t>
      </w:r>
    </w:p>
    <w:p w14:paraId="6C028E8F" w14:textId="680CEB5D" w:rsidR="007332ED" w:rsidRPr="008440BF" w:rsidRDefault="007332ED" w:rsidP="007332ED">
      <w:pPr>
        <w:spacing w:before="120" w:after="120"/>
        <w:rPr>
          <w:rFonts w:asciiTheme="minorHAnsi" w:hAnsiTheme="minorHAnsi"/>
          <w:szCs w:val="24"/>
        </w:rPr>
      </w:pPr>
      <w:r w:rsidRPr="008440BF">
        <w:rPr>
          <w:rFonts w:asciiTheme="minorHAnsi" w:hAnsiTheme="minorHAnsi"/>
          <w:szCs w:val="24"/>
        </w:rPr>
        <w:t xml:space="preserve">Based on the orthopedic procedures most commonly performed on an outpatient basis at BID Plymouth, the Applicant expects </w:t>
      </w:r>
      <w:r w:rsidR="000803BC" w:rsidRPr="008440BF">
        <w:rPr>
          <w:rFonts w:asciiTheme="minorHAnsi" w:hAnsiTheme="minorHAnsi"/>
          <w:szCs w:val="24"/>
        </w:rPr>
        <w:t xml:space="preserve">that </w:t>
      </w:r>
      <w:r w:rsidRPr="008440BF">
        <w:rPr>
          <w:rFonts w:asciiTheme="minorHAnsi" w:hAnsiTheme="minorHAnsi"/>
          <w:szCs w:val="24"/>
        </w:rPr>
        <w:t>total knee arthroplasty (“TKA”), knee arthroscopy, shoulder arthroscopy, carpal tunnel surgery, and total hip arthroplasty</w:t>
      </w:r>
      <w:r w:rsidR="000803BC" w:rsidRPr="008440BF">
        <w:rPr>
          <w:rFonts w:asciiTheme="minorHAnsi" w:hAnsiTheme="minorHAnsi"/>
          <w:szCs w:val="24"/>
        </w:rPr>
        <w:t xml:space="preserve"> will comprise the majority of surgeries at the Proposed ASC</w:t>
      </w:r>
      <w:r w:rsidRPr="008440BF">
        <w:rPr>
          <w:rFonts w:asciiTheme="minorHAnsi" w:hAnsiTheme="minorHAnsi"/>
          <w:szCs w:val="24"/>
        </w:rPr>
        <w:t>. These procedures are most prevalent among older adults because age is a contributing risk factor to the underlying disease or condition. Adults ages 65 and older increasingly represent the largest share of ASC utilization based on age, in part driven by changes to Medicare’s reimbursement policies.</w:t>
      </w:r>
      <w:r w:rsidRPr="008440BF">
        <w:rPr>
          <w:rStyle w:val="EndnoteReference"/>
          <w:rFonts w:asciiTheme="minorHAnsi" w:hAnsiTheme="minorHAnsi"/>
          <w:szCs w:val="24"/>
        </w:rPr>
        <w:endnoteReference w:id="4"/>
      </w:r>
      <w:r w:rsidRPr="008440BF">
        <w:rPr>
          <w:rFonts w:asciiTheme="minorHAnsi" w:hAnsiTheme="minorHAnsi"/>
          <w:szCs w:val="24"/>
        </w:rPr>
        <w:t xml:space="preserve"> </w:t>
      </w:r>
      <w:r w:rsidR="005A4F83" w:rsidRPr="008440BF">
        <w:rPr>
          <w:rFonts w:asciiTheme="minorHAnsi" w:hAnsiTheme="minorHAnsi"/>
          <w:szCs w:val="24"/>
        </w:rPr>
        <w:t>P</w:t>
      </w:r>
      <w:r w:rsidRPr="008440BF">
        <w:rPr>
          <w:rFonts w:asciiTheme="minorHAnsi" w:hAnsiTheme="minorHAnsi"/>
          <w:szCs w:val="24"/>
        </w:rPr>
        <w:t xml:space="preserve">atient need is </w:t>
      </w:r>
      <w:r w:rsidR="005A4F83" w:rsidRPr="008440BF">
        <w:rPr>
          <w:rFonts w:asciiTheme="minorHAnsi" w:hAnsiTheme="minorHAnsi"/>
          <w:szCs w:val="24"/>
        </w:rPr>
        <w:t xml:space="preserve">also </w:t>
      </w:r>
      <w:r w:rsidRPr="008440BF">
        <w:rPr>
          <w:rFonts w:asciiTheme="minorHAnsi" w:hAnsiTheme="minorHAnsi"/>
          <w:szCs w:val="24"/>
        </w:rPr>
        <w:t xml:space="preserve">driven by disease prevalence contributing to joint damage. </w:t>
      </w:r>
      <w:r w:rsidR="0046747B" w:rsidRPr="008440BF">
        <w:rPr>
          <w:rFonts w:asciiTheme="minorHAnsi" w:hAnsiTheme="minorHAnsi"/>
          <w:szCs w:val="24"/>
        </w:rPr>
        <w:t>A</w:t>
      </w:r>
      <w:r w:rsidRPr="008440BF">
        <w:rPr>
          <w:rFonts w:asciiTheme="minorHAnsi" w:hAnsiTheme="minorHAnsi"/>
          <w:szCs w:val="24"/>
        </w:rPr>
        <w:t>rthritis is prevalent among older adults as a result of certain risk factors, including age, obesity, repetitive movements (e.g., repetitive knee bending), joint injury, and smoking.</w:t>
      </w:r>
      <w:r w:rsidRPr="008440BF">
        <w:rPr>
          <w:rStyle w:val="EndnoteReference"/>
          <w:rFonts w:asciiTheme="minorHAnsi" w:hAnsiTheme="minorHAnsi"/>
          <w:szCs w:val="24"/>
        </w:rPr>
        <w:endnoteReference w:id="5"/>
      </w:r>
      <w:r w:rsidRPr="008440BF">
        <w:rPr>
          <w:rFonts w:asciiTheme="minorHAnsi" w:hAnsiTheme="minorHAnsi"/>
          <w:szCs w:val="24"/>
        </w:rPr>
        <w:t xml:space="preserve"> In 2012, nearly one in four adults in the US had arthritis, while almost 10% of all adults in the US reported at least one activity limitation in 2012. By 2040, </w:t>
      </w:r>
      <w:r w:rsidRPr="008440BF">
        <w:rPr>
          <w:rFonts w:asciiTheme="minorHAnsi" w:hAnsiTheme="minorHAnsi"/>
          <w:color w:val="212121"/>
          <w:szCs w:val="24"/>
          <w:shd w:val="clear" w:color="auto" w:fill="FFFFFF"/>
        </w:rPr>
        <w:t>11.4% of all adults are projected to experience at least one arthritis-related activity limitation, representing 34.6 million adults</w:t>
      </w:r>
      <w:r w:rsidRPr="008440BF">
        <w:rPr>
          <w:rFonts w:asciiTheme="minorHAnsi" w:hAnsiTheme="minorHAnsi"/>
          <w:szCs w:val="24"/>
        </w:rPr>
        <w:t>.</w:t>
      </w:r>
      <w:r w:rsidRPr="008440BF">
        <w:rPr>
          <w:rStyle w:val="EndnoteReference"/>
          <w:rFonts w:asciiTheme="minorHAnsi" w:hAnsiTheme="minorHAnsi"/>
          <w:szCs w:val="24"/>
        </w:rPr>
        <w:endnoteReference w:id="6"/>
      </w:r>
    </w:p>
    <w:p w14:paraId="7FE328C3" w14:textId="77777777" w:rsidR="0046747B" w:rsidRPr="008440BF" w:rsidRDefault="0046747B" w:rsidP="007332ED">
      <w:pPr>
        <w:spacing w:before="120" w:after="120"/>
        <w:rPr>
          <w:rFonts w:asciiTheme="minorHAnsi" w:hAnsiTheme="minorHAnsi"/>
          <w:szCs w:val="24"/>
        </w:rPr>
      </w:pPr>
    </w:p>
    <w:p w14:paraId="3923F3AB" w14:textId="7436B12F" w:rsidR="007332ED" w:rsidRPr="008440BF" w:rsidRDefault="007332ED" w:rsidP="005A4F83">
      <w:pPr>
        <w:rPr>
          <w:rFonts w:asciiTheme="minorHAnsi" w:hAnsiTheme="minorHAnsi"/>
          <w:szCs w:val="24"/>
        </w:rPr>
      </w:pPr>
      <w:r w:rsidRPr="008440BF">
        <w:rPr>
          <w:rFonts w:asciiTheme="minorHAnsi" w:hAnsiTheme="minorHAnsi"/>
          <w:szCs w:val="24"/>
        </w:rPr>
        <w:t xml:space="preserve">Another prevalent disease </w:t>
      </w:r>
      <w:r w:rsidRPr="008440BF">
        <w:rPr>
          <w:rFonts w:asciiTheme="minorHAnsi" w:hAnsiTheme="minorHAnsi"/>
          <w:color w:val="212121"/>
          <w:szCs w:val="24"/>
          <w:shd w:val="clear" w:color="auto" w:fill="FFFFFF"/>
        </w:rPr>
        <w:t>linked to soft tissue damage and osteoarthritis is obesity. In Massachusetts, more than half of all adults are considered overweight, including 25% of all adults who are considered obese.</w:t>
      </w:r>
      <w:r w:rsidRPr="008440BF">
        <w:rPr>
          <w:rStyle w:val="EndnoteReference"/>
          <w:rFonts w:asciiTheme="minorHAnsi" w:hAnsiTheme="minorHAnsi"/>
          <w:color w:val="212121"/>
          <w:szCs w:val="24"/>
          <w:shd w:val="clear" w:color="auto" w:fill="FFFFFF"/>
        </w:rPr>
        <w:endnoteReference w:id="7"/>
      </w:r>
      <w:r w:rsidRPr="008440BF">
        <w:rPr>
          <w:rFonts w:asciiTheme="minorHAnsi" w:hAnsiTheme="minorHAnsi"/>
          <w:color w:val="212121"/>
          <w:szCs w:val="24"/>
          <w:shd w:val="clear" w:color="auto" w:fill="FFFFFF"/>
        </w:rPr>
        <w:t xml:space="preserve"> Individuals carrying excessive weight are 20 times more likely to need knee replacement surgery than individuals who are not overweight due to the increased pressure placed on the body’s joints.</w:t>
      </w:r>
      <w:r w:rsidRPr="008440BF">
        <w:rPr>
          <w:rStyle w:val="EndnoteReference"/>
          <w:rFonts w:asciiTheme="minorHAnsi" w:hAnsiTheme="minorHAnsi"/>
          <w:color w:val="212121"/>
          <w:szCs w:val="24"/>
          <w:shd w:val="clear" w:color="auto" w:fill="FFFFFF"/>
        </w:rPr>
        <w:endnoteReference w:id="8"/>
      </w:r>
      <w:r w:rsidRPr="008440BF">
        <w:rPr>
          <w:rFonts w:asciiTheme="minorHAnsi" w:hAnsiTheme="minorHAnsi"/>
          <w:color w:val="212121"/>
          <w:szCs w:val="24"/>
          <w:shd w:val="clear" w:color="auto" w:fill="FFFFFF"/>
        </w:rPr>
        <w:t xml:space="preserve"> As obesity rates in the US climbed in recent decades, so too have the number of TKA procedures for overweight individuals.</w:t>
      </w:r>
      <w:r w:rsidRPr="008440BF">
        <w:rPr>
          <w:rStyle w:val="EndnoteReference"/>
          <w:rFonts w:asciiTheme="minorHAnsi" w:hAnsiTheme="minorHAnsi"/>
          <w:color w:val="212121"/>
          <w:szCs w:val="24"/>
          <w:shd w:val="clear" w:color="auto" w:fill="FFFFFF"/>
        </w:rPr>
        <w:endnoteReference w:id="9"/>
      </w:r>
      <w:r w:rsidRPr="008440BF">
        <w:rPr>
          <w:rFonts w:asciiTheme="minorHAnsi" w:hAnsiTheme="minorHAnsi"/>
          <w:color w:val="212121"/>
          <w:szCs w:val="24"/>
          <w:shd w:val="clear" w:color="auto" w:fill="FFFFFF"/>
        </w:rPr>
        <w:t xml:space="preserve"> Based on current and projected incidence rates of arthritis and obesity, need for orthopedic surgical services necessary to treat joint-related issues is projected to increase over time. The majority of these surgeries are projected to be performed in the ASC setting, since </w:t>
      </w:r>
      <w:r w:rsidR="00281213">
        <w:rPr>
          <w:rFonts w:asciiTheme="minorHAnsi" w:hAnsiTheme="minorHAnsi"/>
          <w:color w:val="212121"/>
          <w:szCs w:val="24"/>
          <w:shd w:val="clear" w:color="auto" w:fill="FFFFFF"/>
        </w:rPr>
        <w:t>Total Joint Replacements (“</w:t>
      </w:r>
      <w:r w:rsidRPr="008440BF">
        <w:rPr>
          <w:rFonts w:asciiTheme="minorHAnsi" w:hAnsiTheme="minorHAnsi"/>
          <w:color w:val="212121"/>
          <w:szCs w:val="24"/>
          <w:shd w:val="clear" w:color="auto" w:fill="FFFFFF"/>
        </w:rPr>
        <w:t>TJRs</w:t>
      </w:r>
      <w:r w:rsidR="00281213">
        <w:rPr>
          <w:rFonts w:asciiTheme="minorHAnsi" w:hAnsiTheme="minorHAnsi"/>
          <w:color w:val="212121"/>
          <w:szCs w:val="24"/>
          <w:shd w:val="clear" w:color="auto" w:fill="FFFFFF"/>
        </w:rPr>
        <w:t>”)</w:t>
      </w:r>
      <w:r w:rsidRPr="008440BF">
        <w:rPr>
          <w:rFonts w:asciiTheme="minorHAnsi" w:hAnsiTheme="minorHAnsi"/>
          <w:color w:val="212121"/>
          <w:szCs w:val="24"/>
          <w:shd w:val="clear" w:color="auto" w:fill="FFFFFF"/>
        </w:rPr>
        <w:t xml:space="preserve"> were approved for </w:t>
      </w:r>
      <w:r w:rsidRPr="008440BF">
        <w:rPr>
          <w:rFonts w:asciiTheme="minorHAnsi" w:hAnsiTheme="minorHAnsi"/>
          <w:color w:val="212121"/>
          <w:szCs w:val="24"/>
          <w:shd w:val="clear" w:color="auto" w:fill="FFFFFF"/>
        </w:rPr>
        <w:lastRenderedPageBreak/>
        <w:t xml:space="preserve">reimbursement by Medicare beginning in January 2021. </w:t>
      </w:r>
      <w:r w:rsidRPr="008440BF">
        <w:rPr>
          <w:rFonts w:asciiTheme="minorHAnsi" w:hAnsiTheme="minorHAnsi"/>
          <w:szCs w:val="24"/>
        </w:rPr>
        <w:t>As the populations ages, the Applicant anticipates more adults in the proposed service area will require orthopedic surgery to treat disease-related injuries, improve quality of life, and extend life expectancy.</w:t>
      </w:r>
      <w:r w:rsidRPr="008440BF">
        <w:rPr>
          <w:rStyle w:val="EndnoteReference"/>
          <w:rFonts w:asciiTheme="minorHAnsi" w:hAnsiTheme="minorHAnsi"/>
          <w:szCs w:val="24"/>
        </w:rPr>
        <w:endnoteReference w:id="10"/>
      </w:r>
      <w:r w:rsidRPr="008440BF">
        <w:rPr>
          <w:rFonts w:asciiTheme="minorHAnsi" w:hAnsiTheme="minorHAnsi"/>
          <w:szCs w:val="24"/>
        </w:rPr>
        <w:t xml:space="preserve"> </w:t>
      </w:r>
    </w:p>
    <w:p w14:paraId="3347BA5E" w14:textId="77777777" w:rsidR="007332ED" w:rsidRPr="008440BF" w:rsidRDefault="007332ED" w:rsidP="007332ED">
      <w:pPr>
        <w:spacing w:before="120" w:after="120"/>
        <w:rPr>
          <w:rFonts w:asciiTheme="minorHAnsi" w:hAnsiTheme="minorHAnsi"/>
          <w:szCs w:val="24"/>
        </w:rPr>
      </w:pPr>
    </w:p>
    <w:p w14:paraId="61C57A6B" w14:textId="65FE628C" w:rsidR="007332ED" w:rsidRPr="008440BF" w:rsidRDefault="007332ED" w:rsidP="007332ED">
      <w:pPr>
        <w:spacing w:before="120" w:after="120"/>
        <w:rPr>
          <w:rFonts w:asciiTheme="minorHAnsi" w:hAnsiTheme="minorHAnsi"/>
          <w:szCs w:val="24"/>
        </w:rPr>
      </w:pPr>
      <w:r w:rsidRPr="008440BF">
        <w:rPr>
          <w:rFonts w:asciiTheme="minorHAnsi" w:hAnsiTheme="minorHAnsi"/>
          <w:szCs w:val="24"/>
        </w:rPr>
        <w:t xml:space="preserve">The majority of historical case volume at BID Plymouth and within PBOA’s </w:t>
      </w:r>
      <w:r w:rsidR="0046747B" w:rsidRPr="008440BF">
        <w:rPr>
          <w:rFonts w:asciiTheme="minorHAnsi" w:hAnsiTheme="minorHAnsi"/>
          <w:szCs w:val="24"/>
        </w:rPr>
        <w:t xml:space="preserve">Surgical </w:t>
      </w:r>
      <w:r w:rsidRPr="008440BF">
        <w:rPr>
          <w:rFonts w:asciiTheme="minorHAnsi" w:hAnsiTheme="minorHAnsi"/>
          <w:szCs w:val="24"/>
        </w:rPr>
        <w:t xml:space="preserve">Panel arose out of the need to treat age-related conditions. More than half of patients who had outpatient orthopedic surgery at BID Plymouth were ages 65+. An additional one third of all outpatient orthopedic surgical patients were between the ages of 45 and 64. These age-based demand considerations are especially important for future planning for an orthopedic ASC. The population of adults over the age of 60 in Plymouth County is expected to increase over the coming decades. In the proposed service area, the 60+ age cohort is projected to grow 36% between 2015 and 2025 (UMDI Long Term Population Projections). Given that more than half of the patients who had outpatient orthopedic surgery at BID-Plymouth were ages 65+ and an additional one third were between the ages of 45 and 64, this anticipated growth in the Plymouth region will increase the number of older adults who are more susceptible to joint-related issues, further driving need for these procedures.  </w:t>
      </w:r>
    </w:p>
    <w:p w14:paraId="6FF645A4" w14:textId="77777777" w:rsidR="007332ED" w:rsidRPr="008440BF" w:rsidRDefault="007332ED" w:rsidP="007332ED">
      <w:pPr>
        <w:spacing w:before="120" w:after="120"/>
        <w:rPr>
          <w:rFonts w:asciiTheme="minorHAnsi" w:hAnsiTheme="minorHAnsi"/>
          <w:szCs w:val="24"/>
        </w:rPr>
      </w:pPr>
    </w:p>
    <w:p w14:paraId="55DA9E8F" w14:textId="77777777" w:rsidR="007332ED" w:rsidRPr="008440BF" w:rsidRDefault="007332ED" w:rsidP="007332ED">
      <w:pPr>
        <w:pStyle w:val="Default"/>
        <w:numPr>
          <w:ilvl w:val="0"/>
          <w:numId w:val="44"/>
        </w:numPr>
        <w:rPr>
          <w:rFonts w:asciiTheme="minorHAnsi" w:hAnsiTheme="minorHAnsi" w:cstheme="minorHAnsi"/>
          <w:b/>
          <w:bCs/>
          <w:color w:val="auto"/>
        </w:rPr>
      </w:pPr>
      <w:r w:rsidRPr="008440BF">
        <w:rPr>
          <w:rFonts w:asciiTheme="minorHAnsi" w:hAnsiTheme="minorHAnsi" w:cstheme="minorHAnsi"/>
          <w:b/>
          <w:bCs/>
          <w:color w:val="auto"/>
        </w:rPr>
        <w:t>Shift in the surgical procedures that can safely be performed in an outpatient environment.</w:t>
      </w:r>
    </w:p>
    <w:p w14:paraId="3F01C910" w14:textId="7438A1A2" w:rsidR="007332ED" w:rsidRPr="008440BF" w:rsidRDefault="007332ED" w:rsidP="00AE5919">
      <w:pPr>
        <w:spacing w:before="120" w:after="120"/>
        <w:rPr>
          <w:rFonts w:asciiTheme="minorHAnsi" w:hAnsiTheme="minorHAnsi"/>
          <w:szCs w:val="24"/>
        </w:rPr>
      </w:pPr>
      <w:r w:rsidRPr="008440BF">
        <w:rPr>
          <w:rFonts w:asciiTheme="minorHAnsi" w:hAnsiTheme="minorHAnsi"/>
          <w:szCs w:val="24"/>
        </w:rPr>
        <w:t xml:space="preserve">Insurance coverage is a significant driver of where a procedure is performed. Medicare recently removed several orthopedic surgeries from its inpatient-only list, allowing those procedures to be reimbursed by Medicare when provided in an ASC. Prior to this decision, those surgeries would only be eligible for Medicare reimbursement if performed on an inpatient basis. For example, </w:t>
      </w:r>
      <w:r w:rsidR="00AE5919" w:rsidRPr="008440BF">
        <w:rPr>
          <w:rFonts w:asciiTheme="minorHAnsi" w:hAnsiTheme="minorHAnsi"/>
          <w:szCs w:val="24"/>
        </w:rPr>
        <w:t xml:space="preserve">BID Plymouth began performing clinically appropriate </w:t>
      </w:r>
      <w:r w:rsidR="00281213">
        <w:rPr>
          <w:rFonts w:asciiTheme="minorHAnsi" w:hAnsiTheme="minorHAnsi"/>
          <w:szCs w:val="24"/>
        </w:rPr>
        <w:t>TJR</w:t>
      </w:r>
      <w:r w:rsidR="00AE5919" w:rsidRPr="008440BF">
        <w:rPr>
          <w:rFonts w:asciiTheme="minorHAnsi" w:hAnsiTheme="minorHAnsi"/>
          <w:szCs w:val="24"/>
        </w:rPr>
        <w:t xml:space="preserve"> as outpatient surgeries following a change in Medicare’s reimbursement policy in June 2020. As a result, 63% of TJR cases in FY2021 were performed as outpatient surgeries compared to just 1% in FY2019. </w:t>
      </w:r>
      <w:r w:rsidRPr="008440BF">
        <w:rPr>
          <w:rFonts w:asciiTheme="minorHAnsi" w:hAnsiTheme="minorHAnsi"/>
          <w:szCs w:val="24"/>
        </w:rPr>
        <w:t xml:space="preserve">The decision to allow outpatient reimbursement for more orthopedic surgeries is prompting providers and patients to shift care to more cost-effective outpatient settings. Without local access to a freestanding ASC, the Patient Panel will face barriers to care as insurers increasingly promote the use of ASCs for certain surgeries. </w:t>
      </w:r>
    </w:p>
    <w:p w14:paraId="428B40FB" w14:textId="77777777" w:rsidR="007332ED" w:rsidRPr="008440BF" w:rsidRDefault="007332ED" w:rsidP="007332ED">
      <w:pPr>
        <w:rPr>
          <w:rFonts w:asciiTheme="minorHAnsi" w:hAnsiTheme="minorHAnsi"/>
          <w:szCs w:val="24"/>
          <w:highlight w:val="yellow"/>
        </w:rPr>
      </w:pPr>
    </w:p>
    <w:p w14:paraId="7348B2AD" w14:textId="77777777" w:rsidR="007332ED" w:rsidRPr="008440BF" w:rsidRDefault="007332ED" w:rsidP="007332ED">
      <w:pPr>
        <w:pStyle w:val="paragraph"/>
        <w:spacing w:before="0" w:beforeAutospacing="0" w:after="0" w:afterAutospacing="0"/>
        <w:textAlignment w:val="baseline"/>
        <w:rPr>
          <w:rFonts w:asciiTheme="minorHAnsi" w:hAnsiTheme="minorHAnsi" w:cstheme="minorHAnsi"/>
          <w:sz w:val="18"/>
          <w:szCs w:val="18"/>
        </w:rPr>
      </w:pPr>
      <w:r w:rsidRPr="008440BF">
        <w:rPr>
          <w:rFonts w:asciiTheme="minorHAnsi" w:hAnsiTheme="minorHAnsi" w:cstheme="minorHAnsi"/>
        </w:rPr>
        <w:t xml:space="preserve"> </w:t>
      </w:r>
      <w:r w:rsidRPr="008440BF">
        <w:rPr>
          <w:rStyle w:val="normaltextrun"/>
          <w:rFonts w:asciiTheme="minorHAnsi" w:hAnsiTheme="minorHAnsi" w:cstheme="minorHAnsi"/>
          <w:b/>
          <w:bCs/>
          <w:i/>
          <w:iCs/>
        </w:rPr>
        <w:t>Analysis</w:t>
      </w:r>
      <w:r w:rsidRPr="008440BF">
        <w:rPr>
          <w:rStyle w:val="eop"/>
          <w:rFonts w:asciiTheme="minorHAnsi" w:hAnsiTheme="minorHAnsi" w:cstheme="minorHAnsi"/>
        </w:rPr>
        <w:t> </w:t>
      </w:r>
    </w:p>
    <w:p w14:paraId="3891B0ED" w14:textId="3B324AD5" w:rsidR="007332ED" w:rsidRPr="008440BF" w:rsidRDefault="007332ED" w:rsidP="0046747B">
      <w:pPr>
        <w:pStyle w:val="paragraph"/>
        <w:spacing w:before="0" w:beforeAutospacing="0" w:after="0" w:afterAutospacing="0"/>
        <w:textAlignment w:val="baseline"/>
        <w:rPr>
          <w:rFonts w:asciiTheme="minorHAnsi" w:hAnsiTheme="minorHAnsi" w:cstheme="minorHAnsi"/>
          <w:sz w:val="18"/>
          <w:szCs w:val="18"/>
        </w:rPr>
      </w:pPr>
      <w:r w:rsidRPr="008440BF">
        <w:rPr>
          <w:rStyle w:val="normaltextrun"/>
          <w:rFonts w:asciiTheme="minorHAnsi" w:hAnsiTheme="minorHAnsi" w:cstheme="minorHAnsi"/>
        </w:rPr>
        <w:t xml:space="preserve">Staff finds that the Applicant has demonstrated increasing need for </w:t>
      </w:r>
      <w:r w:rsidR="001E2547" w:rsidRPr="008440BF">
        <w:rPr>
          <w:rStyle w:val="normaltextrun"/>
          <w:rFonts w:asciiTheme="minorHAnsi" w:hAnsiTheme="minorHAnsi" w:cstheme="minorHAnsi"/>
        </w:rPr>
        <w:t xml:space="preserve">orthopedic surgery </w:t>
      </w:r>
      <w:r w:rsidRPr="008440BF">
        <w:rPr>
          <w:rStyle w:val="normaltextrun"/>
          <w:rFonts w:asciiTheme="minorHAnsi" w:hAnsiTheme="minorHAnsi" w:cstheme="minorHAnsi"/>
        </w:rPr>
        <w:t xml:space="preserve">services </w:t>
      </w:r>
      <w:r w:rsidR="001E2547" w:rsidRPr="008440BF">
        <w:rPr>
          <w:rStyle w:val="normaltextrun"/>
          <w:rFonts w:asciiTheme="minorHAnsi" w:hAnsiTheme="minorHAnsi" w:cstheme="minorHAnsi"/>
        </w:rPr>
        <w:t xml:space="preserve">at the ASC environment </w:t>
      </w:r>
      <w:r w:rsidRPr="008440BF">
        <w:rPr>
          <w:rStyle w:val="normaltextrun"/>
          <w:rFonts w:asciiTheme="minorHAnsi" w:hAnsiTheme="minorHAnsi" w:cstheme="minorHAnsi"/>
        </w:rPr>
        <w:t>through</w:t>
      </w:r>
      <w:r w:rsidR="00496FEC" w:rsidRPr="008440BF">
        <w:rPr>
          <w:rStyle w:val="normaltextrun"/>
          <w:rFonts w:asciiTheme="minorHAnsi" w:hAnsiTheme="minorHAnsi" w:cstheme="minorHAnsi"/>
        </w:rPr>
        <w:t xml:space="preserve"> data showing an increase in volume and</w:t>
      </w:r>
      <w:r w:rsidRPr="008440BF">
        <w:rPr>
          <w:rStyle w:val="normaltextrun"/>
          <w:rFonts w:asciiTheme="minorHAnsi" w:hAnsiTheme="minorHAnsi" w:cstheme="minorHAnsi"/>
        </w:rPr>
        <w:t xml:space="preserve"> projected increasing need for ASC services over the next five years within the Applicant’s PSA. The Proposed Project will address growing need for high-quality, cost-effective, ambulatory surgical care. As a result, Staff finds that the Proposed Project meets the requirements of Factor 1a.</w:t>
      </w:r>
      <w:r w:rsidRPr="008440BF">
        <w:rPr>
          <w:rStyle w:val="eop"/>
          <w:rFonts w:asciiTheme="minorHAnsi" w:hAnsiTheme="minorHAnsi" w:cstheme="minorHAnsi"/>
        </w:rPr>
        <w:t> </w:t>
      </w:r>
    </w:p>
    <w:p w14:paraId="3FBEA439" w14:textId="77777777" w:rsidR="00E209A6" w:rsidRPr="008440BF" w:rsidRDefault="00E209A6" w:rsidP="00AD3E50">
      <w:pPr>
        <w:rPr>
          <w:rFonts w:asciiTheme="minorHAnsi" w:hAnsiTheme="minorHAnsi"/>
          <w:highlight w:val="yellow"/>
        </w:rPr>
      </w:pPr>
    </w:p>
    <w:p w14:paraId="0ADCD05D" w14:textId="5C692A7F" w:rsidR="00B447F3" w:rsidRPr="008440BF" w:rsidRDefault="00A4110F" w:rsidP="008917DC">
      <w:pPr>
        <w:pStyle w:val="Heading1"/>
        <w:spacing w:before="188"/>
        <w:ind w:left="0" w:right="403"/>
        <w:rPr>
          <w:rFonts w:asciiTheme="minorHAnsi" w:hAnsiTheme="minorHAnsi"/>
        </w:rPr>
      </w:pPr>
      <w:bookmarkStart w:id="11" w:name="_Toc166249376"/>
      <w:r w:rsidRPr="008440BF">
        <w:rPr>
          <w:rFonts w:asciiTheme="minorHAnsi" w:hAnsiTheme="minorHAnsi"/>
          <w:color w:val="42558C"/>
        </w:rPr>
        <w:t>Factor 1: b) Public health value, improved health outcomes and quality of life; assurances of health equity</w:t>
      </w:r>
      <w:bookmarkEnd w:id="11"/>
    </w:p>
    <w:p w14:paraId="045F736B" w14:textId="77777777" w:rsidR="003D7683" w:rsidRPr="008440BF" w:rsidRDefault="003D7683" w:rsidP="003D7683">
      <w:pPr>
        <w:pStyle w:val="BodyText"/>
        <w:tabs>
          <w:tab w:val="left" w:pos="919"/>
        </w:tabs>
        <w:rPr>
          <w:rFonts w:asciiTheme="minorHAnsi" w:hAnsiTheme="minorHAnsi"/>
        </w:rPr>
      </w:pPr>
      <w:bookmarkStart w:id="12" w:name="Factor_1:_c)_Efficiency,_Continuity_of_C"/>
      <w:bookmarkEnd w:id="12"/>
      <w:r w:rsidRPr="008440BF">
        <w:rPr>
          <w:rFonts w:asciiTheme="minorHAnsi" w:hAnsiTheme="minorHAnsi"/>
        </w:rPr>
        <w:t>For this element of Factor 1, the Applicant must demonstrate that the Proposed Project adds public health value in terms of improved health outcomes and quality of life for the Applicant’s existing Patient Panel, while providing reasonable assurances of health equity.</w:t>
      </w:r>
    </w:p>
    <w:p w14:paraId="5CDB7795" w14:textId="77777777" w:rsidR="003D7683" w:rsidRPr="008440BF" w:rsidRDefault="003D7683" w:rsidP="003D7683">
      <w:pPr>
        <w:pStyle w:val="BodyText"/>
        <w:tabs>
          <w:tab w:val="left" w:pos="919"/>
        </w:tabs>
        <w:rPr>
          <w:rFonts w:asciiTheme="minorHAnsi" w:hAnsiTheme="minorHAnsi"/>
        </w:rPr>
      </w:pPr>
    </w:p>
    <w:p w14:paraId="6A87734E" w14:textId="77777777" w:rsidR="003D7683" w:rsidRPr="008440BF" w:rsidRDefault="003D7683" w:rsidP="003D7683">
      <w:pPr>
        <w:pStyle w:val="BodyText"/>
        <w:rPr>
          <w:rFonts w:asciiTheme="minorHAnsi" w:hAnsiTheme="minorHAnsi"/>
          <w:b/>
          <w:bCs/>
        </w:rPr>
      </w:pPr>
      <w:r w:rsidRPr="008440BF">
        <w:rPr>
          <w:rFonts w:asciiTheme="minorHAnsi" w:hAnsiTheme="minorHAnsi"/>
          <w:b/>
          <w:bCs/>
        </w:rPr>
        <w:t>Public Health Value: Improved Outcomes and Quality of Life</w:t>
      </w:r>
    </w:p>
    <w:p w14:paraId="695F71EB" w14:textId="1172B02C" w:rsidR="003D7683" w:rsidRPr="008440BF" w:rsidRDefault="003D7683" w:rsidP="003D7683">
      <w:pPr>
        <w:pStyle w:val="BodyText"/>
        <w:rPr>
          <w:rFonts w:asciiTheme="minorHAnsi" w:hAnsiTheme="minorHAnsi"/>
        </w:rPr>
      </w:pPr>
      <w:r w:rsidRPr="008440BF">
        <w:rPr>
          <w:rFonts w:asciiTheme="minorHAnsi" w:hAnsiTheme="minorHAnsi"/>
        </w:rPr>
        <w:t>The Applicant anticipates the ASC will improve health outcomes</w:t>
      </w:r>
      <w:r w:rsidR="002D4FBA" w:rsidRPr="008440BF">
        <w:rPr>
          <w:rFonts w:asciiTheme="minorHAnsi" w:hAnsiTheme="minorHAnsi"/>
        </w:rPr>
        <w:t>,</w:t>
      </w:r>
      <w:r w:rsidRPr="008440BF">
        <w:rPr>
          <w:rFonts w:asciiTheme="minorHAnsi" w:hAnsiTheme="minorHAnsi"/>
        </w:rPr>
        <w:t xml:space="preserve"> reduce </w:t>
      </w:r>
      <w:r w:rsidR="002D4FBA" w:rsidRPr="008440BF">
        <w:rPr>
          <w:rFonts w:asciiTheme="minorHAnsi" w:hAnsiTheme="minorHAnsi"/>
        </w:rPr>
        <w:t>wait times</w:t>
      </w:r>
      <w:r w:rsidRPr="008440BF">
        <w:rPr>
          <w:rFonts w:asciiTheme="minorHAnsi" w:hAnsiTheme="minorHAnsi"/>
        </w:rPr>
        <w:t xml:space="preserve">, </w:t>
      </w:r>
      <w:r w:rsidR="002D4FBA" w:rsidRPr="008440BF">
        <w:rPr>
          <w:rFonts w:asciiTheme="minorHAnsi" w:hAnsiTheme="minorHAnsi"/>
        </w:rPr>
        <w:t xml:space="preserve">reduce costs, </w:t>
      </w:r>
      <w:r w:rsidRPr="008440BF">
        <w:rPr>
          <w:rFonts w:asciiTheme="minorHAnsi" w:hAnsiTheme="minorHAnsi"/>
        </w:rPr>
        <w:t>and improve access to surgical procedures.</w:t>
      </w:r>
    </w:p>
    <w:p w14:paraId="0DA22482" w14:textId="77777777" w:rsidR="003D7683" w:rsidRPr="008440BF" w:rsidRDefault="003D7683" w:rsidP="003D7683">
      <w:pPr>
        <w:pStyle w:val="BodyText"/>
        <w:rPr>
          <w:rFonts w:asciiTheme="minorHAnsi" w:hAnsiTheme="minorHAnsi"/>
          <w:highlight w:val="yellow"/>
        </w:rPr>
      </w:pPr>
    </w:p>
    <w:p w14:paraId="0402E25D" w14:textId="1B19CB29" w:rsidR="00D565A1" w:rsidRPr="008440BF" w:rsidRDefault="003F4754" w:rsidP="74902BFB">
      <w:pPr>
        <w:spacing w:before="120" w:after="120"/>
        <w:rPr>
          <w:rFonts w:asciiTheme="minorHAnsi" w:hAnsiTheme="minorHAnsi"/>
          <w:b/>
          <w:bCs/>
          <w:i/>
          <w:iCs/>
        </w:rPr>
      </w:pPr>
      <w:r w:rsidRPr="74902BFB">
        <w:rPr>
          <w:rFonts w:asciiTheme="minorHAnsi" w:hAnsiTheme="minorHAnsi"/>
          <w:b/>
          <w:bCs/>
          <w:i/>
          <w:iCs/>
        </w:rPr>
        <w:t>Health Outcomes:</w:t>
      </w:r>
      <w:r w:rsidR="00037E54" w:rsidRPr="74902BFB">
        <w:rPr>
          <w:rFonts w:asciiTheme="minorHAnsi" w:hAnsiTheme="minorHAnsi"/>
          <w:b/>
          <w:bCs/>
          <w:i/>
          <w:iCs/>
        </w:rPr>
        <w:t xml:space="preserve"> </w:t>
      </w:r>
      <w:r w:rsidR="00860EBF" w:rsidRPr="74902BFB">
        <w:rPr>
          <w:rFonts w:asciiTheme="minorHAnsi" w:hAnsiTheme="minorHAnsi"/>
        </w:rPr>
        <w:t xml:space="preserve">The Applicant provided </w:t>
      </w:r>
      <w:r w:rsidR="009605A9" w:rsidRPr="74902BFB">
        <w:rPr>
          <w:rFonts w:asciiTheme="minorHAnsi" w:hAnsiTheme="minorHAnsi"/>
        </w:rPr>
        <w:t>research</w:t>
      </w:r>
      <w:r w:rsidR="00D3445F" w:rsidRPr="74902BFB">
        <w:rPr>
          <w:rFonts w:asciiTheme="minorHAnsi" w:hAnsiTheme="minorHAnsi"/>
        </w:rPr>
        <w:t xml:space="preserve"> </w:t>
      </w:r>
      <w:r w:rsidR="00746EF7" w:rsidRPr="74902BFB">
        <w:rPr>
          <w:rFonts w:asciiTheme="minorHAnsi" w:hAnsiTheme="minorHAnsi"/>
        </w:rPr>
        <w:t xml:space="preserve">literature </w:t>
      </w:r>
      <w:r w:rsidR="0073281E" w:rsidRPr="74902BFB">
        <w:rPr>
          <w:rFonts w:asciiTheme="minorHAnsi" w:hAnsiTheme="minorHAnsi"/>
        </w:rPr>
        <w:t>supporting</w:t>
      </w:r>
      <w:r w:rsidR="00FD6D92" w:rsidRPr="74902BFB">
        <w:rPr>
          <w:rFonts w:asciiTheme="minorHAnsi" w:hAnsiTheme="minorHAnsi"/>
        </w:rPr>
        <w:t xml:space="preserve"> the benefits of the surgeries that are expected to be performed in the </w:t>
      </w:r>
      <w:r w:rsidR="002D4FBA" w:rsidRPr="74902BFB">
        <w:rPr>
          <w:rFonts w:asciiTheme="minorHAnsi" w:hAnsiTheme="minorHAnsi"/>
        </w:rPr>
        <w:t>p</w:t>
      </w:r>
      <w:r w:rsidR="00FD6D92" w:rsidRPr="74902BFB">
        <w:rPr>
          <w:rFonts w:asciiTheme="minorHAnsi" w:hAnsiTheme="minorHAnsi"/>
        </w:rPr>
        <w:t>roposed ASC</w:t>
      </w:r>
      <w:r w:rsidR="00D3445F" w:rsidRPr="74902BFB">
        <w:rPr>
          <w:rFonts w:asciiTheme="minorHAnsi" w:hAnsiTheme="minorHAnsi"/>
        </w:rPr>
        <w:t>, which can be found in Appendix II</w:t>
      </w:r>
      <w:r w:rsidR="00FD6D92" w:rsidRPr="74902BFB">
        <w:rPr>
          <w:rFonts w:asciiTheme="minorHAnsi" w:hAnsiTheme="minorHAnsi"/>
        </w:rPr>
        <w:t xml:space="preserve">. </w:t>
      </w:r>
      <w:r w:rsidR="00FB692F" w:rsidRPr="74902BFB">
        <w:rPr>
          <w:rFonts w:asciiTheme="minorHAnsi" w:hAnsiTheme="minorHAnsi"/>
        </w:rPr>
        <w:t xml:space="preserve">The research covered </w:t>
      </w:r>
      <w:r w:rsidR="001B0A36" w:rsidRPr="74902BFB">
        <w:rPr>
          <w:rFonts w:asciiTheme="minorHAnsi" w:hAnsiTheme="minorHAnsi"/>
        </w:rPr>
        <w:t>t</w:t>
      </w:r>
      <w:r w:rsidR="00C46504" w:rsidRPr="74902BFB">
        <w:rPr>
          <w:rFonts w:asciiTheme="minorHAnsi" w:hAnsiTheme="minorHAnsi"/>
        </w:rPr>
        <w:t xml:space="preserve">otal </w:t>
      </w:r>
      <w:r w:rsidR="001B0A36" w:rsidRPr="74902BFB">
        <w:rPr>
          <w:rFonts w:asciiTheme="minorHAnsi" w:hAnsiTheme="minorHAnsi"/>
        </w:rPr>
        <w:t>k</w:t>
      </w:r>
      <w:r w:rsidR="00C46504" w:rsidRPr="74902BFB">
        <w:rPr>
          <w:rFonts w:asciiTheme="minorHAnsi" w:hAnsiTheme="minorHAnsi"/>
        </w:rPr>
        <w:t xml:space="preserve">nee </w:t>
      </w:r>
      <w:r w:rsidR="001B0A36" w:rsidRPr="74902BFB">
        <w:rPr>
          <w:rFonts w:asciiTheme="minorHAnsi" w:hAnsiTheme="minorHAnsi"/>
        </w:rPr>
        <w:t>r</w:t>
      </w:r>
      <w:r w:rsidR="00C46504" w:rsidRPr="74902BFB">
        <w:rPr>
          <w:rFonts w:asciiTheme="minorHAnsi" w:hAnsiTheme="minorHAnsi"/>
        </w:rPr>
        <w:t xml:space="preserve">eplacement, </w:t>
      </w:r>
      <w:r w:rsidR="005E7C2F" w:rsidRPr="74902BFB">
        <w:rPr>
          <w:rFonts w:asciiTheme="minorHAnsi" w:hAnsiTheme="minorHAnsi"/>
        </w:rPr>
        <w:t xml:space="preserve">knee arthroscopy for meniscal </w:t>
      </w:r>
      <w:r w:rsidR="00CA3C01" w:rsidRPr="74902BFB">
        <w:rPr>
          <w:rFonts w:asciiTheme="minorHAnsi" w:hAnsiTheme="minorHAnsi"/>
        </w:rPr>
        <w:t>tears</w:t>
      </w:r>
      <w:r w:rsidR="005E7C2F" w:rsidRPr="74902BFB">
        <w:rPr>
          <w:rFonts w:asciiTheme="minorHAnsi" w:hAnsiTheme="minorHAnsi"/>
        </w:rPr>
        <w:t xml:space="preserve">, </w:t>
      </w:r>
      <w:r w:rsidR="001A469B" w:rsidRPr="74902BFB">
        <w:rPr>
          <w:rFonts w:asciiTheme="minorHAnsi" w:hAnsiTheme="minorHAnsi"/>
        </w:rPr>
        <w:t xml:space="preserve">knee ACL repair, </w:t>
      </w:r>
      <w:r w:rsidR="00A155B0" w:rsidRPr="74902BFB">
        <w:rPr>
          <w:rFonts w:asciiTheme="minorHAnsi" w:hAnsiTheme="minorHAnsi"/>
        </w:rPr>
        <w:t xml:space="preserve">hand and wrist repair, </w:t>
      </w:r>
      <w:r w:rsidR="000E4947" w:rsidRPr="74902BFB">
        <w:rPr>
          <w:rFonts w:asciiTheme="minorHAnsi" w:hAnsiTheme="minorHAnsi"/>
        </w:rPr>
        <w:t xml:space="preserve">shoulder arthroscopy, </w:t>
      </w:r>
      <w:r w:rsidR="00121A45" w:rsidRPr="74902BFB">
        <w:rPr>
          <w:rFonts w:asciiTheme="minorHAnsi" w:hAnsiTheme="minorHAnsi"/>
        </w:rPr>
        <w:t>total hip replacement, and total knee replacement.</w:t>
      </w:r>
      <w:r w:rsidR="00D3445F" w:rsidRPr="74902BFB">
        <w:rPr>
          <w:rFonts w:asciiTheme="minorHAnsi" w:hAnsiTheme="minorHAnsi"/>
        </w:rPr>
        <w:t xml:space="preserve"> </w:t>
      </w:r>
      <w:r w:rsidR="004E74C8" w:rsidRPr="74902BFB">
        <w:rPr>
          <w:rFonts w:asciiTheme="minorHAnsi" w:hAnsiTheme="minorHAnsi"/>
        </w:rPr>
        <w:t xml:space="preserve">A main theme among the research presented </w:t>
      </w:r>
      <w:r w:rsidR="00A306C5" w:rsidRPr="74902BFB">
        <w:rPr>
          <w:rFonts w:asciiTheme="minorHAnsi" w:hAnsiTheme="minorHAnsi"/>
        </w:rPr>
        <w:t>was improvement in the patient’s quality of life foll</w:t>
      </w:r>
      <w:r w:rsidR="00B92D5F" w:rsidRPr="74902BFB">
        <w:rPr>
          <w:rFonts w:asciiTheme="minorHAnsi" w:hAnsiTheme="minorHAnsi"/>
        </w:rPr>
        <w:t xml:space="preserve">owing surgical intervention. </w:t>
      </w:r>
      <w:r w:rsidR="00F85011" w:rsidRPr="74902BFB">
        <w:rPr>
          <w:rFonts w:asciiTheme="minorHAnsi" w:hAnsiTheme="minorHAnsi"/>
        </w:rPr>
        <w:t>Patient</w:t>
      </w:r>
      <w:r w:rsidR="00184711" w:rsidRPr="74902BFB">
        <w:rPr>
          <w:rFonts w:asciiTheme="minorHAnsi" w:hAnsiTheme="minorHAnsi"/>
        </w:rPr>
        <w:t xml:space="preserve">s </w:t>
      </w:r>
      <w:r w:rsidR="006F5AE3" w:rsidRPr="74902BFB">
        <w:rPr>
          <w:rFonts w:asciiTheme="minorHAnsi" w:hAnsiTheme="minorHAnsi"/>
        </w:rPr>
        <w:t>generally reported improved physical functioning</w:t>
      </w:r>
      <w:r w:rsidR="00F329C5" w:rsidRPr="74902BFB">
        <w:rPr>
          <w:rFonts w:asciiTheme="minorHAnsi" w:hAnsiTheme="minorHAnsi"/>
        </w:rPr>
        <w:t>, which ultimately lead to greater patient satisfaction post</w:t>
      </w:r>
      <w:r w:rsidR="001B0A36" w:rsidRPr="74902BFB">
        <w:rPr>
          <w:rFonts w:asciiTheme="minorHAnsi" w:hAnsiTheme="minorHAnsi"/>
        </w:rPr>
        <w:t>-</w:t>
      </w:r>
      <w:r w:rsidR="00F329C5" w:rsidRPr="74902BFB">
        <w:rPr>
          <w:rFonts w:asciiTheme="minorHAnsi" w:hAnsiTheme="minorHAnsi"/>
        </w:rPr>
        <w:t>surgery</w:t>
      </w:r>
      <w:r w:rsidR="001B0A36" w:rsidRPr="74902BFB">
        <w:rPr>
          <w:rFonts w:asciiTheme="minorHAnsi" w:hAnsiTheme="minorHAnsi"/>
        </w:rPr>
        <w:t>.</w:t>
      </w:r>
      <w:r w:rsidR="00697D09" w:rsidRPr="74902BFB">
        <w:rPr>
          <w:rFonts w:asciiTheme="minorHAnsi" w:hAnsiTheme="minorHAnsi"/>
        </w:rPr>
        <w:t xml:space="preserve"> Several studies </w:t>
      </w:r>
      <w:r w:rsidR="00A96CCA" w:rsidRPr="74902BFB">
        <w:rPr>
          <w:rFonts w:asciiTheme="minorHAnsi" w:hAnsiTheme="minorHAnsi"/>
        </w:rPr>
        <w:t xml:space="preserve">showed continued positive outcomes </w:t>
      </w:r>
      <w:r w:rsidR="001131DB" w:rsidRPr="74902BFB">
        <w:rPr>
          <w:rFonts w:asciiTheme="minorHAnsi" w:hAnsiTheme="minorHAnsi"/>
        </w:rPr>
        <w:t xml:space="preserve">several years after </w:t>
      </w:r>
      <w:r w:rsidR="007D4870" w:rsidRPr="74902BFB">
        <w:rPr>
          <w:rFonts w:asciiTheme="minorHAnsi" w:hAnsiTheme="minorHAnsi"/>
        </w:rPr>
        <w:t>undergoing surgeries</w:t>
      </w:r>
      <w:r w:rsidR="002D4FBA" w:rsidRPr="74902BFB">
        <w:rPr>
          <w:rFonts w:asciiTheme="minorHAnsi" w:hAnsiTheme="minorHAnsi"/>
        </w:rPr>
        <w:t xml:space="preserve">, across a variety of </w:t>
      </w:r>
      <w:r w:rsidR="00232201" w:rsidRPr="74902BFB">
        <w:rPr>
          <w:rFonts w:asciiTheme="minorHAnsi" w:hAnsiTheme="minorHAnsi"/>
        </w:rPr>
        <w:t>age demographics</w:t>
      </w:r>
      <w:r w:rsidR="007D4870" w:rsidRPr="74902BFB">
        <w:rPr>
          <w:rFonts w:asciiTheme="minorHAnsi" w:hAnsiTheme="minorHAnsi"/>
        </w:rPr>
        <w:t>.</w:t>
      </w:r>
      <w:r w:rsidR="00232201" w:rsidRPr="74902BFB">
        <w:rPr>
          <w:rFonts w:asciiTheme="minorHAnsi" w:hAnsiTheme="minorHAnsi"/>
        </w:rPr>
        <w:t xml:space="preserve"> The addition of the proposed ASC </w:t>
      </w:r>
      <w:r w:rsidR="00791091" w:rsidRPr="74902BFB">
        <w:rPr>
          <w:rFonts w:asciiTheme="minorHAnsi" w:hAnsiTheme="minorHAnsi"/>
        </w:rPr>
        <w:t xml:space="preserve">will provide the Patient Panel with </w:t>
      </w:r>
      <w:r w:rsidR="007909B1" w:rsidRPr="74902BFB">
        <w:rPr>
          <w:rFonts w:asciiTheme="minorHAnsi" w:hAnsiTheme="minorHAnsi"/>
        </w:rPr>
        <w:t xml:space="preserve">the means to </w:t>
      </w:r>
      <w:r w:rsidR="0020440D" w:rsidRPr="74902BFB">
        <w:rPr>
          <w:rFonts w:asciiTheme="minorHAnsi" w:hAnsiTheme="minorHAnsi"/>
        </w:rPr>
        <w:t>improve personal health outcomes at a</w:t>
      </w:r>
      <w:r w:rsidR="00060F46" w:rsidRPr="74902BFB">
        <w:rPr>
          <w:rFonts w:asciiTheme="minorHAnsi" w:hAnsiTheme="minorHAnsi"/>
        </w:rPr>
        <w:t xml:space="preserve"> convenient location.</w:t>
      </w:r>
      <w:r w:rsidR="00C02E30" w:rsidRPr="74902BFB">
        <w:rPr>
          <w:rFonts w:asciiTheme="minorHAnsi" w:hAnsiTheme="minorHAnsi"/>
        </w:rPr>
        <w:t xml:space="preserve"> </w:t>
      </w:r>
      <w:r w:rsidR="00FB19F9" w:rsidRPr="74902BFB">
        <w:rPr>
          <w:rFonts w:asciiTheme="minorHAnsi" w:hAnsiTheme="minorHAnsi"/>
        </w:rPr>
        <w:t xml:space="preserve">The Applicant proposed specific outcome measures to track the impact of the Proposed Project which staff has reviewed, and will become a part of the reporting requirements. These measures are shown in Appendix I. </w:t>
      </w:r>
    </w:p>
    <w:p w14:paraId="145BB047" w14:textId="77777777" w:rsidR="00860EBF" w:rsidRPr="008440BF" w:rsidRDefault="00860EBF" w:rsidP="003D7683">
      <w:pPr>
        <w:spacing w:before="120" w:after="120"/>
        <w:rPr>
          <w:rFonts w:asciiTheme="minorHAnsi" w:hAnsiTheme="minorHAnsi"/>
          <w:b/>
          <w:bCs/>
          <w:i/>
          <w:iCs/>
        </w:rPr>
      </w:pPr>
    </w:p>
    <w:p w14:paraId="41F7D2D3" w14:textId="22617357" w:rsidR="00060F46" w:rsidRPr="008440BF" w:rsidRDefault="00D565A1" w:rsidP="74902BFB">
      <w:pPr>
        <w:spacing w:before="120" w:after="120"/>
        <w:rPr>
          <w:rFonts w:asciiTheme="minorHAnsi" w:hAnsiTheme="minorHAnsi"/>
          <w:b/>
          <w:bCs/>
          <w:i/>
          <w:iCs/>
        </w:rPr>
      </w:pPr>
      <w:r w:rsidRPr="0460F6A4">
        <w:rPr>
          <w:rFonts w:asciiTheme="minorHAnsi" w:hAnsiTheme="minorHAnsi"/>
          <w:b/>
          <w:bCs/>
          <w:i/>
          <w:iCs/>
        </w:rPr>
        <w:t>Reduction in Wait Times:</w:t>
      </w:r>
      <w:r w:rsidR="00037E54" w:rsidRPr="0460F6A4">
        <w:rPr>
          <w:rFonts w:asciiTheme="minorHAnsi" w:hAnsiTheme="minorHAnsi"/>
          <w:b/>
          <w:bCs/>
          <w:i/>
          <w:iCs/>
        </w:rPr>
        <w:t xml:space="preserve"> </w:t>
      </w:r>
      <w:r w:rsidR="00060F46" w:rsidRPr="0460F6A4">
        <w:rPr>
          <w:rFonts w:asciiTheme="minorHAnsi" w:hAnsiTheme="minorHAnsi"/>
        </w:rPr>
        <w:t xml:space="preserve">The current wait time </w:t>
      </w:r>
      <w:r w:rsidR="0054018E" w:rsidRPr="0460F6A4">
        <w:rPr>
          <w:rFonts w:asciiTheme="minorHAnsi" w:hAnsiTheme="minorHAnsi"/>
        </w:rPr>
        <w:t xml:space="preserve">at BID Plymouth </w:t>
      </w:r>
      <w:r w:rsidR="00060F46" w:rsidRPr="0460F6A4">
        <w:rPr>
          <w:rFonts w:asciiTheme="minorHAnsi" w:hAnsiTheme="minorHAnsi"/>
        </w:rPr>
        <w:t xml:space="preserve">to be scheduled for surgery </w:t>
      </w:r>
      <w:r w:rsidR="0054018E" w:rsidRPr="0460F6A4">
        <w:rPr>
          <w:rFonts w:asciiTheme="minorHAnsi" w:hAnsiTheme="minorHAnsi"/>
        </w:rPr>
        <w:t>(</w:t>
      </w:r>
      <w:r w:rsidR="00060F46" w:rsidRPr="0460F6A4">
        <w:rPr>
          <w:rFonts w:asciiTheme="minorHAnsi" w:hAnsiTheme="minorHAnsi"/>
        </w:rPr>
        <w:t>from the decision to move forward with surgery</w:t>
      </w:r>
      <w:r w:rsidR="0054018E" w:rsidRPr="0460F6A4">
        <w:rPr>
          <w:rFonts w:asciiTheme="minorHAnsi" w:hAnsiTheme="minorHAnsi"/>
        </w:rPr>
        <w:t>)</w:t>
      </w:r>
      <w:r w:rsidR="00060F46" w:rsidRPr="0460F6A4">
        <w:rPr>
          <w:rFonts w:asciiTheme="minorHAnsi" w:hAnsiTheme="minorHAnsi"/>
        </w:rPr>
        <w:t xml:space="preserve"> is approximately 6 weeks.</w:t>
      </w:r>
      <w:r w:rsidR="008A2FD3">
        <w:rPr>
          <w:rStyle w:val="FootnoteReference"/>
          <w:rFonts w:asciiTheme="minorHAnsi" w:hAnsiTheme="minorHAnsi"/>
        </w:rPr>
        <w:footnoteReference w:id="20"/>
      </w:r>
      <w:r w:rsidR="00060F46" w:rsidRPr="0460F6A4">
        <w:rPr>
          <w:rFonts w:asciiTheme="minorHAnsi" w:hAnsiTheme="minorHAnsi"/>
        </w:rPr>
        <w:t xml:space="preserve"> The long wait times are often due to the Hospital’s need to prioritize urgent surgeries so that outpatient surgeries are delayed or rescheduled. </w:t>
      </w:r>
      <w:r w:rsidR="00143689" w:rsidRPr="0460F6A4">
        <w:rPr>
          <w:rFonts w:asciiTheme="minorHAnsi" w:hAnsiTheme="minorHAnsi"/>
        </w:rPr>
        <w:t xml:space="preserve">Staff inquired about the historical wait times for surgical procedures and the Applicant </w:t>
      </w:r>
      <w:r w:rsidR="00883C7F" w:rsidRPr="0460F6A4">
        <w:rPr>
          <w:rFonts w:asciiTheme="minorHAnsi" w:hAnsiTheme="minorHAnsi"/>
        </w:rPr>
        <w:t>stated</w:t>
      </w:r>
      <w:r w:rsidR="00143689" w:rsidRPr="0460F6A4">
        <w:rPr>
          <w:rFonts w:asciiTheme="minorHAnsi" w:hAnsiTheme="minorHAnsi"/>
        </w:rPr>
        <w:t xml:space="preserve"> that </w:t>
      </w:r>
      <w:r w:rsidR="00BB6645" w:rsidRPr="0460F6A4">
        <w:rPr>
          <w:rFonts w:asciiTheme="minorHAnsi" w:hAnsiTheme="minorHAnsi"/>
        </w:rPr>
        <w:t>historical surgical wait time data was not tracked</w:t>
      </w:r>
      <w:r w:rsidR="003E6EF6" w:rsidRPr="0460F6A4">
        <w:rPr>
          <w:rFonts w:asciiTheme="minorHAnsi" w:hAnsiTheme="minorHAnsi"/>
        </w:rPr>
        <w:t xml:space="preserve"> and could not be provided</w:t>
      </w:r>
      <w:r w:rsidR="00BB6645" w:rsidRPr="0460F6A4">
        <w:rPr>
          <w:rFonts w:asciiTheme="minorHAnsi" w:hAnsiTheme="minorHAnsi"/>
        </w:rPr>
        <w:t xml:space="preserve">. </w:t>
      </w:r>
      <w:r w:rsidR="00B45F15">
        <w:rPr>
          <w:rFonts w:asciiTheme="minorHAnsi" w:hAnsiTheme="minorHAnsi"/>
        </w:rPr>
        <w:t>Using the current 6 week wait as the foundational</w:t>
      </w:r>
      <w:r w:rsidR="00852DC9">
        <w:rPr>
          <w:rFonts w:asciiTheme="minorHAnsi" w:hAnsiTheme="minorHAnsi"/>
        </w:rPr>
        <w:t xml:space="preserve"> wait time, t</w:t>
      </w:r>
      <w:r w:rsidR="00B078AD" w:rsidRPr="0460F6A4">
        <w:rPr>
          <w:rFonts w:asciiTheme="minorHAnsi" w:hAnsiTheme="minorHAnsi"/>
        </w:rPr>
        <w:t xml:space="preserve">he Applicant predicts that the addition of the proposed ASC will reduce current wait times by </w:t>
      </w:r>
      <w:r w:rsidR="00515B56" w:rsidRPr="0460F6A4">
        <w:rPr>
          <w:rFonts w:asciiTheme="minorHAnsi" w:hAnsiTheme="minorHAnsi"/>
        </w:rPr>
        <w:t xml:space="preserve">approximately 50%. </w:t>
      </w:r>
      <w:r w:rsidR="0054018E" w:rsidRPr="0460F6A4">
        <w:rPr>
          <w:rFonts w:asciiTheme="minorHAnsi" w:hAnsiTheme="minorHAnsi"/>
        </w:rPr>
        <w:t xml:space="preserve">The Applicant notes that there </w:t>
      </w:r>
      <w:r w:rsidR="00775E91" w:rsidRPr="0460F6A4">
        <w:rPr>
          <w:rFonts w:asciiTheme="minorHAnsi" w:hAnsiTheme="minorHAnsi"/>
        </w:rPr>
        <w:t xml:space="preserve">are </w:t>
      </w:r>
      <w:r w:rsidR="0054018E" w:rsidRPr="0460F6A4">
        <w:rPr>
          <w:rFonts w:asciiTheme="minorHAnsi" w:hAnsiTheme="minorHAnsi"/>
        </w:rPr>
        <w:t xml:space="preserve">no industry standard/national benchmarks available for optimal </w:t>
      </w:r>
      <w:r w:rsidR="003E6EF6" w:rsidRPr="0460F6A4">
        <w:rPr>
          <w:rFonts w:asciiTheme="minorHAnsi" w:hAnsiTheme="minorHAnsi"/>
        </w:rPr>
        <w:t xml:space="preserve">surgical </w:t>
      </w:r>
      <w:r w:rsidR="0054018E" w:rsidRPr="0460F6A4">
        <w:rPr>
          <w:rFonts w:asciiTheme="minorHAnsi" w:hAnsiTheme="minorHAnsi"/>
        </w:rPr>
        <w:t>wait times</w:t>
      </w:r>
      <w:r w:rsidR="0046016F" w:rsidRPr="0460F6A4">
        <w:rPr>
          <w:rFonts w:asciiTheme="minorHAnsi" w:hAnsiTheme="minorHAnsi"/>
        </w:rPr>
        <w:t>,</w:t>
      </w:r>
      <w:r w:rsidR="008B59D1" w:rsidRPr="0460F6A4">
        <w:rPr>
          <w:rFonts w:asciiTheme="minorHAnsi" w:hAnsiTheme="minorHAnsi"/>
        </w:rPr>
        <w:t xml:space="preserve"> but</w:t>
      </w:r>
      <w:r w:rsidR="0054018E" w:rsidRPr="0460F6A4">
        <w:rPr>
          <w:rFonts w:asciiTheme="minorHAnsi" w:hAnsiTheme="minorHAnsi"/>
        </w:rPr>
        <w:t xml:space="preserve"> a wait time of between 2 and 4 weeks </w:t>
      </w:r>
      <w:r w:rsidR="008B59D1" w:rsidRPr="0460F6A4">
        <w:rPr>
          <w:rFonts w:asciiTheme="minorHAnsi" w:hAnsiTheme="minorHAnsi"/>
        </w:rPr>
        <w:t xml:space="preserve">would </w:t>
      </w:r>
      <w:r w:rsidR="0054018E" w:rsidRPr="0460F6A4">
        <w:rPr>
          <w:rFonts w:asciiTheme="minorHAnsi" w:hAnsiTheme="minorHAnsi"/>
        </w:rPr>
        <w:t xml:space="preserve">address </w:t>
      </w:r>
      <w:r w:rsidR="008B59D1" w:rsidRPr="0460F6A4">
        <w:rPr>
          <w:rFonts w:asciiTheme="minorHAnsi" w:hAnsiTheme="minorHAnsi"/>
        </w:rPr>
        <w:t>patient</w:t>
      </w:r>
      <w:r w:rsidR="0054018E" w:rsidRPr="0460F6A4">
        <w:rPr>
          <w:rFonts w:asciiTheme="minorHAnsi" w:hAnsiTheme="minorHAnsi"/>
        </w:rPr>
        <w:t xml:space="preserve"> pain in a timely fashion. </w:t>
      </w:r>
      <w:r w:rsidR="00060F46" w:rsidRPr="0460F6A4">
        <w:rPr>
          <w:rFonts w:asciiTheme="minorHAnsi" w:hAnsiTheme="minorHAnsi"/>
        </w:rPr>
        <w:t xml:space="preserve">For patients in need of treatment for painful, joint-related conditions or injuries, </w:t>
      </w:r>
      <w:r w:rsidR="008B59D1" w:rsidRPr="0460F6A4">
        <w:rPr>
          <w:rFonts w:asciiTheme="minorHAnsi" w:hAnsiTheme="minorHAnsi"/>
        </w:rPr>
        <w:t xml:space="preserve">long </w:t>
      </w:r>
      <w:r w:rsidR="00060F46" w:rsidRPr="0460F6A4">
        <w:rPr>
          <w:rFonts w:asciiTheme="minorHAnsi" w:hAnsiTheme="minorHAnsi"/>
        </w:rPr>
        <w:t>delays can significantly impact a patient’s quality of life and adversely impact outcomes.</w:t>
      </w:r>
    </w:p>
    <w:p w14:paraId="71656E91" w14:textId="77777777" w:rsidR="00060F46" w:rsidRPr="008440BF" w:rsidRDefault="00060F46" w:rsidP="003D7683">
      <w:pPr>
        <w:spacing w:before="120" w:after="120"/>
        <w:rPr>
          <w:rFonts w:asciiTheme="minorHAnsi" w:hAnsiTheme="minorHAnsi"/>
          <w:b/>
          <w:bCs/>
          <w:i/>
          <w:iCs/>
        </w:rPr>
      </w:pPr>
    </w:p>
    <w:p w14:paraId="205F446E" w14:textId="0645109E" w:rsidR="003D7683" w:rsidRPr="008440BF" w:rsidRDefault="003D7683" w:rsidP="003D7683">
      <w:pPr>
        <w:spacing w:before="120" w:after="120"/>
        <w:rPr>
          <w:rFonts w:asciiTheme="minorHAnsi" w:eastAsia="Times New Roman" w:hAnsiTheme="minorHAnsi"/>
          <w:kern w:val="2"/>
          <w:szCs w:val="24"/>
        </w:rPr>
      </w:pPr>
      <w:r w:rsidRPr="008440BF">
        <w:rPr>
          <w:rFonts w:asciiTheme="minorHAnsi" w:hAnsiTheme="minorHAnsi"/>
          <w:b/>
          <w:bCs/>
          <w:i/>
          <w:iCs/>
        </w:rPr>
        <w:t>Reduced Costs:</w:t>
      </w:r>
      <w:r w:rsidRPr="008440BF">
        <w:rPr>
          <w:rFonts w:asciiTheme="minorHAnsi" w:hAnsiTheme="minorHAnsi"/>
        </w:rPr>
        <w:t xml:space="preserve"> </w:t>
      </w:r>
      <w:r w:rsidRPr="008440BF">
        <w:rPr>
          <w:rFonts w:asciiTheme="minorHAnsi" w:eastAsia="Times New Roman" w:hAnsiTheme="minorHAnsi"/>
          <w:kern w:val="2"/>
          <w:szCs w:val="24"/>
        </w:rPr>
        <w:t>ASCs are able to create significant savings due to more efficient use of time and resources that are not available in the hospital-based setting.</w:t>
      </w:r>
      <w:r w:rsidRPr="008440BF">
        <w:rPr>
          <w:rStyle w:val="EndnoteReference"/>
          <w:rFonts w:asciiTheme="minorHAnsi" w:eastAsia="Times New Roman" w:hAnsiTheme="minorHAnsi"/>
          <w:kern w:val="2"/>
          <w:szCs w:val="24"/>
        </w:rPr>
        <w:endnoteReference w:id="11"/>
      </w:r>
      <w:r w:rsidRPr="008440BF">
        <w:rPr>
          <w:rFonts w:asciiTheme="minorHAnsi" w:eastAsia="Times New Roman" w:hAnsiTheme="minorHAnsi"/>
          <w:kern w:val="2"/>
          <w:szCs w:val="24"/>
        </w:rPr>
        <w:t xml:space="preserve"> </w:t>
      </w:r>
      <w:bookmarkStart w:id="13" w:name="_Hlk46423438"/>
      <w:r w:rsidRPr="008440BF">
        <w:rPr>
          <w:rFonts w:asciiTheme="minorHAnsi" w:eastAsia="Times New Roman" w:hAnsiTheme="minorHAnsi"/>
          <w:kern w:val="2"/>
          <w:szCs w:val="24"/>
        </w:rPr>
        <w:t>For example, single-specialty ASC are able to streamline overhead expenses through the use of consistent staffing, laboratory, medication, and imaging equipment.</w:t>
      </w:r>
      <w:r w:rsidRPr="008440BF">
        <w:rPr>
          <w:rStyle w:val="EndnoteReference"/>
          <w:rFonts w:asciiTheme="minorHAnsi" w:eastAsia="Times New Roman" w:hAnsiTheme="minorHAnsi"/>
          <w:kern w:val="2"/>
          <w:szCs w:val="24"/>
        </w:rPr>
        <w:endnoteReference w:id="12"/>
      </w:r>
      <w:r w:rsidRPr="008440BF">
        <w:rPr>
          <w:rFonts w:asciiTheme="minorHAnsi" w:eastAsia="Times New Roman" w:hAnsiTheme="minorHAnsi"/>
          <w:kern w:val="2"/>
          <w:szCs w:val="24"/>
        </w:rPr>
        <w:t xml:space="preserve"> Further, </w:t>
      </w:r>
      <w:bookmarkEnd w:id="13"/>
      <w:r w:rsidRPr="008440BF">
        <w:rPr>
          <w:rFonts w:asciiTheme="minorHAnsi" w:eastAsia="Times New Roman" w:hAnsiTheme="minorHAnsi"/>
          <w:kern w:val="2"/>
          <w:szCs w:val="24"/>
        </w:rPr>
        <w:t xml:space="preserve">the narrow scope of services provided by a single-specialty ASC allows for efficiencies than cannot be created in hospitals. As a result, </w:t>
      </w:r>
      <w:r w:rsidR="00CA3C01" w:rsidRPr="008440BF">
        <w:rPr>
          <w:rFonts w:asciiTheme="minorHAnsi" w:eastAsia="Times New Roman" w:hAnsiTheme="minorHAnsi"/>
          <w:kern w:val="2"/>
          <w:szCs w:val="24"/>
        </w:rPr>
        <w:t>ASCs</w:t>
      </w:r>
      <w:r w:rsidRPr="008440BF">
        <w:rPr>
          <w:rFonts w:asciiTheme="minorHAnsi" w:eastAsia="Times New Roman" w:hAnsiTheme="minorHAnsi"/>
          <w:kern w:val="2"/>
          <w:szCs w:val="24"/>
        </w:rPr>
        <w:t xml:space="preserve"> are able to create savings that are reflected in procedure costs.</w:t>
      </w:r>
    </w:p>
    <w:p w14:paraId="01D0E218" w14:textId="7931176D" w:rsidR="003D7683" w:rsidRPr="008440BF" w:rsidRDefault="003D7683" w:rsidP="003D7683">
      <w:pPr>
        <w:spacing w:before="120" w:after="120"/>
        <w:rPr>
          <w:rFonts w:asciiTheme="minorHAnsi" w:eastAsia="Times New Roman" w:hAnsiTheme="minorHAnsi"/>
          <w:kern w:val="2"/>
          <w:szCs w:val="24"/>
        </w:rPr>
      </w:pPr>
      <w:r w:rsidRPr="008440BF">
        <w:rPr>
          <w:rFonts w:asciiTheme="minorHAnsi" w:eastAsia="Times New Roman" w:hAnsiTheme="minorHAnsi"/>
          <w:kern w:val="2"/>
          <w:szCs w:val="24"/>
        </w:rPr>
        <w:t xml:space="preserve"> </w:t>
      </w:r>
    </w:p>
    <w:p w14:paraId="457E53B0" w14:textId="5219A38F" w:rsidR="003D7683" w:rsidRPr="008440BF" w:rsidRDefault="003D7683" w:rsidP="003D7683">
      <w:pPr>
        <w:rPr>
          <w:rFonts w:asciiTheme="minorHAnsi" w:hAnsiTheme="minorHAnsi"/>
          <w:szCs w:val="24"/>
        </w:rPr>
      </w:pPr>
      <w:r w:rsidRPr="008440BF">
        <w:rPr>
          <w:rFonts w:asciiTheme="minorHAnsi" w:hAnsiTheme="minorHAnsi"/>
          <w:szCs w:val="24"/>
        </w:rPr>
        <w:t xml:space="preserve">The Applicant also notes that </w:t>
      </w:r>
      <w:r w:rsidRPr="008440BF">
        <w:rPr>
          <w:rFonts w:asciiTheme="minorHAnsi" w:eastAsia="Times New Roman" w:hAnsiTheme="minorHAnsi"/>
          <w:kern w:val="2"/>
          <w:szCs w:val="24"/>
        </w:rPr>
        <w:t>ASCs are reimbursed at rates nearly half of what the same procedure would be reimbursed at if performed by a hospital.</w:t>
      </w:r>
      <w:r w:rsidRPr="008440BF">
        <w:rPr>
          <w:rStyle w:val="EndnoteReference"/>
          <w:rFonts w:asciiTheme="minorHAnsi" w:eastAsia="Times New Roman" w:hAnsiTheme="minorHAnsi"/>
          <w:kern w:val="2"/>
          <w:szCs w:val="24"/>
        </w:rPr>
        <w:endnoteReference w:id="13"/>
      </w:r>
      <w:r w:rsidRPr="008440BF">
        <w:rPr>
          <w:rFonts w:asciiTheme="minorHAnsi" w:eastAsia="Times New Roman" w:hAnsiTheme="minorHAnsi"/>
          <w:kern w:val="2"/>
          <w:szCs w:val="24"/>
        </w:rPr>
        <w:t xml:space="preserve"> </w:t>
      </w:r>
      <w:r w:rsidRPr="008440BF">
        <w:rPr>
          <w:rFonts w:asciiTheme="minorHAnsi" w:hAnsiTheme="minorHAnsi"/>
          <w:szCs w:val="24"/>
        </w:rPr>
        <w:t xml:space="preserve">As a result of lower procedure costs, patients </w:t>
      </w:r>
      <w:r w:rsidRPr="008440BF">
        <w:rPr>
          <w:rFonts w:asciiTheme="minorHAnsi" w:hAnsiTheme="minorHAnsi"/>
          <w:szCs w:val="24"/>
        </w:rPr>
        <w:lastRenderedPageBreak/>
        <w:t xml:space="preserve">with any form of financial responsibility will experience costs savings by opting to receive care in an ASC setting compared to a hospital outpatient department (HOPD). This includes patients with cost-sharing, as well as patients who self-pay for their care. Table </w:t>
      </w:r>
      <w:r w:rsidR="00586E44" w:rsidRPr="008440BF">
        <w:rPr>
          <w:rFonts w:asciiTheme="minorHAnsi" w:hAnsiTheme="minorHAnsi"/>
          <w:szCs w:val="24"/>
        </w:rPr>
        <w:t>7</w:t>
      </w:r>
      <w:r w:rsidRPr="008440BF">
        <w:rPr>
          <w:rFonts w:asciiTheme="minorHAnsi" w:hAnsiTheme="minorHAnsi"/>
          <w:szCs w:val="24"/>
        </w:rPr>
        <w:t xml:space="preserve"> below demonstrates that Medicare beneficiaries realize an average cost savings of 45% through a reduced copay when performed in an ASC compared to having the same surgery in an HOPD.  </w:t>
      </w:r>
    </w:p>
    <w:p w14:paraId="1A5D5DC9" w14:textId="77777777" w:rsidR="003D7683" w:rsidRPr="008440BF" w:rsidRDefault="003D7683" w:rsidP="003D7683">
      <w:pPr>
        <w:rPr>
          <w:rFonts w:asciiTheme="minorHAnsi" w:hAnsiTheme="minorHAnsi"/>
          <w:b/>
          <w:bCs/>
          <w:sz w:val="20"/>
        </w:rPr>
      </w:pPr>
    </w:p>
    <w:p w14:paraId="0AE3A025" w14:textId="77777777" w:rsidR="003D7683" w:rsidRPr="008440BF" w:rsidRDefault="003D7683" w:rsidP="003D7683">
      <w:pPr>
        <w:rPr>
          <w:rFonts w:asciiTheme="minorHAnsi" w:hAnsiTheme="minorHAnsi"/>
          <w:b/>
          <w:bCs/>
          <w:sz w:val="20"/>
        </w:rPr>
      </w:pPr>
    </w:p>
    <w:p w14:paraId="598360CA" w14:textId="46FCCAFE" w:rsidR="003D7683" w:rsidRPr="008440BF" w:rsidRDefault="003D7683" w:rsidP="306DA086">
      <w:pPr>
        <w:spacing w:after="120"/>
        <w:rPr>
          <w:rFonts w:asciiTheme="minorHAnsi" w:hAnsiTheme="minorHAnsi"/>
          <w:sz w:val="20"/>
        </w:rPr>
      </w:pPr>
      <w:r w:rsidRPr="306DA086">
        <w:rPr>
          <w:rFonts w:asciiTheme="minorHAnsi" w:hAnsiTheme="minorHAnsi"/>
          <w:b/>
          <w:bCs/>
          <w:u w:val="single"/>
        </w:rPr>
        <w:t xml:space="preserve">Table </w:t>
      </w:r>
      <w:r w:rsidR="00586E44" w:rsidRPr="306DA086">
        <w:rPr>
          <w:rFonts w:asciiTheme="minorHAnsi" w:hAnsiTheme="minorHAnsi"/>
          <w:b/>
          <w:bCs/>
          <w:u w:val="single"/>
        </w:rPr>
        <w:t>7</w:t>
      </w:r>
      <w:r w:rsidRPr="306DA086">
        <w:rPr>
          <w:rFonts w:asciiTheme="minorHAnsi" w:hAnsiTheme="minorHAnsi"/>
          <w:b/>
          <w:bCs/>
          <w:u w:val="single"/>
        </w:rPr>
        <w:t>:</w:t>
      </w:r>
      <w:r w:rsidRPr="306DA086">
        <w:rPr>
          <w:rFonts w:asciiTheme="minorHAnsi" w:hAnsiTheme="minorHAnsi"/>
          <w:b/>
          <w:bCs/>
        </w:rPr>
        <w:t xml:space="preserve"> Medicare Payment Comparison for Orthopedic Procedures by Setting</w:t>
      </w:r>
      <w:r w:rsidRPr="306DA086">
        <w:rPr>
          <w:rStyle w:val="EndnoteReference"/>
          <w:rFonts w:asciiTheme="minorHAnsi" w:hAnsiTheme="minorHAnsi"/>
          <w:b/>
          <w:bCs/>
        </w:rPr>
        <w:endnoteReference w:id="14"/>
      </w:r>
    </w:p>
    <w:tbl>
      <w:tblPr>
        <w:tblStyle w:val="TableGrid"/>
        <w:tblW w:w="0" w:type="auto"/>
        <w:tblLook w:val="04A0" w:firstRow="1" w:lastRow="0" w:firstColumn="1" w:lastColumn="0" w:noHBand="0" w:noVBand="1"/>
      </w:tblPr>
      <w:tblGrid>
        <w:gridCol w:w="2320"/>
        <w:gridCol w:w="1244"/>
        <w:gridCol w:w="1160"/>
        <w:gridCol w:w="1065"/>
        <w:gridCol w:w="1244"/>
        <w:gridCol w:w="1160"/>
        <w:gridCol w:w="1066"/>
      </w:tblGrid>
      <w:tr w:rsidR="003D7683" w:rsidRPr="008440BF" w14:paraId="6F66A9D9" w14:textId="77777777" w:rsidTr="00BA4EB9">
        <w:trPr>
          <w:cantSplit/>
          <w:trHeight w:val="899"/>
          <w:tblHeader/>
        </w:trPr>
        <w:tc>
          <w:tcPr>
            <w:tcW w:w="2239" w:type="dxa"/>
            <w:shd w:val="clear" w:color="auto" w:fill="DBE5F1" w:themeFill="accent1" w:themeFillTint="33"/>
            <w:vAlign w:val="center"/>
          </w:tcPr>
          <w:p w14:paraId="20250BD0" w14:textId="77777777" w:rsidR="003D7683" w:rsidRPr="008440BF" w:rsidRDefault="003D7683" w:rsidP="00C22C69">
            <w:pPr>
              <w:jc w:val="center"/>
              <w:rPr>
                <w:rFonts w:asciiTheme="minorHAnsi" w:hAnsiTheme="minorHAnsi"/>
                <w:b/>
                <w:bCs/>
                <w:szCs w:val="24"/>
              </w:rPr>
            </w:pPr>
            <w:r w:rsidRPr="008440BF">
              <w:rPr>
                <w:rFonts w:asciiTheme="minorHAnsi" w:hAnsiTheme="minorHAnsi"/>
                <w:b/>
                <w:bCs/>
                <w:szCs w:val="24"/>
              </w:rPr>
              <w:t>Procedure Description</w:t>
            </w:r>
          </w:p>
        </w:tc>
        <w:tc>
          <w:tcPr>
            <w:tcW w:w="1065" w:type="dxa"/>
            <w:shd w:val="clear" w:color="auto" w:fill="DBE5F1" w:themeFill="accent1" w:themeFillTint="33"/>
          </w:tcPr>
          <w:p w14:paraId="4842E9A7" w14:textId="77777777" w:rsidR="003D7683" w:rsidRPr="008440BF" w:rsidRDefault="003D7683" w:rsidP="00C22C69">
            <w:pPr>
              <w:jc w:val="center"/>
              <w:rPr>
                <w:rFonts w:asciiTheme="minorHAnsi" w:hAnsiTheme="minorHAnsi"/>
                <w:b/>
                <w:bCs/>
                <w:szCs w:val="24"/>
                <w:u w:val="single"/>
              </w:rPr>
            </w:pPr>
            <w:r w:rsidRPr="008440BF">
              <w:rPr>
                <w:rFonts w:asciiTheme="minorHAnsi" w:hAnsiTheme="minorHAnsi"/>
                <w:b/>
                <w:bCs/>
                <w:szCs w:val="24"/>
                <w:u w:val="single"/>
              </w:rPr>
              <w:t>ASC</w:t>
            </w:r>
          </w:p>
          <w:p w14:paraId="4A0A8342" w14:textId="77777777" w:rsidR="003D7683" w:rsidRPr="008440BF" w:rsidRDefault="003D7683" w:rsidP="00C22C69">
            <w:pPr>
              <w:jc w:val="center"/>
              <w:rPr>
                <w:rFonts w:asciiTheme="minorHAnsi" w:hAnsiTheme="minorHAnsi"/>
                <w:b/>
                <w:bCs/>
                <w:szCs w:val="24"/>
              </w:rPr>
            </w:pPr>
            <w:r w:rsidRPr="008440BF">
              <w:rPr>
                <w:rFonts w:asciiTheme="minorHAnsi" w:hAnsiTheme="minorHAnsi"/>
                <w:b/>
                <w:bCs/>
                <w:szCs w:val="24"/>
              </w:rPr>
              <w:t xml:space="preserve">Procedure Cost </w:t>
            </w:r>
          </w:p>
        </w:tc>
        <w:tc>
          <w:tcPr>
            <w:tcW w:w="1065" w:type="dxa"/>
            <w:shd w:val="clear" w:color="auto" w:fill="DBE5F1" w:themeFill="accent1" w:themeFillTint="33"/>
          </w:tcPr>
          <w:p w14:paraId="105A61C8" w14:textId="77777777" w:rsidR="003D7683" w:rsidRPr="008440BF" w:rsidRDefault="003D7683" w:rsidP="00C22C69">
            <w:pPr>
              <w:jc w:val="center"/>
              <w:rPr>
                <w:rFonts w:asciiTheme="minorHAnsi" w:hAnsiTheme="minorHAnsi"/>
                <w:b/>
                <w:bCs/>
                <w:szCs w:val="24"/>
                <w:u w:val="single"/>
              </w:rPr>
            </w:pPr>
            <w:r w:rsidRPr="008440BF">
              <w:rPr>
                <w:rFonts w:asciiTheme="minorHAnsi" w:hAnsiTheme="minorHAnsi"/>
                <w:b/>
                <w:bCs/>
                <w:szCs w:val="24"/>
                <w:u w:val="single"/>
              </w:rPr>
              <w:t>ASC</w:t>
            </w:r>
          </w:p>
          <w:p w14:paraId="7665F139" w14:textId="77777777" w:rsidR="003D7683" w:rsidRPr="008440BF" w:rsidRDefault="003D7683" w:rsidP="00C22C69">
            <w:pPr>
              <w:jc w:val="center"/>
              <w:rPr>
                <w:rFonts w:asciiTheme="minorHAnsi" w:hAnsiTheme="minorHAnsi"/>
                <w:b/>
                <w:bCs/>
                <w:szCs w:val="24"/>
              </w:rPr>
            </w:pPr>
            <w:r w:rsidRPr="008440BF">
              <w:rPr>
                <w:rFonts w:asciiTheme="minorHAnsi" w:hAnsiTheme="minorHAnsi"/>
                <w:b/>
                <w:bCs/>
                <w:szCs w:val="24"/>
              </w:rPr>
              <w:t>Medicare Pays</w:t>
            </w:r>
          </w:p>
        </w:tc>
        <w:tc>
          <w:tcPr>
            <w:tcW w:w="1065" w:type="dxa"/>
            <w:shd w:val="clear" w:color="auto" w:fill="DBE5F1" w:themeFill="accent1" w:themeFillTint="33"/>
          </w:tcPr>
          <w:p w14:paraId="3FE4010E" w14:textId="77777777" w:rsidR="003D7683" w:rsidRPr="008440BF" w:rsidRDefault="003D7683" w:rsidP="00C22C69">
            <w:pPr>
              <w:jc w:val="center"/>
              <w:rPr>
                <w:rFonts w:asciiTheme="minorHAnsi" w:hAnsiTheme="minorHAnsi"/>
                <w:b/>
                <w:bCs/>
                <w:szCs w:val="24"/>
                <w:u w:val="single"/>
              </w:rPr>
            </w:pPr>
            <w:r w:rsidRPr="008440BF">
              <w:rPr>
                <w:rFonts w:asciiTheme="minorHAnsi" w:hAnsiTheme="minorHAnsi"/>
                <w:b/>
                <w:bCs/>
                <w:szCs w:val="24"/>
                <w:u w:val="single"/>
              </w:rPr>
              <w:t>ASC</w:t>
            </w:r>
          </w:p>
          <w:p w14:paraId="29095EEA" w14:textId="77777777" w:rsidR="003D7683" w:rsidRPr="008440BF" w:rsidRDefault="003D7683" w:rsidP="00C22C69">
            <w:pPr>
              <w:jc w:val="center"/>
              <w:rPr>
                <w:rFonts w:asciiTheme="minorHAnsi" w:hAnsiTheme="minorHAnsi"/>
                <w:b/>
                <w:bCs/>
                <w:szCs w:val="24"/>
              </w:rPr>
            </w:pPr>
            <w:r w:rsidRPr="008440BF">
              <w:rPr>
                <w:rFonts w:asciiTheme="minorHAnsi" w:hAnsiTheme="minorHAnsi"/>
                <w:b/>
                <w:bCs/>
                <w:szCs w:val="24"/>
              </w:rPr>
              <w:t>Patient</w:t>
            </w:r>
          </w:p>
          <w:p w14:paraId="678AEEE7" w14:textId="77777777" w:rsidR="003D7683" w:rsidRPr="008440BF" w:rsidRDefault="003D7683" w:rsidP="00C22C69">
            <w:pPr>
              <w:jc w:val="center"/>
              <w:rPr>
                <w:rFonts w:asciiTheme="minorHAnsi" w:hAnsiTheme="minorHAnsi"/>
                <w:b/>
                <w:bCs/>
                <w:szCs w:val="24"/>
              </w:rPr>
            </w:pPr>
            <w:r w:rsidRPr="008440BF">
              <w:rPr>
                <w:rFonts w:asciiTheme="minorHAnsi" w:hAnsiTheme="minorHAnsi"/>
                <w:b/>
                <w:bCs/>
                <w:szCs w:val="24"/>
              </w:rPr>
              <w:t>Copay</w:t>
            </w:r>
          </w:p>
        </w:tc>
        <w:tc>
          <w:tcPr>
            <w:tcW w:w="1065" w:type="dxa"/>
            <w:shd w:val="clear" w:color="auto" w:fill="DBE5F1" w:themeFill="accent1" w:themeFillTint="33"/>
          </w:tcPr>
          <w:p w14:paraId="57FC0116" w14:textId="77777777" w:rsidR="003D7683" w:rsidRPr="008440BF" w:rsidRDefault="003D7683" w:rsidP="00C22C69">
            <w:pPr>
              <w:jc w:val="center"/>
              <w:rPr>
                <w:rFonts w:asciiTheme="minorHAnsi" w:hAnsiTheme="minorHAnsi"/>
                <w:b/>
                <w:bCs/>
                <w:szCs w:val="24"/>
                <w:u w:val="single"/>
              </w:rPr>
            </w:pPr>
            <w:r w:rsidRPr="008440BF">
              <w:rPr>
                <w:rFonts w:asciiTheme="minorHAnsi" w:hAnsiTheme="minorHAnsi"/>
                <w:b/>
                <w:bCs/>
                <w:szCs w:val="24"/>
                <w:u w:val="single"/>
              </w:rPr>
              <w:t>HOPD</w:t>
            </w:r>
          </w:p>
          <w:p w14:paraId="79C29BC7" w14:textId="77777777" w:rsidR="003D7683" w:rsidRPr="008440BF" w:rsidRDefault="003D7683" w:rsidP="00C22C69">
            <w:pPr>
              <w:jc w:val="center"/>
              <w:rPr>
                <w:rFonts w:asciiTheme="minorHAnsi" w:hAnsiTheme="minorHAnsi"/>
                <w:b/>
                <w:bCs/>
                <w:szCs w:val="24"/>
              </w:rPr>
            </w:pPr>
            <w:r w:rsidRPr="008440BF">
              <w:rPr>
                <w:rFonts w:asciiTheme="minorHAnsi" w:hAnsiTheme="minorHAnsi"/>
                <w:b/>
                <w:bCs/>
                <w:szCs w:val="24"/>
              </w:rPr>
              <w:t xml:space="preserve">Procedure Cost </w:t>
            </w:r>
          </w:p>
        </w:tc>
        <w:tc>
          <w:tcPr>
            <w:tcW w:w="1065" w:type="dxa"/>
            <w:shd w:val="clear" w:color="auto" w:fill="DBE5F1" w:themeFill="accent1" w:themeFillTint="33"/>
          </w:tcPr>
          <w:p w14:paraId="39DF2BFC" w14:textId="77777777" w:rsidR="003D7683" w:rsidRPr="008440BF" w:rsidRDefault="003D7683" w:rsidP="00C22C69">
            <w:pPr>
              <w:jc w:val="center"/>
              <w:rPr>
                <w:rFonts w:asciiTheme="minorHAnsi" w:hAnsiTheme="minorHAnsi"/>
                <w:b/>
                <w:bCs/>
                <w:szCs w:val="24"/>
                <w:u w:val="single"/>
              </w:rPr>
            </w:pPr>
            <w:r w:rsidRPr="008440BF">
              <w:rPr>
                <w:rFonts w:asciiTheme="minorHAnsi" w:hAnsiTheme="minorHAnsi"/>
                <w:b/>
                <w:bCs/>
                <w:szCs w:val="24"/>
                <w:u w:val="single"/>
              </w:rPr>
              <w:t>HOPD</w:t>
            </w:r>
          </w:p>
          <w:p w14:paraId="41A744C7" w14:textId="77777777" w:rsidR="003D7683" w:rsidRPr="008440BF" w:rsidRDefault="003D7683" w:rsidP="00C22C69">
            <w:pPr>
              <w:jc w:val="center"/>
              <w:rPr>
                <w:rFonts w:asciiTheme="minorHAnsi" w:hAnsiTheme="minorHAnsi"/>
                <w:b/>
                <w:bCs/>
                <w:szCs w:val="24"/>
              </w:rPr>
            </w:pPr>
            <w:r w:rsidRPr="008440BF">
              <w:rPr>
                <w:rFonts w:asciiTheme="minorHAnsi" w:hAnsiTheme="minorHAnsi"/>
                <w:b/>
                <w:bCs/>
                <w:szCs w:val="24"/>
              </w:rPr>
              <w:t>Medicare Pays</w:t>
            </w:r>
          </w:p>
        </w:tc>
        <w:tc>
          <w:tcPr>
            <w:tcW w:w="1066" w:type="dxa"/>
            <w:shd w:val="clear" w:color="auto" w:fill="DBE5F1" w:themeFill="accent1" w:themeFillTint="33"/>
          </w:tcPr>
          <w:p w14:paraId="49066527" w14:textId="77777777" w:rsidR="003D7683" w:rsidRPr="008440BF" w:rsidRDefault="003D7683" w:rsidP="00C22C69">
            <w:pPr>
              <w:jc w:val="center"/>
              <w:rPr>
                <w:rFonts w:asciiTheme="minorHAnsi" w:hAnsiTheme="minorHAnsi"/>
                <w:b/>
                <w:bCs/>
                <w:szCs w:val="24"/>
                <w:u w:val="single"/>
              </w:rPr>
            </w:pPr>
            <w:r w:rsidRPr="008440BF">
              <w:rPr>
                <w:rFonts w:asciiTheme="minorHAnsi" w:hAnsiTheme="minorHAnsi"/>
                <w:b/>
                <w:bCs/>
                <w:szCs w:val="24"/>
                <w:u w:val="single"/>
              </w:rPr>
              <w:t>HOPD</w:t>
            </w:r>
          </w:p>
          <w:p w14:paraId="1563615D" w14:textId="77777777" w:rsidR="003D7683" w:rsidRPr="008440BF" w:rsidRDefault="003D7683" w:rsidP="00C22C69">
            <w:pPr>
              <w:jc w:val="center"/>
              <w:rPr>
                <w:rFonts w:asciiTheme="minorHAnsi" w:hAnsiTheme="minorHAnsi"/>
                <w:b/>
                <w:bCs/>
                <w:szCs w:val="24"/>
              </w:rPr>
            </w:pPr>
            <w:r w:rsidRPr="008440BF">
              <w:rPr>
                <w:rFonts w:asciiTheme="minorHAnsi" w:hAnsiTheme="minorHAnsi"/>
                <w:b/>
                <w:bCs/>
                <w:szCs w:val="24"/>
              </w:rPr>
              <w:t xml:space="preserve">Patient </w:t>
            </w:r>
          </w:p>
          <w:p w14:paraId="209AD83F" w14:textId="77777777" w:rsidR="003D7683" w:rsidRPr="008440BF" w:rsidRDefault="003D7683" w:rsidP="00C22C69">
            <w:pPr>
              <w:jc w:val="center"/>
              <w:rPr>
                <w:rFonts w:asciiTheme="minorHAnsi" w:hAnsiTheme="minorHAnsi"/>
                <w:b/>
                <w:bCs/>
                <w:szCs w:val="24"/>
              </w:rPr>
            </w:pPr>
            <w:r w:rsidRPr="008440BF">
              <w:rPr>
                <w:rFonts w:asciiTheme="minorHAnsi" w:hAnsiTheme="minorHAnsi"/>
                <w:b/>
                <w:bCs/>
                <w:szCs w:val="24"/>
              </w:rPr>
              <w:t>Copay</w:t>
            </w:r>
          </w:p>
        </w:tc>
      </w:tr>
      <w:tr w:rsidR="003D7683" w:rsidRPr="008440BF" w14:paraId="4851A6D5" w14:textId="77777777" w:rsidTr="00BA4EB9">
        <w:trPr>
          <w:cantSplit/>
        </w:trPr>
        <w:tc>
          <w:tcPr>
            <w:tcW w:w="2239" w:type="dxa"/>
            <w:vAlign w:val="center"/>
          </w:tcPr>
          <w:p w14:paraId="508ED62D" w14:textId="77777777" w:rsidR="003D7683" w:rsidRPr="008440BF" w:rsidRDefault="003D7683" w:rsidP="00C22C69">
            <w:pPr>
              <w:rPr>
                <w:rFonts w:asciiTheme="minorHAnsi" w:hAnsiTheme="minorHAnsi"/>
                <w:b/>
                <w:bCs/>
                <w:szCs w:val="24"/>
              </w:rPr>
            </w:pPr>
            <w:r w:rsidRPr="008440BF">
              <w:rPr>
                <w:rFonts w:asciiTheme="minorHAnsi" w:hAnsiTheme="minorHAnsi"/>
                <w:szCs w:val="24"/>
              </w:rPr>
              <w:t>Arthroscopy, knee, surgical; debridement/shaving of articular cartilage (chondroplasty)</w:t>
            </w:r>
          </w:p>
        </w:tc>
        <w:tc>
          <w:tcPr>
            <w:tcW w:w="1065" w:type="dxa"/>
            <w:vAlign w:val="center"/>
          </w:tcPr>
          <w:p w14:paraId="12BB6F5E" w14:textId="77777777" w:rsidR="003D7683" w:rsidRPr="008440BF" w:rsidRDefault="003D7683" w:rsidP="00C22C69">
            <w:pPr>
              <w:rPr>
                <w:rFonts w:asciiTheme="minorHAnsi" w:hAnsiTheme="minorHAnsi"/>
                <w:b/>
                <w:bCs/>
                <w:szCs w:val="24"/>
              </w:rPr>
            </w:pPr>
            <w:r w:rsidRPr="008440BF">
              <w:rPr>
                <w:rFonts w:asciiTheme="minorHAnsi" w:hAnsiTheme="minorHAnsi"/>
                <w:szCs w:val="24"/>
              </w:rPr>
              <w:t>$1,999</w:t>
            </w:r>
          </w:p>
        </w:tc>
        <w:tc>
          <w:tcPr>
            <w:tcW w:w="1065" w:type="dxa"/>
            <w:vAlign w:val="center"/>
          </w:tcPr>
          <w:p w14:paraId="3BAC15A8" w14:textId="77777777" w:rsidR="003D7683" w:rsidRPr="008440BF" w:rsidRDefault="003D7683" w:rsidP="00C22C69">
            <w:pPr>
              <w:rPr>
                <w:rFonts w:asciiTheme="minorHAnsi" w:hAnsiTheme="minorHAnsi"/>
                <w:b/>
                <w:bCs/>
                <w:szCs w:val="24"/>
              </w:rPr>
            </w:pPr>
            <w:r w:rsidRPr="008440BF">
              <w:rPr>
                <w:rFonts w:asciiTheme="minorHAnsi" w:hAnsiTheme="minorHAnsi"/>
                <w:szCs w:val="24"/>
              </w:rPr>
              <w:t>$1,599</w:t>
            </w:r>
          </w:p>
        </w:tc>
        <w:tc>
          <w:tcPr>
            <w:tcW w:w="1065" w:type="dxa"/>
            <w:vAlign w:val="center"/>
          </w:tcPr>
          <w:p w14:paraId="53C7A3D3" w14:textId="77777777" w:rsidR="003D7683" w:rsidRPr="008440BF" w:rsidRDefault="003D7683" w:rsidP="00C22C69">
            <w:pPr>
              <w:rPr>
                <w:rFonts w:asciiTheme="minorHAnsi" w:hAnsiTheme="minorHAnsi"/>
                <w:b/>
                <w:bCs/>
                <w:szCs w:val="24"/>
              </w:rPr>
            </w:pPr>
            <w:r w:rsidRPr="008440BF">
              <w:rPr>
                <w:rFonts w:asciiTheme="minorHAnsi" w:hAnsiTheme="minorHAnsi"/>
                <w:szCs w:val="24"/>
              </w:rPr>
              <w:t>$399</w:t>
            </w:r>
          </w:p>
        </w:tc>
        <w:tc>
          <w:tcPr>
            <w:tcW w:w="1065" w:type="dxa"/>
            <w:vAlign w:val="center"/>
          </w:tcPr>
          <w:p w14:paraId="2CE4AEAB" w14:textId="77777777" w:rsidR="003D7683" w:rsidRPr="008440BF" w:rsidRDefault="003D7683" w:rsidP="00C22C69">
            <w:pPr>
              <w:rPr>
                <w:rFonts w:asciiTheme="minorHAnsi" w:hAnsiTheme="minorHAnsi"/>
                <w:b/>
                <w:bCs/>
                <w:szCs w:val="24"/>
              </w:rPr>
            </w:pPr>
            <w:r w:rsidRPr="008440BF">
              <w:rPr>
                <w:rFonts w:asciiTheme="minorHAnsi" w:hAnsiTheme="minorHAnsi"/>
                <w:szCs w:val="24"/>
              </w:rPr>
              <w:t>$3,531</w:t>
            </w:r>
          </w:p>
        </w:tc>
        <w:tc>
          <w:tcPr>
            <w:tcW w:w="1065" w:type="dxa"/>
            <w:vAlign w:val="center"/>
          </w:tcPr>
          <w:p w14:paraId="5C0DA7DE" w14:textId="77777777" w:rsidR="003D7683" w:rsidRPr="008440BF" w:rsidRDefault="003D7683" w:rsidP="00C22C69">
            <w:pPr>
              <w:rPr>
                <w:rFonts w:asciiTheme="minorHAnsi" w:hAnsiTheme="minorHAnsi"/>
                <w:b/>
                <w:bCs/>
                <w:szCs w:val="24"/>
              </w:rPr>
            </w:pPr>
            <w:r w:rsidRPr="008440BF">
              <w:rPr>
                <w:rFonts w:asciiTheme="minorHAnsi" w:hAnsiTheme="minorHAnsi"/>
                <w:szCs w:val="24"/>
              </w:rPr>
              <w:t>$2,824</w:t>
            </w:r>
          </w:p>
        </w:tc>
        <w:tc>
          <w:tcPr>
            <w:tcW w:w="1066" w:type="dxa"/>
            <w:vAlign w:val="center"/>
          </w:tcPr>
          <w:p w14:paraId="12EDD002" w14:textId="77777777" w:rsidR="003D7683" w:rsidRPr="008440BF" w:rsidRDefault="003D7683" w:rsidP="00C22C69">
            <w:pPr>
              <w:rPr>
                <w:rFonts w:asciiTheme="minorHAnsi" w:hAnsiTheme="minorHAnsi"/>
                <w:b/>
                <w:bCs/>
                <w:szCs w:val="24"/>
              </w:rPr>
            </w:pPr>
            <w:r w:rsidRPr="008440BF">
              <w:rPr>
                <w:rFonts w:asciiTheme="minorHAnsi" w:hAnsiTheme="minorHAnsi"/>
                <w:szCs w:val="24"/>
              </w:rPr>
              <w:t>$705</w:t>
            </w:r>
          </w:p>
        </w:tc>
      </w:tr>
      <w:tr w:rsidR="003D7683" w:rsidRPr="008440BF" w14:paraId="2F13AEFB" w14:textId="77777777" w:rsidTr="00BA4EB9">
        <w:trPr>
          <w:cantSplit/>
        </w:trPr>
        <w:tc>
          <w:tcPr>
            <w:tcW w:w="2239" w:type="dxa"/>
            <w:vAlign w:val="center"/>
          </w:tcPr>
          <w:p w14:paraId="7F7A0581" w14:textId="77777777" w:rsidR="003D7683" w:rsidRPr="008440BF" w:rsidRDefault="003D7683" w:rsidP="00C22C69">
            <w:pPr>
              <w:rPr>
                <w:rFonts w:asciiTheme="minorHAnsi" w:hAnsiTheme="minorHAnsi"/>
                <w:b/>
                <w:bCs/>
                <w:szCs w:val="24"/>
              </w:rPr>
            </w:pPr>
            <w:r w:rsidRPr="008440BF">
              <w:rPr>
                <w:rFonts w:asciiTheme="minorHAnsi" w:hAnsiTheme="minorHAnsi"/>
                <w:szCs w:val="24"/>
              </w:rPr>
              <w:t>Neuroplasty and/or transposition; median nerve at carpal tunnel</w:t>
            </w:r>
          </w:p>
        </w:tc>
        <w:tc>
          <w:tcPr>
            <w:tcW w:w="1065" w:type="dxa"/>
            <w:vAlign w:val="center"/>
          </w:tcPr>
          <w:p w14:paraId="073214B0" w14:textId="77777777" w:rsidR="003D7683" w:rsidRPr="008440BF" w:rsidRDefault="003D7683" w:rsidP="00C22C69">
            <w:pPr>
              <w:rPr>
                <w:rFonts w:asciiTheme="minorHAnsi" w:hAnsiTheme="minorHAnsi"/>
                <w:b/>
                <w:bCs/>
                <w:szCs w:val="24"/>
              </w:rPr>
            </w:pPr>
            <w:r w:rsidRPr="008440BF">
              <w:rPr>
                <w:rFonts w:asciiTheme="minorHAnsi" w:hAnsiTheme="minorHAnsi"/>
                <w:szCs w:val="24"/>
              </w:rPr>
              <w:t>$1,272</w:t>
            </w:r>
          </w:p>
        </w:tc>
        <w:tc>
          <w:tcPr>
            <w:tcW w:w="1065" w:type="dxa"/>
            <w:vAlign w:val="center"/>
          </w:tcPr>
          <w:p w14:paraId="275049EE" w14:textId="77777777" w:rsidR="003D7683" w:rsidRPr="008440BF" w:rsidRDefault="003D7683" w:rsidP="00C22C69">
            <w:pPr>
              <w:rPr>
                <w:rFonts w:asciiTheme="minorHAnsi" w:hAnsiTheme="minorHAnsi"/>
                <w:b/>
                <w:bCs/>
                <w:szCs w:val="24"/>
              </w:rPr>
            </w:pPr>
            <w:r w:rsidRPr="008440BF">
              <w:rPr>
                <w:rFonts w:asciiTheme="minorHAnsi" w:hAnsiTheme="minorHAnsi"/>
                <w:szCs w:val="24"/>
              </w:rPr>
              <w:t>$1,018</w:t>
            </w:r>
          </w:p>
        </w:tc>
        <w:tc>
          <w:tcPr>
            <w:tcW w:w="1065" w:type="dxa"/>
            <w:vAlign w:val="center"/>
          </w:tcPr>
          <w:p w14:paraId="4E30E675" w14:textId="77777777" w:rsidR="003D7683" w:rsidRPr="008440BF" w:rsidRDefault="003D7683" w:rsidP="00C22C69">
            <w:pPr>
              <w:rPr>
                <w:rFonts w:asciiTheme="minorHAnsi" w:hAnsiTheme="minorHAnsi"/>
                <w:b/>
                <w:bCs/>
                <w:szCs w:val="24"/>
              </w:rPr>
            </w:pPr>
            <w:r w:rsidRPr="008440BF">
              <w:rPr>
                <w:rFonts w:asciiTheme="minorHAnsi" w:hAnsiTheme="minorHAnsi"/>
                <w:szCs w:val="24"/>
              </w:rPr>
              <w:t>$253</w:t>
            </w:r>
          </w:p>
        </w:tc>
        <w:tc>
          <w:tcPr>
            <w:tcW w:w="1065" w:type="dxa"/>
            <w:vAlign w:val="center"/>
          </w:tcPr>
          <w:p w14:paraId="4505FCC8" w14:textId="77777777" w:rsidR="003D7683" w:rsidRPr="008440BF" w:rsidRDefault="003D7683" w:rsidP="00C22C69">
            <w:pPr>
              <w:rPr>
                <w:rFonts w:asciiTheme="minorHAnsi" w:hAnsiTheme="minorHAnsi"/>
                <w:b/>
                <w:bCs/>
                <w:szCs w:val="24"/>
              </w:rPr>
            </w:pPr>
            <w:r w:rsidRPr="008440BF">
              <w:rPr>
                <w:rFonts w:asciiTheme="minorHAnsi" w:hAnsiTheme="minorHAnsi"/>
                <w:szCs w:val="24"/>
              </w:rPr>
              <w:t>$2,241</w:t>
            </w:r>
          </w:p>
        </w:tc>
        <w:tc>
          <w:tcPr>
            <w:tcW w:w="1065" w:type="dxa"/>
            <w:vAlign w:val="center"/>
          </w:tcPr>
          <w:p w14:paraId="11BF5C2D" w14:textId="77777777" w:rsidR="003D7683" w:rsidRPr="008440BF" w:rsidRDefault="003D7683" w:rsidP="00C22C69">
            <w:pPr>
              <w:rPr>
                <w:rFonts w:asciiTheme="minorHAnsi" w:hAnsiTheme="minorHAnsi"/>
                <w:b/>
                <w:bCs/>
                <w:szCs w:val="24"/>
              </w:rPr>
            </w:pPr>
            <w:r w:rsidRPr="008440BF">
              <w:rPr>
                <w:rFonts w:asciiTheme="minorHAnsi" w:hAnsiTheme="minorHAnsi"/>
                <w:szCs w:val="24"/>
              </w:rPr>
              <w:t>$1,793</w:t>
            </w:r>
          </w:p>
        </w:tc>
        <w:tc>
          <w:tcPr>
            <w:tcW w:w="1066" w:type="dxa"/>
            <w:vAlign w:val="center"/>
          </w:tcPr>
          <w:p w14:paraId="753FE3D1" w14:textId="77777777" w:rsidR="003D7683" w:rsidRPr="008440BF" w:rsidRDefault="003D7683" w:rsidP="00C22C69">
            <w:pPr>
              <w:rPr>
                <w:rFonts w:asciiTheme="minorHAnsi" w:hAnsiTheme="minorHAnsi"/>
                <w:b/>
                <w:bCs/>
                <w:szCs w:val="24"/>
              </w:rPr>
            </w:pPr>
            <w:r w:rsidRPr="008440BF">
              <w:rPr>
                <w:rFonts w:asciiTheme="minorHAnsi" w:hAnsiTheme="minorHAnsi"/>
                <w:szCs w:val="24"/>
              </w:rPr>
              <w:t>$447</w:t>
            </w:r>
          </w:p>
        </w:tc>
      </w:tr>
      <w:tr w:rsidR="003D7683" w:rsidRPr="008440BF" w14:paraId="06232C96" w14:textId="77777777" w:rsidTr="00BA4EB9">
        <w:trPr>
          <w:cantSplit/>
        </w:trPr>
        <w:tc>
          <w:tcPr>
            <w:tcW w:w="2239" w:type="dxa"/>
            <w:vAlign w:val="center"/>
          </w:tcPr>
          <w:p w14:paraId="212C95F2" w14:textId="77777777" w:rsidR="003D7683" w:rsidRPr="008440BF" w:rsidRDefault="003D7683" w:rsidP="00C22C69">
            <w:pPr>
              <w:rPr>
                <w:rFonts w:asciiTheme="minorHAnsi" w:hAnsiTheme="minorHAnsi"/>
                <w:b/>
                <w:bCs/>
                <w:szCs w:val="24"/>
              </w:rPr>
            </w:pPr>
            <w:r w:rsidRPr="008440BF">
              <w:rPr>
                <w:rFonts w:asciiTheme="minorHAnsi" w:hAnsiTheme="minorHAnsi"/>
                <w:bCs/>
                <w:szCs w:val="24"/>
              </w:rPr>
              <w:t>Arthroscopy, shoulder, surgical; biceps tenodesis</w:t>
            </w:r>
          </w:p>
        </w:tc>
        <w:tc>
          <w:tcPr>
            <w:tcW w:w="1065" w:type="dxa"/>
            <w:vAlign w:val="center"/>
          </w:tcPr>
          <w:p w14:paraId="468138AF" w14:textId="77777777" w:rsidR="003D7683" w:rsidRPr="008440BF" w:rsidRDefault="003D7683" w:rsidP="00C22C69">
            <w:pPr>
              <w:rPr>
                <w:rFonts w:asciiTheme="minorHAnsi" w:hAnsiTheme="minorHAnsi"/>
                <w:b/>
                <w:bCs/>
                <w:szCs w:val="24"/>
              </w:rPr>
            </w:pPr>
            <w:r w:rsidRPr="008440BF">
              <w:rPr>
                <w:rFonts w:asciiTheme="minorHAnsi" w:hAnsiTheme="minorHAnsi"/>
                <w:bCs/>
                <w:szCs w:val="24"/>
              </w:rPr>
              <w:t xml:space="preserve">$3,873 </w:t>
            </w:r>
          </w:p>
        </w:tc>
        <w:tc>
          <w:tcPr>
            <w:tcW w:w="1065" w:type="dxa"/>
            <w:vAlign w:val="center"/>
          </w:tcPr>
          <w:p w14:paraId="66686E42" w14:textId="77777777" w:rsidR="003D7683" w:rsidRPr="008440BF" w:rsidRDefault="003D7683" w:rsidP="00C22C69">
            <w:pPr>
              <w:rPr>
                <w:rFonts w:asciiTheme="minorHAnsi" w:hAnsiTheme="minorHAnsi"/>
                <w:b/>
                <w:bCs/>
                <w:szCs w:val="24"/>
              </w:rPr>
            </w:pPr>
            <w:r w:rsidRPr="008440BF">
              <w:rPr>
                <w:rFonts w:asciiTheme="minorHAnsi" w:hAnsiTheme="minorHAnsi"/>
                <w:bCs/>
                <w:szCs w:val="24"/>
              </w:rPr>
              <w:t xml:space="preserve">$3,098 </w:t>
            </w:r>
          </w:p>
        </w:tc>
        <w:tc>
          <w:tcPr>
            <w:tcW w:w="1065" w:type="dxa"/>
            <w:vAlign w:val="center"/>
          </w:tcPr>
          <w:p w14:paraId="4F5ACE44" w14:textId="77777777" w:rsidR="003D7683" w:rsidRPr="008440BF" w:rsidRDefault="003D7683" w:rsidP="00C22C69">
            <w:pPr>
              <w:rPr>
                <w:rFonts w:asciiTheme="minorHAnsi" w:hAnsiTheme="minorHAnsi"/>
                <w:b/>
                <w:bCs/>
                <w:szCs w:val="24"/>
              </w:rPr>
            </w:pPr>
            <w:r w:rsidRPr="008440BF">
              <w:rPr>
                <w:rFonts w:asciiTheme="minorHAnsi" w:hAnsiTheme="minorHAnsi"/>
                <w:bCs/>
                <w:szCs w:val="24"/>
              </w:rPr>
              <w:t xml:space="preserve">$773 </w:t>
            </w:r>
          </w:p>
        </w:tc>
        <w:tc>
          <w:tcPr>
            <w:tcW w:w="1065" w:type="dxa"/>
            <w:vAlign w:val="center"/>
          </w:tcPr>
          <w:p w14:paraId="69A7DCF2" w14:textId="77777777" w:rsidR="003D7683" w:rsidRPr="008440BF" w:rsidRDefault="003D7683" w:rsidP="00C22C69">
            <w:pPr>
              <w:rPr>
                <w:rFonts w:asciiTheme="minorHAnsi" w:hAnsiTheme="minorHAnsi"/>
                <w:b/>
                <w:bCs/>
                <w:szCs w:val="24"/>
              </w:rPr>
            </w:pPr>
            <w:r w:rsidRPr="008440BF">
              <w:rPr>
                <w:rFonts w:asciiTheme="minorHAnsi" w:hAnsiTheme="minorHAnsi"/>
                <w:bCs/>
                <w:szCs w:val="24"/>
              </w:rPr>
              <w:t xml:space="preserve">$7,208 </w:t>
            </w:r>
          </w:p>
        </w:tc>
        <w:tc>
          <w:tcPr>
            <w:tcW w:w="1065" w:type="dxa"/>
            <w:vAlign w:val="center"/>
          </w:tcPr>
          <w:p w14:paraId="67D40C60" w14:textId="77777777" w:rsidR="003D7683" w:rsidRPr="008440BF" w:rsidRDefault="003D7683" w:rsidP="00C22C69">
            <w:pPr>
              <w:rPr>
                <w:rFonts w:asciiTheme="minorHAnsi" w:hAnsiTheme="minorHAnsi"/>
                <w:b/>
                <w:bCs/>
                <w:szCs w:val="24"/>
              </w:rPr>
            </w:pPr>
            <w:r w:rsidRPr="008440BF">
              <w:rPr>
                <w:rFonts w:asciiTheme="minorHAnsi" w:hAnsiTheme="minorHAnsi"/>
                <w:bCs/>
                <w:szCs w:val="24"/>
              </w:rPr>
              <w:t xml:space="preserve">$5,766 </w:t>
            </w:r>
          </w:p>
        </w:tc>
        <w:tc>
          <w:tcPr>
            <w:tcW w:w="1066" w:type="dxa"/>
            <w:vAlign w:val="center"/>
          </w:tcPr>
          <w:p w14:paraId="4CEB9E42" w14:textId="77777777" w:rsidR="003D7683" w:rsidRPr="008440BF" w:rsidRDefault="003D7683" w:rsidP="00C22C69">
            <w:pPr>
              <w:rPr>
                <w:rFonts w:asciiTheme="minorHAnsi" w:hAnsiTheme="minorHAnsi"/>
                <w:b/>
                <w:bCs/>
                <w:szCs w:val="24"/>
              </w:rPr>
            </w:pPr>
            <w:r w:rsidRPr="008440BF">
              <w:rPr>
                <w:rFonts w:asciiTheme="minorHAnsi" w:hAnsiTheme="minorHAnsi"/>
                <w:bCs/>
                <w:szCs w:val="24"/>
              </w:rPr>
              <w:t xml:space="preserve">$1,441 </w:t>
            </w:r>
          </w:p>
        </w:tc>
      </w:tr>
      <w:tr w:rsidR="003D7683" w:rsidRPr="008440BF" w14:paraId="557AA936" w14:textId="77777777" w:rsidTr="00BA4EB9">
        <w:trPr>
          <w:cantSplit/>
        </w:trPr>
        <w:tc>
          <w:tcPr>
            <w:tcW w:w="2239" w:type="dxa"/>
            <w:vAlign w:val="center"/>
          </w:tcPr>
          <w:p w14:paraId="0E722B78" w14:textId="77777777" w:rsidR="003D7683" w:rsidRPr="008440BF" w:rsidRDefault="003D7683" w:rsidP="00C22C69">
            <w:pPr>
              <w:rPr>
                <w:rFonts w:asciiTheme="minorHAnsi" w:hAnsiTheme="minorHAnsi"/>
                <w:b/>
                <w:bCs/>
                <w:szCs w:val="24"/>
              </w:rPr>
            </w:pPr>
            <w:r w:rsidRPr="008440BF">
              <w:rPr>
                <w:rFonts w:asciiTheme="minorHAnsi" w:hAnsiTheme="minorHAnsi"/>
                <w:bCs/>
                <w:szCs w:val="24"/>
              </w:rPr>
              <w:t>Arthroscopy, knee, surgical; with meniscus repair (medial or lateral)</w:t>
            </w:r>
          </w:p>
        </w:tc>
        <w:tc>
          <w:tcPr>
            <w:tcW w:w="1065" w:type="dxa"/>
            <w:vAlign w:val="center"/>
          </w:tcPr>
          <w:p w14:paraId="4CFA5E2E" w14:textId="77777777" w:rsidR="003D7683" w:rsidRPr="008440BF" w:rsidRDefault="003D7683" w:rsidP="00C22C69">
            <w:pPr>
              <w:rPr>
                <w:rFonts w:asciiTheme="minorHAnsi" w:hAnsiTheme="minorHAnsi"/>
                <w:b/>
                <w:bCs/>
                <w:szCs w:val="24"/>
              </w:rPr>
            </w:pPr>
            <w:r w:rsidRPr="008440BF">
              <w:rPr>
                <w:rFonts w:asciiTheme="minorHAnsi" w:hAnsiTheme="minorHAnsi"/>
                <w:bCs/>
                <w:szCs w:val="24"/>
              </w:rPr>
              <w:t xml:space="preserve">$2,040 </w:t>
            </w:r>
          </w:p>
        </w:tc>
        <w:tc>
          <w:tcPr>
            <w:tcW w:w="1065" w:type="dxa"/>
            <w:vAlign w:val="center"/>
          </w:tcPr>
          <w:p w14:paraId="3BFBDE68" w14:textId="77777777" w:rsidR="003D7683" w:rsidRPr="008440BF" w:rsidRDefault="003D7683" w:rsidP="00C22C69">
            <w:pPr>
              <w:rPr>
                <w:rFonts w:asciiTheme="minorHAnsi" w:hAnsiTheme="minorHAnsi"/>
                <w:b/>
                <w:bCs/>
                <w:szCs w:val="24"/>
              </w:rPr>
            </w:pPr>
            <w:r w:rsidRPr="008440BF">
              <w:rPr>
                <w:rFonts w:asciiTheme="minorHAnsi" w:hAnsiTheme="minorHAnsi"/>
                <w:bCs/>
                <w:szCs w:val="24"/>
              </w:rPr>
              <w:t xml:space="preserve">$1,631 </w:t>
            </w:r>
          </w:p>
        </w:tc>
        <w:tc>
          <w:tcPr>
            <w:tcW w:w="1065" w:type="dxa"/>
            <w:vAlign w:val="center"/>
          </w:tcPr>
          <w:p w14:paraId="48901180" w14:textId="77777777" w:rsidR="003D7683" w:rsidRPr="008440BF" w:rsidRDefault="003D7683" w:rsidP="00C22C69">
            <w:pPr>
              <w:rPr>
                <w:rFonts w:asciiTheme="minorHAnsi" w:hAnsiTheme="minorHAnsi"/>
                <w:b/>
                <w:bCs/>
                <w:szCs w:val="24"/>
              </w:rPr>
            </w:pPr>
            <w:r w:rsidRPr="008440BF">
              <w:rPr>
                <w:rFonts w:asciiTheme="minorHAnsi" w:hAnsiTheme="minorHAnsi"/>
                <w:bCs/>
                <w:szCs w:val="24"/>
              </w:rPr>
              <w:t xml:space="preserve">$407 </w:t>
            </w:r>
          </w:p>
        </w:tc>
        <w:tc>
          <w:tcPr>
            <w:tcW w:w="1065" w:type="dxa"/>
            <w:vAlign w:val="center"/>
          </w:tcPr>
          <w:p w14:paraId="59FC2D8C" w14:textId="77777777" w:rsidR="003D7683" w:rsidRPr="008440BF" w:rsidRDefault="003D7683" w:rsidP="00C22C69">
            <w:pPr>
              <w:rPr>
                <w:rFonts w:asciiTheme="minorHAnsi" w:hAnsiTheme="minorHAnsi"/>
                <w:b/>
                <w:bCs/>
                <w:szCs w:val="24"/>
              </w:rPr>
            </w:pPr>
            <w:r w:rsidRPr="008440BF">
              <w:rPr>
                <w:rFonts w:asciiTheme="minorHAnsi" w:hAnsiTheme="minorHAnsi"/>
                <w:bCs/>
                <w:szCs w:val="24"/>
              </w:rPr>
              <w:t xml:space="preserve">$3,542 </w:t>
            </w:r>
          </w:p>
        </w:tc>
        <w:tc>
          <w:tcPr>
            <w:tcW w:w="1065" w:type="dxa"/>
            <w:vAlign w:val="center"/>
          </w:tcPr>
          <w:p w14:paraId="3A6C29BA" w14:textId="77777777" w:rsidR="003D7683" w:rsidRPr="008440BF" w:rsidRDefault="003D7683" w:rsidP="00C22C69">
            <w:pPr>
              <w:rPr>
                <w:rFonts w:asciiTheme="minorHAnsi" w:hAnsiTheme="minorHAnsi"/>
                <w:b/>
                <w:bCs/>
                <w:szCs w:val="24"/>
              </w:rPr>
            </w:pPr>
            <w:r w:rsidRPr="008440BF">
              <w:rPr>
                <w:rFonts w:asciiTheme="minorHAnsi" w:hAnsiTheme="minorHAnsi"/>
                <w:bCs/>
                <w:szCs w:val="24"/>
              </w:rPr>
              <w:t xml:space="preserve">$2,833 </w:t>
            </w:r>
          </w:p>
        </w:tc>
        <w:tc>
          <w:tcPr>
            <w:tcW w:w="1066" w:type="dxa"/>
            <w:vAlign w:val="center"/>
          </w:tcPr>
          <w:p w14:paraId="6289A48D" w14:textId="77777777" w:rsidR="003D7683" w:rsidRPr="008440BF" w:rsidRDefault="003D7683" w:rsidP="00C22C69">
            <w:pPr>
              <w:rPr>
                <w:rFonts w:asciiTheme="minorHAnsi" w:hAnsiTheme="minorHAnsi"/>
                <w:b/>
                <w:bCs/>
                <w:szCs w:val="24"/>
              </w:rPr>
            </w:pPr>
            <w:r w:rsidRPr="008440BF">
              <w:rPr>
                <w:rFonts w:asciiTheme="minorHAnsi" w:hAnsiTheme="minorHAnsi"/>
                <w:bCs/>
                <w:szCs w:val="24"/>
              </w:rPr>
              <w:t xml:space="preserve">$708 </w:t>
            </w:r>
          </w:p>
        </w:tc>
      </w:tr>
    </w:tbl>
    <w:p w14:paraId="5DBA5D59" w14:textId="77777777" w:rsidR="003D7683" w:rsidRPr="008440BF" w:rsidRDefault="003D7683" w:rsidP="003D7683">
      <w:pPr>
        <w:pStyle w:val="BodyText"/>
        <w:rPr>
          <w:rFonts w:asciiTheme="minorHAnsi" w:hAnsiTheme="minorHAnsi"/>
        </w:rPr>
      </w:pPr>
    </w:p>
    <w:p w14:paraId="519C0C47" w14:textId="77777777" w:rsidR="003D7683" w:rsidRPr="008440BF" w:rsidRDefault="003D7683" w:rsidP="003D7683">
      <w:pPr>
        <w:tabs>
          <w:tab w:val="left" w:pos="1440"/>
          <w:tab w:val="left" w:pos="5736"/>
        </w:tabs>
        <w:adjustRightInd w:val="0"/>
        <w:rPr>
          <w:rFonts w:asciiTheme="minorHAnsi" w:hAnsiTheme="minorHAnsi"/>
          <w:kern w:val="2"/>
          <w:szCs w:val="24"/>
        </w:rPr>
      </w:pPr>
      <w:r w:rsidRPr="008440BF">
        <w:rPr>
          <w:rFonts w:asciiTheme="minorHAnsi" w:hAnsiTheme="minorHAnsi"/>
          <w:szCs w:val="24"/>
        </w:rPr>
        <w:t>ASCs may also increase access to orthopedic surgery for patients who previously delayed or avoided care due to cost or convenience. A</w:t>
      </w:r>
      <w:r w:rsidRPr="008440BF">
        <w:rPr>
          <w:rFonts w:asciiTheme="minorHAnsi" w:hAnsiTheme="minorHAnsi"/>
          <w:kern w:val="2"/>
          <w:szCs w:val="24"/>
        </w:rPr>
        <w:t>pproximately one in eleven adults (9%) reported delaying or not receiving care due to cost.</w:t>
      </w:r>
      <w:r w:rsidRPr="008440BF">
        <w:rPr>
          <w:rStyle w:val="EndnoteReference"/>
          <w:rFonts w:asciiTheme="minorHAnsi" w:hAnsiTheme="minorHAnsi"/>
          <w:kern w:val="2"/>
          <w:szCs w:val="24"/>
        </w:rPr>
        <w:endnoteReference w:id="15"/>
      </w:r>
      <w:r w:rsidRPr="008440BF">
        <w:rPr>
          <w:rFonts w:asciiTheme="minorHAnsi" w:hAnsiTheme="minorHAnsi"/>
          <w:kern w:val="2"/>
          <w:szCs w:val="24"/>
        </w:rPr>
        <w:t xml:space="preserve"> The study also found that adults who are in worse health are twice as likely than those with better health to delay or go without care due to cost reasons.</w:t>
      </w:r>
      <w:r w:rsidRPr="008440BF">
        <w:rPr>
          <w:rStyle w:val="EndnoteReference"/>
          <w:rFonts w:asciiTheme="minorHAnsi" w:hAnsiTheme="minorHAnsi"/>
          <w:kern w:val="2"/>
          <w:szCs w:val="24"/>
        </w:rPr>
        <w:endnoteReference w:id="16"/>
      </w:r>
      <w:r w:rsidRPr="008440BF">
        <w:rPr>
          <w:rFonts w:asciiTheme="minorHAnsi" w:hAnsiTheme="minorHAnsi"/>
          <w:kern w:val="2"/>
          <w:szCs w:val="24"/>
        </w:rPr>
        <w:t xml:space="preserve"> These figures demonstrate that the cost of care plays a significant role on the decision to receive or delay necessary medical care, and as a result, health outcomes. </w:t>
      </w:r>
    </w:p>
    <w:p w14:paraId="6A8FDDAD" w14:textId="77777777" w:rsidR="003D7683" w:rsidRPr="008440BF" w:rsidRDefault="003D7683" w:rsidP="003D7683">
      <w:pPr>
        <w:pStyle w:val="BodyText"/>
        <w:rPr>
          <w:rFonts w:asciiTheme="minorHAnsi" w:hAnsiTheme="minorHAnsi"/>
          <w:highlight w:val="yellow"/>
        </w:rPr>
      </w:pPr>
    </w:p>
    <w:p w14:paraId="12685A6F" w14:textId="0876B292" w:rsidR="00C02E30" w:rsidRPr="008440BF" w:rsidRDefault="003D7683" w:rsidP="003D7683">
      <w:pPr>
        <w:tabs>
          <w:tab w:val="left" w:pos="1440"/>
          <w:tab w:val="left" w:pos="5736"/>
        </w:tabs>
        <w:adjustRightInd w:val="0"/>
        <w:rPr>
          <w:rFonts w:asciiTheme="minorHAnsi" w:hAnsiTheme="minorHAnsi"/>
          <w:kern w:val="2"/>
          <w:szCs w:val="24"/>
        </w:rPr>
      </w:pPr>
      <w:r w:rsidRPr="008440BF">
        <w:rPr>
          <w:rFonts w:asciiTheme="minorHAnsi" w:hAnsiTheme="minorHAnsi"/>
          <w:b/>
          <w:bCs/>
          <w:i/>
          <w:iCs/>
          <w:szCs w:val="24"/>
        </w:rPr>
        <w:t>Improved access to surgical procedures</w:t>
      </w:r>
      <w:r w:rsidRPr="008440BF">
        <w:rPr>
          <w:rFonts w:asciiTheme="minorHAnsi" w:hAnsiTheme="minorHAnsi"/>
          <w:i/>
          <w:iCs/>
          <w:szCs w:val="24"/>
        </w:rPr>
        <w:t>:</w:t>
      </w:r>
      <w:r w:rsidRPr="008440BF">
        <w:rPr>
          <w:rFonts w:asciiTheme="minorHAnsi" w:hAnsiTheme="minorHAnsi"/>
          <w:szCs w:val="24"/>
        </w:rPr>
        <w:t xml:space="preserve"> Freestanding ASCs provide patients with a level of convenience that is difficult to replicate in a hospital. As with the proposed ASC, freestanding ASCs are often located independent from hospital campuses</w:t>
      </w:r>
      <w:r w:rsidR="00C02A72">
        <w:rPr>
          <w:rFonts w:asciiTheme="minorHAnsi" w:hAnsiTheme="minorHAnsi"/>
          <w:szCs w:val="24"/>
        </w:rPr>
        <w:t>,</w:t>
      </w:r>
      <w:r w:rsidRPr="008440BF">
        <w:rPr>
          <w:rFonts w:asciiTheme="minorHAnsi" w:hAnsiTheme="minorHAnsi"/>
          <w:szCs w:val="24"/>
        </w:rPr>
        <w:t xml:space="preserve"> making parking and wayfinding more accessible. The Applicant anticipates that the creation of a freestanding ASC in the community will improve access to outpatient orthopedic surgical services </w:t>
      </w:r>
      <w:r w:rsidR="00B87306" w:rsidRPr="008440BF">
        <w:rPr>
          <w:rFonts w:asciiTheme="minorHAnsi" w:hAnsiTheme="minorHAnsi"/>
          <w:szCs w:val="24"/>
        </w:rPr>
        <w:t>because</w:t>
      </w:r>
      <w:r w:rsidRPr="008440BF">
        <w:rPr>
          <w:rFonts w:asciiTheme="minorHAnsi" w:hAnsiTheme="minorHAnsi"/>
          <w:szCs w:val="24"/>
        </w:rPr>
        <w:t xml:space="preserve"> the nearest freestanding orthopedic ASC for BID Plymouth’s patients is located almost an hour away from the Hospital. Given that patients must have reliable transportation on the day of surgery and have an accompanying adult, this distance may present a significant barrier for patients seeking an ASC for their treatment. </w:t>
      </w:r>
      <w:r w:rsidR="00CE7D5F" w:rsidRPr="008440BF">
        <w:rPr>
          <w:rFonts w:asciiTheme="minorHAnsi" w:hAnsiTheme="minorHAnsi"/>
          <w:szCs w:val="24"/>
        </w:rPr>
        <w:t>Affordability and c</w:t>
      </w:r>
      <w:r w:rsidRPr="008440BF">
        <w:rPr>
          <w:rFonts w:asciiTheme="minorHAnsi" w:hAnsiTheme="minorHAnsi"/>
          <w:kern w:val="2"/>
          <w:szCs w:val="24"/>
        </w:rPr>
        <w:t>onvenient access to care greatly impacts the decision to receive care</w:t>
      </w:r>
      <w:r w:rsidRPr="008440BF">
        <w:rPr>
          <w:rStyle w:val="EndnoteReference"/>
          <w:rFonts w:asciiTheme="minorHAnsi" w:hAnsiTheme="minorHAnsi"/>
          <w:kern w:val="2"/>
          <w:szCs w:val="24"/>
        </w:rPr>
        <w:endnoteReference w:id="17"/>
      </w:r>
      <w:r w:rsidRPr="008440BF">
        <w:rPr>
          <w:rFonts w:asciiTheme="minorHAnsi" w:hAnsiTheme="minorHAnsi"/>
          <w:kern w:val="2"/>
          <w:szCs w:val="24"/>
        </w:rPr>
        <w:t xml:space="preserve"> and may </w:t>
      </w:r>
      <w:r w:rsidRPr="008440BF">
        <w:rPr>
          <w:rFonts w:asciiTheme="minorHAnsi" w:hAnsiTheme="minorHAnsi"/>
          <w:kern w:val="2"/>
          <w:szCs w:val="24"/>
        </w:rPr>
        <w:lastRenderedPageBreak/>
        <w:t xml:space="preserve">play a large role in a patient’s decision of not only whether or not to obtain care, but also where to obtain the care. </w:t>
      </w:r>
    </w:p>
    <w:p w14:paraId="012B5D2B" w14:textId="77777777" w:rsidR="003D7683" w:rsidRPr="008440BF" w:rsidRDefault="003D7683" w:rsidP="003D7683">
      <w:pPr>
        <w:rPr>
          <w:rFonts w:asciiTheme="minorHAnsi" w:hAnsiTheme="minorHAnsi"/>
          <w:szCs w:val="24"/>
        </w:rPr>
      </w:pPr>
    </w:p>
    <w:p w14:paraId="77A1F6B6" w14:textId="77777777" w:rsidR="003D7683" w:rsidRPr="008440BF" w:rsidRDefault="003D7683" w:rsidP="003D7683">
      <w:pPr>
        <w:rPr>
          <w:rFonts w:asciiTheme="minorHAnsi" w:hAnsiTheme="minorHAnsi"/>
          <w:b/>
          <w:bCs/>
          <w:i/>
          <w:iCs/>
          <w:szCs w:val="24"/>
        </w:rPr>
      </w:pPr>
      <w:r w:rsidRPr="008440BF">
        <w:rPr>
          <w:rFonts w:asciiTheme="minorHAnsi" w:hAnsiTheme="minorHAnsi"/>
          <w:b/>
          <w:bCs/>
          <w:i/>
          <w:iCs/>
          <w:szCs w:val="24"/>
        </w:rPr>
        <w:t>Analysis: Improved Outcomes and Quality of Life</w:t>
      </w:r>
    </w:p>
    <w:p w14:paraId="1B8297E3" w14:textId="7BA43F49" w:rsidR="003D7683" w:rsidRPr="008440BF" w:rsidRDefault="003D7683" w:rsidP="003D7683">
      <w:pPr>
        <w:rPr>
          <w:rStyle w:val="eop"/>
          <w:rFonts w:asciiTheme="minorHAnsi" w:hAnsiTheme="minorHAnsi"/>
          <w:color w:val="000000"/>
          <w:shd w:val="clear" w:color="auto" w:fill="FFFFFF"/>
        </w:rPr>
      </w:pPr>
      <w:r w:rsidRPr="008440BF">
        <w:rPr>
          <w:rStyle w:val="normaltextrun"/>
          <w:rFonts w:asciiTheme="minorHAnsi" w:hAnsiTheme="minorHAnsi"/>
          <w:color w:val="000000"/>
          <w:shd w:val="clear" w:color="auto" w:fill="FFFFFF"/>
        </w:rPr>
        <w:t xml:space="preserve">Staff finds that increasing access to ambulatory surgery in the ASC setting has the potential to improve health outcomes and quality of life of the Patient Panel. The literature has reported on the numerous benefits of </w:t>
      </w:r>
      <w:r w:rsidR="00731EC1" w:rsidRPr="008440BF">
        <w:rPr>
          <w:rStyle w:val="normaltextrun"/>
          <w:rFonts w:asciiTheme="minorHAnsi" w:hAnsiTheme="minorHAnsi"/>
          <w:color w:val="000000"/>
          <w:shd w:val="clear" w:color="auto" w:fill="FFFFFF"/>
        </w:rPr>
        <w:t xml:space="preserve">the </w:t>
      </w:r>
      <w:r w:rsidRPr="008440BF">
        <w:rPr>
          <w:rStyle w:val="normaltextrun"/>
          <w:rFonts w:asciiTheme="minorHAnsi" w:hAnsiTheme="minorHAnsi"/>
          <w:color w:val="000000"/>
          <w:shd w:val="clear" w:color="auto" w:fill="FFFFFF"/>
        </w:rPr>
        <w:t>surgeries</w:t>
      </w:r>
      <w:r w:rsidR="00731EC1" w:rsidRPr="008440BF">
        <w:rPr>
          <w:rStyle w:val="normaltextrun"/>
          <w:rFonts w:asciiTheme="minorHAnsi" w:hAnsiTheme="minorHAnsi"/>
          <w:color w:val="000000"/>
          <w:shd w:val="clear" w:color="auto" w:fill="FFFFFF"/>
        </w:rPr>
        <w:t xml:space="preserve"> that the ASC expects to</w:t>
      </w:r>
      <w:r w:rsidRPr="008440BF">
        <w:rPr>
          <w:rStyle w:val="normaltextrun"/>
          <w:rFonts w:asciiTheme="minorHAnsi" w:hAnsiTheme="minorHAnsi"/>
          <w:color w:val="000000"/>
          <w:shd w:val="clear" w:color="auto" w:fill="FFFFFF"/>
        </w:rPr>
        <w:t xml:space="preserve"> perform,</w:t>
      </w:r>
      <w:r w:rsidR="00FE63C1" w:rsidRPr="008440BF">
        <w:rPr>
          <w:rStyle w:val="normaltextrun"/>
          <w:rFonts w:asciiTheme="minorHAnsi" w:hAnsiTheme="minorHAnsi"/>
          <w:color w:val="000000"/>
          <w:shd w:val="clear" w:color="auto" w:fill="FFFFFF"/>
        </w:rPr>
        <w:t xml:space="preserve"> and the proposed ASC would </w:t>
      </w:r>
      <w:r w:rsidR="00DB1794" w:rsidRPr="008440BF">
        <w:rPr>
          <w:rStyle w:val="normaltextrun"/>
          <w:rFonts w:asciiTheme="minorHAnsi" w:hAnsiTheme="minorHAnsi"/>
          <w:color w:val="000000"/>
          <w:shd w:val="clear" w:color="auto" w:fill="FFFFFF"/>
        </w:rPr>
        <w:t>provide the Patient Panel with an affordable and convenient option for care</w:t>
      </w:r>
      <w:r w:rsidRPr="008440BF">
        <w:rPr>
          <w:rStyle w:val="normaltextrun"/>
          <w:rFonts w:asciiTheme="minorHAnsi" w:hAnsiTheme="minorHAnsi"/>
          <w:color w:val="000000"/>
          <w:shd w:val="clear" w:color="auto" w:fill="FFFFFF"/>
        </w:rPr>
        <w:t xml:space="preserve">. As a result, Staff finds that the Applicant meets the requirements of </w:t>
      </w:r>
      <w:r w:rsidRPr="008440BF">
        <w:rPr>
          <w:rStyle w:val="findhit"/>
          <w:rFonts w:asciiTheme="minorHAnsi" w:hAnsiTheme="minorHAnsi"/>
          <w:color w:val="000000"/>
          <w:shd w:val="clear" w:color="auto" w:fill="FFFFFF"/>
        </w:rPr>
        <w:t>Public Heal</w:t>
      </w:r>
      <w:r w:rsidRPr="008440BF">
        <w:rPr>
          <w:rStyle w:val="normaltextrun"/>
          <w:rFonts w:asciiTheme="minorHAnsi" w:hAnsiTheme="minorHAnsi"/>
          <w:color w:val="000000"/>
          <w:shd w:val="clear" w:color="auto" w:fill="FFFFFF"/>
        </w:rPr>
        <w:t>th Value: Health Outcomes as part of Factor 1b.</w:t>
      </w:r>
      <w:r w:rsidRPr="008440BF">
        <w:rPr>
          <w:rStyle w:val="eop"/>
          <w:rFonts w:asciiTheme="minorHAnsi" w:hAnsiTheme="minorHAnsi"/>
          <w:color w:val="000000"/>
          <w:shd w:val="clear" w:color="auto" w:fill="FFFFFF"/>
        </w:rPr>
        <w:t> </w:t>
      </w:r>
    </w:p>
    <w:p w14:paraId="7C09908A" w14:textId="77777777" w:rsidR="003D7683" w:rsidRPr="008440BF" w:rsidRDefault="003D7683" w:rsidP="003D7683">
      <w:pPr>
        <w:rPr>
          <w:rFonts w:asciiTheme="minorHAnsi" w:hAnsiTheme="minorHAnsi"/>
          <w:highlight w:val="yellow"/>
        </w:rPr>
      </w:pPr>
    </w:p>
    <w:p w14:paraId="15FAFD5D" w14:textId="77777777" w:rsidR="003D7683" w:rsidRPr="008440BF" w:rsidRDefault="003D7683" w:rsidP="003D7683">
      <w:pPr>
        <w:rPr>
          <w:rFonts w:asciiTheme="minorHAnsi" w:hAnsiTheme="minorHAnsi"/>
          <w:b/>
          <w:bCs/>
          <w:i/>
          <w:iCs/>
          <w:szCs w:val="24"/>
        </w:rPr>
      </w:pPr>
      <w:r w:rsidRPr="008440BF">
        <w:rPr>
          <w:rFonts w:asciiTheme="minorHAnsi" w:hAnsiTheme="minorHAnsi"/>
          <w:b/>
          <w:bCs/>
          <w:i/>
          <w:iCs/>
          <w:szCs w:val="24"/>
        </w:rPr>
        <w:t>Public Health Value: Health Equity</w:t>
      </w:r>
    </w:p>
    <w:p w14:paraId="58D69CBE" w14:textId="708242A5" w:rsidR="003D7683" w:rsidRPr="008440BF" w:rsidRDefault="003D7683" w:rsidP="003D7683">
      <w:pPr>
        <w:pStyle w:val="ListParagraph"/>
        <w:ind w:left="0" w:firstLine="0"/>
        <w:rPr>
          <w:rStyle w:val="cf01"/>
          <w:rFonts w:asciiTheme="minorHAnsi" w:hAnsiTheme="minorHAnsi" w:cstheme="minorHAnsi"/>
          <w:szCs w:val="24"/>
        </w:rPr>
      </w:pPr>
      <w:r w:rsidRPr="008440BF">
        <w:rPr>
          <w:rFonts w:asciiTheme="minorHAnsi" w:hAnsiTheme="minorHAnsi"/>
          <w:szCs w:val="24"/>
        </w:rPr>
        <w:t xml:space="preserve">The Applicant asserts that the proposed ASC will increase access to surgical services for all patients by offering a low-cost alternative for outpatient surgical procedures in the community setting. The proposed ASC will not discriminate based on age, race, ethnicity, gender/gender-identity, physical ability, sensory limitations, religious, spiritual, and cultural beliefs, nor a patient’s ability to pay or payer source. The ASC will also be physically accessible to all patients. </w:t>
      </w:r>
      <w:r w:rsidRPr="008440BF">
        <w:rPr>
          <w:rStyle w:val="cf01"/>
          <w:rFonts w:asciiTheme="minorHAnsi" w:hAnsiTheme="minorHAnsi" w:cstheme="minorHAnsi"/>
          <w:iCs/>
          <w:sz w:val="24"/>
          <w:szCs w:val="24"/>
        </w:rPr>
        <w:t xml:space="preserve">The ASC will follow non-discrimination and diversity, </w:t>
      </w:r>
      <w:r w:rsidR="004162DB" w:rsidRPr="008440BF">
        <w:rPr>
          <w:rStyle w:val="cf01"/>
          <w:rFonts w:asciiTheme="minorHAnsi" w:hAnsiTheme="minorHAnsi" w:cstheme="minorHAnsi"/>
          <w:iCs/>
          <w:sz w:val="24"/>
          <w:szCs w:val="24"/>
        </w:rPr>
        <w:t>equity,</w:t>
      </w:r>
      <w:r w:rsidRPr="008440BF">
        <w:rPr>
          <w:rStyle w:val="cf01"/>
          <w:rFonts w:asciiTheme="minorHAnsi" w:hAnsiTheme="minorHAnsi" w:cstheme="minorHAnsi"/>
          <w:iCs/>
          <w:sz w:val="24"/>
          <w:szCs w:val="24"/>
        </w:rPr>
        <w:t xml:space="preserve"> and inclusion policies consistent with those of BID Plymouth Hospital relative to patient access to the ASC and employment policies. Employee recruitment practices will include strategies to ensure that staff are culturally and linguistically competent relative to market demographics. Staff and providers will participate in annual cultural competency training. Additionally, the ASC will have a Financial Assistance program to assist patients with applying for public assistance or other programs to help cover medical costs incurred at the ASC.</w:t>
      </w:r>
    </w:p>
    <w:p w14:paraId="3C481B8F" w14:textId="77777777" w:rsidR="003D7683" w:rsidRPr="008440BF" w:rsidRDefault="003D7683" w:rsidP="003D7683">
      <w:pPr>
        <w:rPr>
          <w:rFonts w:asciiTheme="minorHAnsi" w:hAnsiTheme="minorHAnsi"/>
          <w:szCs w:val="24"/>
        </w:rPr>
      </w:pPr>
      <w:r w:rsidRPr="008440BF">
        <w:rPr>
          <w:rFonts w:asciiTheme="minorHAnsi" w:hAnsiTheme="minorHAnsi"/>
          <w:szCs w:val="24"/>
        </w:rPr>
        <w:t>The Applicant plans to implement the following initiatives to increase healthy equity for the Patient Panel.</w:t>
      </w:r>
    </w:p>
    <w:p w14:paraId="3556246D" w14:textId="0FB4A522" w:rsidR="003D7683" w:rsidRPr="008440BF" w:rsidRDefault="003D7683" w:rsidP="003D7683">
      <w:pPr>
        <w:pStyle w:val="ListParagraph"/>
        <w:numPr>
          <w:ilvl w:val="0"/>
          <w:numId w:val="22"/>
        </w:numPr>
        <w:rPr>
          <w:rFonts w:asciiTheme="minorHAnsi" w:hAnsiTheme="minorHAnsi"/>
          <w:sz w:val="20"/>
        </w:rPr>
      </w:pPr>
      <w:r w:rsidRPr="008440BF">
        <w:rPr>
          <w:rFonts w:asciiTheme="minorHAnsi" w:hAnsiTheme="minorHAnsi"/>
          <w:b/>
          <w:bCs/>
          <w:szCs w:val="24"/>
        </w:rPr>
        <w:t>Interpreter Services</w:t>
      </w:r>
      <w:r w:rsidRPr="008440BF">
        <w:rPr>
          <w:rFonts w:asciiTheme="minorHAnsi" w:hAnsiTheme="minorHAnsi"/>
          <w:szCs w:val="24"/>
        </w:rPr>
        <w:t>. To address language barriers, the Applicant will have both translations and video interpreter services 24 hours a day, seven days a week. The ASC will use LanguageLine, which offers Deaf and Hard of Hearing (DHH) patients with access to an interpreter. the Applicant will employ a culturally competent staff to ensure each patient’s experience meets their needs. Utilizing culturally competent staff recognizes the holistic needs of patients throughout their encounter at the ASC.</w:t>
      </w:r>
    </w:p>
    <w:p w14:paraId="44C03D84" w14:textId="77777777" w:rsidR="003D7683" w:rsidRDefault="003D7683" w:rsidP="003D7683">
      <w:pPr>
        <w:pStyle w:val="ListParagraph"/>
        <w:numPr>
          <w:ilvl w:val="0"/>
          <w:numId w:val="22"/>
        </w:numPr>
        <w:rPr>
          <w:rFonts w:asciiTheme="minorHAnsi" w:eastAsia="Times New Roman" w:hAnsiTheme="minorHAnsi"/>
          <w:szCs w:val="24"/>
        </w:rPr>
      </w:pPr>
      <w:r w:rsidRPr="008440BF">
        <w:rPr>
          <w:rFonts w:asciiTheme="minorHAnsi" w:hAnsiTheme="minorHAnsi"/>
          <w:b/>
          <w:bCs/>
          <w:szCs w:val="24"/>
        </w:rPr>
        <w:t>Transportation.</w:t>
      </w:r>
      <w:r w:rsidRPr="008440BF">
        <w:rPr>
          <w:rFonts w:asciiTheme="minorHAnsi" w:hAnsiTheme="minorHAnsi"/>
          <w:szCs w:val="24"/>
        </w:rPr>
        <w:t xml:space="preserve"> Prior to each scheduled surgery, the patient will</w:t>
      </w:r>
      <w:r w:rsidRPr="008440BF">
        <w:rPr>
          <w:rFonts w:asciiTheme="minorHAnsi" w:eastAsia="Times New Roman" w:hAnsiTheme="minorHAnsi"/>
          <w:szCs w:val="24"/>
        </w:rPr>
        <w:t xml:space="preserve"> be asked about their transportation arrangements to and from the facility for the day of surgery. Patients will be counseled on the need for an adult to accompany them home from surgery as they will not be able to drive after anesthesia. When needed, patients will be provided with referrals to potential community resources that may be able to assist with transportation, such as senior centers and houses of worship.</w:t>
      </w:r>
    </w:p>
    <w:p w14:paraId="7DAEFFF7" w14:textId="77777777" w:rsidR="002877C9" w:rsidRDefault="002877C9" w:rsidP="002877C9">
      <w:pPr>
        <w:rPr>
          <w:rFonts w:asciiTheme="minorHAnsi" w:eastAsia="Times New Roman" w:hAnsiTheme="minorHAnsi"/>
          <w:szCs w:val="24"/>
        </w:rPr>
      </w:pPr>
    </w:p>
    <w:p w14:paraId="24810C46" w14:textId="77777777" w:rsidR="00CC18BC" w:rsidRPr="00CC18BC" w:rsidRDefault="002877C9" w:rsidP="00CC18BC">
      <w:pPr>
        <w:pStyle w:val="ListParagraph"/>
        <w:ind w:left="0" w:firstLine="0"/>
        <w:rPr>
          <w:rStyle w:val="cf01"/>
          <w:rFonts w:asciiTheme="minorHAnsi" w:hAnsiTheme="minorHAnsi" w:cstheme="minorHAnsi"/>
          <w:iCs/>
          <w:sz w:val="24"/>
          <w:szCs w:val="24"/>
        </w:rPr>
      </w:pPr>
      <w:r w:rsidRPr="00CC18BC">
        <w:rPr>
          <w:rStyle w:val="cf01"/>
          <w:rFonts w:asciiTheme="minorHAnsi" w:hAnsiTheme="minorHAnsi" w:cstheme="minorHAnsi"/>
          <w:iCs/>
          <w:sz w:val="24"/>
          <w:szCs w:val="24"/>
        </w:rPr>
        <w:t xml:space="preserve">Staff inquired about </w:t>
      </w:r>
      <w:r w:rsidR="00723EBE" w:rsidRPr="00CC18BC">
        <w:rPr>
          <w:rStyle w:val="cf01"/>
          <w:rFonts w:asciiTheme="minorHAnsi" w:hAnsiTheme="minorHAnsi" w:cstheme="minorHAnsi"/>
          <w:iCs/>
          <w:sz w:val="24"/>
          <w:szCs w:val="24"/>
        </w:rPr>
        <w:t xml:space="preserve">planned efforts to reach underserved communities and improve </w:t>
      </w:r>
      <w:r w:rsidR="009A761B" w:rsidRPr="00CC18BC">
        <w:rPr>
          <w:rStyle w:val="cf01"/>
          <w:rFonts w:asciiTheme="minorHAnsi" w:hAnsiTheme="minorHAnsi" w:cstheme="minorHAnsi"/>
          <w:iCs/>
          <w:sz w:val="24"/>
          <w:szCs w:val="24"/>
        </w:rPr>
        <w:t xml:space="preserve">access to the Medicaid population in the area. The Applicant noted that, in addition to the </w:t>
      </w:r>
      <w:r w:rsidR="00CC18BC" w:rsidRPr="00CC18BC">
        <w:rPr>
          <w:rStyle w:val="cf01"/>
          <w:rFonts w:asciiTheme="minorHAnsi" w:hAnsiTheme="minorHAnsi" w:cstheme="minorHAnsi"/>
          <w:iCs/>
          <w:sz w:val="24"/>
          <w:szCs w:val="24"/>
        </w:rPr>
        <w:t xml:space="preserve">tools listed above, The ASC will collaborate with and serve as a resource to BID Plymouth’s Community Health Implementation Strategy (IS), which identified Equitable Access to Care for racially, ethnically and linguistically diverse populations as an area of priority focus and investment. The ASC will broaden the reach of populations served through outreach and joint initiatives with identified IS partners, </w:t>
      </w:r>
      <w:r w:rsidR="00CC18BC" w:rsidRPr="00CC18BC">
        <w:rPr>
          <w:rStyle w:val="cf01"/>
          <w:rFonts w:asciiTheme="minorHAnsi" w:hAnsiTheme="minorHAnsi" w:cstheme="minorHAnsi"/>
          <w:iCs/>
          <w:sz w:val="24"/>
          <w:szCs w:val="24"/>
        </w:rPr>
        <w:lastRenderedPageBreak/>
        <w:t xml:space="preserve">such as Healthy Plymouth and the Quincy Asian Resources Inc. </w:t>
      </w:r>
    </w:p>
    <w:p w14:paraId="575A60C5" w14:textId="05C0A915" w:rsidR="002877C9" w:rsidRPr="002877C9" w:rsidRDefault="002877C9" w:rsidP="002877C9">
      <w:pPr>
        <w:rPr>
          <w:rFonts w:asciiTheme="minorHAnsi" w:eastAsia="Times New Roman" w:hAnsiTheme="minorHAnsi"/>
          <w:szCs w:val="24"/>
        </w:rPr>
      </w:pPr>
    </w:p>
    <w:p w14:paraId="1E04DB94" w14:textId="77777777" w:rsidR="003D7683" w:rsidRPr="00CC18BC" w:rsidRDefault="003D7683" w:rsidP="00CC18BC">
      <w:pPr>
        <w:rPr>
          <w:rFonts w:asciiTheme="minorHAnsi" w:hAnsiTheme="minorHAnsi"/>
          <w:szCs w:val="24"/>
          <w:highlight w:val="yellow"/>
        </w:rPr>
      </w:pPr>
    </w:p>
    <w:p w14:paraId="250AF4B5" w14:textId="77777777" w:rsidR="00C37457" w:rsidRDefault="003D7683" w:rsidP="00C37457">
      <w:pPr>
        <w:rPr>
          <w:rFonts w:asciiTheme="minorHAnsi" w:hAnsiTheme="minorHAnsi"/>
          <w:b/>
          <w:bCs/>
          <w:i/>
          <w:iCs/>
        </w:rPr>
      </w:pPr>
      <w:r w:rsidRPr="0460F6A4">
        <w:rPr>
          <w:rFonts w:asciiTheme="minorHAnsi" w:hAnsiTheme="minorHAnsi"/>
          <w:b/>
          <w:bCs/>
          <w:i/>
          <w:iCs/>
        </w:rPr>
        <w:t xml:space="preserve">Analysis: Health Equity </w:t>
      </w:r>
    </w:p>
    <w:p w14:paraId="33614CC5" w14:textId="58D601AB" w:rsidR="003D7683" w:rsidRPr="00C37457" w:rsidRDefault="00CD6D39" w:rsidP="306DA086">
      <w:pPr>
        <w:rPr>
          <w:rFonts w:asciiTheme="minorHAnsi" w:hAnsiTheme="minorHAnsi"/>
          <w:b/>
          <w:bCs/>
          <w:i/>
          <w:iCs/>
        </w:rPr>
      </w:pPr>
      <w:r w:rsidRPr="306DA086">
        <w:rPr>
          <w:rStyle w:val="cf01"/>
          <w:rFonts w:asciiTheme="minorHAnsi" w:hAnsiTheme="minorHAnsi" w:cstheme="minorBidi"/>
          <w:sz w:val="24"/>
          <w:szCs w:val="24"/>
        </w:rPr>
        <w:t>Staff finds that with the “Other Conditions” listed below, the Applicant has sufficiently demonstrated reasonable efforts to provide equitable access to BILH’s services. As a result, Staff finds that the Applicant meets the requirements of the Public Health Value: Health Equity part of Factor 1b.</w:t>
      </w:r>
      <w:r w:rsidRPr="306DA086">
        <w:rPr>
          <w:rFonts w:asciiTheme="minorHAnsi" w:hAnsiTheme="minorHAnsi"/>
        </w:rPr>
        <w:t xml:space="preserve"> </w:t>
      </w:r>
    </w:p>
    <w:p w14:paraId="662DBF90" w14:textId="77777777" w:rsidR="00DC1DA7" w:rsidRPr="008440BF" w:rsidRDefault="00DC1DA7" w:rsidP="00602B1E">
      <w:pPr>
        <w:rPr>
          <w:rFonts w:asciiTheme="minorHAnsi" w:hAnsiTheme="minorHAnsi"/>
          <w:highlight w:val="yellow"/>
        </w:rPr>
      </w:pPr>
    </w:p>
    <w:p w14:paraId="7897ED02" w14:textId="041AE456" w:rsidR="00B447F3" w:rsidRPr="008440BF" w:rsidRDefault="00A4110F" w:rsidP="00C15F61">
      <w:pPr>
        <w:pStyle w:val="Heading1"/>
        <w:spacing w:before="174"/>
        <w:ind w:left="0"/>
        <w:rPr>
          <w:rFonts w:asciiTheme="minorHAnsi" w:hAnsiTheme="minorHAnsi"/>
          <w:color w:val="42558C"/>
        </w:rPr>
      </w:pPr>
      <w:bookmarkStart w:id="14" w:name="_Toc166249377"/>
      <w:r w:rsidRPr="008440BF">
        <w:rPr>
          <w:rFonts w:asciiTheme="minorHAnsi" w:hAnsiTheme="minorHAnsi"/>
          <w:color w:val="42558C"/>
        </w:rPr>
        <w:t>Factor 1: c) Efficiency, Continuity of Care, Coordination of Care</w:t>
      </w:r>
      <w:bookmarkEnd w:id="14"/>
    </w:p>
    <w:p w14:paraId="0BBE4D2C" w14:textId="77777777" w:rsidR="002B2AC6" w:rsidRPr="008440BF" w:rsidRDefault="002B2AC6" w:rsidP="002B2AC6">
      <w:pPr>
        <w:rPr>
          <w:rFonts w:asciiTheme="minorHAnsi" w:eastAsia="Times New Roman" w:hAnsiTheme="minorHAnsi"/>
          <w:szCs w:val="24"/>
        </w:rPr>
      </w:pPr>
      <w:r w:rsidRPr="008440BF">
        <w:rPr>
          <w:rFonts w:asciiTheme="minorHAnsi" w:eastAsia="Times New Roman" w:hAnsiTheme="minorHAnsi"/>
          <w:szCs w:val="24"/>
        </w:rPr>
        <w:t>The Applicant states that the Proposed Project will improve care continuity and coordination of care for ASC patients through procedures and processes that effectively identify and address individual patient needs, described below:</w:t>
      </w:r>
    </w:p>
    <w:p w14:paraId="1EA33F5E" w14:textId="77777777" w:rsidR="002B2AC6" w:rsidRPr="008440BF" w:rsidRDefault="002B2AC6" w:rsidP="002B2AC6">
      <w:pPr>
        <w:pStyle w:val="ListParagraph"/>
        <w:numPr>
          <w:ilvl w:val="0"/>
          <w:numId w:val="43"/>
        </w:numPr>
        <w:rPr>
          <w:rFonts w:asciiTheme="minorHAnsi" w:hAnsiTheme="minorHAnsi"/>
          <w:szCs w:val="24"/>
        </w:rPr>
      </w:pPr>
      <w:r w:rsidRPr="008440BF">
        <w:rPr>
          <w:rFonts w:asciiTheme="minorHAnsi" w:eastAsia="Times New Roman" w:hAnsiTheme="minorHAnsi"/>
          <w:szCs w:val="24"/>
        </w:rPr>
        <w:t xml:space="preserve">All patients will complete a pre-operative assessment with a Registered Nurse at the time of scheduling. During the assessment, the patient will be asked about potential discharge barriers, </w:t>
      </w:r>
      <w:r w:rsidRPr="008440BF">
        <w:rPr>
          <w:rFonts w:asciiTheme="minorHAnsi" w:hAnsiTheme="minorHAnsi"/>
          <w:szCs w:val="24"/>
        </w:rPr>
        <w:t>ability to afford postoperative medications, and access to transportation. All responses are recorded within the patient’s electronic medical record.</w:t>
      </w:r>
    </w:p>
    <w:p w14:paraId="77C2BD55" w14:textId="77777777" w:rsidR="002B2AC6" w:rsidRPr="008440BF" w:rsidRDefault="002B2AC6" w:rsidP="002B2AC6">
      <w:pPr>
        <w:pStyle w:val="ListParagraph"/>
        <w:numPr>
          <w:ilvl w:val="0"/>
          <w:numId w:val="43"/>
        </w:numPr>
        <w:adjustRightInd w:val="0"/>
        <w:rPr>
          <w:rFonts w:asciiTheme="minorHAnsi" w:eastAsia="Times New Roman" w:hAnsiTheme="minorHAnsi"/>
          <w:szCs w:val="24"/>
        </w:rPr>
      </w:pPr>
      <w:r w:rsidRPr="008440BF">
        <w:rPr>
          <w:rFonts w:asciiTheme="minorHAnsi" w:hAnsiTheme="minorHAnsi"/>
          <w:szCs w:val="24"/>
        </w:rPr>
        <w:t xml:space="preserve">If the assessment identifies specific barriers to care, ASC staff will work with the patient to identify appropriate community resources through the use of a community resource directory. Additionally, all responses will be included with the discharge summary and shared with the patient’s primary care provider. </w:t>
      </w:r>
    </w:p>
    <w:p w14:paraId="04E64AF6" w14:textId="77777777" w:rsidR="002B2AC6" w:rsidRPr="008440BF" w:rsidRDefault="002B2AC6" w:rsidP="002B2AC6">
      <w:pPr>
        <w:pStyle w:val="ListParagraph"/>
        <w:numPr>
          <w:ilvl w:val="0"/>
          <w:numId w:val="43"/>
        </w:numPr>
        <w:rPr>
          <w:rFonts w:asciiTheme="minorHAnsi" w:hAnsiTheme="minorHAnsi"/>
          <w:szCs w:val="24"/>
        </w:rPr>
      </w:pPr>
      <w:r w:rsidRPr="008440BF">
        <w:rPr>
          <w:rFonts w:asciiTheme="minorHAnsi" w:eastAsia="Times New Roman" w:hAnsiTheme="minorHAnsi"/>
          <w:szCs w:val="24"/>
        </w:rPr>
        <w:t>The</w:t>
      </w:r>
      <w:r w:rsidRPr="008440BF">
        <w:rPr>
          <w:rFonts w:asciiTheme="minorHAnsi" w:hAnsiTheme="minorHAnsi"/>
          <w:szCs w:val="24"/>
        </w:rPr>
        <w:t xml:space="preserve"> ASC will ensure that each patient is screened by a registered nurse for post-operative complications and experience within 24 hours after surgery. Concerns raised during the call will be documented in the patient’s medical record and the patient’s primary care provider will be notified to maintain continuity of care.</w:t>
      </w:r>
    </w:p>
    <w:p w14:paraId="11D67432" w14:textId="77777777" w:rsidR="002B2AC6" w:rsidRPr="008440BF" w:rsidRDefault="002B2AC6" w:rsidP="002B2AC6">
      <w:pPr>
        <w:pStyle w:val="ListParagraph"/>
        <w:numPr>
          <w:ilvl w:val="0"/>
          <w:numId w:val="43"/>
        </w:numPr>
        <w:adjustRightInd w:val="0"/>
        <w:rPr>
          <w:rFonts w:asciiTheme="minorHAnsi" w:eastAsia="Times New Roman" w:hAnsiTheme="minorHAnsi"/>
          <w:szCs w:val="24"/>
        </w:rPr>
      </w:pPr>
      <w:r w:rsidRPr="008440BF">
        <w:rPr>
          <w:rFonts w:asciiTheme="minorHAnsi" w:hAnsiTheme="minorHAnsi"/>
          <w:szCs w:val="24"/>
        </w:rPr>
        <w:t xml:space="preserve">As part of the ASC’s quality improvement program, the ASC Administrator will review the ASC’s quality data on a quarterly basis with the ASC governing board and quality oversight committee in compliance with Medicare reporting requirements. </w:t>
      </w:r>
    </w:p>
    <w:p w14:paraId="6B3457CF" w14:textId="63157B0E" w:rsidR="002B2AC6" w:rsidRPr="008440BF" w:rsidRDefault="002B2AC6" w:rsidP="002B2AC6">
      <w:pPr>
        <w:pStyle w:val="ListParagraph"/>
        <w:numPr>
          <w:ilvl w:val="0"/>
          <w:numId w:val="43"/>
        </w:numPr>
        <w:rPr>
          <w:rFonts w:asciiTheme="minorHAnsi" w:hAnsiTheme="minorHAnsi"/>
          <w:bCs/>
          <w:kern w:val="2"/>
          <w:szCs w:val="24"/>
        </w:rPr>
      </w:pPr>
      <w:r w:rsidRPr="008440BF">
        <w:rPr>
          <w:rFonts w:asciiTheme="minorHAnsi" w:hAnsiTheme="minorHAnsi"/>
          <w:szCs w:val="24"/>
        </w:rPr>
        <w:t xml:space="preserve">The ASC will participate </w:t>
      </w:r>
      <w:r w:rsidRPr="008440BF">
        <w:rPr>
          <w:rFonts w:asciiTheme="minorHAnsi" w:hAnsiTheme="minorHAnsi"/>
          <w:bCs/>
          <w:kern w:val="2"/>
          <w:szCs w:val="24"/>
        </w:rPr>
        <w:t>in the MassHealth ACO Program through BILHPN and its clinically integrated network. In furtherance of the goals of the Program, BILHPN strives to increase access to high quality care for members who are more likely to have unmet Social Determinant of Health (“SDoH”) needs than the commercially insured population. A significant portion of BILHPN’s efforts to improve health care are accomplished through care coordination. Specifically, BILHPN’s data analysis and risk management tools help participating primary care physicians monitor patients’ health and manage chronic conditions. Therefore, BILHPN patients who utilize the ASC’s services will benefit from the coordination of care efforts made possible through BILHPN. The linkages available to BILHPN members through participating providers will continue to ensure their care is well-managed, organized, and facilitating improved health outcomes.</w:t>
      </w:r>
    </w:p>
    <w:p w14:paraId="5219A280" w14:textId="77777777" w:rsidR="002B2AC6" w:rsidRPr="008440BF" w:rsidRDefault="002B2AC6" w:rsidP="002B2AC6">
      <w:pPr>
        <w:rPr>
          <w:rFonts w:asciiTheme="minorHAnsi" w:hAnsiTheme="minorHAnsi"/>
          <w:szCs w:val="24"/>
          <w:highlight w:val="yellow"/>
        </w:rPr>
      </w:pPr>
    </w:p>
    <w:p w14:paraId="3C7BDD8B" w14:textId="317CEF61" w:rsidR="002B2AC6" w:rsidRPr="008440BF" w:rsidRDefault="002B2AC6" w:rsidP="002B2AC6">
      <w:pPr>
        <w:pStyle w:val="ListParagraph"/>
        <w:ind w:left="0" w:firstLine="0"/>
        <w:rPr>
          <w:rFonts w:asciiTheme="minorHAnsi" w:eastAsia="Times New Roman" w:hAnsiTheme="minorHAnsi"/>
        </w:rPr>
      </w:pPr>
      <w:r w:rsidRPr="008440BF">
        <w:rPr>
          <w:rFonts w:asciiTheme="minorHAnsi" w:eastAsia="Times New Roman" w:hAnsiTheme="minorHAnsi"/>
        </w:rPr>
        <w:t xml:space="preserve">The Applicant notes that the ASC will be available to all patients in need of the surgeries provided. The surgeon will work directly with the patient to provide care coordination for post-surgical recovery/rehabilitation care (e.g., PT/OT). This care coordination begins before surgery and </w:t>
      </w:r>
      <w:r w:rsidRPr="008440BF">
        <w:rPr>
          <w:rFonts w:asciiTheme="minorHAnsi" w:eastAsia="Times New Roman" w:hAnsiTheme="minorHAnsi"/>
        </w:rPr>
        <w:lastRenderedPageBreak/>
        <w:t>continues after surgery until the patient is recovered. The ASC discharge nurse will review discharge orders with each patient, including all post-op care instructions and orders for follow-up care, and will provide written instructions. The ASC will ensure the surgeon and referring provider(s) have access to the operating and discharge summaries. The performing surgeon will have direct access to the full patient record including the operative note and discharge summary via the electronic medical record. With patient consent, the ASC will provide the patient’s referring provider and/or primary care provider with access to the patient record.</w:t>
      </w:r>
    </w:p>
    <w:p w14:paraId="76EEFD8D" w14:textId="77777777" w:rsidR="002B2AC6" w:rsidRPr="008440BF" w:rsidRDefault="002B2AC6" w:rsidP="002B2AC6">
      <w:pPr>
        <w:pStyle w:val="BodyText"/>
        <w:spacing w:before="4"/>
        <w:rPr>
          <w:rFonts w:asciiTheme="minorHAnsi" w:hAnsiTheme="minorHAnsi"/>
          <w:highlight w:val="yellow"/>
        </w:rPr>
      </w:pPr>
    </w:p>
    <w:p w14:paraId="4982052E" w14:textId="77777777" w:rsidR="002B2AC6" w:rsidRPr="008440BF" w:rsidRDefault="002B2AC6" w:rsidP="002B2AC6">
      <w:pPr>
        <w:rPr>
          <w:rFonts w:asciiTheme="minorHAnsi" w:hAnsiTheme="minorHAnsi"/>
          <w:b/>
          <w:bCs/>
          <w:i/>
          <w:iCs/>
          <w:szCs w:val="24"/>
        </w:rPr>
      </w:pPr>
      <w:r w:rsidRPr="008440BF">
        <w:rPr>
          <w:rFonts w:asciiTheme="minorHAnsi" w:hAnsiTheme="minorHAnsi"/>
          <w:b/>
          <w:bCs/>
          <w:i/>
          <w:iCs/>
          <w:szCs w:val="24"/>
        </w:rPr>
        <w:t>Analysis</w:t>
      </w:r>
    </w:p>
    <w:p w14:paraId="1C0D9266" w14:textId="77777777" w:rsidR="002B2AC6" w:rsidRPr="008440BF" w:rsidRDefault="002B2AC6" w:rsidP="002B2AC6">
      <w:pPr>
        <w:rPr>
          <w:rFonts w:asciiTheme="minorHAnsi" w:hAnsiTheme="minorHAnsi"/>
          <w:sz w:val="18"/>
        </w:rPr>
      </w:pPr>
      <w:r w:rsidRPr="008440BF">
        <w:rPr>
          <w:rStyle w:val="normaltextrun"/>
          <w:rFonts w:asciiTheme="minorHAnsi" w:hAnsiTheme="minorHAnsi"/>
          <w:color w:val="000000"/>
          <w:shd w:val="clear" w:color="auto" w:fill="FFFFFF"/>
        </w:rPr>
        <w:t>Staff finds that the Applicant’s care coordination will contribute positively to efficiency, continuity, and coordination of care. The Applicant had demonstrated how it will maintain patient records, and facilitate communication with patients, pre- and post-operatively, and with other providers, to track patient progress and to promote better health outcomes. As a result, Staff finds that the Proposed Project meets the requirements of Factor 1c.</w:t>
      </w:r>
      <w:r w:rsidRPr="008440BF">
        <w:rPr>
          <w:rStyle w:val="eop"/>
          <w:rFonts w:asciiTheme="minorHAnsi" w:hAnsiTheme="minorHAnsi"/>
          <w:color w:val="000000"/>
          <w:shd w:val="clear" w:color="auto" w:fill="FFFFFF"/>
        </w:rPr>
        <w:t> </w:t>
      </w:r>
    </w:p>
    <w:p w14:paraId="0BB34DBA" w14:textId="51AD521C" w:rsidR="00B447F3" w:rsidRPr="008440BF" w:rsidRDefault="00B447F3">
      <w:pPr>
        <w:rPr>
          <w:rFonts w:asciiTheme="minorHAnsi" w:hAnsiTheme="minorHAnsi"/>
          <w:sz w:val="18"/>
          <w:highlight w:val="yellow"/>
        </w:rPr>
      </w:pPr>
    </w:p>
    <w:p w14:paraId="1C366B98" w14:textId="23676C2A" w:rsidR="00B447F3" w:rsidRPr="008440BF" w:rsidRDefault="00A4110F" w:rsidP="00A67666">
      <w:pPr>
        <w:pStyle w:val="Heading1"/>
        <w:spacing w:before="87"/>
        <w:ind w:left="0"/>
        <w:jc w:val="both"/>
        <w:rPr>
          <w:rFonts w:asciiTheme="minorHAnsi" w:hAnsiTheme="minorHAnsi"/>
        </w:rPr>
      </w:pPr>
      <w:bookmarkStart w:id="15" w:name="Factor_1:_d)_Consultation"/>
      <w:bookmarkStart w:id="16" w:name="_Toc166249378"/>
      <w:bookmarkEnd w:id="15"/>
      <w:r w:rsidRPr="008440BF">
        <w:rPr>
          <w:rFonts w:asciiTheme="minorHAnsi" w:hAnsiTheme="minorHAnsi"/>
          <w:color w:val="42558C"/>
        </w:rPr>
        <w:t>Factor 1: d) Consultation</w:t>
      </w:r>
      <w:bookmarkEnd w:id="16"/>
    </w:p>
    <w:p w14:paraId="387F64AF" w14:textId="77777777" w:rsidR="0087603C" w:rsidRPr="008440BF" w:rsidRDefault="0087603C" w:rsidP="0087603C">
      <w:pPr>
        <w:pStyle w:val="BodyText"/>
        <w:ind w:right="484"/>
        <w:jc w:val="both"/>
        <w:rPr>
          <w:rFonts w:asciiTheme="minorHAnsi" w:hAnsiTheme="minorHAnsi"/>
        </w:rPr>
      </w:pPr>
      <w:bookmarkStart w:id="17" w:name="Factor_1:_e)_Evidence_of_Sound_Community"/>
      <w:bookmarkEnd w:id="17"/>
      <w:r w:rsidRPr="008440BF">
        <w:rPr>
          <w:rFonts w:asciiTheme="minorHAnsi" w:hAnsiTheme="minorHAnsi"/>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0A466E16" w14:textId="77777777" w:rsidR="0087603C" w:rsidRPr="008440BF" w:rsidRDefault="0087603C" w:rsidP="0087603C">
      <w:pPr>
        <w:jc w:val="both"/>
        <w:rPr>
          <w:rFonts w:asciiTheme="minorHAnsi" w:hAnsiTheme="minorHAnsi"/>
          <w:b/>
          <w:kern w:val="2"/>
          <w:sz w:val="20"/>
          <w:highlight w:val="yellow"/>
        </w:rPr>
      </w:pPr>
    </w:p>
    <w:p w14:paraId="4AF9F3AB" w14:textId="77777777" w:rsidR="0087603C" w:rsidRPr="008440BF" w:rsidRDefault="0087603C" w:rsidP="0087603C">
      <w:pPr>
        <w:adjustRightInd w:val="0"/>
        <w:rPr>
          <w:rFonts w:asciiTheme="minorHAnsi" w:hAnsiTheme="minorHAnsi"/>
          <w:color w:val="000000"/>
        </w:rPr>
      </w:pPr>
      <w:r w:rsidRPr="008440BF">
        <w:rPr>
          <w:rFonts w:asciiTheme="minorHAnsi" w:hAnsiTheme="minorHAnsi"/>
          <w:color w:val="000000"/>
        </w:rPr>
        <w:t>As a result, Staff finds that the Proposed Project meets the requirements of Factor 1d.</w:t>
      </w:r>
    </w:p>
    <w:p w14:paraId="373A4978" w14:textId="77777777" w:rsidR="00971FE7" w:rsidRPr="008440BF" w:rsidRDefault="00971FE7" w:rsidP="00D01951">
      <w:pPr>
        <w:pStyle w:val="Heading1"/>
        <w:ind w:left="0" w:right="496"/>
        <w:rPr>
          <w:rFonts w:asciiTheme="minorHAnsi" w:hAnsiTheme="minorHAnsi"/>
          <w:color w:val="42558C"/>
          <w:highlight w:val="yellow"/>
        </w:rPr>
      </w:pPr>
    </w:p>
    <w:p w14:paraId="3BE4534C" w14:textId="02F97641" w:rsidR="00B447F3" w:rsidRPr="008440BF" w:rsidRDefault="00A4110F" w:rsidP="00D01951">
      <w:pPr>
        <w:pStyle w:val="Heading1"/>
        <w:ind w:left="0" w:right="496"/>
        <w:rPr>
          <w:rFonts w:asciiTheme="minorHAnsi" w:hAnsiTheme="minorHAnsi"/>
        </w:rPr>
      </w:pPr>
      <w:bookmarkStart w:id="18" w:name="_Toc166249379"/>
      <w:r w:rsidRPr="008440BF">
        <w:rPr>
          <w:rFonts w:asciiTheme="minorHAnsi" w:hAnsiTheme="minorHAnsi"/>
          <w:color w:val="42558C"/>
        </w:rPr>
        <w:t>Factor 1: e) Evidence of Sound Community Engagement through the Patient Panel</w:t>
      </w:r>
      <w:bookmarkEnd w:id="18"/>
    </w:p>
    <w:p w14:paraId="5A13D967" w14:textId="77777777" w:rsidR="00004CFD" w:rsidRPr="008440BF" w:rsidRDefault="00004CFD" w:rsidP="00004CFD">
      <w:pPr>
        <w:rPr>
          <w:rFonts w:asciiTheme="minorHAnsi" w:hAnsiTheme="minorHAnsi"/>
          <w:szCs w:val="24"/>
        </w:rPr>
      </w:pPr>
      <w:r w:rsidRPr="008440BF">
        <w:rPr>
          <w:rFonts w:asciiTheme="minorHAnsi" w:hAnsiTheme="minorHAnsi"/>
          <w:szCs w:val="24"/>
        </w:rPr>
        <w:t>The Department’s Guideline</w:t>
      </w:r>
      <w:r w:rsidRPr="008440BF">
        <w:rPr>
          <w:rFonts w:asciiTheme="minorHAnsi" w:hAnsiTheme="minorHAnsi"/>
          <w:szCs w:val="24"/>
          <w:vertAlign w:val="superscript"/>
        </w:rPr>
        <w:footnoteReference w:id="21"/>
      </w:r>
      <w:r w:rsidRPr="008440BF">
        <w:rPr>
          <w:rFonts w:asciiTheme="minorHAnsi" w:hAnsiTheme="minorHAnsi"/>
          <w:szCs w:val="24"/>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Pr="008440BF">
        <w:rPr>
          <w:rFonts w:asciiTheme="minorHAnsi" w:hAnsiTheme="minorHAnsi"/>
          <w:szCs w:val="24"/>
          <w:vertAlign w:val="superscript"/>
        </w:rPr>
        <w:footnoteReference w:id="22"/>
      </w:r>
    </w:p>
    <w:p w14:paraId="46883C61" w14:textId="77777777" w:rsidR="00004CFD" w:rsidRPr="008440BF" w:rsidRDefault="00004CFD" w:rsidP="00004CFD">
      <w:pPr>
        <w:pStyle w:val="BodyText"/>
        <w:ind w:right="263"/>
        <w:rPr>
          <w:rFonts w:asciiTheme="minorHAnsi" w:hAnsiTheme="minorHAnsi"/>
          <w:position w:val="10"/>
        </w:rPr>
      </w:pPr>
    </w:p>
    <w:p w14:paraId="738127A8" w14:textId="77777777" w:rsidR="00004CFD" w:rsidRPr="008440BF" w:rsidRDefault="00004CFD" w:rsidP="00004CFD">
      <w:pPr>
        <w:pStyle w:val="ListParagraph"/>
        <w:ind w:left="0" w:firstLine="0"/>
        <w:rPr>
          <w:rFonts w:asciiTheme="minorHAnsi" w:hAnsiTheme="minorHAnsi"/>
          <w:b/>
          <w:bCs/>
          <w:iCs/>
          <w:szCs w:val="24"/>
        </w:rPr>
      </w:pPr>
      <w:r w:rsidRPr="008440BF">
        <w:rPr>
          <w:rFonts w:asciiTheme="minorHAnsi" w:hAnsiTheme="minorHAnsi"/>
          <w:szCs w:val="24"/>
        </w:rPr>
        <w:t xml:space="preserve">To fulfill the community engagement requirement, the Applicant conducted information sessions/community forums to inform community members. </w:t>
      </w:r>
      <w:r w:rsidRPr="008440BF">
        <w:rPr>
          <w:rFonts w:asciiTheme="minorHAnsi" w:eastAsia="Arial" w:hAnsiTheme="minorHAnsi"/>
          <w:kern w:val="2"/>
          <w:szCs w:val="24"/>
        </w:rPr>
        <w:t xml:space="preserve">During each of the presentations described below, attendees were educated on the Applicant’s proposed plans for the ASC, including the types of surgeries to be performed, the number of ORs, plans for patient experience improvement, and how the Proposed Project will meet the community’s current and future needs for orthopedic surgery. Following the presentation, attendees were able to share feedback and ask the presenters questions. </w:t>
      </w:r>
      <w:r w:rsidRPr="008440BF">
        <w:rPr>
          <w:rStyle w:val="cf01"/>
          <w:rFonts w:asciiTheme="minorHAnsi" w:hAnsiTheme="minorHAnsi" w:cstheme="minorHAnsi"/>
          <w:iCs/>
          <w:sz w:val="24"/>
          <w:szCs w:val="24"/>
        </w:rPr>
        <w:t>Feedback in all meetings was positive with the perspective that the ASC would provide a lower-cost and more accessible option for outpatient orthopedic surgery, and that there would be no reduction of operating rooms at BID-Plymouth as a result.</w:t>
      </w:r>
      <w:r w:rsidRPr="008440BF">
        <w:rPr>
          <w:rStyle w:val="cf01"/>
          <w:rFonts w:asciiTheme="minorHAnsi" w:hAnsiTheme="minorHAnsi" w:cstheme="minorHAnsi"/>
          <w:iCs/>
          <w:szCs w:val="24"/>
        </w:rPr>
        <w:t xml:space="preserve"> </w:t>
      </w:r>
    </w:p>
    <w:p w14:paraId="3CDB50BE" w14:textId="77777777" w:rsidR="00004CFD" w:rsidRPr="008440BF" w:rsidRDefault="00004CFD" w:rsidP="00004CFD">
      <w:pPr>
        <w:pStyle w:val="BodyText"/>
        <w:ind w:right="263"/>
        <w:rPr>
          <w:rFonts w:asciiTheme="minorHAnsi" w:hAnsiTheme="minorHAnsi"/>
          <w:position w:val="10"/>
          <w:highlight w:val="yellow"/>
        </w:rPr>
      </w:pPr>
    </w:p>
    <w:p w14:paraId="44B5547A" w14:textId="77777777" w:rsidR="00004CFD" w:rsidRPr="008440BF" w:rsidRDefault="00004CFD" w:rsidP="00004CFD">
      <w:pPr>
        <w:pStyle w:val="ListParagraph"/>
        <w:numPr>
          <w:ilvl w:val="0"/>
          <w:numId w:val="14"/>
        </w:numPr>
        <w:rPr>
          <w:rFonts w:asciiTheme="minorHAnsi" w:eastAsia="Arial" w:hAnsiTheme="minorHAnsi"/>
          <w:kern w:val="2"/>
          <w:szCs w:val="24"/>
        </w:rPr>
      </w:pPr>
      <w:r w:rsidRPr="008440BF">
        <w:rPr>
          <w:rFonts w:asciiTheme="minorHAnsi" w:eastAsia="Arial" w:hAnsiTheme="minorHAnsi"/>
          <w:b/>
          <w:bCs/>
          <w:kern w:val="2"/>
          <w:szCs w:val="24"/>
          <w:u w:val="single"/>
        </w:rPr>
        <w:t>BID Plymouth’s Community Benefits and Advisory Committee (“CBAC”):</w:t>
      </w:r>
      <w:r w:rsidRPr="008440BF">
        <w:rPr>
          <w:rFonts w:asciiTheme="minorHAnsi" w:eastAsia="Arial" w:hAnsiTheme="minorHAnsi"/>
          <w:kern w:val="2"/>
          <w:szCs w:val="24"/>
        </w:rPr>
        <w:t xml:space="preserve"> Presented on </w:t>
      </w:r>
      <w:r w:rsidRPr="008440BF">
        <w:rPr>
          <w:rFonts w:asciiTheme="minorHAnsi" w:eastAsia="Arial" w:hAnsiTheme="minorHAnsi"/>
          <w:kern w:val="2"/>
          <w:szCs w:val="24"/>
        </w:rPr>
        <w:lastRenderedPageBreak/>
        <w:t xml:space="preserve">May 17, 2022. The presentation was attended by seven (7) members of the CBAC. </w:t>
      </w:r>
    </w:p>
    <w:p w14:paraId="7B76A2C9" w14:textId="77777777" w:rsidR="00004CFD" w:rsidRPr="008440BF" w:rsidRDefault="00004CFD" w:rsidP="00004CFD">
      <w:pPr>
        <w:pStyle w:val="ListParagraph"/>
        <w:numPr>
          <w:ilvl w:val="0"/>
          <w:numId w:val="14"/>
        </w:numPr>
        <w:rPr>
          <w:rFonts w:asciiTheme="minorHAnsi" w:eastAsia="Arial" w:hAnsiTheme="minorHAnsi"/>
          <w:kern w:val="2"/>
          <w:szCs w:val="24"/>
        </w:rPr>
      </w:pPr>
      <w:r w:rsidRPr="008440BF">
        <w:rPr>
          <w:rFonts w:asciiTheme="minorHAnsi" w:eastAsia="Arial" w:hAnsiTheme="minorHAnsi"/>
          <w:b/>
          <w:bCs/>
          <w:kern w:val="2"/>
          <w:szCs w:val="24"/>
          <w:u w:val="single"/>
        </w:rPr>
        <w:t>BID Plymouth’s Patient and Family Advisory Council (“PFAC”):</w:t>
      </w:r>
      <w:r w:rsidRPr="008440BF">
        <w:rPr>
          <w:rFonts w:asciiTheme="minorHAnsi" w:eastAsia="Arial" w:hAnsiTheme="minorHAnsi"/>
          <w:b/>
          <w:bCs/>
          <w:kern w:val="2"/>
          <w:szCs w:val="24"/>
        </w:rPr>
        <w:t xml:space="preserve"> </w:t>
      </w:r>
      <w:r w:rsidRPr="008440BF">
        <w:rPr>
          <w:rFonts w:asciiTheme="minorHAnsi" w:eastAsia="Arial" w:hAnsiTheme="minorHAnsi"/>
          <w:kern w:val="2"/>
          <w:szCs w:val="24"/>
        </w:rPr>
        <w:t xml:space="preserve">Presented on June 8, 2022. The presentation was attended by seven (7) PFAC members.  </w:t>
      </w:r>
    </w:p>
    <w:p w14:paraId="114FEA64" w14:textId="77777777" w:rsidR="00004CFD" w:rsidRPr="008440BF" w:rsidRDefault="00004CFD" w:rsidP="00004CFD">
      <w:pPr>
        <w:pStyle w:val="ListParagraph"/>
        <w:numPr>
          <w:ilvl w:val="0"/>
          <w:numId w:val="14"/>
        </w:numPr>
        <w:rPr>
          <w:rFonts w:asciiTheme="minorHAnsi" w:eastAsia="Arial" w:hAnsiTheme="minorHAnsi"/>
          <w:kern w:val="2"/>
          <w:szCs w:val="24"/>
        </w:rPr>
      </w:pPr>
      <w:r w:rsidRPr="008440BF">
        <w:rPr>
          <w:rFonts w:asciiTheme="minorHAnsi" w:eastAsia="Arial" w:hAnsiTheme="minorHAnsi"/>
          <w:b/>
          <w:bCs/>
          <w:kern w:val="2"/>
          <w:szCs w:val="24"/>
          <w:u w:val="single"/>
        </w:rPr>
        <w:t>BID Plymouth’s Annual Public Meeting:</w:t>
      </w:r>
      <w:r w:rsidRPr="008440BF">
        <w:rPr>
          <w:rFonts w:asciiTheme="minorHAnsi" w:eastAsia="Arial" w:hAnsiTheme="minorHAnsi"/>
          <w:kern w:val="2"/>
          <w:szCs w:val="24"/>
          <w:u w:val="single"/>
        </w:rPr>
        <w:t xml:space="preserve"> </w:t>
      </w:r>
      <w:r w:rsidRPr="008440BF">
        <w:rPr>
          <w:rFonts w:asciiTheme="minorHAnsi" w:eastAsia="Arial" w:hAnsiTheme="minorHAnsi"/>
          <w:kern w:val="2"/>
          <w:szCs w:val="24"/>
        </w:rPr>
        <w:t>Presented on June 22, 2022, with 57 individuals from over 50 community organizations. The Proposed Project was widely publicized as an agenda item for the meeting through the Hospital’s extensive network and email listserv.</w:t>
      </w:r>
    </w:p>
    <w:p w14:paraId="41DFAB0F" w14:textId="77777777" w:rsidR="00004CFD" w:rsidRPr="008440BF" w:rsidRDefault="00004CFD" w:rsidP="00004CFD">
      <w:pPr>
        <w:pStyle w:val="ListParagraph"/>
        <w:numPr>
          <w:ilvl w:val="0"/>
          <w:numId w:val="14"/>
        </w:numPr>
        <w:rPr>
          <w:rFonts w:asciiTheme="minorHAnsi" w:eastAsia="Arial" w:hAnsiTheme="minorHAnsi"/>
          <w:kern w:val="2"/>
          <w:szCs w:val="24"/>
        </w:rPr>
      </w:pPr>
      <w:r w:rsidRPr="008440BF">
        <w:rPr>
          <w:rFonts w:asciiTheme="minorHAnsi" w:eastAsia="Arial" w:hAnsiTheme="minorHAnsi"/>
          <w:b/>
          <w:bCs/>
          <w:kern w:val="2"/>
          <w:szCs w:val="24"/>
          <w:u w:val="single"/>
        </w:rPr>
        <w:t xml:space="preserve">BID-Plymouth’s Quarterly Legislative Breakfast: </w:t>
      </w:r>
      <w:r w:rsidRPr="008440BF">
        <w:rPr>
          <w:rFonts w:asciiTheme="minorHAnsi" w:eastAsia="Arial" w:hAnsiTheme="minorHAnsi"/>
          <w:kern w:val="2"/>
          <w:szCs w:val="24"/>
        </w:rPr>
        <w:t>Presented on June 22, 2022. A State Senator and 4 State Representatives were in attendance.</w:t>
      </w:r>
    </w:p>
    <w:p w14:paraId="3CB24926" w14:textId="77777777" w:rsidR="00004CFD" w:rsidRPr="008440BF" w:rsidRDefault="00004CFD" w:rsidP="00004CFD">
      <w:pPr>
        <w:pStyle w:val="BodyText"/>
        <w:spacing w:before="9"/>
        <w:rPr>
          <w:rFonts w:asciiTheme="minorHAnsi" w:hAnsiTheme="minorHAnsi"/>
          <w:sz w:val="22"/>
        </w:rPr>
      </w:pPr>
    </w:p>
    <w:p w14:paraId="1EAD0375" w14:textId="77777777" w:rsidR="00004CFD" w:rsidRPr="008440BF" w:rsidRDefault="00004CFD" w:rsidP="00004CFD">
      <w:pPr>
        <w:rPr>
          <w:rFonts w:asciiTheme="minorHAnsi" w:hAnsiTheme="minorHAnsi"/>
          <w:b/>
          <w:bCs/>
          <w:i/>
          <w:iCs/>
          <w:szCs w:val="24"/>
        </w:rPr>
      </w:pPr>
      <w:r w:rsidRPr="008440BF">
        <w:rPr>
          <w:rFonts w:asciiTheme="minorHAnsi" w:hAnsiTheme="minorHAnsi"/>
          <w:b/>
          <w:bCs/>
          <w:i/>
          <w:iCs/>
          <w:szCs w:val="24"/>
        </w:rPr>
        <w:t>Analysis</w:t>
      </w:r>
    </w:p>
    <w:p w14:paraId="6E6A725F" w14:textId="5A2918D9" w:rsidR="00004CFD" w:rsidRPr="008440BF" w:rsidRDefault="00004CFD" w:rsidP="00004CFD">
      <w:pPr>
        <w:pStyle w:val="paragraph"/>
        <w:spacing w:before="0" w:beforeAutospacing="0" w:after="0" w:afterAutospacing="0"/>
        <w:textAlignment w:val="baseline"/>
        <w:rPr>
          <w:rFonts w:asciiTheme="minorHAnsi" w:hAnsiTheme="minorHAnsi" w:cstheme="minorHAnsi"/>
          <w:sz w:val="18"/>
          <w:szCs w:val="18"/>
        </w:rPr>
      </w:pPr>
      <w:r w:rsidRPr="008440BF">
        <w:rPr>
          <w:rStyle w:val="normaltextrun"/>
          <w:rFonts w:asciiTheme="minorHAnsi" w:hAnsiTheme="minorHAnsi" w:cstheme="minorHAnsi"/>
        </w:rPr>
        <w:t>Staff reviewed the information on the Applicant’s community engagement and finds that</w:t>
      </w:r>
    </w:p>
    <w:p w14:paraId="04B2A2AC" w14:textId="451EA9BE" w:rsidR="00004CFD" w:rsidRPr="008440BF" w:rsidRDefault="00004CFD" w:rsidP="00004CFD">
      <w:pPr>
        <w:pStyle w:val="paragraph"/>
        <w:spacing w:before="0" w:beforeAutospacing="0" w:after="0" w:afterAutospacing="0"/>
        <w:textAlignment w:val="baseline"/>
        <w:rPr>
          <w:rFonts w:asciiTheme="minorHAnsi" w:hAnsiTheme="minorHAnsi" w:cstheme="minorHAnsi"/>
          <w:sz w:val="18"/>
          <w:szCs w:val="18"/>
        </w:rPr>
      </w:pPr>
      <w:r w:rsidRPr="008440BF">
        <w:rPr>
          <w:rStyle w:val="normaltextrun"/>
          <w:rFonts w:asciiTheme="minorHAnsi" w:hAnsiTheme="minorHAnsi" w:cstheme="minorHAnsi"/>
        </w:rPr>
        <w:t>the Applicant has met the required community engagement standard of Consult in the planning phase of the Proposed Project. As a result, Staff finds that the Proposed Project meets the requirements of Factor 1e.</w:t>
      </w:r>
      <w:r w:rsidRPr="008440BF">
        <w:rPr>
          <w:rStyle w:val="eop"/>
          <w:rFonts w:asciiTheme="minorHAnsi" w:hAnsiTheme="minorHAnsi" w:cstheme="minorHAnsi"/>
        </w:rPr>
        <w:t> </w:t>
      </w:r>
    </w:p>
    <w:p w14:paraId="54175336" w14:textId="77777777" w:rsidR="00004CFD" w:rsidRPr="008440BF" w:rsidRDefault="00004CFD" w:rsidP="00004CFD">
      <w:pPr>
        <w:rPr>
          <w:rFonts w:asciiTheme="minorHAnsi" w:hAnsiTheme="minorHAnsi"/>
          <w:szCs w:val="24"/>
        </w:rPr>
      </w:pPr>
    </w:p>
    <w:p w14:paraId="79C0F630" w14:textId="7AB18107" w:rsidR="00FB457F" w:rsidRPr="008440BF" w:rsidRDefault="00FB457F" w:rsidP="004D5540">
      <w:pPr>
        <w:rPr>
          <w:rFonts w:asciiTheme="minorHAnsi" w:hAnsiTheme="minorHAnsi"/>
          <w:szCs w:val="24"/>
          <w:highlight w:val="yellow"/>
        </w:rPr>
      </w:pPr>
    </w:p>
    <w:p w14:paraId="1AC2E3C5" w14:textId="77777777" w:rsidR="00B447F3" w:rsidRPr="008440BF" w:rsidRDefault="00A4110F" w:rsidP="00771386">
      <w:pPr>
        <w:pStyle w:val="Heading1"/>
        <w:ind w:left="0"/>
        <w:rPr>
          <w:rFonts w:asciiTheme="minorHAnsi" w:hAnsiTheme="minorHAnsi"/>
          <w:color w:val="1F497D" w:themeColor="text2"/>
        </w:rPr>
      </w:pPr>
      <w:bookmarkStart w:id="19" w:name="Factor_1:_f)_Competition_on_price,_total"/>
      <w:bookmarkStart w:id="20" w:name="_Toc166249380"/>
      <w:bookmarkEnd w:id="19"/>
      <w:r w:rsidRPr="008440BF">
        <w:rPr>
          <w:rFonts w:asciiTheme="minorHAnsi" w:hAnsiTheme="minorHAnsi"/>
          <w:color w:val="1F497D" w:themeColor="text2"/>
        </w:rPr>
        <w:t>Factor 1: f) Competition on price, total medical expenses (TME), costs and other measures of health care spending</w:t>
      </w:r>
      <w:bookmarkEnd w:id="20"/>
    </w:p>
    <w:p w14:paraId="6C123A87" w14:textId="77777777" w:rsidR="00D11B18" w:rsidRPr="008440BF" w:rsidRDefault="00D11B18" w:rsidP="00D11B18">
      <w:pPr>
        <w:ind w:right="716"/>
        <w:rPr>
          <w:rFonts w:asciiTheme="minorHAnsi" w:hAnsiTheme="minorHAnsi"/>
        </w:rPr>
      </w:pPr>
      <w:r w:rsidRPr="008440BF">
        <w:rPr>
          <w:rFonts w:asciiTheme="minorHAnsi" w:hAnsiTheme="minorHAnsi"/>
        </w:rPr>
        <w:t xml:space="preserve">The Applicant asserts that the Proposed Project will meaningfully contribute to the Commonwealth’s cost containment goals and compete </w:t>
      </w:r>
      <w:bookmarkStart w:id="21" w:name="_Int_AMFiQq3f"/>
      <w:r w:rsidRPr="008440BF">
        <w:rPr>
          <w:rFonts w:asciiTheme="minorHAnsi" w:hAnsiTheme="minorHAnsi"/>
        </w:rPr>
        <w:t>on the basis of</w:t>
      </w:r>
      <w:bookmarkEnd w:id="21"/>
      <w:r w:rsidRPr="008440BF">
        <w:rPr>
          <w:rFonts w:asciiTheme="minorHAnsi" w:hAnsiTheme="minorHAnsi"/>
        </w:rPr>
        <w:t xml:space="preserve"> TME and provider costs by providing clinically appropriate patients with access to surgical services in a more cost-effective setting. The Applicant states that healthcare expenditures for elective and same day surgical procedures will decrease, reducing overall provider costs and directly impacting TME. </w:t>
      </w:r>
    </w:p>
    <w:p w14:paraId="125C3E90" w14:textId="77777777" w:rsidR="00D11B18" w:rsidRPr="008440BF" w:rsidRDefault="00D11B18" w:rsidP="00D11B18">
      <w:pPr>
        <w:ind w:right="716"/>
        <w:rPr>
          <w:rFonts w:asciiTheme="minorHAnsi" w:hAnsiTheme="minorHAnsi"/>
          <w:highlight w:val="yellow"/>
        </w:rPr>
      </w:pPr>
    </w:p>
    <w:p w14:paraId="77D8D4FA" w14:textId="77777777" w:rsidR="00D11B18" w:rsidRPr="008440BF" w:rsidRDefault="00D11B18" w:rsidP="00D11B18">
      <w:pPr>
        <w:rPr>
          <w:rFonts w:asciiTheme="minorHAnsi" w:hAnsiTheme="minorHAnsi"/>
          <w:szCs w:val="24"/>
        </w:rPr>
      </w:pPr>
      <w:r w:rsidRPr="008440BF">
        <w:rPr>
          <w:rFonts w:asciiTheme="minorHAnsi" w:hAnsiTheme="minorHAnsi"/>
          <w:szCs w:val="24"/>
        </w:rPr>
        <w:t>The Applicant cites research showing that the provision of clinically appropriate surgeries in freestanding ASCs saves the Medicare program and its beneficiaries more than $4 Billion.</w:t>
      </w:r>
      <w:r w:rsidRPr="008440BF">
        <w:rPr>
          <w:rStyle w:val="EndnoteReference"/>
          <w:rFonts w:asciiTheme="minorHAnsi" w:hAnsiTheme="minorHAnsi"/>
          <w:szCs w:val="24"/>
        </w:rPr>
        <w:endnoteReference w:id="18"/>
      </w:r>
      <w:r w:rsidRPr="008440BF">
        <w:rPr>
          <w:rFonts w:asciiTheme="minorHAnsi" w:hAnsiTheme="minorHAnsi"/>
          <w:szCs w:val="24"/>
        </w:rPr>
        <w:t xml:space="preserve"> Based largely on historical savings, it is projected that ASCs will reduce Medicare costs by $73.4 Billion from 2019 to 2028.</w:t>
      </w:r>
      <w:r w:rsidRPr="008440BF">
        <w:rPr>
          <w:rStyle w:val="EndnoteReference"/>
          <w:rFonts w:asciiTheme="minorHAnsi" w:hAnsiTheme="minorHAnsi"/>
          <w:szCs w:val="24"/>
        </w:rPr>
        <w:endnoteReference w:id="19"/>
      </w:r>
      <w:r w:rsidRPr="008440BF">
        <w:rPr>
          <w:rFonts w:asciiTheme="minorHAnsi" w:hAnsiTheme="minorHAnsi"/>
          <w:szCs w:val="24"/>
        </w:rPr>
        <w:t xml:space="preserve"> These savings are a result of lower reimbursement rates for procedures performed in an ASC compared to those performed in hospitals. Reimbursement rates for an ASC are on average just half of what Medicare would pay for the same procedure if performed in a hospital.</w:t>
      </w:r>
      <w:r w:rsidRPr="008440BF">
        <w:rPr>
          <w:rStyle w:val="EndnoteReference"/>
          <w:rFonts w:asciiTheme="minorHAnsi" w:hAnsiTheme="minorHAnsi"/>
          <w:szCs w:val="24"/>
        </w:rPr>
        <w:endnoteReference w:id="20"/>
      </w:r>
      <w:r w:rsidRPr="008440BF">
        <w:rPr>
          <w:rFonts w:asciiTheme="minorHAnsi" w:hAnsiTheme="minorHAnsi"/>
          <w:szCs w:val="24"/>
        </w:rPr>
        <w:t xml:space="preserve"> These savings are especially valuable for ACOs that can better promote cost savings, care coordination, and health management of its covered lives when an ASC is available in its network. </w:t>
      </w:r>
    </w:p>
    <w:p w14:paraId="546F83A3" w14:textId="77777777" w:rsidR="00D11B18" w:rsidRPr="008440BF" w:rsidRDefault="00D11B18" w:rsidP="00D11B18">
      <w:pPr>
        <w:rPr>
          <w:rFonts w:asciiTheme="minorHAnsi" w:hAnsiTheme="minorHAnsi"/>
          <w:szCs w:val="24"/>
        </w:rPr>
      </w:pPr>
    </w:p>
    <w:p w14:paraId="6050E3C0" w14:textId="1F6460A6" w:rsidR="00D11B18" w:rsidRPr="008440BF" w:rsidRDefault="00D11B18" w:rsidP="005C316E">
      <w:pPr>
        <w:rPr>
          <w:rFonts w:asciiTheme="minorHAnsi" w:hAnsiTheme="minorHAnsi"/>
          <w:szCs w:val="24"/>
        </w:rPr>
      </w:pPr>
      <w:r w:rsidRPr="008440BF">
        <w:rPr>
          <w:rFonts w:asciiTheme="minorHAnsi" w:hAnsiTheme="minorHAnsi"/>
          <w:szCs w:val="24"/>
        </w:rPr>
        <w:t xml:space="preserve">The </w:t>
      </w:r>
      <w:r w:rsidR="006C6DEE" w:rsidRPr="008440BF">
        <w:rPr>
          <w:rFonts w:asciiTheme="minorHAnsi" w:hAnsiTheme="minorHAnsi"/>
          <w:szCs w:val="24"/>
        </w:rPr>
        <w:t xml:space="preserve">Applicant states that the </w:t>
      </w:r>
      <w:r w:rsidRPr="008440BF">
        <w:rPr>
          <w:rFonts w:asciiTheme="minorHAnsi" w:hAnsiTheme="minorHAnsi"/>
          <w:szCs w:val="24"/>
        </w:rPr>
        <w:t>growing availability of orthopedic ASCs has led more insurers, including Medicare, to incentivize the provision of additional types of surgeries in the outpatient setting and by increasing the types of surgeries approved for ASC reimbursement.</w:t>
      </w:r>
      <w:r w:rsidRPr="008440BF">
        <w:rPr>
          <w:rStyle w:val="EndnoteReference"/>
          <w:rFonts w:asciiTheme="minorHAnsi" w:hAnsiTheme="minorHAnsi"/>
        </w:rPr>
        <w:footnoteReference w:id="23"/>
      </w:r>
      <w:r w:rsidRPr="008440BF">
        <w:rPr>
          <w:rStyle w:val="EndnoteReference"/>
          <w:rFonts w:asciiTheme="minorHAnsi" w:hAnsiTheme="minorHAnsi"/>
        </w:rPr>
        <w:t xml:space="preserve"> </w:t>
      </w:r>
      <w:r w:rsidRPr="008440BF">
        <w:rPr>
          <w:rFonts w:asciiTheme="minorHAnsi" w:hAnsiTheme="minorHAnsi"/>
          <w:szCs w:val="24"/>
        </w:rPr>
        <w:t>Based on both cost savings and availability of ASC’s, the Applicant expect that appropriate surgical cases will shift from hospitals to ASC’s. Accordingly, it is expected that most orthopedic surgeries will be performed in an ASC within five years.</w:t>
      </w:r>
      <w:r w:rsidRPr="008440BF">
        <w:rPr>
          <w:rStyle w:val="EndnoteReference"/>
          <w:rFonts w:asciiTheme="minorHAnsi" w:hAnsiTheme="minorHAnsi"/>
        </w:rPr>
        <w:endnoteReference w:id="21"/>
      </w:r>
      <w:r w:rsidR="005C316E" w:rsidRPr="008440BF">
        <w:rPr>
          <w:rStyle w:val="EndnoteReference"/>
          <w:rFonts w:asciiTheme="minorHAnsi" w:hAnsiTheme="minorHAnsi"/>
        </w:rPr>
        <w:t xml:space="preserve"> </w:t>
      </w:r>
      <w:r w:rsidRPr="008440BF">
        <w:rPr>
          <w:rFonts w:asciiTheme="minorHAnsi" w:hAnsiTheme="minorHAnsi"/>
          <w:szCs w:val="24"/>
        </w:rPr>
        <w:t xml:space="preserve">Table </w:t>
      </w:r>
      <w:r w:rsidR="00586E44" w:rsidRPr="008440BF">
        <w:rPr>
          <w:rFonts w:asciiTheme="minorHAnsi" w:hAnsiTheme="minorHAnsi"/>
          <w:szCs w:val="24"/>
        </w:rPr>
        <w:t>8</w:t>
      </w:r>
      <w:r w:rsidRPr="008440BF">
        <w:rPr>
          <w:rFonts w:asciiTheme="minorHAnsi" w:hAnsiTheme="minorHAnsi"/>
          <w:szCs w:val="24"/>
        </w:rPr>
        <w:t xml:space="preserve"> illustrates the shift in approved clinical settings for reimbursement by Medicare for total joint replacement procedures, beginning with hospital inpatient only (“IPO”), </w:t>
      </w:r>
      <w:r w:rsidRPr="008440BF">
        <w:rPr>
          <w:rFonts w:asciiTheme="minorHAnsi" w:hAnsiTheme="minorHAnsi"/>
          <w:szCs w:val="24"/>
        </w:rPr>
        <w:lastRenderedPageBreak/>
        <w:t xml:space="preserve">moving to hospital outpatient (“HOPD”), and ending with ASC. </w:t>
      </w:r>
    </w:p>
    <w:p w14:paraId="1A3E2DD2" w14:textId="77777777" w:rsidR="00D11B18" w:rsidRPr="008440BF" w:rsidRDefault="00D11B18" w:rsidP="00D11B18">
      <w:pPr>
        <w:spacing w:before="120" w:after="120"/>
        <w:jc w:val="both"/>
        <w:rPr>
          <w:rFonts w:asciiTheme="minorHAnsi" w:hAnsiTheme="minorHAnsi"/>
          <w:sz w:val="20"/>
        </w:rPr>
      </w:pPr>
    </w:p>
    <w:p w14:paraId="5E70886F" w14:textId="6E74B8C1" w:rsidR="00D11B18" w:rsidRPr="008440BF" w:rsidRDefault="00D11B18" w:rsidP="00D11B18">
      <w:pPr>
        <w:spacing w:after="120"/>
        <w:rPr>
          <w:rFonts w:asciiTheme="minorHAnsi" w:hAnsiTheme="minorHAnsi"/>
          <w:b/>
          <w:bCs/>
          <w:iCs/>
          <w:szCs w:val="24"/>
        </w:rPr>
      </w:pPr>
      <w:r w:rsidRPr="008440BF">
        <w:rPr>
          <w:rFonts w:asciiTheme="minorHAnsi" w:hAnsiTheme="minorHAnsi"/>
          <w:b/>
          <w:bCs/>
          <w:iCs/>
          <w:szCs w:val="24"/>
          <w:u w:val="single"/>
        </w:rPr>
        <w:t xml:space="preserve">Table </w:t>
      </w:r>
      <w:r w:rsidR="00586E44" w:rsidRPr="008440BF">
        <w:rPr>
          <w:rFonts w:asciiTheme="minorHAnsi" w:hAnsiTheme="minorHAnsi"/>
          <w:b/>
          <w:bCs/>
          <w:iCs/>
          <w:szCs w:val="24"/>
          <w:u w:val="single"/>
        </w:rPr>
        <w:t>8</w:t>
      </w:r>
      <w:r w:rsidRPr="008440BF">
        <w:rPr>
          <w:rFonts w:asciiTheme="minorHAnsi" w:hAnsiTheme="minorHAnsi"/>
          <w:bCs/>
          <w:iCs/>
          <w:szCs w:val="24"/>
          <w:u w:val="single"/>
        </w:rPr>
        <w:t>:</w:t>
      </w:r>
      <w:r w:rsidRPr="008440BF">
        <w:rPr>
          <w:rFonts w:asciiTheme="minorHAnsi" w:hAnsiTheme="minorHAnsi"/>
          <w:bCs/>
          <w:iCs/>
          <w:szCs w:val="24"/>
        </w:rPr>
        <w:t xml:space="preserve"> </w:t>
      </w:r>
      <w:r w:rsidRPr="008440BF">
        <w:rPr>
          <w:rFonts w:asciiTheme="minorHAnsi" w:hAnsiTheme="minorHAnsi"/>
          <w:b/>
          <w:bCs/>
          <w:iCs/>
          <w:szCs w:val="24"/>
        </w:rPr>
        <w:t>Medicare Approved Clinical Setting for Reimbursement by Procedure</w:t>
      </w:r>
    </w:p>
    <w:tbl>
      <w:tblPr>
        <w:tblStyle w:val="TableGrid"/>
        <w:tblW w:w="0" w:type="auto"/>
        <w:tblLook w:val="04A0" w:firstRow="1" w:lastRow="0" w:firstColumn="1" w:lastColumn="0" w:noHBand="0" w:noVBand="1"/>
      </w:tblPr>
      <w:tblGrid>
        <w:gridCol w:w="1335"/>
        <w:gridCol w:w="1990"/>
        <w:gridCol w:w="1260"/>
        <w:gridCol w:w="1170"/>
        <w:gridCol w:w="1170"/>
        <w:gridCol w:w="1170"/>
        <w:gridCol w:w="1170"/>
      </w:tblGrid>
      <w:tr w:rsidR="00D11B18" w:rsidRPr="008440BF" w14:paraId="50BF9FC8" w14:textId="77777777" w:rsidTr="00E40D88">
        <w:trPr>
          <w:cantSplit/>
          <w:trHeight w:val="404"/>
          <w:tblHeader/>
        </w:trPr>
        <w:tc>
          <w:tcPr>
            <w:tcW w:w="1335" w:type="dxa"/>
            <w:shd w:val="clear" w:color="auto" w:fill="EAF1DD" w:themeFill="accent3" w:themeFillTint="33"/>
            <w:vAlign w:val="center"/>
          </w:tcPr>
          <w:p w14:paraId="1E2EFE8A" w14:textId="77777777" w:rsidR="00D11B18" w:rsidRPr="008440BF" w:rsidRDefault="00D11B18" w:rsidP="00C22C69">
            <w:pPr>
              <w:rPr>
                <w:rFonts w:asciiTheme="minorHAnsi" w:hAnsiTheme="minorHAnsi"/>
                <w:iCs/>
                <w:szCs w:val="24"/>
              </w:rPr>
            </w:pPr>
            <w:r w:rsidRPr="008440BF">
              <w:rPr>
                <w:rFonts w:asciiTheme="minorHAnsi" w:hAnsiTheme="minorHAnsi"/>
                <w:b/>
                <w:bCs/>
                <w:iCs/>
                <w:szCs w:val="24"/>
              </w:rPr>
              <w:t>CPT Code</w:t>
            </w:r>
          </w:p>
        </w:tc>
        <w:tc>
          <w:tcPr>
            <w:tcW w:w="1990" w:type="dxa"/>
            <w:shd w:val="clear" w:color="auto" w:fill="EAF1DD" w:themeFill="accent3" w:themeFillTint="33"/>
            <w:vAlign w:val="center"/>
          </w:tcPr>
          <w:p w14:paraId="0BE7C369" w14:textId="77777777" w:rsidR="00D11B18" w:rsidRPr="008440BF" w:rsidRDefault="00D11B18" w:rsidP="00C22C69">
            <w:pPr>
              <w:rPr>
                <w:rFonts w:asciiTheme="minorHAnsi" w:hAnsiTheme="minorHAnsi"/>
                <w:iCs/>
                <w:szCs w:val="24"/>
              </w:rPr>
            </w:pPr>
            <w:r w:rsidRPr="008440BF">
              <w:rPr>
                <w:rFonts w:asciiTheme="minorHAnsi" w:hAnsiTheme="minorHAnsi"/>
                <w:b/>
                <w:bCs/>
                <w:iCs/>
                <w:szCs w:val="24"/>
              </w:rPr>
              <w:t>Procedure</w:t>
            </w:r>
          </w:p>
        </w:tc>
        <w:tc>
          <w:tcPr>
            <w:tcW w:w="1260" w:type="dxa"/>
            <w:shd w:val="clear" w:color="auto" w:fill="EAF1DD" w:themeFill="accent3" w:themeFillTint="33"/>
            <w:vAlign w:val="center"/>
          </w:tcPr>
          <w:p w14:paraId="55404D5D" w14:textId="77777777" w:rsidR="00D11B18" w:rsidRPr="008440BF" w:rsidRDefault="00D11B18" w:rsidP="00C22C69">
            <w:pPr>
              <w:rPr>
                <w:rFonts w:asciiTheme="minorHAnsi" w:hAnsiTheme="minorHAnsi"/>
                <w:iCs/>
                <w:szCs w:val="24"/>
              </w:rPr>
            </w:pPr>
            <w:r w:rsidRPr="008440BF">
              <w:rPr>
                <w:rFonts w:asciiTheme="minorHAnsi" w:hAnsiTheme="minorHAnsi"/>
                <w:b/>
                <w:bCs/>
                <w:iCs/>
                <w:szCs w:val="24"/>
              </w:rPr>
              <w:t>2017</w:t>
            </w:r>
          </w:p>
        </w:tc>
        <w:tc>
          <w:tcPr>
            <w:tcW w:w="1170" w:type="dxa"/>
            <w:shd w:val="clear" w:color="auto" w:fill="EAF1DD" w:themeFill="accent3" w:themeFillTint="33"/>
            <w:vAlign w:val="center"/>
          </w:tcPr>
          <w:p w14:paraId="1EE4C7CC" w14:textId="77777777" w:rsidR="00D11B18" w:rsidRPr="008440BF" w:rsidRDefault="00D11B18" w:rsidP="00C22C69">
            <w:pPr>
              <w:rPr>
                <w:rFonts w:asciiTheme="minorHAnsi" w:hAnsiTheme="minorHAnsi"/>
                <w:iCs/>
                <w:szCs w:val="24"/>
              </w:rPr>
            </w:pPr>
            <w:r w:rsidRPr="008440BF">
              <w:rPr>
                <w:rFonts w:asciiTheme="minorHAnsi" w:hAnsiTheme="minorHAnsi"/>
                <w:b/>
                <w:bCs/>
                <w:iCs/>
                <w:szCs w:val="24"/>
              </w:rPr>
              <w:t>2018</w:t>
            </w:r>
          </w:p>
        </w:tc>
        <w:tc>
          <w:tcPr>
            <w:tcW w:w="1170" w:type="dxa"/>
            <w:shd w:val="clear" w:color="auto" w:fill="EAF1DD" w:themeFill="accent3" w:themeFillTint="33"/>
            <w:vAlign w:val="center"/>
          </w:tcPr>
          <w:p w14:paraId="49D19CE0" w14:textId="77777777" w:rsidR="00D11B18" w:rsidRPr="008440BF" w:rsidRDefault="00D11B18" w:rsidP="00C22C69">
            <w:pPr>
              <w:rPr>
                <w:rFonts w:asciiTheme="minorHAnsi" w:hAnsiTheme="minorHAnsi"/>
                <w:iCs/>
                <w:szCs w:val="24"/>
              </w:rPr>
            </w:pPr>
            <w:r w:rsidRPr="008440BF">
              <w:rPr>
                <w:rFonts w:asciiTheme="minorHAnsi" w:hAnsiTheme="minorHAnsi"/>
                <w:b/>
                <w:bCs/>
                <w:iCs/>
                <w:szCs w:val="24"/>
              </w:rPr>
              <w:t>2019</w:t>
            </w:r>
          </w:p>
        </w:tc>
        <w:tc>
          <w:tcPr>
            <w:tcW w:w="1170" w:type="dxa"/>
            <w:shd w:val="clear" w:color="auto" w:fill="EAF1DD" w:themeFill="accent3" w:themeFillTint="33"/>
            <w:vAlign w:val="center"/>
          </w:tcPr>
          <w:p w14:paraId="097C06F5" w14:textId="77777777" w:rsidR="00D11B18" w:rsidRPr="008440BF" w:rsidRDefault="00D11B18" w:rsidP="00C22C69">
            <w:pPr>
              <w:rPr>
                <w:rFonts w:asciiTheme="minorHAnsi" w:hAnsiTheme="minorHAnsi"/>
                <w:iCs/>
                <w:szCs w:val="24"/>
              </w:rPr>
            </w:pPr>
            <w:r w:rsidRPr="008440BF">
              <w:rPr>
                <w:rFonts w:asciiTheme="minorHAnsi" w:hAnsiTheme="minorHAnsi"/>
                <w:b/>
                <w:bCs/>
                <w:iCs/>
                <w:szCs w:val="24"/>
              </w:rPr>
              <w:t>2020</w:t>
            </w:r>
          </w:p>
        </w:tc>
        <w:tc>
          <w:tcPr>
            <w:tcW w:w="1170" w:type="dxa"/>
            <w:shd w:val="clear" w:color="auto" w:fill="EAF1DD" w:themeFill="accent3" w:themeFillTint="33"/>
            <w:vAlign w:val="center"/>
          </w:tcPr>
          <w:p w14:paraId="7623A6B7" w14:textId="77777777" w:rsidR="00D11B18" w:rsidRPr="008440BF" w:rsidRDefault="00D11B18" w:rsidP="00C22C69">
            <w:pPr>
              <w:rPr>
                <w:rFonts w:asciiTheme="minorHAnsi" w:hAnsiTheme="minorHAnsi"/>
                <w:iCs/>
                <w:szCs w:val="24"/>
              </w:rPr>
            </w:pPr>
            <w:r w:rsidRPr="008440BF">
              <w:rPr>
                <w:rFonts w:asciiTheme="minorHAnsi" w:hAnsiTheme="minorHAnsi"/>
                <w:b/>
                <w:bCs/>
                <w:iCs/>
                <w:szCs w:val="24"/>
              </w:rPr>
              <w:t>2021</w:t>
            </w:r>
          </w:p>
        </w:tc>
      </w:tr>
      <w:tr w:rsidR="00D11B18" w:rsidRPr="008440BF" w14:paraId="57F9FCF4" w14:textId="77777777" w:rsidTr="00E40D88">
        <w:trPr>
          <w:cantSplit/>
        </w:trPr>
        <w:tc>
          <w:tcPr>
            <w:tcW w:w="1335" w:type="dxa"/>
            <w:vAlign w:val="center"/>
          </w:tcPr>
          <w:p w14:paraId="6261ABAC"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 xml:space="preserve"> 27447</w:t>
            </w:r>
          </w:p>
        </w:tc>
        <w:tc>
          <w:tcPr>
            <w:tcW w:w="1990" w:type="dxa"/>
            <w:vAlign w:val="center"/>
          </w:tcPr>
          <w:p w14:paraId="5803D487"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 xml:space="preserve"> Total Knee</w:t>
            </w:r>
          </w:p>
        </w:tc>
        <w:tc>
          <w:tcPr>
            <w:tcW w:w="1260" w:type="dxa"/>
            <w:vAlign w:val="center"/>
          </w:tcPr>
          <w:p w14:paraId="25FD203A"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IPO</w:t>
            </w:r>
          </w:p>
        </w:tc>
        <w:tc>
          <w:tcPr>
            <w:tcW w:w="1170" w:type="dxa"/>
            <w:vAlign w:val="center"/>
          </w:tcPr>
          <w:p w14:paraId="7ACA1B19"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HOPD</w:t>
            </w:r>
          </w:p>
        </w:tc>
        <w:tc>
          <w:tcPr>
            <w:tcW w:w="1170" w:type="dxa"/>
            <w:vAlign w:val="center"/>
          </w:tcPr>
          <w:p w14:paraId="367E799B"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HOPD</w:t>
            </w:r>
          </w:p>
        </w:tc>
        <w:tc>
          <w:tcPr>
            <w:tcW w:w="1170" w:type="dxa"/>
            <w:vAlign w:val="center"/>
          </w:tcPr>
          <w:p w14:paraId="2D0BFBF6"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ASC</w:t>
            </w:r>
          </w:p>
        </w:tc>
        <w:tc>
          <w:tcPr>
            <w:tcW w:w="1170" w:type="dxa"/>
            <w:vAlign w:val="center"/>
          </w:tcPr>
          <w:p w14:paraId="3FCDDF3D"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ASC</w:t>
            </w:r>
          </w:p>
        </w:tc>
      </w:tr>
      <w:tr w:rsidR="00D11B18" w:rsidRPr="008440BF" w14:paraId="7912EB47" w14:textId="77777777" w:rsidTr="00E40D88">
        <w:trPr>
          <w:cantSplit/>
        </w:trPr>
        <w:tc>
          <w:tcPr>
            <w:tcW w:w="1335" w:type="dxa"/>
            <w:vAlign w:val="center"/>
          </w:tcPr>
          <w:p w14:paraId="2C69F5A8"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 xml:space="preserve"> 27130</w:t>
            </w:r>
          </w:p>
        </w:tc>
        <w:tc>
          <w:tcPr>
            <w:tcW w:w="1990" w:type="dxa"/>
            <w:vAlign w:val="center"/>
          </w:tcPr>
          <w:p w14:paraId="7801FFC6"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 xml:space="preserve"> Total Hip</w:t>
            </w:r>
          </w:p>
        </w:tc>
        <w:tc>
          <w:tcPr>
            <w:tcW w:w="1260" w:type="dxa"/>
            <w:vAlign w:val="center"/>
          </w:tcPr>
          <w:p w14:paraId="7FBE55A6"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IPO</w:t>
            </w:r>
          </w:p>
        </w:tc>
        <w:tc>
          <w:tcPr>
            <w:tcW w:w="1170" w:type="dxa"/>
            <w:vAlign w:val="center"/>
          </w:tcPr>
          <w:p w14:paraId="43E8B1EC"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IPO</w:t>
            </w:r>
          </w:p>
        </w:tc>
        <w:tc>
          <w:tcPr>
            <w:tcW w:w="1170" w:type="dxa"/>
            <w:vAlign w:val="center"/>
          </w:tcPr>
          <w:p w14:paraId="50FE84DF"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IPO</w:t>
            </w:r>
          </w:p>
        </w:tc>
        <w:tc>
          <w:tcPr>
            <w:tcW w:w="1170" w:type="dxa"/>
            <w:vAlign w:val="center"/>
          </w:tcPr>
          <w:p w14:paraId="4F3C4C8E"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HOPD</w:t>
            </w:r>
          </w:p>
        </w:tc>
        <w:tc>
          <w:tcPr>
            <w:tcW w:w="1170" w:type="dxa"/>
            <w:vAlign w:val="center"/>
          </w:tcPr>
          <w:p w14:paraId="5751D2DA"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ASC</w:t>
            </w:r>
          </w:p>
        </w:tc>
      </w:tr>
      <w:tr w:rsidR="00D11B18" w:rsidRPr="008440BF" w14:paraId="5E92BB05" w14:textId="77777777" w:rsidTr="00E40D88">
        <w:trPr>
          <w:cantSplit/>
        </w:trPr>
        <w:tc>
          <w:tcPr>
            <w:tcW w:w="1335" w:type="dxa"/>
            <w:vAlign w:val="center"/>
          </w:tcPr>
          <w:p w14:paraId="65D90D2F"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 xml:space="preserve"> 23472</w:t>
            </w:r>
          </w:p>
        </w:tc>
        <w:tc>
          <w:tcPr>
            <w:tcW w:w="1990" w:type="dxa"/>
            <w:vAlign w:val="center"/>
          </w:tcPr>
          <w:p w14:paraId="52DBB0CB"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 xml:space="preserve"> Total Shoulder</w:t>
            </w:r>
          </w:p>
        </w:tc>
        <w:tc>
          <w:tcPr>
            <w:tcW w:w="1260" w:type="dxa"/>
            <w:vAlign w:val="center"/>
          </w:tcPr>
          <w:p w14:paraId="511A4B17"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IPO</w:t>
            </w:r>
          </w:p>
        </w:tc>
        <w:tc>
          <w:tcPr>
            <w:tcW w:w="1170" w:type="dxa"/>
            <w:vAlign w:val="center"/>
          </w:tcPr>
          <w:p w14:paraId="78BF880B"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IPO</w:t>
            </w:r>
          </w:p>
        </w:tc>
        <w:tc>
          <w:tcPr>
            <w:tcW w:w="1170" w:type="dxa"/>
            <w:vAlign w:val="center"/>
          </w:tcPr>
          <w:p w14:paraId="66D31444"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IPO</w:t>
            </w:r>
          </w:p>
        </w:tc>
        <w:tc>
          <w:tcPr>
            <w:tcW w:w="1170" w:type="dxa"/>
            <w:vAlign w:val="center"/>
          </w:tcPr>
          <w:p w14:paraId="4ABD61B9"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IPO</w:t>
            </w:r>
          </w:p>
        </w:tc>
        <w:tc>
          <w:tcPr>
            <w:tcW w:w="1170" w:type="dxa"/>
            <w:vAlign w:val="center"/>
          </w:tcPr>
          <w:p w14:paraId="5E5ADB0F" w14:textId="77777777" w:rsidR="00D11B18" w:rsidRPr="008440BF" w:rsidRDefault="00D11B18" w:rsidP="00C22C69">
            <w:pPr>
              <w:rPr>
                <w:rFonts w:asciiTheme="minorHAnsi" w:hAnsiTheme="minorHAnsi"/>
                <w:iCs/>
                <w:szCs w:val="24"/>
              </w:rPr>
            </w:pPr>
            <w:r w:rsidRPr="008440BF">
              <w:rPr>
                <w:rFonts w:asciiTheme="minorHAnsi" w:hAnsiTheme="minorHAnsi"/>
                <w:bCs/>
                <w:iCs/>
                <w:szCs w:val="24"/>
              </w:rPr>
              <w:t>HOPD</w:t>
            </w:r>
          </w:p>
        </w:tc>
      </w:tr>
    </w:tbl>
    <w:p w14:paraId="3E1D9039" w14:textId="77777777" w:rsidR="00D11B18" w:rsidRPr="008440BF" w:rsidRDefault="00D11B18" w:rsidP="00D11B18">
      <w:pPr>
        <w:tabs>
          <w:tab w:val="left" w:pos="900"/>
        </w:tabs>
        <w:rPr>
          <w:rFonts w:asciiTheme="minorHAnsi" w:hAnsiTheme="minorHAnsi"/>
          <w:bCs/>
          <w:iCs/>
          <w:sz w:val="16"/>
          <w:szCs w:val="16"/>
        </w:rPr>
      </w:pPr>
    </w:p>
    <w:p w14:paraId="0F32B9A5" w14:textId="77777777" w:rsidR="00D11B18" w:rsidRPr="008440BF" w:rsidRDefault="00D11B18" w:rsidP="00D11B18">
      <w:pPr>
        <w:rPr>
          <w:rFonts w:asciiTheme="minorHAnsi" w:hAnsiTheme="minorHAnsi"/>
          <w:szCs w:val="24"/>
        </w:rPr>
      </w:pPr>
      <w:r w:rsidRPr="008440BF">
        <w:rPr>
          <w:rFonts w:asciiTheme="minorHAnsi" w:hAnsiTheme="minorHAnsi"/>
          <w:szCs w:val="24"/>
        </w:rPr>
        <w:t>The Applicant asserts that the Proposed Project will ensure the Plymouth community has adequate access to outpatient orthopedic surgery in an ASC and therefore will compete on the basis of price, TME and provider costs.</w:t>
      </w:r>
    </w:p>
    <w:p w14:paraId="2808A7BD" w14:textId="77777777" w:rsidR="00D11B18" w:rsidRPr="008440BF" w:rsidRDefault="00D11B18" w:rsidP="00D11B18">
      <w:pPr>
        <w:rPr>
          <w:rFonts w:asciiTheme="minorHAnsi" w:hAnsiTheme="minorHAnsi"/>
          <w:highlight w:val="yellow"/>
        </w:rPr>
      </w:pPr>
    </w:p>
    <w:p w14:paraId="6F17CB5C" w14:textId="77777777" w:rsidR="00D11B18" w:rsidRPr="008440BF" w:rsidRDefault="00D11B18" w:rsidP="00D11B18">
      <w:pPr>
        <w:rPr>
          <w:rFonts w:asciiTheme="minorHAnsi" w:hAnsiTheme="minorHAnsi"/>
          <w:b/>
          <w:bCs/>
          <w:i/>
          <w:iCs/>
          <w:szCs w:val="24"/>
        </w:rPr>
      </w:pPr>
      <w:r w:rsidRPr="008440BF">
        <w:rPr>
          <w:rFonts w:asciiTheme="minorHAnsi" w:hAnsiTheme="minorHAnsi"/>
          <w:b/>
          <w:bCs/>
          <w:i/>
          <w:iCs/>
          <w:szCs w:val="24"/>
        </w:rPr>
        <w:t>Analysis</w:t>
      </w:r>
    </w:p>
    <w:p w14:paraId="7EE1701E" w14:textId="77777777" w:rsidR="00D11B18" w:rsidRPr="008440BF" w:rsidRDefault="00D11B18" w:rsidP="00D11B18">
      <w:pPr>
        <w:rPr>
          <w:rStyle w:val="eop"/>
          <w:rFonts w:asciiTheme="minorHAnsi" w:hAnsiTheme="minorHAnsi"/>
          <w:color w:val="000000"/>
          <w:shd w:val="clear" w:color="auto" w:fill="FFFFFF"/>
        </w:rPr>
      </w:pPr>
      <w:r w:rsidRPr="008440BF">
        <w:rPr>
          <w:rStyle w:val="normaltextrun"/>
          <w:rFonts w:asciiTheme="minorHAnsi" w:hAnsiTheme="minorHAnsi"/>
          <w:color w:val="000000"/>
          <w:shd w:val="clear" w:color="auto" w:fill="FFFFFF"/>
        </w:rPr>
        <w:t>Staff finds the Proposed Project has the potential to reduce healthcare costs through providing a lower-cost site for outpatient surgeries. The Applicant cited research demonstrating costs savings that can results from surgeries performed in the ASC setting, versus the HOPD setting, and had further illustrated how such savings can occur for all payers. Staff finds that, on balance, the requirement that the Proposed Project will likely compete on the basis of price, TME provider costs, and other measures of health care spending and therefore, the requirements of Factor 1f have been met.</w:t>
      </w:r>
      <w:r w:rsidRPr="008440BF">
        <w:rPr>
          <w:rStyle w:val="eop"/>
          <w:rFonts w:asciiTheme="minorHAnsi" w:hAnsiTheme="minorHAnsi"/>
          <w:color w:val="000000"/>
          <w:shd w:val="clear" w:color="auto" w:fill="FFFFFF"/>
        </w:rPr>
        <w:t> </w:t>
      </w:r>
    </w:p>
    <w:p w14:paraId="29973E17" w14:textId="77777777" w:rsidR="00D11B18" w:rsidRPr="008440BF" w:rsidRDefault="00D11B18" w:rsidP="00D11B18">
      <w:pPr>
        <w:rPr>
          <w:rFonts w:asciiTheme="minorHAnsi" w:hAnsiTheme="minorHAnsi"/>
          <w:highlight w:val="yellow"/>
        </w:rPr>
      </w:pPr>
    </w:p>
    <w:p w14:paraId="2A35B054" w14:textId="77777777" w:rsidR="00D11B18" w:rsidRPr="008440BF" w:rsidRDefault="00D11B18" w:rsidP="00D11B18">
      <w:pPr>
        <w:pStyle w:val="Heading1"/>
        <w:ind w:left="0"/>
        <w:rPr>
          <w:rFonts w:asciiTheme="minorHAnsi" w:hAnsiTheme="minorHAnsi"/>
          <w:color w:val="1F497D" w:themeColor="text2"/>
        </w:rPr>
      </w:pPr>
      <w:bookmarkStart w:id="22" w:name="_Toc166249381"/>
      <w:r w:rsidRPr="008440BF">
        <w:rPr>
          <w:rFonts w:asciiTheme="minorHAnsi" w:hAnsiTheme="minorHAnsi"/>
          <w:color w:val="1F497D" w:themeColor="text2"/>
        </w:rPr>
        <w:t>Factor 1 Summary</w:t>
      </w:r>
      <w:bookmarkEnd w:id="22"/>
      <w:r w:rsidRPr="008440BF">
        <w:rPr>
          <w:rFonts w:asciiTheme="minorHAnsi" w:hAnsiTheme="minorHAnsi"/>
          <w:color w:val="1F497D" w:themeColor="text2"/>
        </w:rPr>
        <w:t xml:space="preserve"> </w:t>
      </w:r>
    </w:p>
    <w:p w14:paraId="68BA544A" w14:textId="5E379F85" w:rsidR="00D11B18" w:rsidRPr="008440BF" w:rsidRDefault="00D11B18" w:rsidP="00D11B18">
      <w:pPr>
        <w:rPr>
          <w:rFonts w:asciiTheme="minorHAnsi" w:hAnsiTheme="minorHAnsi"/>
          <w:szCs w:val="24"/>
        </w:rPr>
      </w:pPr>
      <w:r w:rsidRPr="008440BF">
        <w:rPr>
          <w:rFonts w:asciiTheme="minorHAnsi" w:hAnsiTheme="minorHAnsi"/>
          <w:szCs w:val="24"/>
        </w:rPr>
        <w:t>As a result of information provided by the Applicant and additional analysis, staff finds that with the standard reporting requirements, the Applicant has demonstrated that the Proposed Project has met Factor 1(a-f).</w:t>
      </w:r>
      <w:r w:rsidR="002C065A" w:rsidRPr="008440BF">
        <w:rPr>
          <w:rFonts w:asciiTheme="minorHAnsi" w:hAnsiTheme="minorHAnsi"/>
          <w:szCs w:val="24"/>
        </w:rPr>
        <w:t xml:space="preserve"> </w:t>
      </w:r>
    </w:p>
    <w:p w14:paraId="7A14F754" w14:textId="77777777" w:rsidR="00D874E9" w:rsidRPr="008440BF" w:rsidRDefault="00D874E9" w:rsidP="009A0C61">
      <w:pPr>
        <w:rPr>
          <w:rFonts w:asciiTheme="minorHAnsi" w:hAnsiTheme="minorHAnsi"/>
          <w:szCs w:val="24"/>
          <w:highlight w:val="yellow"/>
        </w:rPr>
      </w:pPr>
    </w:p>
    <w:p w14:paraId="5EE6A411" w14:textId="4244B83D" w:rsidR="00E17DF0" w:rsidRPr="008440BF" w:rsidRDefault="00A4110F" w:rsidP="00BA5C8D">
      <w:pPr>
        <w:pStyle w:val="Heading1"/>
        <w:spacing w:before="87"/>
        <w:ind w:left="0" w:right="467"/>
        <w:rPr>
          <w:rFonts w:asciiTheme="minorHAnsi" w:hAnsiTheme="minorHAnsi"/>
        </w:rPr>
      </w:pPr>
      <w:bookmarkStart w:id="23" w:name="Factor_2:_Cost_containment,_Improved_Pub"/>
      <w:bookmarkStart w:id="24" w:name="_Toc166249382"/>
      <w:bookmarkEnd w:id="23"/>
      <w:r w:rsidRPr="008440BF">
        <w:rPr>
          <w:rFonts w:asciiTheme="minorHAnsi" w:hAnsiTheme="minorHAnsi"/>
          <w:color w:val="42558C"/>
        </w:rPr>
        <w:t>Factor 2: Cost containment, Improved Public Health Outcomes and Delivery System Transformation</w:t>
      </w:r>
      <w:bookmarkEnd w:id="24"/>
    </w:p>
    <w:p w14:paraId="51311118" w14:textId="77777777" w:rsidR="00E17DF0" w:rsidRPr="008440BF" w:rsidRDefault="00E17DF0" w:rsidP="00E17DF0">
      <w:pPr>
        <w:rPr>
          <w:rFonts w:asciiTheme="minorHAnsi" w:hAnsiTheme="minorHAnsi"/>
          <w:b/>
          <w:bCs/>
          <w:szCs w:val="24"/>
        </w:rPr>
      </w:pPr>
      <w:r w:rsidRPr="008440BF">
        <w:rPr>
          <w:rFonts w:asciiTheme="minorHAnsi" w:hAnsiTheme="minorHAnsi"/>
          <w:b/>
          <w:bCs/>
          <w:szCs w:val="24"/>
        </w:rPr>
        <w:t>Cost Containment</w:t>
      </w:r>
    </w:p>
    <w:p w14:paraId="6269954A" w14:textId="77777777" w:rsidR="00E17DF0" w:rsidRPr="008440BF" w:rsidRDefault="00E17DF0" w:rsidP="00E17DF0">
      <w:pPr>
        <w:pStyle w:val="BodyText"/>
        <w:spacing w:before="2"/>
        <w:rPr>
          <w:rFonts w:asciiTheme="minorHAnsi" w:hAnsiTheme="minorHAnsi"/>
        </w:rPr>
      </w:pPr>
      <w:r w:rsidRPr="008440BF">
        <w:rPr>
          <w:rFonts w:asciiTheme="minorHAnsi" w:hAnsiTheme="minorHAnsi"/>
        </w:rPr>
        <w:t xml:space="preserve">The Proposed Project will meaningfully contribute to The Commonwealth’s goals for cost containment by providing high-quality care in a lower cost setting than currently available in the community. The Proposed Project will meet these goals by establishing a freestanding ASC and shifting clinically appropriate cases from BID Plymouth and its affiliate hospitals to the ASC. As previously addressed in both the Patient Panel Need and Competition sections, </w:t>
      </w:r>
      <w:r w:rsidRPr="008440BF">
        <w:rPr>
          <w:rFonts w:asciiTheme="minorHAnsi" w:eastAsia="Times New Roman" w:hAnsiTheme="minorHAnsi"/>
          <w:kern w:val="2"/>
        </w:rPr>
        <w:t>reimbursement rates for procedures performed in ASCs are approximately 60% of the rate for the same outpatient procedures performed in a hospital setting.</w:t>
      </w:r>
      <w:r w:rsidRPr="008440BF">
        <w:rPr>
          <w:rStyle w:val="EndnoteReference"/>
          <w:rFonts w:asciiTheme="minorHAnsi" w:eastAsia="Times New Roman" w:hAnsiTheme="minorHAnsi"/>
          <w:kern w:val="2"/>
        </w:rPr>
        <w:endnoteReference w:id="22"/>
      </w:r>
    </w:p>
    <w:p w14:paraId="07913458" w14:textId="77777777" w:rsidR="00E17DF0" w:rsidRPr="008440BF" w:rsidRDefault="00E17DF0" w:rsidP="00E17DF0">
      <w:pPr>
        <w:pStyle w:val="BodyText"/>
        <w:spacing w:before="2"/>
        <w:rPr>
          <w:rFonts w:asciiTheme="minorHAnsi" w:hAnsiTheme="minorHAnsi"/>
          <w:sz w:val="23"/>
          <w:highlight w:val="yellow"/>
        </w:rPr>
      </w:pPr>
    </w:p>
    <w:p w14:paraId="6891BC21" w14:textId="77777777" w:rsidR="00E17DF0" w:rsidRPr="008440BF" w:rsidRDefault="00E17DF0" w:rsidP="00E17DF0">
      <w:pPr>
        <w:rPr>
          <w:rFonts w:asciiTheme="minorHAnsi" w:hAnsiTheme="minorHAnsi"/>
          <w:b/>
          <w:bCs/>
          <w:i/>
          <w:iCs/>
          <w:szCs w:val="24"/>
        </w:rPr>
      </w:pPr>
      <w:r w:rsidRPr="008440BF">
        <w:rPr>
          <w:rFonts w:asciiTheme="minorHAnsi" w:hAnsiTheme="minorHAnsi"/>
          <w:b/>
          <w:bCs/>
          <w:i/>
          <w:iCs/>
          <w:szCs w:val="24"/>
        </w:rPr>
        <w:t>Analysis: Cost Containment</w:t>
      </w:r>
    </w:p>
    <w:p w14:paraId="0D0ED9E5" w14:textId="6CD2FFD6" w:rsidR="00E17DF0" w:rsidRPr="008440BF" w:rsidRDefault="00E17DF0" w:rsidP="306DA086">
      <w:pPr>
        <w:rPr>
          <w:rFonts w:asciiTheme="minorHAnsi" w:hAnsiTheme="minorHAnsi"/>
          <w:highlight w:val="yellow"/>
        </w:rPr>
      </w:pPr>
      <w:r w:rsidRPr="306DA086">
        <w:rPr>
          <w:rStyle w:val="normaltextrun"/>
          <w:rFonts w:asciiTheme="minorHAnsi" w:hAnsiTheme="minorHAnsi"/>
          <w:color w:val="000000"/>
          <w:shd w:val="clear" w:color="auto" w:fill="FFFFFF"/>
        </w:rPr>
        <w:t xml:space="preserve">Staff finds that the Applicant has adequately explained how it aligns with cost containment goals through the expansion of access to ambulatory surgery in a lower-cost setting. In their DataPoints series, the HPC </w:t>
      </w:r>
      <w:r w:rsidR="005860DB">
        <w:rPr>
          <w:rStyle w:val="normaltextrun"/>
          <w:rFonts w:asciiTheme="minorHAnsi" w:hAnsiTheme="minorHAnsi"/>
          <w:color w:val="000000"/>
          <w:shd w:val="clear" w:color="auto" w:fill="FFFFFF"/>
        </w:rPr>
        <w:t xml:space="preserve">examines </w:t>
      </w:r>
      <w:r w:rsidR="00F97BF6">
        <w:rPr>
          <w:rStyle w:val="normaltextrun"/>
          <w:rFonts w:asciiTheme="minorHAnsi" w:hAnsiTheme="minorHAnsi"/>
          <w:color w:val="000000"/>
          <w:shd w:val="clear" w:color="auto" w:fill="FFFFFF"/>
        </w:rPr>
        <w:t xml:space="preserve">ASC’s and </w:t>
      </w:r>
      <w:r w:rsidR="00B604D9">
        <w:rPr>
          <w:rStyle w:val="normaltextrun"/>
          <w:rFonts w:asciiTheme="minorHAnsi" w:hAnsiTheme="minorHAnsi"/>
          <w:color w:val="000000"/>
          <w:shd w:val="clear" w:color="auto" w:fill="FFFFFF"/>
        </w:rPr>
        <w:t>suggests that</w:t>
      </w:r>
      <w:r w:rsidRPr="306DA086">
        <w:rPr>
          <w:rStyle w:val="normaltextrun"/>
          <w:rFonts w:asciiTheme="minorHAnsi" w:hAnsiTheme="minorHAnsi"/>
          <w:color w:val="000000"/>
          <w:shd w:val="clear" w:color="auto" w:fill="FFFFFF"/>
        </w:rPr>
        <w:t xml:space="preserve"> additional savings can be gained from expanding access to ASCs, and supporting greater shifts of care from HOPDs to ASCs.</w:t>
      </w:r>
      <w:r w:rsidR="00B604D9">
        <w:rPr>
          <w:rStyle w:val="EndnoteReference"/>
          <w:rFonts w:asciiTheme="minorHAnsi" w:hAnsiTheme="minorHAnsi"/>
          <w:color w:val="000000"/>
          <w:shd w:val="clear" w:color="auto" w:fill="FFFFFF"/>
        </w:rPr>
        <w:endnoteReference w:id="23"/>
      </w:r>
      <w:r w:rsidRPr="306DA086">
        <w:rPr>
          <w:rStyle w:val="normaltextrun"/>
          <w:rFonts w:asciiTheme="minorHAnsi" w:hAnsiTheme="minorHAnsi"/>
          <w:color w:val="000000"/>
          <w:shd w:val="clear" w:color="auto" w:fill="FFFFFF"/>
        </w:rPr>
        <w:t xml:space="preserve"> Therefore, DoN Staff can </w:t>
      </w:r>
      <w:r w:rsidRPr="306DA086">
        <w:rPr>
          <w:rStyle w:val="normaltextrun"/>
          <w:rFonts w:asciiTheme="minorHAnsi" w:hAnsiTheme="minorHAnsi"/>
          <w:color w:val="000000"/>
          <w:shd w:val="clear" w:color="auto" w:fill="FFFFFF"/>
        </w:rPr>
        <w:lastRenderedPageBreak/>
        <w:t>conclude that the Proposed Project will likely meet the cost containment component of Factor 2.</w:t>
      </w:r>
      <w:r w:rsidRPr="306DA086">
        <w:rPr>
          <w:rStyle w:val="eop"/>
          <w:rFonts w:asciiTheme="minorHAnsi" w:hAnsiTheme="minorHAnsi"/>
          <w:color w:val="000000"/>
          <w:shd w:val="clear" w:color="auto" w:fill="FFFFFF"/>
        </w:rPr>
        <w:t> </w:t>
      </w:r>
    </w:p>
    <w:p w14:paraId="0DC9E236" w14:textId="77777777" w:rsidR="00E17DF0" w:rsidRPr="008440BF" w:rsidRDefault="00E17DF0" w:rsidP="00E17DF0">
      <w:pPr>
        <w:pStyle w:val="BodyText"/>
        <w:rPr>
          <w:rFonts w:asciiTheme="minorHAnsi" w:hAnsiTheme="minorHAnsi"/>
          <w:sz w:val="25"/>
          <w:highlight w:val="yellow"/>
        </w:rPr>
      </w:pPr>
    </w:p>
    <w:p w14:paraId="14F7F80E" w14:textId="77777777" w:rsidR="00E17DF0" w:rsidRPr="008440BF" w:rsidRDefault="00E17DF0" w:rsidP="00E17DF0">
      <w:pPr>
        <w:pStyle w:val="Heading4"/>
        <w:ind w:left="0"/>
        <w:rPr>
          <w:rFonts w:asciiTheme="minorHAnsi" w:hAnsiTheme="minorHAnsi"/>
        </w:rPr>
      </w:pPr>
      <w:r w:rsidRPr="008440BF">
        <w:rPr>
          <w:rFonts w:asciiTheme="minorHAnsi" w:hAnsiTheme="minorHAnsi"/>
        </w:rPr>
        <w:t>Improved Public Health Outcomes</w:t>
      </w:r>
    </w:p>
    <w:p w14:paraId="07F3DAAD" w14:textId="52E9FD50" w:rsidR="00E17DF0" w:rsidRPr="008440BF" w:rsidRDefault="00E17DF0" w:rsidP="00E17DF0">
      <w:pPr>
        <w:pStyle w:val="BodyText"/>
        <w:spacing w:before="10"/>
        <w:rPr>
          <w:rFonts w:asciiTheme="minorHAnsi" w:hAnsiTheme="minorHAnsi"/>
          <w:kern w:val="2"/>
        </w:rPr>
      </w:pPr>
      <w:r w:rsidRPr="008440BF">
        <w:rPr>
          <w:rStyle w:val="normaltextrun"/>
          <w:rFonts w:asciiTheme="minorHAnsi" w:hAnsiTheme="minorHAnsi"/>
          <w:color w:val="000000"/>
          <w:shd w:val="clear" w:color="auto" w:fill="FFFFFF"/>
        </w:rPr>
        <w:t xml:space="preserve">As noted in Factor 1b, the Proposed Project can improve patient health outcomes through increasing access to freestanding ASC care. </w:t>
      </w:r>
      <w:r w:rsidR="003E0B6F" w:rsidRPr="008440BF">
        <w:rPr>
          <w:rFonts w:asciiTheme="minorHAnsi" w:hAnsiTheme="minorHAnsi"/>
          <w:kern w:val="2"/>
        </w:rPr>
        <w:t>T</w:t>
      </w:r>
      <w:r w:rsidRPr="008440BF">
        <w:rPr>
          <w:rFonts w:asciiTheme="minorHAnsi" w:hAnsiTheme="minorHAnsi"/>
          <w:kern w:val="2"/>
        </w:rPr>
        <w:t>he proposed ASC will provide capacity for more surgeries to be performed in the community. As a result, patients will experience improved convenience through local access to ASC care with shorter wait times for scheduling procedures in a non-hospital</w:t>
      </w:r>
      <w:r w:rsidR="003E0B6F" w:rsidRPr="008440BF">
        <w:rPr>
          <w:rFonts w:asciiTheme="minorHAnsi" w:hAnsiTheme="minorHAnsi"/>
          <w:kern w:val="2"/>
        </w:rPr>
        <w:t xml:space="preserve"> </w:t>
      </w:r>
      <w:r w:rsidRPr="008440BF">
        <w:rPr>
          <w:rFonts w:asciiTheme="minorHAnsi" w:hAnsiTheme="minorHAnsi"/>
          <w:kern w:val="2"/>
        </w:rPr>
        <w:t xml:space="preserve">setting. </w:t>
      </w:r>
      <w:r w:rsidR="00E263BD" w:rsidRPr="008440BF">
        <w:rPr>
          <w:rFonts w:asciiTheme="minorHAnsi" w:hAnsiTheme="minorHAnsi"/>
          <w:kern w:val="2"/>
        </w:rPr>
        <w:t>L</w:t>
      </w:r>
      <w:r w:rsidRPr="008440BF">
        <w:rPr>
          <w:rFonts w:asciiTheme="minorHAnsi" w:hAnsiTheme="minorHAnsi"/>
          <w:kern w:val="2"/>
        </w:rPr>
        <w:t>ocal, timely access will contribute to improved patient experience and satisfaction. Previous factors described in detail that the cost of surgery at the ASC will be significantly lower than if the same procedure were performed at the Hospital, which is currently the local access point for outpatient orthopedic surgery for patients in the Plymouth service area. As discussed previously, approximately 9% of adults delay or avoid care altogether because of the cost of care. By reducing costs through the provision of care in a freestanding ASC, the Proposed Project seeks to expand access to patients of all financial means, limiting the impact that cost of care plays in the patient’s decision to receive necessary care.</w:t>
      </w:r>
    </w:p>
    <w:p w14:paraId="3118CB0E" w14:textId="77777777" w:rsidR="00E17DF0" w:rsidRPr="008440BF" w:rsidRDefault="00E17DF0" w:rsidP="00E17DF0">
      <w:pPr>
        <w:pStyle w:val="BodyText"/>
        <w:spacing w:before="10"/>
        <w:rPr>
          <w:rFonts w:asciiTheme="minorHAnsi" w:hAnsiTheme="minorHAnsi"/>
          <w:sz w:val="21"/>
          <w:highlight w:val="yellow"/>
        </w:rPr>
      </w:pPr>
    </w:p>
    <w:p w14:paraId="1F32B85F" w14:textId="77777777" w:rsidR="00E17DF0" w:rsidRPr="008440BF" w:rsidRDefault="00E17DF0" w:rsidP="00E17DF0">
      <w:pPr>
        <w:rPr>
          <w:rFonts w:asciiTheme="minorHAnsi" w:hAnsiTheme="minorHAnsi"/>
          <w:b/>
          <w:bCs/>
          <w:i/>
          <w:iCs/>
          <w:szCs w:val="24"/>
        </w:rPr>
      </w:pPr>
      <w:r w:rsidRPr="008440BF">
        <w:rPr>
          <w:rFonts w:asciiTheme="minorHAnsi" w:hAnsiTheme="minorHAnsi"/>
          <w:b/>
          <w:bCs/>
          <w:i/>
          <w:iCs/>
          <w:szCs w:val="24"/>
        </w:rPr>
        <w:t>Analysis: Public Health Outcomes</w:t>
      </w:r>
    </w:p>
    <w:p w14:paraId="77D7D7A5" w14:textId="1C0525DF" w:rsidR="00E17DF0" w:rsidRPr="008440BF" w:rsidRDefault="00E17DF0" w:rsidP="00E17DF0">
      <w:pPr>
        <w:pStyle w:val="BodyText"/>
        <w:spacing w:before="5"/>
        <w:rPr>
          <w:rFonts w:asciiTheme="minorHAnsi" w:hAnsiTheme="minorHAnsi"/>
          <w:highlight w:val="yellow"/>
        </w:rPr>
      </w:pPr>
      <w:r w:rsidRPr="008440BF">
        <w:rPr>
          <w:rStyle w:val="normaltextrun"/>
          <w:rFonts w:asciiTheme="minorHAnsi" w:hAnsiTheme="minorHAnsi"/>
          <w:color w:val="000000"/>
          <w:shd w:val="clear" w:color="auto" w:fill="FFFFFF"/>
        </w:rPr>
        <w:t>Staff finds that the Proposed Project will provide the Patient Panel with increased access to ambulatory surgery in the ASC setting, a need for which is growing due to population changes and the increasing prevalence of certain health conditions</w:t>
      </w:r>
      <w:r w:rsidR="00026868" w:rsidRPr="008440BF">
        <w:rPr>
          <w:rStyle w:val="normaltextrun"/>
          <w:rFonts w:asciiTheme="minorHAnsi" w:hAnsiTheme="minorHAnsi"/>
          <w:color w:val="000000"/>
          <w:shd w:val="clear" w:color="auto" w:fill="FFFFFF"/>
        </w:rPr>
        <w:t xml:space="preserve"> discussed earlier</w:t>
      </w:r>
      <w:r w:rsidRPr="008440BF">
        <w:rPr>
          <w:rStyle w:val="normaltextrun"/>
          <w:rFonts w:asciiTheme="minorHAnsi" w:hAnsiTheme="minorHAnsi"/>
          <w:color w:val="000000"/>
          <w:shd w:val="clear" w:color="auto" w:fill="FFFFFF"/>
        </w:rPr>
        <w:t>. Staff find that these procedures have the ability to improve health outcomes, quality of life, and functioning status. Therefore, DoN Staff can conclude that the Proposed Project will likely meet the Public Health Outcomes component of Factor 2.</w:t>
      </w:r>
      <w:r w:rsidRPr="008440BF">
        <w:rPr>
          <w:rStyle w:val="eop"/>
          <w:rFonts w:asciiTheme="minorHAnsi" w:hAnsiTheme="minorHAnsi"/>
          <w:color w:val="000000"/>
          <w:shd w:val="clear" w:color="auto" w:fill="FFFFFF"/>
        </w:rPr>
        <w:t> </w:t>
      </w:r>
    </w:p>
    <w:p w14:paraId="2E78CB8E" w14:textId="77777777" w:rsidR="00E17DF0" w:rsidRPr="008440BF" w:rsidRDefault="00E17DF0" w:rsidP="00E17DF0">
      <w:pPr>
        <w:pStyle w:val="BodyText"/>
        <w:spacing w:before="5"/>
        <w:rPr>
          <w:rFonts w:asciiTheme="minorHAnsi" w:hAnsiTheme="minorHAnsi"/>
          <w:highlight w:val="yellow"/>
        </w:rPr>
      </w:pPr>
    </w:p>
    <w:p w14:paraId="6B25CEBD" w14:textId="77777777" w:rsidR="00E17DF0" w:rsidRPr="008440BF" w:rsidRDefault="00E17DF0" w:rsidP="00E17DF0">
      <w:pPr>
        <w:rPr>
          <w:rFonts w:asciiTheme="minorHAnsi" w:hAnsiTheme="minorHAnsi"/>
          <w:b/>
          <w:bCs/>
          <w:i/>
          <w:iCs/>
          <w:szCs w:val="24"/>
        </w:rPr>
      </w:pPr>
      <w:r w:rsidRPr="008440BF">
        <w:rPr>
          <w:rFonts w:asciiTheme="minorHAnsi" w:hAnsiTheme="minorHAnsi"/>
          <w:b/>
          <w:bCs/>
          <w:i/>
          <w:iCs/>
          <w:szCs w:val="24"/>
        </w:rPr>
        <w:t>Delivery System Transformation</w:t>
      </w:r>
    </w:p>
    <w:p w14:paraId="247925CB" w14:textId="3B0B2F64" w:rsidR="00E17DF0" w:rsidRPr="008440BF" w:rsidRDefault="00E17DF0" w:rsidP="00AC6EAA">
      <w:pPr>
        <w:spacing w:before="120" w:after="120"/>
        <w:rPr>
          <w:rFonts w:asciiTheme="minorHAnsi" w:hAnsiTheme="minorHAnsi"/>
          <w:kern w:val="2"/>
          <w:szCs w:val="24"/>
        </w:rPr>
      </w:pPr>
      <w:r w:rsidRPr="008440BF">
        <w:rPr>
          <w:rFonts w:asciiTheme="minorHAnsi" w:hAnsiTheme="minorHAnsi"/>
        </w:rPr>
        <w:t xml:space="preserve">The Applicant asserts that patients will have assistance with social determinants of health (SDoH), </w:t>
      </w:r>
      <w:r w:rsidRPr="008440BF">
        <w:rPr>
          <w:rFonts w:asciiTheme="minorHAnsi" w:hAnsiTheme="minorHAnsi"/>
          <w:szCs w:val="24"/>
        </w:rPr>
        <w:t xml:space="preserve">needs and care management through a variety of processes, as </w:t>
      </w:r>
      <w:r w:rsidR="00AC6EAA" w:rsidRPr="008440BF">
        <w:rPr>
          <w:rFonts w:asciiTheme="minorHAnsi" w:hAnsiTheme="minorHAnsi"/>
          <w:szCs w:val="24"/>
        </w:rPr>
        <w:t>outlined in</w:t>
      </w:r>
      <w:r w:rsidRPr="008440BF">
        <w:rPr>
          <w:rFonts w:asciiTheme="minorHAnsi" w:hAnsiTheme="minorHAnsi"/>
          <w:szCs w:val="24"/>
        </w:rPr>
        <w:t xml:space="preserve"> detail in Factor 1</w:t>
      </w:r>
      <w:r w:rsidR="00AC6EAA" w:rsidRPr="008440BF">
        <w:rPr>
          <w:rFonts w:asciiTheme="minorHAnsi" w:hAnsiTheme="minorHAnsi"/>
          <w:szCs w:val="24"/>
        </w:rPr>
        <w:t>c</w:t>
      </w:r>
      <w:r w:rsidRPr="008440BF">
        <w:rPr>
          <w:rFonts w:asciiTheme="minorHAnsi" w:hAnsiTheme="minorHAnsi"/>
          <w:szCs w:val="24"/>
        </w:rPr>
        <w:t xml:space="preserve">. </w:t>
      </w:r>
      <w:r w:rsidRPr="008440BF">
        <w:rPr>
          <w:rFonts w:asciiTheme="minorHAnsi" w:hAnsiTheme="minorHAnsi"/>
          <w:kern w:val="2"/>
          <w:szCs w:val="24"/>
        </w:rPr>
        <w:t xml:space="preserve">The Applicant will work with patients and primary care providers to ensure patients are linked to social service organizations as needed. If concerns around social determinants of health are identified or suspected during pre-procedure screenings and appointments, staff will provide the patient with referral resources and notify the patient’s primary care provider as appropriate to encourage necessary follow-up.  </w:t>
      </w:r>
    </w:p>
    <w:p w14:paraId="56AB9D68" w14:textId="77777777" w:rsidR="00E17DF0" w:rsidRPr="008440BF" w:rsidRDefault="00E17DF0" w:rsidP="00E17DF0">
      <w:pPr>
        <w:rPr>
          <w:rFonts w:asciiTheme="minorHAnsi" w:hAnsiTheme="minorHAnsi"/>
          <w:highlight w:val="yellow"/>
        </w:rPr>
      </w:pPr>
    </w:p>
    <w:p w14:paraId="10C2959F" w14:textId="77777777" w:rsidR="00E17DF0" w:rsidRPr="008440BF" w:rsidRDefault="00E17DF0" w:rsidP="306DA086">
      <w:pPr>
        <w:rPr>
          <w:rFonts w:asciiTheme="minorHAnsi" w:hAnsiTheme="minorHAnsi"/>
          <w:b/>
          <w:bCs/>
          <w:i/>
          <w:iCs/>
        </w:rPr>
      </w:pPr>
      <w:r w:rsidRPr="306DA086">
        <w:rPr>
          <w:rFonts w:asciiTheme="minorHAnsi" w:hAnsiTheme="minorHAnsi"/>
          <w:b/>
          <w:bCs/>
          <w:i/>
          <w:iCs/>
        </w:rPr>
        <w:t>Analysis: Delivery System Transformation</w:t>
      </w:r>
    </w:p>
    <w:p w14:paraId="13F2AB63" w14:textId="77777777" w:rsidR="00E17DF0" w:rsidRPr="008440BF" w:rsidRDefault="00E17DF0" w:rsidP="306DA086">
      <w:pPr>
        <w:rPr>
          <w:rFonts w:asciiTheme="minorHAnsi" w:hAnsiTheme="minorHAnsi"/>
        </w:rPr>
      </w:pPr>
      <w:r w:rsidRPr="306DA086">
        <w:rPr>
          <w:rFonts w:asciiTheme="minorHAnsi" w:hAnsiTheme="minorHAnsi"/>
        </w:rPr>
        <w:t>The Applicant has demonstrated how the proposed ASC will support SDoH screening which has the potential to improve the continuity of care and health outcomes</w:t>
      </w:r>
      <w:r w:rsidRPr="306DA086">
        <w:rPr>
          <w:rStyle w:val="normaltextrun"/>
          <w:rFonts w:asciiTheme="minorHAnsi" w:hAnsiTheme="minorHAnsi"/>
          <w:color w:val="000000"/>
          <w:shd w:val="clear" w:color="auto" w:fill="FFFFFF"/>
        </w:rPr>
        <w:t>. Therefore, DoN Staff can conclude that the Proposed Project will likely meet the Delivery System Transformation component of Factor 2.</w:t>
      </w:r>
      <w:r w:rsidRPr="306DA086">
        <w:rPr>
          <w:rStyle w:val="eop"/>
          <w:rFonts w:asciiTheme="minorHAnsi" w:hAnsiTheme="minorHAnsi"/>
          <w:color w:val="000000"/>
          <w:shd w:val="clear" w:color="auto" w:fill="FFFFFF"/>
        </w:rPr>
        <w:t> </w:t>
      </w:r>
    </w:p>
    <w:p w14:paraId="5FA5B866" w14:textId="77777777" w:rsidR="00E17DF0" w:rsidRPr="008440BF" w:rsidRDefault="00E17DF0" w:rsidP="00E17DF0">
      <w:pPr>
        <w:rPr>
          <w:rFonts w:asciiTheme="minorHAnsi" w:hAnsiTheme="minorHAnsi"/>
          <w:szCs w:val="24"/>
          <w:highlight w:val="yellow"/>
        </w:rPr>
      </w:pPr>
    </w:p>
    <w:p w14:paraId="73A00D2C" w14:textId="77777777" w:rsidR="00E17DF0" w:rsidRPr="008440BF" w:rsidRDefault="00E17DF0" w:rsidP="00E17DF0">
      <w:pPr>
        <w:pStyle w:val="Heading1"/>
        <w:spacing w:before="179"/>
        <w:ind w:left="0"/>
        <w:rPr>
          <w:rFonts w:asciiTheme="minorHAnsi" w:hAnsiTheme="minorHAnsi"/>
          <w:color w:val="42558C"/>
        </w:rPr>
      </w:pPr>
      <w:bookmarkStart w:id="25" w:name="_Toc166249383"/>
      <w:r w:rsidRPr="008440BF">
        <w:rPr>
          <w:rFonts w:asciiTheme="minorHAnsi" w:hAnsiTheme="minorHAnsi"/>
          <w:color w:val="42558C"/>
        </w:rPr>
        <w:t>Factor 2 Summary</w:t>
      </w:r>
      <w:bookmarkEnd w:id="25"/>
      <w:r w:rsidRPr="008440BF">
        <w:rPr>
          <w:rFonts w:asciiTheme="minorHAnsi" w:hAnsiTheme="minorHAnsi"/>
          <w:color w:val="42558C"/>
        </w:rPr>
        <w:t xml:space="preserve"> </w:t>
      </w:r>
    </w:p>
    <w:p w14:paraId="5E26554E" w14:textId="77777777" w:rsidR="00E17DF0" w:rsidRPr="008440BF" w:rsidRDefault="00E17DF0" w:rsidP="00E17DF0">
      <w:pPr>
        <w:rPr>
          <w:rFonts w:asciiTheme="minorHAnsi" w:hAnsiTheme="minorHAnsi"/>
          <w:szCs w:val="24"/>
        </w:rPr>
      </w:pPr>
      <w:r w:rsidRPr="008440BF">
        <w:rPr>
          <w:rFonts w:asciiTheme="minorHAnsi" w:hAnsiTheme="minorHAnsi"/>
          <w:szCs w:val="24"/>
        </w:rPr>
        <w:t>As a result of information provided by the Applicant and additional analysis, staff finds that with</w:t>
      </w:r>
    </w:p>
    <w:p w14:paraId="7FA38925" w14:textId="77777777" w:rsidR="00E17DF0" w:rsidRPr="008440BF" w:rsidRDefault="00E17DF0" w:rsidP="00E17DF0">
      <w:pPr>
        <w:rPr>
          <w:rFonts w:asciiTheme="minorHAnsi" w:hAnsiTheme="minorHAnsi"/>
          <w:szCs w:val="24"/>
        </w:rPr>
      </w:pPr>
      <w:r w:rsidRPr="008440BF">
        <w:rPr>
          <w:rFonts w:asciiTheme="minorHAnsi" w:hAnsiTheme="minorHAnsi"/>
          <w:szCs w:val="24"/>
        </w:rPr>
        <w:t>the standard reporting conditions, the Applicant has demonstrated that the Proposed Project</w:t>
      </w:r>
    </w:p>
    <w:p w14:paraId="3FD13B4A" w14:textId="77777777" w:rsidR="00E17DF0" w:rsidRPr="008440BF" w:rsidRDefault="00E17DF0" w:rsidP="00E17DF0">
      <w:pPr>
        <w:rPr>
          <w:rFonts w:asciiTheme="minorHAnsi" w:hAnsiTheme="minorHAnsi"/>
          <w:szCs w:val="24"/>
        </w:rPr>
      </w:pPr>
      <w:r w:rsidRPr="008440BF">
        <w:rPr>
          <w:rFonts w:asciiTheme="minorHAnsi" w:hAnsiTheme="minorHAnsi"/>
          <w:szCs w:val="24"/>
        </w:rPr>
        <w:t>has met Factor 2.</w:t>
      </w:r>
    </w:p>
    <w:p w14:paraId="33CC56D6" w14:textId="77777777" w:rsidR="00D451AE" w:rsidRPr="008440BF" w:rsidRDefault="00D451AE" w:rsidP="00203868">
      <w:pPr>
        <w:rPr>
          <w:rFonts w:asciiTheme="minorHAnsi" w:hAnsiTheme="minorHAnsi"/>
          <w:szCs w:val="24"/>
          <w:highlight w:val="yellow"/>
        </w:rPr>
      </w:pPr>
    </w:p>
    <w:p w14:paraId="0BE36815" w14:textId="77777777" w:rsidR="00B447F3" w:rsidRPr="008440BF" w:rsidRDefault="00A4110F" w:rsidP="008917DC">
      <w:pPr>
        <w:pStyle w:val="Heading1"/>
        <w:ind w:left="0"/>
        <w:rPr>
          <w:rFonts w:asciiTheme="minorHAnsi" w:hAnsiTheme="minorHAnsi"/>
        </w:rPr>
      </w:pPr>
      <w:bookmarkStart w:id="26" w:name="Factor_3:_Relevant_Licensure/Oversight_C"/>
      <w:bookmarkStart w:id="27" w:name="_Toc166249384"/>
      <w:bookmarkEnd w:id="26"/>
      <w:r w:rsidRPr="008440BF">
        <w:rPr>
          <w:rFonts w:asciiTheme="minorHAnsi" w:hAnsiTheme="minorHAnsi"/>
          <w:color w:val="42558C"/>
        </w:rPr>
        <w:t>Factor 3: Relevant Licensure/Oversight Compliance</w:t>
      </w:r>
      <w:bookmarkEnd w:id="27"/>
    </w:p>
    <w:p w14:paraId="62F6FC50" w14:textId="14B43AE3" w:rsidR="00BA667B" w:rsidRPr="008440BF" w:rsidRDefault="001F6705" w:rsidP="008917DC">
      <w:pPr>
        <w:pStyle w:val="BodyText"/>
        <w:ind w:right="321"/>
        <w:rPr>
          <w:rFonts w:asciiTheme="minorHAnsi" w:hAnsiTheme="minorHAnsi"/>
        </w:rPr>
      </w:pPr>
      <w:r w:rsidRPr="008440BF">
        <w:rPr>
          <w:rFonts w:asciiTheme="minorHAnsi" w:hAnsiTheme="minorHAnsi"/>
        </w:rPr>
        <w:t>The Applicant has provided evidence of compliance and good standing with federal, state, and local laws and regulations and will not be addressed further in this report. As a result of information provided by the Applicant, staff finds the Applicant has reasonably met the standards of Factor 3.</w:t>
      </w:r>
    </w:p>
    <w:p w14:paraId="3829AD74" w14:textId="77777777" w:rsidR="00BA667B" w:rsidRPr="008440BF" w:rsidRDefault="00BA667B" w:rsidP="008917DC">
      <w:pPr>
        <w:pStyle w:val="BodyText"/>
        <w:ind w:right="321"/>
        <w:rPr>
          <w:rFonts w:asciiTheme="minorHAnsi" w:hAnsiTheme="minorHAnsi"/>
          <w:highlight w:val="yellow"/>
        </w:rPr>
      </w:pPr>
    </w:p>
    <w:p w14:paraId="3DDFCA58" w14:textId="77777777" w:rsidR="00B447F3" w:rsidRPr="008440BF" w:rsidRDefault="00A4110F" w:rsidP="008917DC">
      <w:pPr>
        <w:pStyle w:val="Heading1"/>
        <w:spacing w:before="87"/>
        <w:ind w:left="0" w:right="441"/>
        <w:rPr>
          <w:rFonts w:asciiTheme="minorHAnsi" w:hAnsiTheme="minorHAnsi"/>
        </w:rPr>
      </w:pPr>
      <w:bookmarkStart w:id="28" w:name="Factor_4:_Demonstration_of_Sufficient_Fu"/>
      <w:bookmarkStart w:id="29" w:name="_Toc166249385"/>
      <w:bookmarkEnd w:id="28"/>
      <w:r w:rsidRPr="008440BF">
        <w:rPr>
          <w:rFonts w:asciiTheme="minorHAnsi" w:hAnsiTheme="minorHAnsi"/>
          <w:color w:val="42558C"/>
        </w:rPr>
        <w:t>Factor 4: Demonstration of Sufficient Funds as Supported by an Independent CPA Analysis</w:t>
      </w:r>
      <w:bookmarkEnd w:id="29"/>
    </w:p>
    <w:p w14:paraId="004DAD83" w14:textId="3B29483F" w:rsidR="00537D76" w:rsidRPr="008440BF" w:rsidRDefault="00537D76" w:rsidP="00537D76">
      <w:pPr>
        <w:pStyle w:val="BodyText"/>
        <w:ind w:right="306"/>
        <w:rPr>
          <w:rFonts w:asciiTheme="minorHAnsi" w:hAnsiTheme="minorHAnsi"/>
          <w:highlight w:val="yellow"/>
        </w:rPr>
      </w:pPr>
      <w:r w:rsidRPr="008440BF">
        <w:rPr>
          <w:rFonts w:asciiTheme="minorHAnsi" w:hAnsiTheme="minorHAnsi"/>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w:t>
      </w:r>
      <w:r w:rsidR="00DF48D9" w:rsidRPr="008440BF">
        <w:rPr>
          <w:rFonts w:asciiTheme="minorHAnsi" w:hAnsiTheme="minorHAnsi"/>
        </w:rPr>
        <w:t>a finding</w:t>
      </w:r>
      <w:r w:rsidRPr="008440BF">
        <w:rPr>
          <w:rFonts w:asciiTheme="minorHAnsi" w:hAnsiTheme="minorHAnsi"/>
        </w:rPr>
        <w:t xml:space="preserve"> must be supported by an analysis conducted by an independent CPA. The Applicant submitted a report conducted by Meyers Brothers Kalicka, P.C. (CPA Report).</w:t>
      </w:r>
    </w:p>
    <w:p w14:paraId="3F06303D" w14:textId="77777777" w:rsidR="00537D76" w:rsidRPr="008440BF" w:rsidRDefault="00537D76" w:rsidP="00537D76">
      <w:pPr>
        <w:pStyle w:val="BodyText"/>
        <w:rPr>
          <w:rFonts w:asciiTheme="minorHAnsi" w:hAnsiTheme="minorHAnsi"/>
          <w:highlight w:val="yellow"/>
        </w:rPr>
      </w:pPr>
    </w:p>
    <w:p w14:paraId="6B757019" w14:textId="77777777" w:rsidR="00537D76" w:rsidRPr="008440BF" w:rsidRDefault="00537D76" w:rsidP="00537D76">
      <w:pPr>
        <w:adjustRightInd w:val="0"/>
        <w:rPr>
          <w:rFonts w:asciiTheme="minorHAnsi" w:hAnsiTheme="minorHAnsi"/>
        </w:rPr>
      </w:pPr>
      <w:r w:rsidRPr="008440BF">
        <w:rPr>
          <w:rFonts w:asciiTheme="minorHAnsi" w:hAnsiTheme="minorHAnsi"/>
        </w:rPr>
        <w:t>The CPA analysis included a review of numerous documents in order to form an opinion as to the reasonableness and feasibility of the projections regarding the Proposed Project including: historical volume and revenues for PBOA Orthopedics Surgery performed at BID Plymouth; projected volume of PBOA Orthopedics surgeries performed at BID Plymouth expected to shift to the ASC; and projected revenues, expenses, statements of cashflows and balance sheets for fiscal years 2025-2029. The CPA assessed the reasonableness</w:t>
      </w:r>
      <w:r w:rsidRPr="008440BF">
        <w:rPr>
          <w:rStyle w:val="FootnoteReference"/>
          <w:rFonts w:asciiTheme="minorHAnsi" w:hAnsiTheme="minorHAnsi"/>
        </w:rPr>
        <w:footnoteReference w:id="24"/>
      </w:r>
      <w:r w:rsidRPr="008440BF">
        <w:rPr>
          <w:rFonts w:asciiTheme="minorHAnsi" w:hAnsiTheme="minorHAnsi"/>
        </w:rPr>
        <w:t xml:space="preserve"> of assumptions used in the preparation and feasibility</w:t>
      </w:r>
      <w:r w:rsidRPr="008440BF">
        <w:rPr>
          <w:rStyle w:val="FootnoteReference"/>
          <w:rFonts w:asciiTheme="minorHAnsi" w:hAnsiTheme="minorHAnsi"/>
        </w:rPr>
        <w:footnoteReference w:id="25"/>
      </w:r>
      <w:r w:rsidRPr="008440BF">
        <w:rPr>
          <w:rFonts w:asciiTheme="minorHAnsi" w:hAnsiTheme="minorHAnsi"/>
        </w:rPr>
        <w:t xml:space="preserve"> of the projections with regards to the Proposed Project.</w:t>
      </w:r>
    </w:p>
    <w:p w14:paraId="135A5271" w14:textId="77777777" w:rsidR="00537D76" w:rsidRPr="008440BF" w:rsidRDefault="00537D76" w:rsidP="00537D76">
      <w:pPr>
        <w:pStyle w:val="BodyText"/>
        <w:rPr>
          <w:rFonts w:asciiTheme="minorHAnsi" w:hAnsiTheme="minorHAnsi"/>
          <w:highlight w:val="yellow"/>
        </w:rPr>
      </w:pPr>
    </w:p>
    <w:p w14:paraId="0B196723" w14:textId="77777777" w:rsidR="00537D76" w:rsidRPr="008440BF" w:rsidRDefault="00537D76" w:rsidP="00537D76">
      <w:pPr>
        <w:pStyle w:val="BodyText"/>
        <w:rPr>
          <w:rFonts w:asciiTheme="minorHAnsi" w:hAnsiTheme="minorHAnsi"/>
          <w:highlight w:val="yellow"/>
        </w:rPr>
      </w:pPr>
      <w:r w:rsidRPr="008440BF">
        <w:rPr>
          <w:rFonts w:asciiTheme="minorHAnsi" w:hAnsiTheme="minorHAnsi"/>
          <w:b/>
          <w:bCs/>
        </w:rPr>
        <w:t>Revenues:</w:t>
      </w:r>
      <w:r w:rsidRPr="008440BF">
        <w:rPr>
          <w:rFonts w:asciiTheme="minorHAnsi" w:hAnsiTheme="minorHAnsi"/>
        </w:rPr>
        <w:t xml:space="preserve"> The CPA reviewed and analyzed the net operating revenues in the historical and projected financial information. The CPA analysis noted that it is likely that approximately 76% of approximately 2,230 cases currently performed at BID Plymouth could be shifted to the ASC during Year One of operations. In addition to the percentage of cases that are estimated to shift to the new ASC, the projections estimated additional volume based on the age of the population, convenience of the location, and Medicare now accepting TJR cases in an ASC setting. The estimated volume growth from Year one to Year Five ranges from 4% to 11 %. Gross charge per case is expected to increase approximately 3% each year. Estimates are based on a payer mix of Commercial (40%), Medicare (50%), and Medicaid (10%) reimbursement rates.</w:t>
      </w:r>
    </w:p>
    <w:p w14:paraId="68965206" w14:textId="77777777" w:rsidR="00537D76" w:rsidRPr="008440BF" w:rsidRDefault="00537D76" w:rsidP="00537D76">
      <w:pPr>
        <w:pStyle w:val="BodyText"/>
        <w:rPr>
          <w:rFonts w:asciiTheme="minorHAnsi" w:hAnsiTheme="minorHAnsi"/>
          <w:highlight w:val="yellow"/>
        </w:rPr>
      </w:pPr>
    </w:p>
    <w:p w14:paraId="69D5A5BD" w14:textId="69619284" w:rsidR="00537D76" w:rsidRPr="008440BF" w:rsidRDefault="00537D76" w:rsidP="00537D76">
      <w:pPr>
        <w:pStyle w:val="BodyText"/>
        <w:rPr>
          <w:rFonts w:asciiTheme="minorHAnsi" w:hAnsiTheme="minorHAnsi"/>
          <w:highlight w:val="yellow"/>
        </w:rPr>
      </w:pPr>
      <w:r w:rsidRPr="008440BF">
        <w:rPr>
          <w:rFonts w:asciiTheme="minorHAnsi" w:hAnsiTheme="minorHAnsi"/>
          <w:b/>
          <w:bCs/>
        </w:rPr>
        <w:t>Expenses:</w:t>
      </w:r>
      <w:r w:rsidRPr="008440BF">
        <w:rPr>
          <w:rFonts w:asciiTheme="minorHAnsi" w:hAnsiTheme="minorHAnsi"/>
        </w:rPr>
        <w:t xml:space="preserve"> The CPA analyzed Salary and Benefits, as well as Other Operating Expenses for reasonableness and feasibility as related to the Projections of the ASC. Salaries and benefits are projected to increase by 3% each year. Other expenses are projected to increase by approximately 4% per year. The CPA notes that the projected/pro-forma expenses for FY2025 through FY2029 are reasonable.</w:t>
      </w:r>
    </w:p>
    <w:p w14:paraId="444443A3" w14:textId="77777777" w:rsidR="00537D76" w:rsidRPr="008440BF" w:rsidRDefault="00537D76" w:rsidP="00537D76">
      <w:pPr>
        <w:pStyle w:val="BodyText"/>
        <w:rPr>
          <w:rFonts w:asciiTheme="minorHAnsi" w:hAnsiTheme="minorHAnsi"/>
          <w:highlight w:val="yellow"/>
        </w:rPr>
      </w:pPr>
    </w:p>
    <w:p w14:paraId="09E3A759" w14:textId="77777777" w:rsidR="00537D76" w:rsidRPr="008440BF" w:rsidRDefault="00537D76" w:rsidP="00537D76">
      <w:pPr>
        <w:pStyle w:val="BodyText"/>
        <w:rPr>
          <w:rFonts w:asciiTheme="minorHAnsi" w:hAnsiTheme="minorHAnsi"/>
          <w:b/>
          <w:bCs/>
        </w:rPr>
      </w:pPr>
      <w:r w:rsidRPr="008440BF">
        <w:rPr>
          <w:rFonts w:asciiTheme="minorHAnsi" w:hAnsiTheme="minorHAnsi"/>
          <w:b/>
          <w:bCs/>
        </w:rPr>
        <w:t>Lease agreement, Capital Expenses, and Cash Flows</w:t>
      </w:r>
    </w:p>
    <w:p w14:paraId="7D97C0B8" w14:textId="77777777" w:rsidR="00537D76" w:rsidRPr="008440BF" w:rsidRDefault="00537D76" w:rsidP="00537D76">
      <w:pPr>
        <w:pStyle w:val="BodyText"/>
        <w:rPr>
          <w:rFonts w:asciiTheme="minorHAnsi" w:hAnsiTheme="minorHAnsi"/>
          <w:highlight w:val="yellow"/>
        </w:rPr>
      </w:pPr>
      <w:r w:rsidRPr="008440BF">
        <w:rPr>
          <w:rFonts w:asciiTheme="minorHAnsi" w:hAnsiTheme="minorHAnsi"/>
        </w:rPr>
        <w:lastRenderedPageBreak/>
        <w:t xml:space="preserve">The CPA reviewed the lease terms, projected capital expenditures, and future cash flows of the ASC. It is noted that the Applicant will finance project costs through debt over 120 months with a fixed interest rate of 7%, beginning in FY2025. The CPA stated that the capital needs and ongoing operating costs required to create, manage, and operate a freestanding ambulatory surgery center are not likely to result in a scenario where there is negative cash flow.  </w:t>
      </w:r>
    </w:p>
    <w:p w14:paraId="41C9464F" w14:textId="77777777" w:rsidR="00537D76" w:rsidRPr="008440BF" w:rsidRDefault="00537D76" w:rsidP="00537D76">
      <w:pPr>
        <w:pStyle w:val="BodyText"/>
        <w:rPr>
          <w:rFonts w:asciiTheme="minorHAnsi" w:hAnsiTheme="minorHAnsi"/>
          <w:highlight w:val="yellow"/>
        </w:rPr>
      </w:pPr>
    </w:p>
    <w:p w14:paraId="619B1B17" w14:textId="77777777" w:rsidR="00537D76" w:rsidRPr="008440BF" w:rsidRDefault="00537D76" w:rsidP="00537D76">
      <w:pPr>
        <w:pStyle w:val="BodyText"/>
        <w:rPr>
          <w:rFonts w:asciiTheme="minorHAnsi" w:hAnsiTheme="minorHAnsi"/>
          <w:b/>
          <w:bCs/>
        </w:rPr>
      </w:pPr>
      <w:r w:rsidRPr="008440BF">
        <w:rPr>
          <w:rFonts w:asciiTheme="minorHAnsi" w:hAnsiTheme="minorHAnsi"/>
          <w:b/>
          <w:bCs/>
        </w:rPr>
        <w:t>CPA’s Conclusion of Feasibility</w:t>
      </w:r>
    </w:p>
    <w:p w14:paraId="166B2BC2" w14:textId="77777777" w:rsidR="00537D76" w:rsidRPr="008440BF" w:rsidRDefault="00537D76" w:rsidP="00537D76">
      <w:pPr>
        <w:pStyle w:val="BodyText"/>
        <w:rPr>
          <w:rFonts w:asciiTheme="minorHAnsi" w:hAnsiTheme="minorHAnsi"/>
        </w:rPr>
      </w:pPr>
      <w:r w:rsidRPr="008440BF">
        <w:rPr>
          <w:rFonts w:asciiTheme="minorHAnsi" w:hAnsiTheme="minorHAnsi"/>
        </w:rPr>
        <w:t>As a result of its analysis the CPA states that:</w:t>
      </w:r>
    </w:p>
    <w:p w14:paraId="287A6242" w14:textId="77777777" w:rsidR="00537D76" w:rsidRPr="008440BF" w:rsidRDefault="00537D76" w:rsidP="00537D76">
      <w:pPr>
        <w:pStyle w:val="BodyText"/>
        <w:ind w:left="630"/>
        <w:rPr>
          <w:rFonts w:asciiTheme="minorHAnsi" w:hAnsiTheme="minorHAnsi"/>
          <w:i/>
          <w:iCs/>
          <w:highlight w:val="yellow"/>
        </w:rPr>
      </w:pPr>
      <w:r w:rsidRPr="008440BF">
        <w:rPr>
          <w:rFonts w:asciiTheme="minorHAnsi" w:hAnsiTheme="minorHAnsi"/>
          <w:i/>
          <w:iCs/>
        </w:rPr>
        <w:t>“We determined that the projections were not likely to result in insufficient funds available for ongoing operating costs necessary to support a freestanding ambulatory surgical center. Based upon our review of the projections and relevant supporting documentation, we determined the creation of a freestanding ambulatory surgery center by the Applicant is reasonable and based upon feasible financial assumptions.”</w:t>
      </w:r>
    </w:p>
    <w:p w14:paraId="7A183AF7" w14:textId="77777777" w:rsidR="00537D76" w:rsidRPr="008440BF" w:rsidRDefault="00537D76" w:rsidP="00537D76">
      <w:pPr>
        <w:pStyle w:val="BodyText"/>
        <w:rPr>
          <w:rFonts w:asciiTheme="minorHAnsi" w:hAnsiTheme="minorHAnsi"/>
          <w:highlight w:val="yellow"/>
        </w:rPr>
      </w:pPr>
    </w:p>
    <w:p w14:paraId="0E9B1064" w14:textId="77777777" w:rsidR="00537D76" w:rsidRPr="008440BF" w:rsidRDefault="00537D76" w:rsidP="00537D76">
      <w:pPr>
        <w:pStyle w:val="BodyText"/>
        <w:ind w:left="-144"/>
        <w:rPr>
          <w:rFonts w:asciiTheme="minorHAnsi" w:hAnsiTheme="minorHAnsi"/>
          <w:b/>
          <w:bCs/>
          <w:i/>
          <w:iCs/>
        </w:rPr>
      </w:pPr>
      <w:r w:rsidRPr="008440BF">
        <w:rPr>
          <w:rFonts w:asciiTheme="minorHAnsi" w:hAnsiTheme="minorHAnsi"/>
          <w:b/>
          <w:bCs/>
          <w:i/>
          <w:iCs/>
        </w:rPr>
        <w:t xml:space="preserve">   Analysis</w:t>
      </w:r>
    </w:p>
    <w:p w14:paraId="6DD08D23" w14:textId="77777777" w:rsidR="00537D76" w:rsidRPr="008440BF" w:rsidRDefault="00537D76" w:rsidP="00537D76">
      <w:pPr>
        <w:pStyle w:val="BodyText"/>
        <w:ind w:hanging="144"/>
        <w:rPr>
          <w:rFonts w:asciiTheme="minorHAnsi" w:hAnsiTheme="minorHAnsi"/>
        </w:rPr>
      </w:pPr>
      <w:r w:rsidRPr="008440BF">
        <w:rPr>
          <w:rFonts w:asciiTheme="minorHAnsi" w:hAnsiTheme="minorHAnsi"/>
          <w:sz w:val="26"/>
        </w:rPr>
        <w:t xml:space="preserve">   </w:t>
      </w:r>
      <w:r w:rsidRPr="008440BF">
        <w:rPr>
          <w:rFonts w:asciiTheme="minorHAnsi" w:hAnsiTheme="minorHAnsi"/>
        </w:rPr>
        <w:t>Staff is satisfied with the CPA’s analysis of the Applicant’s decision to proceed with the Proposed Project. As a result, staff finds the CPA analysis to be acceptable and that the Applicant has met the requirements of Factor 4.</w:t>
      </w:r>
    </w:p>
    <w:p w14:paraId="54707BC6" w14:textId="56832AE8" w:rsidR="003A7B86" w:rsidRPr="008440BF" w:rsidRDefault="00537D76" w:rsidP="00C44A44">
      <w:pPr>
        <w:pStyle w:val="BodyText"/>
        <w:spacing w:before="10"/>
        <w:rPr>
          <w:rFonts w:asciiTheme="minorHAnsi" w:hAnsiTheme="minorHAnsi"/>
          <w:color w:val="42558C"/>
        </w:rPr>
      </w:pPr>
      <w:r w:rsidRPr="008440BF">
        <w:rPr>
          <w:rFonts w:asciiTheme="minorHAnsi" w:hAnsiTheme="minorHAnsi"/>
          <w:sz w:val="21"/>
        </w:rPr>
        <w:tab/>
      </w:r>
      <w:bookmarkStart w:id="30" w:name="Factor_5:_Assessment_of_the_Proposed_Pro"/>
      <w:bookmarkEnd w:id="30"/>
    </w:p>
    <w:p w14:paraId="39D90124" w14:textId="51480EE6" w:rsidR="00B447F3" w:rsidRPr="008440BF" w:rsidRDefault="00A4110F" w:rsidP="008917DC">
      <w:pPr>
        <w:pStyle w:val="Heading1"/>
        <w:spacing w:before="1"/>
        <w:ind w:left="0"/>
        <w:rPr>
          <w:rFonts w:asciiTheme="minorHAnsi" w:hAnsiTheme="minorHAnsi"/>
        </w:rPr>
      </w:pPr>
      <w:bookmarkStart w:id="31" w:name="_Toc166249386"/>
      <w:r w:rsidRPr="008440BF">
        <w:rPr>
          <w:rFonts w:asciiTheme="minorHAnsi" w:hAnsiTheme="minorHAnsi"/>
          <w:color w:val="42558C"/>
        </w:rPr>
        <w:t>Factor 5: Assessment of the Proposed Project’s Relative Merit</w:t>
      </w:r>
      <w:bookmarkEnd w:id="31"/>
    </w:p>
    <w:p w14:paraId="579E1A2C" w14:textId="77777777" w:rsidR="003A181E" w:rsidRPr="008440BF" w:rsidRDefault="003A181E" w:rsidP="003A181E">
      <w:pPr>
        <w:pStyle w:val="BodyText"/>
        <w:rPr>
          <w:rFonts w:asciiTheme="minorHAnsi" w:hAnsiTheme="minorHAnsi"/>
        </w:rPr>
      </w:pPr>
      <w:r w:rsidRPr="008440BF">
        <w:rPr>
          <w:rFonts w:asciiTheme="minorHAnsi" w:hAnsiTheme="minorHAnsi"/>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32" w:name="_Int_BedYxzXG"/>
      <w:r w:rsidRPr="008440BF">
        <w:rPr>
          <w:rFonts w:asciiTheme="minorHAnsi" w:hAnsiTheme="minorHAnsi"/>
        </w:rPr>
        <w:t>take into account</w:t>
      </w:r>
      <w:bookmarkEnd w:id="32"/>
      <w:r w:rsidRPr="008440BF">
        <w:rPr>
          <w:rFonts w:asciiTheme="minorHAnsi" w:hAnsiTheme="minorHAnsi"/>
        </w:rPr>
        <w:t>, at a minimum, the quality, efficiency, and capital and operating costs of the Proposed Project relative to potential alternatives or substitutes, including alternative evidence-based strategies and public health interventions.</w:t>
      </w:r>
    </w:p>
    <w:p w14:paraId="675EF056" w14:textId="77777777" w:rsidR="003A181E" w:rsidRPr="008440BF" w:rsidRDefault="003A181E" w:rsidP="003A181E">
      <w:pPr>
        <w:pStyle w:val="BodyText"/>
        <w:rPr>
          <w:rFonts w:asciiTheme="minorHAnsi" w:hAnsiTheme="minorHAnsi"/>
          <w:highlight w:val="yellow"/>
        </w:rPr>
      </w:pPr>
    </w:p>
    <w:p w14:paraId="4036F1BA" w14:textId="77777777" w:rsidR="003A181E" w:rsidRPr="008440BF" w:rsidRDefault="003A181E" w:rsidP="003A181E">
      <w:pPr>
        <w:pStyle w:val="BodyText"/>
        <w:rPr>
          <w:rFonts w:asciiTheme="minorHAnsi" w:hAnsiTheme="minorHAnsi"/>
        </w:rPr>
      </w:pPr>
      <w:r w:rsidRPr="008440BF">
        <w:rPr>
          <w:rFonts w:asciiTheme="minorHAnsi" w:hAnsiTheme="minorHAnsi"/>
        </w:rPr>
        <w:t>The Applicant considered and rejected two possible alternatives to the Proposed Project.</w:t>
      </w:r>
    </w:p>
    <w:p w14:paraId="16E44849" w14:textId="77777777" w:rsidR="003A181E" w:rsidRPr="008440BF" w:rsidRDefault="003A181E" w:rsidP="003A181E">
      <w:pPr>
        <w:pStyle w:val="BodyText"/>
        <w:ind w:left="720"/>
        <w:rPr>
          <w:rFonts w:asciiTheme="minorHAnsi" w:hAnsiTheme="minorHAnsi"/>
        </w:rPr>
      </w:pPr>
    </w:p>
    <w:p w14:paraId="4EB5D895" w14:textId="66817EBB" w:rsidR="003A181E" w:rsidRPr="008440BF" w:rsidRDefault="003A181E" w:rsidP="003A181E">
      <w:pPr>
        <w:pStyle w:val="ListParagraph"/>
        <w:numPr>
          <w:ilvl w:val="0"/>
          <w:numId w:val="42"/>
        </w:numPr>
        <w:tabs>
          <w:tab w:val="left" w:pos="720"/>
        </w:tabs>
        <w:adjustRightInd w:val="0"/>
        <w:spacing w:after="120"/>
        <w:rPr>
          <w:rFonts w:asciiTheme="minorHAnsi" w:eastAsia="Calibri" w:hAnsiTheme="minorHAnsi"/>
          <w:bCs/>
          <w:szCs w:val="24"/>
        </w:rPr>
      </w:pPr>
      <w:r w:rsidRPr="008440BF">
        <w:rPr>
          <w:rFonts w:asciiTheme="minorHAnsi" w:hAnsiTheme="minorHAnsi"/>
          <w:b/>
          <w:bCs/>
          <w:kern w:val="2"/>
          <w:szCs w:val="24"/>
        </w:rPr>
        <w:t>Continue outpatient orthopedic surgery at BID Plymouth</w:t>
      </w:r>
      <w:r w:rsidRPr="008440BF">
        <w:rPr>
          <w:rFonts w:asciiTheme="minorHAnsi" w:hAnsiTheme="minorHAnsi"/>
          <w:szCs w:val="24"/>
        </w:rPr>
        <w:t xml:space="preserve"> – There are no capital expenses and operating costs would remain the same under with this option. </w:t>
      </w:r>
      <w:r w:rsidRPr="008440BF">
        <w:rPr>
          <w:rFonts w:asciiTheme="minorHAnsi" w:hAnsiTheme="minorHAnsi"/>
          <w:bCs/>
          <w:kern w:val="2"/>
          <w:szCs w:val="24"/>
        </w:rPr>
        <w:t>Under this alternative, operational efficiency cannot be maximized because BID Plymouth’s operating rooms will continue to be used for outpatient, inpatient, and emergency surgeries, as well as for a range of specialties. Quality of care under this alternative is not inferior, but patient satisfaction may be lower in the hospital</w:t>
      </w:r>
      <w:r w:rsidR="00DF48D9">
        <w:rPr>
          <w:rFonts w:asciiTheme="minorHAnsi" w:hAnsiTheme="minorHAnsi"/>
          <w:bCs/>
          <w:kern w:val="2"/>
          <w:szCs w:val="24"/>
        </w:rPr>
        <w:t xml:space="preserve"> </w:t>
      </w:r>
      <w:r w:rsidRPr="008440BF">
        <w:rPr>
          <w:rFonts w:asciiTheme="minorHAnsi" w:hAnsiTheme="minorHAnsi"/>
          <w:bCs/>
          <w:kern w:val="2"/>
          <w:szCs w:val="24"/>
        </w:rPr>
        <w:t>setting due to scheduling delays as well as higher costs.</w:t>
      </w:r>
    </w:p>
    <w:p w14:paraId="3142B195" w14:textId="77777777" w:rsidR="003A181E" w:rsidRPr="008440BF" w:rsidRDefault="003A181E" w:rsidP="003A181E">
      <w:pPr>
        <w:pStyle w:val="ListParagraph"/>
        <w:numPr>
          <w:ilvl w:val="0"/>
          <w:numId w:val="42"/>
        </w:numPr>
        <w:rPr>
          <w:rFonts w:asciiTheme="minorHAnsi" w:hAnsiTheme="minorHAnsi"/>
          <w:szCs w:val="24"/>
        </w:rPr>
      </w:pPr>
      <w:r w:rsidRPr="008440BF">
        <w:rPr>
          <w:rStyle w:val="cf01"/>
          <w:rFonts w:asciiTheme="minorHAnsi" w:hAnsiTheme="minorHAnsi" w:cstheme="minorHAnsi"/>
          <w:b/>
          <w:bCs/>
          <w:sz w:val="24"/>
          <w:szCs w:val="24"/>
        </w:rPr>
        <w:t>Expand outpatient surgical capacity at the Hospital’s Main Campus</w:t>
      </w:r>
      <w:r w:rsidRPr="008440BF">
        <w:rPr>
          <w:rStyle w:val="cf01"/>
          <w:rFonts w:asciiTheme="minorHAnsi" w:hAnsiTheme="minorHAnsi" w:cstheme="minorHAnsi"/>
          <w:szCs w:val="24"/>
        </w:rPr>
        <w:t xml:space="preserve"> – </w:t>
      </w:r>
      <w:r w:rsidRPr="008440BF">
        <w:rPr>
          <w:rFonts w:asciiTheme="minorHAnsi" w:hAnsiTheme="minorHAnsi"/>
          <w:bCs/>
          <w:kern w:val="2"/>
          <w:szCs w:val="24"/>
        </w:rPr>
        <w:t xml:space="preserve">The Hospital considered expanding outpatient surgical capacity at the Hospital’s Main Campus through the construction of an on-campus HOPD. However, this option would not reduce health care costs because it would be reimbursed as a hospital outpatient department and not a freestanding ASC. This option would not adequately address the cost concerns of the community. </w:t>
      </w:r>
    </w:p>
    <w:p w14:paraId="66A378B8" w14:textId="77777777" w:rsidR="003A181E" w:rsidRPr="008440BF" w:rsidRDefault="003A181E" w:rsidP="003A181E">
      <w:pPr>
        <w:rPr>
          <w:rFonts w:asciiTheme="minorHAnsi" w:hAnsiTheme="minorHAnsi"/>
          <w:szCs w:val="24"/>
        </w:rPr>
      </w:pPr>
    </w:p>
    <w:p w14:paraId="285B11A6" w14:textId="20EE5DA6" w:rsidR="003A181E" w:rsidRPr="008440BF" w:rsidRDefault="003A181E" w:rsidP="003A181E">
      <w:pPr>
        <w:pStyle w:val="ListParagraph"/>
        <w:ind w:left="0" w:firstLine="0"/>
        <w:rPr>
          <w:rStyle w:val="cf01"/>
          <w:rFonts w:asciiTheme="minorHAnsi" w:hAnsiTheme="minorHAnsi" w:cstheme="minorHAnsi"/>
          <w:iCs/>
          <w:color w:val="000000" w:themeColor="text1"/>
          <w:szCs w:val="24"/>
        </w:rPr>
      </w:pPr>
      <w:r w:rsidRPr="008440BF">
        <w:rPr>
          <w:rFonts w:asciiTheme="minorHAnsi" w:hAnsiTheme="minorHAnsi"/>
          <w:szCs w:val="24"/>
        </w:rPr>
        <w:lastRenderedPageBreak/>
        <w:t xml:space="preserve">Staff inquired whether the greater BILH system could assist with the outpatient surgical needs. The Applicant explained that, while the system could absorb these procedures, </w:t>
      </w:r>
      <w:r w:rsidRPr="008440BF">
        <w:rPr>
          <w:rStyle w:val="cf01"/>
          <w:rFonts w:asciiTheme="minorHAnsi" w:hAnsiTheme="minorHAnsi" w:cstheme="minorHAnsi"/>
          <w:iCs/>
          <w:color w:val="000000" w:themeColor="text1"/>
          <w:sz w:val="24"/>
          <w:szCs w:val="24"/>
        </w:rPr>
        <w:t xml:space="preserve">using the alternative sites would be more costly, </w:t>
      </w:r>
      <w:r w:rsidR="004162DB" w:rsidRPr="008440BF">
        <w:rPr>
          <w:rStyle w:val="cf01"/>
          <w:rFonts w:asciiTheme="minorHAnsi" w:hAnsiTheme="minorHAnsi" w:cstheme="minorHAnsi"/>
          <w:iCs/>
          <w:color w:val="000000" w:themeColor="text1"/>
          <w:sz w:val="24"/>
          <w:szCs w:val="24"/>
        </w:rPr>
        <w:t>time-consuming,</w:t>
      </w:r>
      <w:r w:rsidRPr="008440BF">
        <w:rPr>
          <w:rStyle w:val="cf01"/>
          <w:rFonts w:asciiTheme="minorHAnsi" w:hAnsiTheme="minorHAnsi" w:cstheme="minorHAnsi"/>
          <w:iCs/>
          <w:color w:val="000000" w:themeColor="text1"/>
          <w:sz w:val="24"/>
          <w:szCs w:val="24"/>
        </w:rPr>
        <w:t xml:space="preserve"> and less convenient for patients; would have a negative impact on access to orthopedic care in the Plymouth region; and could potentially have a negative impact on continuity of care for patients in the Plymouth region. Using other BILH sites, only one of which is an outpatient ASC located in Dedham</w:t>
      </w:r>
      <w:r w:rsidRPr="008440BF">
        <w:rPr>
          <w:rStyle w:val="FootnoteReference"/>
          <w:rFonts w:asciiTheme="minorHAnsi" w:hAnsiTheme="minorHAnsi"/>
          <w:iCs/>
          <w:color w:val="000000" w:themeColor="text1"/>
          <w:szCs w:val="24"/>
        </w:rPr>
        <w:footnoteReference w:id="26"/>
      </w:r>
      <w:r w:rsidRPr="008440BF">
        <w:rPr>
          <w:rStyle w:val="cf01"/>
          <w:rFonts w:asciiTheme="minorHAnsi" w:hAnsiTheme="minorHAnsi" w:cstheme="minorHAnsi"/>
          <w:iCs/>
          <w:color w:val="000000" w:themeColor="text1"/>
          <w:sz w:val="24"/>
          <w:szCs w:val="24"/>
        </w:rPr>
        <w:t xml:space="preserve">, would require that patients transition their care to surgeons outside the Plymouth region and travel outside the region for surgery. Or, assuming PBOA surgeons could secure surgical privileges at other BILH sites, use of these sites for surgery would require that PBOA surgeons travel long distances to perform surgery - which would reduce the time they were available to consult patients in their Plymouth </w:t>
      </w:r>
      <w:r w:rsidRPr="008440BF">
        <w:rPr>
          <w:rStyle w:val="cf01"/>
          <w:rFonts w:asciiTheme="minorHAnsi" w:hAnsiTheme="minorHAnsi" w:cstheme="minorHAnsi"/>
          <w:iCs/>
          <w:sz w:val="24"/>
          <w:szCs w:val="24"/>
        </w:rPr>
        <w:t>office. This would extend appointment and surgical wait times, negatively impacting access for patients in the Plymouth region.</w:t>
      </w:r>
    </w:p>
    <w:p w14:paraId="48C0C8DF" w14:textId="77777777" w:rsidR="003A181E" w:rsidRPr="008440BF" w:rsidRDefault="003A181E" w:rsidP="003A181E">
      <w:pPr>
        <w:rPr>
          <w:rFonts w:asciiTheme="minorHAnsi" w:hAnsiTheme="minorHAnsi"/>
          <w:szCs w:val="24"/>
        </w:rPr>
      </w:pPr>
      <w:r w:rsidRPr="008440BF">
        <w:rPr>
          <w:rFonts w:asciiTheme="minorHAnsi" w:hAnsiTheme="minorHAnsi"/>
          <w:szCs w:val="24"/>
        </w:rPr>
        <w:t xml:space="preserve"> </w:t>
      </w:r>
    </w:p>
    <w:p w14:paraId="26E6FC5D" w14:textId="77777777" w:rsidR="003A181E" w:rsidRPr="008440BF" w:rsidRDefault="003A181E" w:rsidP="003A181E">
      <w:pPr>
        <w:pStyle w:val="BodyText"/>
        <w:rPr>
          <w:rFonts w:asciiTheme="minorHAnsi" w:hAnsiTheme="minorHAnsi"/>
          <w:b/>
          <w:bCs/>
          <w:i/>
          <w:iCs/>
        </w:rPr>
      </w:pPr>
    </w:p>
    <w:p w14:paraId="066C3E1A" w14:textId="77777777" w:rsidR="003A181E" w:rsidRPr="008440BF" w:rsidRDefault="003A181E" w:rsidP="003A181E">
      <w:pPr>
        <w:pStyle w:val="BodyText"/>
        <w:rPr>
          <w:rFonts w:asciiTheme="minorHAnsi" w:hAnsiTheme="minorHAnsi"/>
          <w:b/>
          <w:bCs/>
          <w:i/>
          <w:iCs/>
        </w:rPr>
      </w:pPr>
      <w:r w:rsidRPr="008440BF">
        <w:rPr>
          <w:rFonts w:asciiTheme="minorHAnsi" w:hAnsiTheme="minorHAnsi"/>
          <w:b/>
          <w:bCs/>
          <w:i/>
          <w:iCs/>
        </w:rPr>
        <w:t xml:space="preserve">Analysis </w:t>
      </w:r>
    </w:p>
    <w:p w14:paraId="01971569" w14:textId="77777777" w:rsidR="003A181E" w:rsidRPr="008440BF" w:rsidRDefault="003A181E" w:rsidP="003A181E">
      <w:pPr>
        <w:pStyle w:val="BodyText"/>
        <w:rPr>
          <w:rFonts w:asciiTheme="minorHAnsi" w:hAnsiTheme="minorHAnsi"/>
        </w:rPr>
      </w:pPr>
      <w:r w:rsidRPr="008440BF">
        <w:rPr>
          <w:rFonts w:asciiTheme="minorHAnsi" w:hAnsiTheme="minorHAnsi"/>
        </w:rPr>
        <w:t>Staff finds that the Applicant has appropriately considered the quality, efficiency, and capital and operating costs of the Proposed Project relative to potential alternatives. As a result of information provided by the Applicant and additional analysis, staff finds the Applicant has reasonably met the standards of Factor 5.</w:t>
      </w:r>
    </w:p>
    <w:p w14:paraId="2CC88530" w14:textId="7A493C2F" w:rsidR="00FE3BD6" w:rsidRPr="008440BF" w:rsidRDefault="00FE3BD6">
      <w:pPr>
        <w:pStyle w:val="BodyText"/>
        <w:rPr>
          <w:rFonts w:asciiTheme="minorHAnsi" w:hAnsiTheme="minorHAnsi"/>
          <w:highlight w:val="yellow"/>
        </w:rPr>
      </w:pPr>
    </w:p>
    <w:p w14:paraId="6696CE6F" w14:textId="427A5FCD" w:rsidR="003A7B86" w:rsidRPr="008440BF" w:rsidRDefault="003A7B86">
      <w:pPr>
        <w:pStyle w:val="BodyText"/>
        <w:rPr>
          <w:rFonts w:asciiTheme="minorHAnsi" w:hAnsiTheme="minorHAnsi"/>
          <w:highlight w:val="yellow"/>
        </w:rPr>
      </w:pPr>
    </w:p>
    <w:p w14:paraId="23E345B3" w14:textId="248F8722" w:rsidR="00B447F3" w:rsidRPr="008440BF" w:rsidRDefault="00A4110F" w:rsidP="00143E9A">
      <w:pPr>
        <w:pStyle w:val="Heading1"/>
        <w:ind w:left="0" w:right="424"/>
        <w:rPr>
          <w:rFonts w:asciiTheme="minorHAnsi" w:hAnsiTheme="minorHAnsi"/>
          <w:color w:val="42558C"/>
        </w:rPr>
      </w:pPr>
      <w:bookmarkStart w:id="33" w:name="Factor_6:_Fulfillment_of_DPH_Community-b"/>
      <w:bookmarkStart w:id="34" w:name="_Toc166249387"/>
      <w:bookmarkEnd w:id="33"/>
      <w:r w:rsidRPr="008440BF">
        <w:rPr>
          <w:rFonts w:asciiTheme="minorHAnsi" w:hAnsiTheme="minorHAnsi"/>
          <w:color w:val="42558C"/>
        </w:rPr>
        <w:t>Factor 6: Fulfillment of DPH Community-based Health Initiatives Guideline: Overall Application</w:t>
      </w:r>
      <w:bookmarkEnd w:id="34"/>
    </w:p>
    <w:p w14:paraId="4255597C" w14:textId="77777777" w:rsidR="00F92C18" w:rsidRPr="008440BF" w:rsidRDefault="00F92C18" w:rsidP="00F92C18">
      <w:pPr>
        <w:pStyle w:val="paragraph"/>
        <w:spacing w:before="0" w:beforeAutospacing="0" w:after="0" w:afterAutospacing="0"/>
        <w:ind w:right="540"/>
        <w:textAlignment w:val="baseline"/>
        <w:rPr>
          <w:rStyle w:val="normaltextrun"/>
          <w:rFonts w:asciiTheme="minorHAnsi" w:hAnsiTheme="minorHAnsi" w:cstheme="minorHAnsi"/>
          <w:i/>
          <w:iCs/>
          <w:sz w:val="22"/>
          <w:szCs w:val="22"/>
          <w:highlight w:val="yellow"/>
        </w:rPr>
      </w:pPr>
    </w:p>
    <w:p w14:paraId="5DEEB69A" w14:textId="66FBB12A" w:rsidR="002B7110" w:rsidRPr="008440BF" w:rsidRDefault="002B7110" w:rsidP="002B7110">
      <w:pPr>
        <w:rPr>
          <w:rFonts w:asciiTheme="minorHAnsi" w:eastAsiaTheme="minorEastAsia" w:hAnsiTheme="minorHAnsi"/>
          <w:color w:val="000000" w:themeColor="text1"/>
        </w:rPr>
      </w:pPr>
      <w:r w:rsidRPr="008440BF">
        <w:rPr>
          <w:rFonts w:asciiTheme="minorHAnsi" w:eastAsiaTheme="minorEastAsia" w:hAnsiTheme="minorHAnsi"/>
          <w:color w:val="000000" w:themeColor="text1"/>
        </w:rPr>
        <w:t xml:space="preserve">This is a </w:t>
      </w:r>
      <w:r w:rsidR="00BA2CE9">
        <w:rPr>
          <w:rFonts w:asciiTheme="minorHAnsi" w:eastAsiaTheme="minorEastAsia" w:hAnsiTheme="minorHAnsi"/>
          <w:color w:val="000000" w:themeColor="text1"/>
        </w:rPr>
        <w:t>Proposed Project</w:t>
      </w:r>
      <w:r w:rsidRPr="008440BF">
        <w:rPr>
          <w:rFonts w:asciiTheme="minorHAnsi" w:eastAsiaTheme="minorEastAsia" w:hAnsiTheme="minorHAnsi"/>
          <w:color w:val="000000" w:themeColor="text1"/>
        </w:rPr>
        <w:t xml:space="preserve"> that will result in a Tier 2 CHI. To fulfill Factor 6 requirements, the Applicant submitted its 2022 Community Health Needs Assessment (CHNA) and 2023-2025 Implementation Strategy (IS), a Self-Assessment, Partner </w:t>
      </w:r>
      <w:r w:rsidR="004162DB" w:rsidRPr="008440BF">
        <w:rPr>
          <w:rFonts w:asciiTheme="minorHAnsi" w:eastAsiaTheme="minorEastAsia" w:hAnsiTheme="minorHAnsi"/>
          <w:color w:val="000000" w:themeColor="text1"/>
        </w:rPr>
        <w:t>Assessments,</w:t>
      </w:r>
      <w:r w:rsidRPr="008440BF">
        <w:rPr>
          <w:rFonts w:asciiTheme="minorHAnsi" w:eastAsiaTheme="minorEastAsia" w:hAnsiTheme="minorHAnsi"/>
          <w:color w:val="000000" w:themeColor="text1"/>
        </w:rPr>
        <w:t xml:space="preserve"> and a CHI Narrative. </w:t>
      </w:r>
    </w:p>
    <w:p w14:paraId="29E02D81" w14:textId="77777777" w:rsidR="002B7110" w:rsidRPr="008440BF" w:rsidRDefault="002B7110" w:rsidP="002B7110">
      <w:pPr>
        <w:rPr>
          <w:rFonts w:asciiTheme="minorHAnsi" w:eastAsiaTheme="minorEastAsia" w:hAnsiTheme="minorHAnsi"/>
          <w:color w:val="000000" w:themeColor="text1"/>
        </w:rPr>
      </w:pPr>
    </w:p>
    <w:p w14:paraId="183E757F" w14:textId="77777777" w:rsidR="002B7110" w:rsidRPr="008440BF" w:rsidRDefault="002B7110" w:rsidP="002B7110">
      <w:pPr>
        <w:rPr>
          <w:rFonts w:asciiTheme="minorHAnsi" w:eastAsiaTheme="minorEastAsia" w:hAnsiTheme="minorHAnsi"/>
          <w:color w:val="000000" w:themeColor="text1"/>
        </w:rPr>
      </w:pPr>
      <w:r w:rsidRPr="008440BF">
        <w:rPr>
          <w:rFonts w:asciiTheme="minorHAnsi" w:eastAsiaTheme="minorEastAsia" w:hAnsiTheme="minorHAnsi"/>
          <w:color w:val="000000" w:themeColor="text1"/>
        </w:rPr>
        <w:t>In the CHNA/IS, the Applicant highlights social determinants of health for priority cohorts and should focus CHI planning and implementation efforts in these key areas to ensure selection of strategies that meet the CHI and Health Priority Guideline principles. This will help the Applicant and their Community Benefits Advisory Committee (CBAC) focus on the priority areas that allow for implementation at the root cause level. In the existing CHNA, these areas are economic stability, education, food insecurity and nutrition, neighborhood and built environment, including housing and transportation. The Applicant will work with its CBAC to select priorities and approve implementation strategies. DPH staff have determined that if the Applicant agrees to address community conditions and root causes while engaging in ongoing work with their CBAC, CHI investment will align appropriately with the Health Priorities Guideline.</w:t>
      </w:r>
    </w:p>
    <w:p w14:paraId="2F2E557D" w14:textId="77777777" w:rsidR="002B7110" w:rsidRPr="008440BF" w:rsidRDefault="002B7110" w:rsidP="002B7110">
      <w:pPr>
        <w:rPr>
          <w:rFonts w:asciiTheme="minorHAnsi" w:eastAsiaTheme="minorEastAsia" w:hAnsiTheme="minorHAnsi"/>
          <w:color w:val="000000" w:themeColor="text1"/>
        </w:rPr>
      </w:pPr>
    </w:p>
    <w:p w14:paraId="1F9279C6" w14:textId="651552D7" w:rsidR="002B7110" w:rsidRPr="008440BF" w:rsidRDefault="002B7110" w:rsidP="002B7110">
      <w:pPr>
        <w:rPr>
          <w:rStyle w:val="normaltextrun"/>
          <w:rFonts w:asciiTheme="minorHAnsi" w:eastAsiaTheme="minorEastAsia" w:hAnsiTheme="minorHAnsi"/>
          <w:color w:val="000000" w:themeColor="text1"/>
        </w:rPr>
      </w:pPr>
      <w:r w:rsidRPr="008440BF">
        <w:rPr>
          <w:rStyle w:val="normaltextrun"/>
          <w:rFonts w:asciiTheme="minorHAnsi" w:eastAsiaTheme="minorEastAsia" w:hAnsiTheme="minorHAnsi"/>
          <w:b/>
          <w:bCs/>
          <w:color w:val="000000" w:themeColor="text1"/>
        </w:rPr>
        <w:t>The Community Health Needs Assessment</w:t>
      </w:r>
      <w:r w:rsidRPr="008440BF">
        <w:rPr>
          <w:rStyle w:val="normaltextrun"/>
          <w:rFonts w:asciiTheme="minorHAnsi" w:eastAsiaTheme="minorEastAsia" w:hAnsiTheme="minorHAnsi"/>
          <w:color w:val="000000" w:themeColor="text1"/>
        </w:rPr>
        <w:t xml:space="preserve"> (CHNA) was released in 2022 and assessed the communities of Duxbury, Kingston, </w:t>
      </w:r>
      <w:r w:rsidR="004162DB" w:rsidRPr="008440BF">
        <w:rPr>
          <w:rStyle w:val="normaltextrun"/>
          <w:rFonts w:asciiTheme="minorHAnsi" w:eastAsiaTheme="minorEastAsia" w:hAnsiTheme="minorHAnsi"/>
          <w:color w:val="000000" w:themeColor="text1"/>
        </w:rPr>
        <w:t>Carver,</w:t>
      </w:r>
      <w:r w:rsidRPr="008440BF">
        <w:rPr>
          <w:rStyle w:val="normaltextrun"/>
          <w:rFonts w:asciiTheme="minorHAnsi" w:eastAsiaTheme="minorEastAsia" w:hAnsiTheme="minorHAnsi"/>
          <w:color w:val="000000" w:themeColor="text1"/>
        </w:rPr>
        <w:t xml:space="preserve"> and Plymouth. Collectively, these cities and towns reflect </w:t>
      </w:r>
      <w:r w:rsidRPr="008440BF">
        <w:rPr>
          <w:rStyle w:val="normaltextrun"/>
          <w:rFonts w:asciiTheme="minorHAnsi" w:eastAsiaTheme="minorEastAsia" w:hAnsiTheme="minorHAnsi"/>
          <w:color w:val="000000" w:themeColor="text1"/>
        </w:rPr>
        <w:lastRenderedPageBreak/>
        <w:t xml:space="preserve">diverse communities in terms of demographics (e.g., race, ethnicity, and age), socioeconomics (e.g., income, education, employment) and geography (e.g., </w:t>
      </w:r>
      <w:r w:rsidR="004162DB" w:rsidRPr="008440BF">
        <w:rPr>
          <w:rStyle w:val="normaltextrun"/>
          <w:rFonts w:asciiTheme="minorHAnsi" w:eastAsiaTheme="minorEastAsia" w:hAnsiTheme="minorHAnsi"/>
          <w:color w:val="000000" w:themeColor="text1"/>
        </w:rPr>
        <w:t>suburban,</w:t>
      </w:r>
      <w:r w:rsidRPr="008440BF">
        <w:rPr>
          <w:rStyle w:val="normaltextrun"/>
          <w:rFonts w:asciiTheme="minorHAnsi" w:eastAsiaTheme="minorEastAsia" w:hAnsiTheme="minorHAnsi"/>
          <w:color w:val="000000" w:themeColor="text1"/>
        </w:rPr>
        <w:t xml:space="preserve"> and semi-rural), which influences community needs. Using a health equity framework, the CHNA focused on better understanding the needs of underserved communities, including individuals who speak a language other than English, those who are in substance use recovery and those who experience barriers and disparities due to their race, ethnicity, gender identity, age, disability status or other personal characteristics. With a focus on community engagement, the CHNA analyzed primary and secondary quantitative and qualitative data capturing key demographics and social determinants of health. This process included community listening sessions, a community health survey, focus groups and key informant interviews. </w:t>
      </w:r>
    </w:p>
    <w:p w14:paraId="515660D8" w14:textId="77777777" w:rsidR="002B7110" w:rsidRPr="008440BF" w:rsidRDefault="002B7110" w:rsidP="002B7110">
      <w:pPr>
        <w:rPr>
          <w:rStyle w:val="normaltextrun"/>
          <w:rFonts w:asciiTheme="minorHAnsi" w:eastAsiaTheme="minorEastAsia" w:hAnsiTheme="minorHAnsi"/>
          <w:color w:val="000000" w:themeColor="text1"/>
        </w:rPr>
      </w:pPr>
    </w:p>
    <w:p w14:paraId="79CE15FB" w14:textId="1DBC7E04" w:rsidR="002B7110" w:rsidRPr="008440BF" w:rsidRDefault="002B7110" w:rsidP="002B7110">
      <w:pPr>
        <w:rPr>
          <w:rStyle w:val="normaltextrun"/>
          <w:rFonts w:asciiTheme="minorHAnsi" w:eastAsiaTheme="minorEastAsia" w:hAnsiTheme="minorHAnsi"/>
          <w:color w:val="000000" w:themeColor="text1"/>
        </w:rPr>
      </w:pPr>
      <w:r w:rsidRPr="008440BF">
        <w:rPr>
          <w:rStyle w:val="normaltextrun"/>
          <w:rFonts w:asciiTheme="minorHAnsi" w:eastAsiaTheme="minorEastAsia" w:hAnsiTheme="minorHAnsi"/>
          <w:color w:val="000000" w:themeColor="text1"/>
        </w:rPr>
        <w:t xml:space="preserve">Guided by the CHNA findings, the Applicant’s </w:t>
      </w:r>
      <w:r w:rsidRPr="008440BF">
        <w:rPr>
          <w:rStyle w:val="normaltextrun"/>
          <w:rFonts w:asciiTheme="minorHAnsi" w:eastAsiaTheme="minorEastAsia" w:hAnsiTheme="minorHAnsi"/>
          <w:b/>
          <w:bCs/>
          <w:color w:val="000000" w:themeColor="text1"/>
        </w:rPr>
        <w:t>2023-2025 Implementation Strategy</w:t>
      </w:r>
      <w:r w:rsidRPr="008440BF">
        <w:rPr>
          <w:rStyle w:val="normaltextrun"/>
          <w:rFonts w:asciiTheme="minorHAnsi" w:eastAsiaTheme="minorEastAsia" w:hAnsiTheme="minorHAnsi"/>
          <w:color w:val="000000" w:themeColor="text1"/>
        </w:rPr>
        <w:t xml:space="preserve"> (IS) health priority needs include equitable access to care, social determinants of health, mental health and substance use and complex and chronic conditions across the priority populations of young people, low resourced populations, older adults, individuals with disabilities and racially, </w:t>
      </w:r>
      <w:r w:rsidR="004162DB" w:rsidRPr="008440BF">
        <w:rPr>
          <w:rStyle w:val="normaltextrun"/>
          <w:rFonts w:asciiTheme="minorHAnsi" w:eastAsiaTheme="minorEastAsia" w:hAnsiTheme="minorHAnsi"/>
          <w:color w:val="000000" w:themeColor="text1"/>
        </w:rPr>
        <w:t>ethnically,</w:t>
      </w:r>
      <w:r w:rsidRPr="008440BF">
        <w:rPr>
          <w:rStyle w:val="normaltextrun"/>
          <w:rFonts w:asciiTheme="minorHAnsi" w:eastAsiaTheme="minorEastAsia" w:hAnsiTheme="minorHAnsi"/>
          <w:color w:val="000000" w:themeColor="text1"/>
        </w:rPr>
        <w:t xml:space="preserve"> and linguistically diverse populations.</w:t>
      </w:r>
    </w:p>
    <w:p w14:paraId="722E4461" w14:textId="77777777" w:rsidR="002B7110" w:rsidRPr="008440BF" w:rsidRDefault="002B7110" w:rsidP="002B7110">
      <w:pPr>
        <w:rPr>
          <w:rFonts w:asciiTheme="minorHAnsi" w:eastAsiaTheme="minorEastAsia" w:hAnsiTheme="minorHAnsi"/>
          <w:color w:val="000000" w:themeColor="text1"/>
        </w:rPr>
      </w:pPr>
    </w:p>
    <w:p w14:paraId="7402235D" w14:textId="77777777" w:rsidR="002B7110" w:rsidRPr="008440BF" w:rsidRDefault="002B7110" w:rsidP="002B7110">
      <w:pPr>
        <w:rPr>
          <w:rFonts w:asciiTheme="minorHAnsi" w:eastAsiaTheme="minorEastAsia" w:hAnsiTheme="minorHAnsi"/>
        </w:rPr>
      </w:pPr>
      <w:r w:rsidRPr="008440BF">
        <w:rPr>
          <w:rFonts w:asciiTheme="minorHAnsi" w:eastAsiaTheme="minorEastAsia" w:hAnsiTheme="minorHAnsi"/>
          <w:color w:val="000000" w:themeColor="text1"/>
        </w:rPr>
        <w:t>Using the CHNA/IS, the Applicant will engage its CHI Community Benefits Advisory Committee (CBAC) to select priorities and identify strategies for implementation with the funds associated with this proposed project.</w:t>
      </w:r>
    </w:p>
    <w:p w14:paraId="111396CE" w14:textId="77777777" w:rsidR="002B7110" w:rsidRPr="008440BF" w:rsidRDefault="002B7110" w:rsidP="002B7110">
      <w:pPr>
        <w:rPr>
          <w:rStyle w:val="normaltextrun"/>
          <w:rFonts w:asciiTheme="minorHAnsi" w:eastAsiaTheme="minorEastAsia" w:hAnsiTheme="minorHAnsi"/>
          <w:b/>
          <w:bCs/>
          <w:color w:val="000000" w:themeColor="text1"/>
        </w:rPr>
      </w:pPr>
    </w:p>
    <w:p w14:paraId="378D2598" w14:textId="77777777" w:rsidR="002B7110" w:rsidRPr="008440BF" w:rsidRDefault="002B7110" w:rsidP="002B7110">
      <w:pPr>
        <w:rPr>
          <w:rFonts w:asciiTheme="minorHAnsi" w:eastAsiaTheme="minorEastAsia" w:hAnsiTheme="minorHAnsi"/>
        </w:rPr>
      </w:pPr>
      <w:r w:rsidRPr="008440BF">
        <w:rPr>
          <w:rStyle w:val="normaltextrun"/>
          <w:rFonts w:asciiTheme="minorHAnsi" w:eastAsiaTheme="minorEastAsia" w:hAnsiTheme="minorHAnsi"/>
          <w:b/>
          <w:bCs/>
          <w:color w:val="000000" w:themeColor="text1"/>
        </w:rPr>
        <w:t xml:space="preserve">The Self-Assessment </w:t>
      </w:r>
      <w:r w:rsidRPr="008440BF">
        <w:rPr>
          <w:rFonts w:asciiTheme="minorHAnsi" w:eastAsiaTheme="minorEastAsia" w:hAnsiTheme="minorHAnsi"/>
          <w:color w:val="000000" w:themeColor="text1"/>
        </w:rPr>
        <w:t xml:space="preserve">provided a summary of community engagement processes and socio-demographic information, data and highlights related to topics and themes of community needs related to the existing CHNA and IS. Through primary data collection such as </w:t>
      </w:r>
      <w:r w:rsidRPr="008440BF">
        <w:rPr>
          <w:rStyle w:val="normaltextrun"/>
          <w:rFonts w:asciiTheme="minorHAnsi" w:eastAsiaTheme="minorEastAsia" w:hAnsiTheme="minorHAnsi"/>
          <w:color w:val="000000" w:themeColor="text1"/>
        </w:rPr>
        <w:t xml:space="preserve">community listening sessions, a community health survey, focus groups, key informant interviews </w:t>
      </w:r>
      <w:r w:rsidRPr="008440BF">
        <w:rPr>
          <w:rFonts w:asciiTheme="minorHAnsi" w:eastAsiaTheme="minorEastAsia" w:hAnsiTheme="minorHAnsi"/>
          <w:color w:val="000000" w:themeColor="text1"/>
        </w:rPr>
        <w:t xml:space="preserve">and data analysis, the Applicant and participating community partners identified the key needs outlined in the CHNA/IS. </w:t>
      </w:r>
    </w:p>
    <w:p w14:paraId="3CE7FA02" w14:textId="77777777" w:rsidR="002B7110" w:rsidRPr="008440BF" w:rsidRDefault="002B7110" w:rsidP="002B7110">
      <w:pPr>
        <w:rPr>
          <w:rFonts w:asciiTheme="minorHAnsi" w:eastAsiaTheme="minorEastAsia" w:hAnsiTheme="minorHAnsi"/>
          <w:b/>
          <w:bCs/>
          <w:color w:val="000000" w:themeColor="text1"/>
        </w:rPr>
      </w:pPr>
    </w:p>
    <w:p w14:paraId="2A6EE4A3" w14:textId="77777777" w:rsidR="002B7110" w:rsidRPr="008440BF" w:rsidRDefault="002B7110" w:rsidP="002B7110">
      <w:pPr>
        <w:rPr>
          <w:rFonts w:asciiTheme="minorHAnsi" w:eastAsiaTheme="minorEastAsia" w:hAnsiTheme="minorHAnsi"/>
        </w:rPr>
      </w:pPr>
      <w:r w:rsidRPr="008440BF">
        <w:rPr>
          <w:rFonts w:asciiTheme="minorHAnsi" w:eastAsiaTheme="minorEastAsia" w:hAnsiTheme="minorHAnsi"/>
          <w:b/>
          <w:bCs/>
          <w:color w:val="000000" w:themeColor="text1"/>
        </w:rPr>
        <w:t>Partner Assessments</w:t>
      </w:r>
      <w:r w:rsidRPr="008440BF">
        <w:rPr>
          <w:rFonts w:asciiTheme="minorHAnsi" w:eastAsiaTheme="minorEastAsia" w:hAnsiTheme="minorHAnsi"/>
          <w:color w:val="000000" w:themeColor="text1"/>
        </w:rPr>
        <w:t xml:space="preserve"> (formally known as Stakeholder Assessments) submitted provided information on the individuals’ engagement levels (e.g. their personal participation and role) and their analysis of how the Applicant engaged the community in community health improvement planning processes. The information provided in these forms were largely consistent with the self-assessment conducted by the Applicant.</w:t>
      </w:r>
    </w:p>
    <w:p w14:paraId="7B4606BF" w14:textId="77777777" w:rsidR="002B7110" w:rsidRPr="008440BF" w:rsidRDefault="002B7110" w:rsidP="002B7110">
      <w:pPr>
        <w:rPr>
          <w:rFonts w:asciiTheme="minorHAnsi" w:eastAsiaTheme="minorEastAsia" w:hAnsiTheme="minorHAnsi"/>
          <w:b/>
          <w:bCs/>
          <w:color w:val="000000" w:themeColor="text1"/>
        </w:rPr>
      </w:pPr>
    </w:p>
    <w:p w14:paraId="487DBCCE" w14:textId="7B13B5B3" w:rsidR="002B7110" w:rsidRPr="008440BF" w:rsidRDefault="002B7110" w:rsidP="002B7110">
      <w:pPr>
        <w:rPr>
          <w:rFonts w:asciiTheme="minorHAnsi" w:eastAsiaTheme="minorEastAsia" w:hAnsiTheme="minorHAnsi"/>
          <w:color w:val="000000" w:themeColor="text1"/>
        </w:rPr>
      </w:pPr>
      <w:r w:rsidRPr="008440BF">
        <w:rPr>
          <w:rFonts w:asciiTheme="minorHAnsi" w:eastAsiaTheme="minorEastAsia" w:hAnsiTheme="minorHAnsi"/>
          <w:b/>
          <w:bCs/>
          <w:color w:val="000000" w:themeColor="text1"/>
        </w:rPr>
        <w:t>The CHI Narrative</w:t>
      </w:r>
      <w:r w:rsidRPr="008440BF">
        <w:rPr>
          <w:rFonts w:asciiTheme="minorHAnsi" w:eastAsiaTheme="minorEastAsia" w:hAnsiTheme="minorHAnsi"/>
          <w:color w:val="000000" w:themeColor="text1"/>
        </w:rPr>
        <w:t xml:space="preserve"> provided background and overview information for the CHI processes. The narrative also outlines advisory duties for the CBAC, and planned use of funding for evaluation and administrative activities. Additionally, the narrative outlines the CHI funds breakdown and the anticipated timeline for CHI activities. With the administrative funds, the applicant’s early plans are to develop and disseminate communication materials and support participation through meeting promotion and engagement barrier reduction activities. The timeline, RFP processes, and use of evaluation and administrative funds are all appropriate and in line with CHI planning guidelines.   </w:t>
      </w:r>
    </w:p>
    <w:p w14:paraId="1AC10893" w14:textId="77777777" w:rsidR="002B7110" w:rsidRPr="008440BF" w:rsidRDefault="002B7110" w:rsidP="002B7110">
      <w:pPr>
        <w:rPr>
          <w:rFonts w:asciiTheme="minorHAnsi" w:eastAsiaTheme="minorEastAsia" w:hAnsiTheme="minorHAnsi"/>
          <w:color w:val="000000" w:themeColor="text1"/>
        </w:rPr>
      </w:pPr>
    </w:p>
    <w:p w14:paraId="7A72ABCB" w14:textId="3C8B8889" w:rsidR="002B7110" w:rsidRPr="008440BF" w:rsidRDefault="002B7110" w:rsidP="002B7110">
      <w:pPr>
        <w:rPr>
          <w:rStyle w:val="normaltextrun"/>
          <w:rFonts w:asciiTheme="minorHAnsi" w:eastAsiaTheme="minorEastAsia" w:hAnsiTheme="minorHAnsi"/>
          <w:color w:val="000000" w:themeColor="text1"/>
        </w:rPr>
      </w:pPr>
      <w:r w:rsidRPr="008440BF">
        <w:rPr>
          <w:rStyle w:val="normaltextrun"/>
          <w:rFonts w:asciiTheme="minorHAnsi" w:eastAsiaTheme="minorEastAsia" w:hAnsiTheme="minorHAnsi"/>
          <w:b/>
          <w:bCs/>
          <w:i/>
          <w:iCs/>
          <w:color w:val="000000" w:themeColor="text1"/>
        </w:rPr>
        <w:t>Analysis</w:t>
      </w:r>
      <w:r w:rsidRPr="008440BF">
        <w:rPr>
          <w:rStyle w:val="normaltextrun"/>
          <w:rFonts w:asciiTheme="minorHAnsi" w:eastAsiaTheme="minorEastAsia" w:hAnsiTheme="minorHAnsi"/>
          <w:b/>
          <w:bCs/>
          <w:color w:val="000000" w:themeColor="text1"/>
        </w:rPr>
        <w:t>:</w:t>
      </w:r>
      <w:r w:rsidRPr="008440BF">
        <w:rPr>
          <w:rStyle w:val="normaltextrun"/>
          <w:rFonts w:asciiTheme="minorHAnsi" w:eastAsiaTheme="minorEastAsia" w:hAnsiTheme="minorHAnsi"/>
          <w:color w:val="000000" w:themeColor="text1"/>
        </w:rPr>
        <w:t xml:space="preserve"> As a result of information provided by the Applicant and additional analysis, staff finds that with the conditions outlined below, and the ongoing communication on items for improvement outlined above, the Applicant will have demonstrated that the Proposed Project has met Factor 6.   </w:t>
      </w:r>
    </w:p>
    <w:p w14:paraId="5C707AAC" w14:textId="77777777" w:rsidR="003A7B86" w:rsidRPr="008440BF" w:rsidRDefault="003A7B86" w:rsidP="008917DC">
      <w:pPr>
        <w:pStyle w:val="Heading1"/>
        <w:ind w:left="0"/>
        <w:rPr>
          <w:rFonts w:asciiTheme="minorHAnsi" w:hAnsiTheme="minorHAnsi"/>
          <w:color w:val="1F497D" w:themeColor="text2"/>
          <w:highlight w:val="yellow"/>
        </w:rPr>
      </w:pPr>
    </w:p>
    <w:p w14:paraId="5DD29CEB" w14:textId="473A2445" w:rsidR="00B447F3" w:rsidRPr="008440BF" w:rsidRDefault="00A4110F" w:rsidP="008917DC">
      <w:pPr>
        <w:pStyle w:val="Heading1"/>
        <w:ind w:left="0"/>
        <w:rPr>
          <w:rFonts w:asciiTheme="minorHAnsi" w:hAnsiTheme="minorHAnsi"/>
          <w:color w:val="1F497D" w:themeColor="text2"/>
        </w:rPr>
      </w:pPr>
      <w:bookmarkStart w:id="35" w:name="_Toc166249388"/>
      <w:r w:rsidRPr="008440BF">
        <w:rPr>
          <w:rFonts w:asciiTheme="minorHAnsi" w:hAnsiTheme="minorHAnsi"/>
          <w:color w:val="1F497D" w:themeColor="text2"/>
        </w:rPr>
        <w:t>Findings and Recommendations</w:t>
      </w:r>
      <w:bookmarkEnd w:id="35"/>
    </w:p>
    <w:p w14:paraId="73DAD46F" w14:textId="286A3DD2" w:rsidR="00B447F3" w:rsidRPr="008440BF" w:rsidRDefault="00A4110F" w:rsidP="6ACB936F">
      <w:pPr>
        <w:pStyle w:val="BodyText"/>
        <w:ind w:right="226"/>
        <w:rPr>
          <w:rFonts w:asciiTheme="minorHAnsi" w:hAnsiTheme="minorHAnsi"/>
        </w:rPr>
      </w:pPr>
      <w:r w:rsidRPr="008440BF">
        <w:rPr>
          <w:rFonts w:asciiTheme="minorHAnsi" w:hAnsiTheme="minorHAnsi"/>
        </w:rPr>
        <w:t>Based upon a review of the materials submitted, Staff finds that</w:t>
      </w:r>
      <w:r w:rsidR="003D18E7" w:rsidRPr="008440BF">
        <w:rPr>
          <w:rFonts w:asciiTheme="minorHAnsi" w:hAnsiTheme="minorHAnsi"/>
        </w:rPr>
        <w:t xml:space="preserve"> </w:t>
      </w:r>
      <w:r w:rsidRPr="008440BF">
        <w:rPr>
          <w:rFonts w:asciiTheme="minorHAnsi" w:hAnsiTheme="minorHAnsi"/>
        </w:rPr>
        <w:t xml:space="preserve">the Applicant has met each DoN Factor for the Proposed </w:t>
      </w:r>
      <w:r w:rsidR="3A1D917F" w:rsidRPr="008440BF">
        <w:rPr>
          <w:rFonts w:asciiTheme="minorHAnsi" w:hAnsiTheme="minorHAnsi"/>
        </w:rPr>
        <w:t>Project and</w:t>
      </w:r>
      <w:r w:rsidRPr="008440BF">
        <w:rPr>
          <w:rFonts w:asciiTheme="minorHAnsi" w:hAnsiTheme="minorHAnsi"/>
        </w:rPr>
        <w:t xml:space="preserve"> recommends that the Department approve this Determination of Need, subject to all applicable Standard and Other Conditions.</w:t>
      </w:r>
    </w:p>
    <w:p w14:paraId="0F684301" w14:textId="77777777" w:rsidR="00A23170" w:rsidRPr="008440BF" w:rsidRDefault="00A23170" w:rsidP="6ACB936F">
      <w:pPr>
        <w:pStyle w:val="BodyText"/>
        <w:ind w:right="226"/>
        <w:rPr>
          <w:rFonts w:asciiTheme="minorHAnsi" w:hAnsiTheme="minorHAnsi"/>
          <w:highlight w:val="yellow"/>
        </w:rPr>
      </w:pPr>
    </w:p>
    <w:p w14:paraId="0CD23462" w14:textId="382C4B1D" w:rsidR="00B447F3" w:rsidRPr="008440BF" w:rsidRDefault="00A4110F" w:rsidP="306DA086">
      <w:pPr>
        <w:pStyle w:val="Heading1"/>
        <w:spacing w:before="184"/>
        <w:ind w:left="0"/>
        <w:rPr>
          <w:rFonts w:asciiTheme="minorHAnsi" w:hAnsiTheme="minorHAnsi"/>
        </w:rPr>
      </w:pPr>
      <w:bookmarkStart w:id="36" w:name="Other_Conditions"/>
      <w:bookmarkStart w:id="37" w:name="_Toc166249389"/>
      <w:bookmarkEnd w:id="36"/>
      <w:r w:rsidRPr="306DA086">
        <w:rPr>
          <w:rFonts w:asciiTheme="minorHAnsi" w:hAnsiTheme="minorHAnsi"/>
          <w:color w:val="42558C"/>
        </w:rPr>
        <w:t>Other Conditions</w:t>
      </w:r>
      <w:bookmarkEnd w:id="37"/>
    </w:p>
    <w:p w14:paraId="1267DFAD" w14:textId="134F08F4" w:rsidR="002D4546" w:rsidRPr="008440BF" w:rsidRDefault="002D4546">
      <w:pPr>
        <w:rPr>
          <w:rFonts w:asciiTheme="minorHAnsi" w:hAnsiTheme="minorHAnsi"/>
          <w:highlight w:val="yellow"/>
        </w:rPr>
      </w:pPr>
    </w:p>
    <w:p w14:paraId="327AA8C5" w14:textId="77777777" w:rsidR="00A23170" w:rsidRPr="008440BF" w:rsidRDefault="00A23170" w:rsidP="00A23170">
      <w:pPr>
        <w:pStyle w:val="ListParagraph"/>
        <w:widowControl/>
        <w:numPr>
          <w:ilvl w:val="0"/>
          <w:numId w:val="41"/>
        </w:numPr>
        <w:autoSpaceDE/>
        <w:autoSpaceDN/>
        <w:contextualSpacing/>
        <w:rPr>
          <w:rStyle w:val="normaltextrun"/>
          <w:rFonts w:asciiTheme="minorHAnsi" w:eastAsiaTheme="minorEastAsia" w:hAnsiTheme="minorHAnsi"/>
          <w:color w:val="000000" w:themeColor="text1"/>
        </w:rPr>
      </w:pPr>
      <w:r w:rsidRPr="008440BF">
        <w:rPr>
          <w:rStyle w:val="normaltextrun"/>
          <w:rFonts w:asciiTheme="minorHAnsi" w:eastAsiaTheme="minorEastAsia" w:hAnsiTheme="minorHAnsi"/>
          <w:color w:val="000000" w:themeColor="text1"/>
        </w:rPr>
        <w:t>Of the total required CHI contribution of $817,450.55</w:t>
      </w:r>
    </w:p>
    <w:p w14:paraId="26A9574C" w14:textId="77777777" w:rsidR="00A23170" w:rsidRPr="008440BF" w:rsidRDefault="00A23170" w:rsidP="00A23170">
      <w:pPr>
        <w:pStyle w:val="ListParagraph"/>
        <w:widowControl/>
        <w:numPr>
          <w:ilvl w:val="1"/>
          <w:numId w:val="41"/>
        </w:numPr>
        <w:autoSpaceDE/>
        <w:autoSpaceDN/>
        <w:contextualSpacing/>
        <w:rPr>
          <w:rFonts w:asciiTheme="minorHAnsi" w:eastAsiaTheme="minorEastAsia" w:hAnsiTheme="minorHAnsi"/>
          <w:color w:val="000000" w:themeColor="text1"/>
        </w:rPr>
      </w:pPr>
      <w:r w:rsidRPr="008440BF">
        <w:rPr>
          <w:rFonts w:asciiTheme="minorHAnsi" w:eastAsiaTheme="minorEastAsia" w:hAnsiTheme="minorHAnsi"/>
          <w:color w:val="000000" w:themeColor="text1"/>
        </w:rPr>
        <w:t>$198,231.76 will be directed to the CHI Statewide Initiative.</w:t>
      </w:r>
    </w:p>
    <w:p w14:paraId="4986CE42" w14:textId="77777777" w:rsidR="00A23170" w:rsidRPr="008440BF" w:rsidRDefault="00A23170" w:rsidP="00A23170">
      <w:pPr>
        <w:pStyle w:val="ListParagraph"/>
        <w:widowControl/>
        <w:numPr>
          <w:ilvl w:val="1"/>
          <w:numId w:val="41"/>
        </w:numPr>
        <w:autoSpaceDE/>
        <w:autoSpaceDN/>
        <w:contextualSpacing/>
        <w:rPr>
          <w:rFonts w:asciiTheme="minorHAnsi" w:eastAsiaTheme="minorEastAsia" w:hAnsiTheme="minorHAnsi"/>
          <w:color w:val="000000" w:themeColor="text1"/>
        </w:rPr>
      </w:pPr>
      <w:r w:rsidRPr="008440BF">
        <w:rPr>
          <w:rFonts w:asciiTheme="minorHAnsi" w:eastAsiaTheme="minorEastAsia" w:hAnsiTheme="minorHAnsi"/>
          <w:color w:val="000000" w:themeColor="text1"/>
        </w:rPr>
        <w:t>$594,695.27 will be dedicated to local approaches to the DoN Health Priorities.  </w:t>
      </w:r>
    </w:p>
    <w:p w14:paraId="53A39709" w14:textId="77777777" w:rsidR="00A23170" w:rsidRPr="008440BF" w:rsidRDefault="00A23170" w:rsidP="00A23170">
      <w:pPr>
        <w:pStyle w:val="ListParagraph"/>
        <w:widowControl/>
        <w:numPr>
          <w:ilvl w:val="1"/>
          <w:numId w:val="41"/>
        </w:numPr>
        <w:autoSpaceDE/>
        <w:autoSpaceDN/>
        <w:contextualSpacing/>
        <w:rPr>
          <w:rFonts w:asciiTheme="minorHAnsi" w:eastAsiaTheme="minorEastAsia" w:hAnsiTheme="minorHAnsi"/>
          <w:color w:val="000000" w:themeColor="text1"/>
        </w:rPr>
      </w:pPr>
      <w:r w:rsidRPr="008440BF">
        <w:rPr>
          <w:rFonts w:asciiTheme="minorHAnsi" w:eastAsiaTheme="minorEastAsia" w:hAnsiTheme="minorHAnsi"/>
          <w:color w:val="000000" w:themeColor="text1"/>
        </w:rPr>
        <w:t>$24,523.52 will be designated as the administrative fee. </w:t>
      </w:r>
    </w:p>
    <w:p w14:paraId="45E62509" w14:textId="77777777" w:rsidR="00A23170" w:rsidRPr="008440BF" w:rsidRDefault="00A23170" w:rsidP="00A23170">
      <w:pPr>
        <w:rPr>
          <w:rFonts w:asciiTheme="minorHAnsi" w:eastAsiaTheme="minorEastAsia" w:hAnsiTheme="minorHAnsi"/>
          <w:color w:val="000000" w:themeColor="text1"/>
        </w:rPr>
      </w:pPr>
    </w:p>
    <w:p w14:paraId="2927B246" w14:textId="77777777" w:rsidR="00A23170" w:rsidRPr="008440BF" w:rsidRDefault="00A23170" w:rsidP="00A23170">
      <w:pPr>
        <w:pStyle w:val="ListParagraph"/>
        <w:widowControl/>
        <w:numPr>
          <w:ilvl w:val="0"/>
          <w:numId w:val="41"/>
        </w:numPr>
        <w:autoSpaceDE/>
        <w:autoSpaceDN/>
        <w:contextualSpacing/>
        <w:rPr>
          <w:rFonts w:asciiTheme="minorHAnsi" w:eastAsiaTheme="minorEastAsia" w:hAnsiTheme="minorHAnsi"/>
          <w:color w:val="000000" w:themeColor="text1"/>
        </w:rPr>
      </w:pPr>
      <w:r w:rsidRPr="008440BF">
        <w:rPr>
          <w:rStyle w:val="normaltextrun"/>
          <w:rFonts w:asciiTheme="minorHAnsi" w:eastAsiaTheme="minorEastAsia" w:hAnsiTheme="minorHAnsi"/>
          <w:color w:val="000000" w:themeColor="text1"/>
        </w:rPr>
        <w:t xml:space="preserve">To comply with the Holder’s obligation to contribute to the CHI Statewide Initiative, the Holder must submit a check for $198,231.76 to Health Resources in Action (the fiscal agent for the CHI Statewide Initiative) </w:t>
      </w:r>
      <w:r w:rsidRPr="008440BF">
        <w:rPr>
          <w:rStyle w:val="normaltextrun"/>
          <w:rFonts w:asciiTheme="minorHAnsi" w:eastAsiaTheme="minorEastAsia" w:hAnsiTheme="minorHAnsi"/>
          <w:b/>
          <w:bCs/>
          <w:color w:val="000000" w:themeColor="text1"/>
        </w:rPr>
        <w:t>within 30 days</w:t>
      </w:r>
      <w:r w:rsidRPr="008440BF">
        <w:rPr>
          <w:rStyle w:val="normaltextrun"/>
          <w:rFonts w:asciiTheme="minorHAnsi" w:eastAsiaTheme="minorEastAsia" w:hAnsiTheme="minorHAnsi"/>
          <w:color w:val="000000" w:themeColor="text1"/>
        </w:rPr>
        <w:t xml:space="preserve"> from the date of the Notice of Approval.  </w:t>
      </w:r>
    </w:p>
    <w:p w14:paraId="72EEDF66" w14:textId="77777777" w:rsidR="00A23170" w:rsidRPr="008440BF" w:rsidRDefault="00A23170" w:rsidP="00A23170">
      <w:pPr>
        <w:pStyle w:val="ListParagraph"/>
        <w:widowControl/>
        <w:numPr>
          <w:ilvl w:val="1"/>
          <w:numId w:val="41"/>
        </w:numPr>
        <w:autoSpaceDE/>
        <w:autoSpaceDN/>
        <w:contextualSpacing/>
        <w:rPr>
          <w:rFonts w:asciiTheme="minorHAnsi" w:eastAsiaTheme="minorEastAsia" w:hAnsiTheme="minorHAnsi"/>
          <w:color w:val="000000" w:themeColor="text1"/>
        </w:rPr>
      </w:pPr>
      <w:r w:rsidRPr="008440BF">
        <w:rPr>
          <w:rFonts w:asciiTheme="minorHAnsi" w:eastAsiaTheme="minorEastAsia" w:hAnsiTheme="minorHAnsi"/>
          <w:color w:val="000000" w:themeColor="text1"/>
        </w:rPr>
        <w:t>Payments should be made out to:</w:t>
      </w:r>
    </w:p>
    <w:p w14:paraId="50FD4031" w14:textId="77777777" w:rsidR="00A23170" w:rsidRPr="008440BF" w:rsidRDefault="00A23170" w:rsidP="00A23170">
      <w:pPr>
        <w:ind w:left="2160"/>
        <w:rPr>
          <w:rFonts w:asciiTheme="minorHAnsi" w:eastAsiaTheme="minorEastAsia" w:hAnsiTheme="minorHAnsi"/>
          <w:color w:val="000000" w:themeColor="text1"/>
        </w:rPr>
      </w:pPr>
      <w:r w:rsidRPr="008440BF">
        <w:rPr>
          <w:rFonts w:asciiTheme="minorHAnsi" w:eastAsiaTheme="minorEastAsia" w:hAnsiTheme="minorHAnsi"/>
          <w:color w:val="000000" w:themeColor="text1"/>
        </w:rPr>
        <w:t xml:space="preserve">Health Resources in Action, Inc. (HRiA) </w:t>
      </w:r>
    </w:p>
    <w:p w14:paraId="1E94869F" w14:textId="77777777" w:rsidR="00A23170" w:rsidRPr="008440BF" w:rsidRDefault="00A23170" w:rsidP="00A23170">
      <w:pPr>
        <w:ind w:left="2160"/>
        <w:rPr>
          <w:rFonts w:asciiTheme="minorHAnsi" w:eastAsiaTheme="minorEastAsia" w:hAnsiTheme="minorHAnsi"/>
          <w:color w:val="000000" w:themeColor="text1"/>
        </w:rPr>
      </w:pPr>
      <w:r w:rsidRPr="008440BF">
        <w:rPr>
          <w:rFonts w:asciiTheme="minorHAnsi" w:eastAsiaTheme="minorEastAsia" w:hAnsiTheme="minorHAnsi"/>
          <w:color w:val="000000" w:themeColor="text1"/>
        </w:rPr>
        <w:t xml:space="preserve">2 Boylston Street, 4th Floor </w:t>
      </w:r>
    </w:p>
    <w:p w14:paraId="42FD4E0A" w14:textId="77777777" w:rsidR="00A23170" w:rsidRPr="008440BF" w:rsidRDefault="00A23170" w:rsidP="00A23170">
      <w:pPr>
        <w:ind w:left="2160"/>
        <w:rPr>
          <w:rFonts w:asciiTheme="minorHAnsi" w:eastAsiaTheme="minorEastAsia" w:hAnsiTheme="minorHAnsi"/>
          <w:color w:val="000000" w:themeColor="text1"/>
        </w:rPr>
      </w:pPr>
      <w:r w:rsidRPr="008440BF">
        <w:rPr>
          <w:rFonts w:asciiTheme="minorHAnsi" w:eastAsiaTheme="minorEastAsia" w:hAnsiTheme="minorHAnsi"/>
          <w:color w:val="000000" w:themeColor="text1"/>
        </w:rPr>
        <w:t xml:space="preserve">Boston, MA 02116 Attn: MACHHAF c/o Bora Toro </w:t>
      </w:r>
    </w:p>
    <w:p w14:paraId="0AA7AC07" w14:textId="566253E6" w:rsidR="00A23170" w:rsidRPr="008440BF" w:rsidRDefault="00A23170" w:rsidP="00A23170">
      <w:pPr>
        <w:ind w:left="2160"/>
        <w:rPr>
          <w:rFonts w:asciiTheme="minorHAnsi" w:eastAsiaTheme="minorEastAsia" w:hAnsiTheme="minorHAnsi"/>
          <w:color w:val="000000" w:themeColor="text1"/>
        </w:rPr>
      </w:pPr>
      <w:r w:rsidRPr="008440BF">
        <w:rPr>
          <w:rFonts w:asciiTheme="minorHAnsi" w:eastAsiaTheme="minorEastAsia" w:hAnsiTheme="minorHAnsi"/>
          <w:color w:val="000000" w:themeColor="text1"/>
        </w:rPr>
        <w:t xml:space="preserve">DoN project #: </w:t>
      </w:r>
      <w:r w:rsidRPr="008440BF">
        <w:rPr>
          <w:rFonts w:asciiTheme="minorHAnsi" w:hAnsiTheme="minorHAnsi"/>
          <w:szCs w:val="24"/>
        </w:rPr>
        <w:t>22062915-AS</w:t>
      </w:r>
    </w:p>
    <w:p w14:paraId="5D7F4C94" w14:textId="77777777" w:rsidR="00A23170" w:rsidRPr="008440BF" w:rsidRDefault="00A23170" w:rsidP="00A23170">
      <w:pPr>
        <w:ind w:left="2160"/>
        <w:rPr>
          <w:rFonts w:asciiTheme="minorHAnsi" w:eastAsiaTheme="minorEastAsia" w:hAnsiTheme="minorHAnsi"/>
          <w:color w:val="000000" w:themeColor="text1"/>
        </w:rPr>
      </w:pPr>
    </w:p>
    <w:p w14:paraId="77A9A0E7" w14:textId="77777777" w:rsidR="00A23170" w:rsidRPr="008440BF" w:rsidRDefault="00A23170" w:rsidP="00A23170">
      <w:pPr>
        <w:pStyle w:val="ListParagraph"/>
        <w:widowControl/>
        <w:numPr>
          <w:ilvl w:val="1"/>
          <w:numId w:val="41"/>
        </w:numPr>
        <w:autoSpaceDE/>
        <w:autoSpaceDN/>
        <w:contextualSpacing/>
        <w:rPr>
          <w:rFonts w:asciiTheme="minorHAnsi" w:eastAsiaTheme="minorEastAsia" w:hAnsiTheme="minorHAnsi"/>
          <w:color w:val="000000" w:themeColor="text1"/>
        </w:rPr>
      </w:pPr>
      <w:r w:rsidRPr="008440BF">
        <w:rPr>
          <w:rFonts w:asciiTheme="minorHAnsi" w:eastAsiaTheme="minorEastAsia" w:hAnsiTheme="minorHAnsi"/>
          <w:color w:val="000000" w:themeColor="text1"/>
        </w:rPr>
        <w:t>Please send a PDF image of the check or</w:t>
      </w:r>
      <w:r w:rsidRPr="008440BF">
        <w:rPr>
          <w:rFonts w:asciiTheme="minorHAnsi" w:eastAsiaTheme="minorEastAsia" w:hAnsiTheme="minorHAnsi"/>
          <w:b/>
          <w:bCs/>
          <w:color w:val="000000" w:themeColor="text1"/>
        </w:rPr>
        <w:t xml:space="preserve"> confirmation of payment</w:t>
      </w:r>
      <w:r w:rsidRPr="008440BF">
        <w:rPr>
          <w:rFonts w:asciiTheme="minorHAnsi" w:eastAsiaTheme="minorEastAsia" w:hAnsiTheme="minorHAnsi"/>
          <w:color w:val="000000" w:themeColor="text1"/>
        </w:rPr>
        <w:t xml:space="preserve"> to </w:t>
      </w:r>
      <w:hyperlink r:id="rId14">
        <w:r w:rsidRPr="008440BF">
          <w:rPr>
            <w:rStyle w:val="Hyperlink"/>
            <w:rFonts w:asciiTheme="minorHAnsi" w:eastAsiaTheme="minorEastAsia" w:hAnsiTheme="minorHAnsi"/>
          </w:rPr>
          <w:t>DONCHI@Mass.gov</w:t>
        </w:r>
      </w:hyperlink>
      <w:r w:rsidRPr="008440BF">
        <w:rPr>
          <w:rFonts w:asciiTheme="minorHAnsi" w:eastAsiaTheme="minorEastAsia" w:hAnsiTheme="minorHAnsi"/>
          <w:color w:val="000000" w:themeColor="text1"/>
        </w:rPr>
        <w:t xml:space="preserve"> and </w:t>
      </w:r>
      <w:hyperlink r:id="rId15">
        <w:r w:rsidRPr="008440BF">
          <w:rPr>
            <w:rStyle w:val="Hyperlink"/>
            <w:rFonts w:asciiTheme="minorHAnsi" w:eastAsiaTheme="minorEastAsia" w:hAnsiTheme="minorHAnsi"/>
            <w:lang w:val="fr-FR"/>
          </w:rPr>
          <w:t>dongrants@hria.org</w:t>
        </w:r>
      </w:hyperlink>
    </w:p>
    <w:p w14:paraId="418EC7A3" w14:textId="77777777" w:rsidR="00A23170" w:rsidRPr="008440BF" w:rsidRDefault="00A23170" w:rsidP="00A23170">
      <w:pPr>
        <w:rPr>
          <w:rFonts w:asciiTheme="minorHAnsi" w:eastAsiaTheme="minorEastAsia" w:hAnsiTheme="minorHAnsi"/>
          <w:color w:val="000000" w:themeColor="text1"/>
        </w:rPr>
      </w:pPr>
    </w:p>
    <w:p w14:paraId="1D8D8CA9" w14:textId="77777777" w:rsidR="00A23170" w:rsidRPr="008440BF" w:rsidRDefault="00A23170" w:rsidP="00CD6D39">
      <w:pPr>
        <w:widowControl/>
        <w:autoSpaceDE/>
        <w:autoSpaceDN/>
        <w:contextualSpacing/>
        <w:rPr>
          <w:rFonts w:asciiTheme="minorHAnsi" w:eastAsiaTheme="minorEastAsia" w:hAnsiTheme="minorHAnsi"/>
          <w:color w:val="000000" w:themeColor="text1"/>
        </w:rPr>
      </w:pPr>
      <w:r w:rsidRPr="141D870C">
        <w:rPr>
          <w:rFonts w:asciiTheme="minorHAnsi" w:eastAsiaTheme="minorEastAsia" w:hAnsiTheme="minorHAnsi"/>
          <w:color w:val="000000" w:themeColor="text1"/>
        </w:rPr>
        <w:t xml:space="preserve">If you should have any questions or concerns regarding the payment, please contact the CHI team at </w:t>
      </w:r>
      <w:hyperlink r:id="rId16">
        <w:r w:rsidRPr="141D870C">
          <w:rPr>
            <w:rStyle w:val="Hyperlink"/>
            <w:rFonts w:asciiTheme="minorHAnsi" w:eastAsiaTheme="minorEastAsia" w:hAnsiTheme="minorHAnsi"/>
          </w:rPr>
          <w:t>DONCHI@Mass.gov</w:t>
        </w:r>
      </w:hyperlink>
      <w:r w:rsidRPr="141D870C">
        <w:rPr>
          <w:rFonts w:asciiTheme="minorHAnsi" w:eastAsiaTheme="minorEastAsia" w:hAnsiTheme="minorHAnsi"/>
          <w:color w:val="000000" w:themeColor="text1"/>
        </w:rPr>
        <w:t>.</w:t>
      </w:r>
    </w:p>
    <w:p w14:paraId="5DBDB94A" w14:textId="318ABCD3" w:rsidR="00591136" w:rsidRPr="008440BF" w:rsidRDefault="00591136" w:rsidP="141D870C">
      <w:pPr>
        <w:rPr>
          <w:rFonts w:asciiTheme="minorHAnsi" w:hAnsiTheme="minorHAnsi"/>
          <w:highlight w:val="yellow"/>
        </w:rPr>
      </w:pPr>
    </w:p>
    <w:p w14:paraId="20DF5C77" w14:textId="796FE032" w:rsidR="00A23170" w:rsidRPr="00DB1B0B" w:rsidRDefault="436F1A3B" w:rsidP="00CD6D39">
      <w:pPr>
        <w:pStyle w:val="ListParagraph"/>
        <w:numPr>
          <w:ilvl w:val="0"/>
          <w:numId w:val="41"/>
        </w:numPr>
        <w:rPr>
          <w:rFonts w:asciiTheme="minorHAnsi" w:eastAsia="Calibri" w:hAnsiTheme="minorHAnsi"/>
          <w:szCs w:val="24"/>
        </w:rPr>
      </w:pPr>
      <w:r w:rsidRPr="00DB1B0B">
        <w:rPr>
          <w:rFonts w:asciiTheme="minorHAnsi" w:eastAsia="Times New Roman" w:hAnsiTheme="minorHAnsi"/>
          <w:color w:val="000000" w:themeColor="text1"/>
          <w:szCs w:val="24"/>
        </w:rPr>
        <w:t>In addition to BILH ASC’s obligation to participate in MassHealth, pursuant to 105 CMR 100.310(11), the Holder must certify annually that all physicians and health professionals who practice at the facility are enrolled as participating providers of MassHealth to support equitable access to all clinicians at the facility regardless of payer</w:t>
      </w:r>
      <w:r w:rsidR="00DB1B0B" w:rsidRPr="00DB1B0B">
        <w:rPr>
          <w:rFonts w:asciiTheme="minorHAnsi" w:eastAsia="Times New Roman" w:hAnsiTheme="minorHAnsi"/>
          <w:color w:val="000000" w:themeColor="text1"/>
          <w:szCs w:val="24"/>
        </w:rPr>
        <w:t>.</w:t>
      </w:r>
    </w:p>
    <w:p w14:paraId="43A5BB6E" w14:textId="3D91CE69" w:rsidR="00A23170" w:rsidRDefault="5383F2E9" w:rsidP="00CD6D39">
      <w:pPr>
        <w:pStyle w:val="ListParagraph"/>
        <w:numPr>
          <w:ilvl w:val="0"/>
          <w:numId w:val="41"/>
        </w:numPr>
        <w:spacing w:before="240" w:after="240"/>
        <w:rPr>
          <w:rFonts w:asciiTheme="minorHAnsi" w:eastAsia="Times New Roman" w:hAnsiTheme="minorHAnsi"/>
          <w:color w:val="000000" w:themeColor="text1"/>
          <w:szCs w:val="24"/>
        </w:rPr>
      </w:pPr>
      <w:r w:rsidRPr="006C3E81">
        <w:rPr>
          <w:rFonts w:asciiTheme="minorHAnsi" w:eastAsia="Times New Roman" w:hAnsiTheme="minorHAnsi"/>
          <w:color w:val="000000" w:themeColor="text1"/>
          <w:szCs w:val="24"/>
        </w:rPr>
        <w:t xml:space="preserve">In order to support equitable access to BILH’s services, the </w:t>
      </w:r>
      <w:r w:rsidR="00DA3DCA">
        <w:rPr>
          <w:rFonts w:asciiTheme="minorHAnsi" w:eastAsia="Times New Roman" w:hAnsiTheme="minorHAnsi"/>
          <w:color w:val="000000" w:themeColor="text1"/>
          <w:szCs w:val="24"/>
        </w:rPr>
        <w:t>Holder</w:t>
      </w:r>
      <w:r w:rsidR="00DA3DCA" w:rsidRPr="006C3E81">
        <w:rPr>
          <w:rFonts w:asciiTheme="minorHAnsi" w:eastAsia="Times New Roman" w:hAnsiTheme="minorHAnsi"/>
          <w:color w:val="000000" w:themeColor="text1"/>
          <w:szCs w:val="24"/>
        </w:rPr>
        <w:t xml:space="preserve"> </w:t>
      </w:r>
      <w:r w:rsidR="14620BF4" w:rsidRPr="006C3E81">
        <w:rPr>
          <w:rFonts w:asciiTheme="minorHAnsi" w:eastAsia="Times New Roman" w:hAnsiTheme="minorHAnsi"/>
          <w:color w:val="000000" w:themeColor="text1"/>
          <w:szCs w:val="24"/>
        </w:rPr>
        <w:t xml:space="preserve">will report on </w:t>
      </w:r>
      <w:r w:rsidRPr="006C3E81">
        <w:rPr>
          <w:rFonts w:asciiTheme="minorHAnsi" w:eastAsia="Times New Roman" w:hAnsiTheme="minorHAnsi"/>
          <w:color w:val="000000" w:themeColor="text1"/>
          <w:szCs w:val="24"/>
        </w:rPr>
        <w:t xml:space="preserve">annual efforts to promote health equity at </w:t>
      </w:r>
      <w:r w:rsidR="00CD6D39" w:rsidRPr="006C3E81">
        <w:rPr>
          <w:rFonts w:asciiTheme="minorHAnsi" w:eastAsia="Times New Roman" w:hAnsiTheme="minorHAnsi"/>
          <w:color w:val="000000" w:themeColor="text1"/>
          <w:szCs w:val="24"/>
        </w:rPr>
        <w:t>BILH Surgery Center</w:t>
      </w:r>
      <w:r w:rsidRPr="006C3E81">
        <w:rPr>
          <w:rFonts w:asciiTheme="minorHAnsi" w:eastAsia="Times New Roman" w:hAnsiTheme="minorHAnsi"/>
          <w:color w:val="000000" w:themeColor="text1"/>
          <w:szCs w:val="24"/>
        </w:rPr>
        <w:t>, including but not limited to efforts to identify and address disparities in access to BILH’s services, and efforts to advance the provision of culturally and linguistically appropriate services at BILH</w:t>
      </w:r>
      <w:r w:rsidR="00DB1B0B" w:rsidRPr="006C3E81">
        <w:rPr>
          <w:rFonts w:asciiTheme="minorHAnsi" w:eastAsia="Times New Roman" w:hAnsiTheme="minorHAnsi"/>
          <w:color w:val="000000" w:themeColor="text1"/>
          <w:szCs w:val="24"/>
        </w:rPr>
        <w:t>.</w:t>
      </w:r>
    </w:p>
    <w:p w14:paraId="69CE5292" w14:textId="7E788687" w:rsidR="004C36D5" w:rsidRPr="004C36D5" w:rsidRDefault="004C36D5" w:rsidP="004C36D5">
      <w:pPr>
        <w:pStyle w:val="ListParagraph"/>
        <w:numPr>
          <w:ilvl w:val="0"/>
          <w:numId w:val="41"/>
        </w:numPr>
        <w:spacing w:before="240" w:after="240"/>
        <w:rPr>
          <w:rFonts w:asciiTheme="minorHAnsi" w:eastAsia="Times New Roman" w:hAnsiTheme="minorHAnsi"/>
          <w:color w:val="000000" w:themeColor="text1"/>
          <w:szCs w:val="24"/>
        </w:rPr>
      </w:pPr>
      <w:r w:rsidRPr="004C36D5">
        <w:rPr>
          <w:rFonts w:asciiTheme="minorHAnsi" w:eastAsia="Times New Roman" w:hAnsiTheme="minorHAnsi"/>
          <w:color w:val="000000" w:themeColor="text1"/>
          <w:szCs w:val="24"/>
        </w:rPr>
        <w:t xml:space="preserve">The Holder shall report on </w:t>
      </w:r>
      <w:r>
        <w:rPr>
          <w:rFonts w:asciiTheme="minorHAnsi" w:eastAsia="Times New Roman" w:hAnsiTheme="minorHAnsi"/>
          <w:color w:val="000000" w:themeColor="text1"/>
          <w:szCs w:val="24"/>
        </w:rPr>
        <w:t xml:space="preserve">BILH Surgery Center </w:t>
      </w:r>
      <w:r w:rsidRPr="004C36D5">
        <w:rPr>
          <w:rFonts w:asciiTheme="minorHAnsi" w:eastAsia="Times New Roman" w:hAnsiTheme="minorHAnsi"/>
          <w:color w:val="000000" w:themeColor="text1"/>
          <w:szCs w:val="24"/>
        </w:rPr>
        <w:t>patients stratified by race and ethnicity, patient origin (zip code), and payer mix.</w:t>
      </w:r>
    </w:p>
    <w:p w14:paraId="1AC60F2E" w14:textId="66E6F398" w:rsidR="004C36D5" w:rsidRDefault="004C36D5" w:rsidP="004C36D5">
      <w:pPr>
        <w:pStyle w:val="ListParagraph"/>
        <w:numPr>
          <w:ilvl w:val="0"/>
          <w:numId w:val="41"/>
        </w:numPr>
        <w:spacing w:before="240" w:after="240"/>
        <w:rPr>
          <w:rFonts w:asciiTheme="minorHAnsi" w:eastAsia="Times New Roman" w:hAnsiTheme="minorHAnsi"/>
          <w:color w:val="000000" w:themeColor="text1"/>
          <w:szCs w:val="24"/>
        </w:rPr>
      </w:pPr>
      <w:r w:rsidRPr="004C36D5">
        <w:rPr>
          <w:rFonts w:asciiTheme="minorHAnsi" w:eastAsia="Times New Roman" w:hAnsiTheme="minorHAnsi"/>
          <w:color w:val="000000" w:themeColor="text1"/>
          <w:szCs w:val="24"/>
        </w:rPr>
        <w:t xml:space="preserve">The Holder shall report on ongoing efforts to increase </w:t>
      </w:r>
      <w:r>
        <w:rPr>
          <w:rFonts w:asciiTheme="minorHAnsi" w:eastAsia="Times New Roman" w:hAnsiTheme="minorHAnsi"/>
          <w:color w:val="000000" w:themeColor="text1"/>
          <w:szCs w:val="24"/>
        </w:rPr>
        <w:t>Medicaid</w:t>
      </w:r>
      <w:r w:rsidRPr="004C36D5">
        <w:rPr>
          <w:rFonts w:asciiTheme="minorHAnsi" w:eastAsia="Times New Roman" w:hAnsiTheme="minorHAnsi"/>
          <w:color w:val="000000" w:themeColor="text1"/>
          <w:szCs w:val="24"/>
        </w:rPr>
        <w:t xml:space="preserve"> in its payer mix, detailing the strategies being implemented to achieve this goal.</w:t>
      </w:r>
    </w:p>
    <w:p w14:paraId="431E873B" w14:textId="455FF9B5" w:rsidR="00FD7540" w:rsidRPr="004E41C9" w:rsidRDefault="00FD7540" w:rsidP="00FD7540">
      <w:pPr>
        <w:pStyle w:val="ListParagraph"/>
        <w:widowControl/>
        <w:numPr>
          <w:ilvl w:val="0"/>
          <w:numId w:val="41"/>
        </w:numPr>
        <w:autoSpaceDE/>
        <w:autoSpaceDN/>
        <w:contextualSpacing/>
        <w:rPr>
          <w:rStyle w:val="normaltextrun"/>
          <w:rFonts w:asciiTheme="minorHAnsi" w:hAnsiTheme="minorHAnsi"/>
          <w:b/>
          <w:bCs/>
          <w:szCs w:val="24"/>
        </w:rPr>
      </w:pPr>
      <w:r w:rsidRPr="009D3018">
        <w:rPr>
          <w:rStyle w:val="normaltextrun"/>
          <w:rFonts w:asciiTheme="minorHAnsi" w:hAnsiTheme="minorHAnsi"/>
          <w:szCs w:val="24"/>
        </w:rPr>
        <w:lastRenderedPageBreak/>
        <w:t xml:space="preserve">The Holder will report on Surgical Volume by Specialty for both </w:t>
      </w:r>
      <w:r w:rsidR="003C231F">
        <w:rPr>
          <w:rStyle w:val="normaltextrun"/>
          <w:rFonts w:asciiTheme="minorHAnsi" w:hAnsiTheme="minorHAnsi"/>
          <w:szCs w:val="24"/>
        </w:rPr>
        <w:t>the BILH Surgery Center</w:t>
      </w:r>
      <w:r w:rsidRPr="009D3018">
        <w:rPr>
          <w:rStyle w:val="normaltextrun"/>
          <w:rFonts w:asciiTheme="minorHAnsi" w:hAnsiTheme="minorHAnsi"/>
          <w:szCs w:val="24"/>
        </w:rPr>
        <w:t xml:space="preserve"> and </w:t>
      </w:r>
      <w:r w:rsidR="00DC35B1">
        <w:rPr>
          <w:rStyle w:val="normaltextrun"/>
          <w:rFonts w:asciiTheme="minorHAnsi" w:hAnsiTheme="minorHAnsi"/>
          <w:szCs w:val="24"/>
        </w:rPr>
        <w:t>BID Plymouth</w:t>
      </w:r>
      <w:r w:rsidRPr="009D3018">
        <w:rPr>
          <w:rStyle w:val="normaltextrun"/>
          <w:rFonts w:asciiTheme="minorHAnsi" w:hAnsiTheme="minorHAnsi"/>
          <w:szCs w:val="24"/>
        </w:rPr>
        <w:t xml:space="preserve"> based on the case type listed below. Annual reporting should demonstrate that the </w:t>
      </w:r>
      <w:r w:rsidR="00DC35B1">
        <w:rPr>
          <w:rStyle w:val="normaltextrun"/>
          <w:rFonts w:asciiTheme="minorHAnsi" w:hAnsiTheme="minorHAnsi"/>
          <w:szCs w:val="24"/>
        </w:rPr>
        <w:t>new ASC</w:t>
      </w:r>
      <w:r w:rsidRPr="009D3018">
        <w:rPr>
          <w:rStyle w:val="normaltextrun"/>
          <w:rFonts w:asciiTheme="minorHAnsi" w:hAnsiTheme="minorHAnsi"/>
          <w:szCs w:val="24"/>
        </w:rPr>
        <w:t xml:space="preserve"> is reducing the volume of low acuity surgeries at </w:t>
      </w:r>
      <w:r w:rsidR="00DC35B1">
        <w:rPr>
          <w:rStyle w:val="normaltextrun"/>
          <w:rFonts w:asciiTheme="minorHAnsi" w:hAnsiTheme="minorHAnsi"/>
          <w:szCs w:val="24"/>
        </w:rPr>
        <w:t>BID Plymouth</w:t>
      </w:r>
      <w:r w:rsidRPr="009D3018">
        <w:rPr>
          <w:rStyle w:val="normaltextrun"/>
          <w:rFonts w:asciiTheme="minorHAnsi" w:hAnsiTheme="minorHAnsi"/>
          <w:szCs w:val="24"/>
        </w:rPr>
        <w:t xml:space="preserve">.  </w:t>
      </w:r>
    </w:p>
    <w:p w14:paraId="085D91DC" w14:textId="77777777" w:rsidR="004E41C9" w:rsidRPr="004E41C9" w:rsidRDefault="004E41C9" w:rsidP="004E41C9">
      <w:pPr>
        <w:widowControl/>
        <w:autoSpaceDE/>
        <w:autoSpaceDN/>
        <w:ind w:left="1080"/>
        <w:contextualSpacing/>
        <w:rPr>
          <w:rStyle w:val="normaltextrun"/>
          <w:rFonts w:asciiTheme="minorHAnsi" w:hAnsiTheme="minorHAnsi"/>
          <w:b/>
          <w:bCs/>
          <w:szCs w:val="24"/>
        </w:rPr>
      </w:pPr>
    </w:p>
    <w:tbl>
      <w:tblPr>
        <w:tblW w:w="35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90"/>
      </w:tblGrid>
      <w:tr w:rsidR="004E41C9" w:rsidRPr="008440BF" w14:paraId="1D0C467D" w14:textId="77777777" w:rsidTr="002708AD">
        <w:trPr>
          <w:trHeight w:val="290"/>
          <w:jc w:val="center"/>
        </w:trPr>
        <w:tc>
          <w:tcPr>
            <w:tcW w:w="3590" w:type="dxa"/>
            <w:shd w:val="clear" w:color="auto" w:fill="DBE5F1" w:themeFill="accent1" w:themeFillTint="33"/>
            <w:noWrap/>
            <w:vAlign w:val="bottom"/>
            <w:hideMark/>
          </w:tcPr>
          <w:p w14:paraId="72BB788A" w14:textId="2F2AE534" w:rsidR="004E41C9" w:rsidRPr="008440BF" w:rsidRDefault="004E41C9" w:rsidP="00E26929">
            <w:pPr>
              <w:widowControl/>
              <w:autoSpaceDE/>
              <w:autoSpaceDN/>
              <w:jc w:val="center"/>
              <w:rPr>
                <w:rFonts w:asciiTheme="minorHAnsi" w:eastAsia="Times New Roman" w:hAnsiTheme="minorHAnsi"/>
                <w:szCs w:val="24"/>
              </w:rPr>
            </w:pPr>
            <w:r>
              <w:rPr>
                <w:rFonts w:asciiTheme="minorHAnsi" w:eastAsia="Times New Roman" w:hAnsiTheme="minorHAnsi"/>
                <w:szCs w:val="24"/>
              </w:rPr>
              <w:t xml:space="preserve">SURGICAL VOLUME BY </w:t>
            </w:r>
            <w:r w:rsidR="003C231F">
              <w:rPr>
                <w:rFonts w:asciiTheme="minorHAnsi" w:eastAsia="Times New Roman" w:hAnsiTheme="minorHAnsi"/>
                <w:szCs w:val="24"/>
              </w:rPr>
              <w:t>CASE TYPE</w:t>
            </w:r>
          </w:p>
        </w:tc>
      </w:tr>
      <w:tr w:rsidR="004E41C9" w:rsidRPr="008440BF" w14:paraId="391EF80D" w14:textId="77777777" w:rsidTr="002708AD">
        <w:trPr>
          <w:trHeight w:val="300"/>
          <w:jc w:val="center"/>
        </w:trPr>
        <w:tc>
          <w:tcPr>
            <w:tcW w:w="3590" w:type="dxa"/>
            <w:shd w:val="clear" w:color="auto" w:fill="D9E1F2"/>
            <w:noWrap/>
            <w:vAlign w:val="center"/>
            <w:hideMark/>
          </w:tcPr>
          <w:p w14:paraId="7AF8E2BA" w14:textId="77777777" w:rsidR="004E41C9" w:rsidRPr="008440BF" w:rsidRDefault="004E41C9" w:rsidP="00E26929">
            <w:pPr>
              <w:widowControl/>
              <w:autoSpaceDE/>
              <w:autoSpaceDN/>
              <w:rPr>
                <w:rFonts w:asciiTheme="minorHAnsi" w:eastAsia="Times New Roman" w:hAnsiTheme="minorHAnsi"/>
                <w:color w:val="000000"/>
                <w:sz w:val="22"/>
                <w:szCs w:val="22"/>
              </w:rPr>
            </w:pPr>
            <w:r w:rsidRPr="008440BF">
              <w:rPr>
                <w:rFonts w:asciiTheme="minorHAnsi" w:eastAsia="Times New Roman" w:hAnsiTheme="minorHAnsi"/>
                <w:color w:val="000000"/>
                <w:sz w:val="22"/>
                <w:szCs w:val="22"/>
              </w:rPr>
              <w:t xml:space="preserve"> Foot &amp; Ankle</w:t>
            </w:r>
          </w:p>
        </w:tc>
      </w:tr>
      <w:tr w:rsidR="004E41C9" w:rsidRPr="008440BF" w14:paraId="5DF453D9" w14:textId="77777777" w:rsidTr="002708AD">
        <w:trPr>
          <w:trHeight w:val="300"/>
          <w:jc w:val="center"/>
        </w:trPr>
        <w:tc>
          <w:tcPr>
            <w:tcW w:w="3590" w:type="dxa"/>
            <w:shd w:val="clear" w:color="auto" w:fill="D9E1F2"/>
            <w:noWrap/>
            <w:vAlign w:val="center"/>
            <w:hideMark/>
          </w:tcPr>
          <w:p w14:paraId="741ED593" w14:textId="77777777" w:rsidR="004E41C9" w:rsidRPr="008440BF" w:rsidRDefault="004E41C9" w:rsidP="00E26929">
            <w:pPr>
              <w:widowControl/>
              <w:autoSpaceDE/>
              <w:autoSpaceDN/>
              <w:rPr>
                <w:rFonts w:asciiTheme="minorHAnsi" w:eastAsia="Times New Roman" w:hAnsiTheme="minorHAnsi"/>
                <w:color w:val="000000"/>
                <w:sz w:val="22"/>
                <w:szCs w:val="22"/>
              </w:rPr>
            </w:pPr>
            <w:r w:rsidRPr="008440BF">
              <w:rPr>
                <w:rFonts w:asciiTheme="minorHAnsi" w:eastAsia="Times New Roman" w:hAnsiTheme="minorHAnsi"/>
                <w:color w:val="000000"/>
                <w:sz w:val="22"/>
                <w:szCs w:val="22"/>
              </w:rPr>
              <w:t>General/Other</w:t>
            </w:r>
          </w:p>
        </w:tc>
      </w:tr>
      <w:tr w:rsidR="004E41C9" w:rsidRPr="008440BF" w14:paraId="4C6F499A" w14:textId="77777777" w:rsidTr="002708AD">
        <w:trPr>
          <w:trHeight w:val="300"/>
          <w:jc w:val="center"/>
        </w:trPr>
        <w:tc>
          <w:tcPr>
            <w:tcW w:w="3590" w:type="dxa"/>
            <w:shd w:val="clear" w:color="auto" w:fill="D9E1F2"/>
            <w:noWrap/>
            <w:vAlign w:val="center"/>
            <w:hideMark/>
          </w:tcPr>
          <w:p w14:paraId="014197F5" w14:textId="77777777" w:rsidR="004E41C9" w:rsidRPr="008440BF" w:rsidRDefault="004E41C9" w:rsidP="00E26929">
            <w:pPr>
              <w:widowControl/>
              <w:autoSpaceDE/>
              <w:autoSpaceDN/>
              <w:rPr>
                <w:rFonts w:asciiTheme="minorHAnsi" w:eastAsia="Times New Roman" w:hAnsiTheme="minorHAnsi"/>
                <w:color w:val="000000"/>
                <w:sz w:val="22"/>
                <w:szCs w:val="22"/>
              </w:rPr>
            </w:pPr>
            <w:r w:rsidRPr="008440BF">
              <w:rPr>
                <w:rFonts w:asciiTheme="minorHAnsi" w:eastAsia="Times New Roman" w:hAnsiTheme="minorHAnsi"/>
                <w:color w:val="000000"/>
                <w:sz w:val="22"/>
                <w:szCs w:val="22"/>
              </w:rPr>
              <w:t>Hand</w:t>
            </w:r>
          </w:p>
        </w:tc>
      </w:tr>
      <w:tr w:rsidR="004E41C9" w:rsidRPr="008440BF" w14:paraId="6E63B4E5" w14:textId="77777777" w:rsidTr="002708AD">
        <w:trPr>
          <w:trHeight w:val="300"/>
          <w:jc w:val="center"/>
        </w:trPr>
        <w:tc>
          <w:tcPr>
            <w:tcW w:w="3590" w:type="dxa"/>
            <w:shd w:val="clear" w:color="auto" w:fill="D9E1F2"/>
            <w:noWrap/>
            <w:vAlign w:val="center"/>
            <w:hideMark/>
          </w:tcPr>
          <w:p w14:paraId="64676A3E" w14:textId="77777777" w:rsidR="004E41C9" w:rsidRPr="008440BF" w:rsidRDefault="004E41C9" w:rsidP="00E26929">
            <w:pPr>
              <w:widowControl/>
              <w:autoSpaceDE/>
              <w:autoSpaceDN/>
              <w:rPr>
                <w:rFonts w:asciiTheme="minorHAnsi" w:eastAsia="Times New Roman" w:hAnsiTheme="minorHAnsi"/>
                <w:color w:val="000000"/>
                <w:sz w:val="22"/>
                <w:szCs w:val="22"/>
              </w:rPr>
            </w:pPr>
            <w:r w:rsidRPr="008440BF">
              <w:rPr>
                <w:rFonts w:asciiTheme="minorHAnsi" w:eastAsia="Times New Roman" w:hAnsiTheme="minorHAnsi"/>
                <w:color w:val="000000"/>
                <w:sz w:val="22"/>
                <w:szCs w:val="22"/>
              </w:rPr>
              <w:t>Joint Replacement</w:t>
            </w:r>
          </w:p>
        </w:tc>
      </w:tr>
      <w:tr w:rsidR="004E41C9" w:rsidRPr="008440BF" w14:paraId="15A413AF" w14:textId="77777777" w:rsidTr="002708AD">
        <w:trPr>
          <w:trHeight w:val="300"/>
          <w:jc w:val="center"/>
        </w:trPr>
        <w:tc>
          <w:tcPr>
            <w:tcW w:w="3590" w:type="dxa"/>
            <w:shd w:val="clear" w:color="auto" w:fill="D9E1F2"/>
            <w:noWrap/>
            <w:vAlign w:val="center"/>
            <w:hideMark/>
          </w:tcPr>
          <w:p w14:paraId="021FB65F" w14:textId="77777777" w:rsidR="004E41C9" w:rsidRPr="008440BF" w:rsidRDefault="004E41C9" w:rsidP="00E26929">
            <w:pPr>
              <w:widowControl/>
              <w:autoSpaceDE/>
              <w:autoSpaceDN/>
              <w:rPr>
                <w:rFonts w:asciiTheme="minorHAnsi" w:eastAsia="Times New Roman" w:hAnsiTheme="minorHAnsi"/>
                <w:color w:val="000000"/>
                <w:sz w:val="22"/>
                <w:szCs w:val="22"/>
              </w:rPr>
            </w:pPr>
            <w:r w:rsidRPr="008440BF">
              <w:rPr>
                <w:rFonts w:asciiTheme="minorHAnsi" w:eastAsia="Times New Roman" w:hAnsiTheme="minorHAnsi"/>
                <w:color w:val="000000"/>
                <w:sz w:val="22"/>
                <w:szCs w:val="22"/>
              </w:rPr>
              <w:t>Joint Arthroscopy</w:t>
            </w:r>
          </w:p>
        </w:tc>
      </w:tr>
      <w:tr w:rsidR="004E41C9" w:rsidRPr="008440BF" w14:paraId="0FA1D837" w14:textId="77777777" w:rsidTr="002708AD">
        <w:trPr>
          <w:trHeight w:val="300"/>
          <w:jc w:val="center"/>
        </w:trPr>
        <w:tc>
          <w:tcPr>
            <w:tcW w:w="3590" w:type="dxa"/>
            <w:shd w:val="clear" w:color="auto" w:fill="D9E1F2"/>
            <w:noWrap/>
            <w:vAlign w:val="center"/>
            <w:hideMark/>
          </w:tcPr>
          <w:p w14:paraId="5293EAC1" w14:textId="77777777" w:rsidR="004E41C9" w:rsidRPr="008440BF" w:rsidRDefault="004E41C9" w:rsidP="00E26929">
            <w:pPr>
              <w:widowControl/>
              <w:autoSpaceDE/>
              <w:autoSpaceDN/>
              <w:rPr>
                <w:rFonts w:asciiTheme="minorHAnsi" w:eastAsia="Times New Roman" w:hAnsiTheme="minorHAnsi"/>
                <w:color w:val="000000"/>
                <w:sz w:val="22"/>
                <w:szCs w:val="22"/>
              </w:rPr>
            </w:pPr>
            <w:r w:rsidRPr="008440BF">
              <w:rPr>
                <w:rFonts w:asciiTheme="minorHAnsi" w:eastAsia="Times New Roman" w:hAnsiTheme="minorHAnsi"/>
                <w:color w:val="000000"/>
                <w:sz w:val="22"/>
                <w:szCs w:val="22"/>
              </w:rPr>
              <w:t>Spine</w:t>
            </w:r>
          </w:p>
        </w:tc>
      </w:tr>
      <w:tr w:rsidR="004E41C9" w:rsidRPr="008440BF" w14:paraId="793571B9" w14:textId="77777777" w:rsidTr="002708AD">
        <w:trPr>
          <w:trHeight w:val="300"/>
          <w:jc w:val="center"/>
        </w:trPr>
        <w:tc>
          <w:tcPr>
            <w:tcW w:w="3590" w:type="dxa"/>
            <w:shd w:val="clear" w:color="auto" w:fill="D9E1F2"/>
            <w:noWrap/>
            <w:vAlign w:val="center"/>
            <w:hideMark/>
          </w:tcPr>
          <w:p w14:paraId="4EF07140" w14:textId="77777777" w:rsidR="004E41C9" w:rsidRPr="008440BF" w:rsidRDefault="004E41C9" w:rsidP="00E26929">
            <w:pPr>
              <w:widowControl/>
              <w:autoSpaceDE/>
              <w:autoSpaceDN/>
              <w:rPr>
                <w:rFonts w:asciiTheme="minorHAnsi" w:eastAsia="Times New Roman" w:hAnsiTheme="minorHAnsi"/>
                <w:color w:val="000000"/>
                <w:sz w:val="22"/>
                <w:szCs w:val="22"/>
              </w:rPr>
            </w:pPr>
            <w:r w:rsidRPr="008440BF">
              <w:rPr>
                <w:rFonts w:asciiTheme="minorHAnsi" w:eastAsia="Times New Roman" w:hAnsiTheme="minorHAnsi"/>
                <w:color w:val="000000"/>
                <w:sz w:val="22"/>
                <w:szCs w:val="22"/>
              </w:rPr>
              <w:t>Trauma</w:t>
            </w:r>
          </w:p>
        </w:tc>
      </w:tr>
      <w:tr w:rsidR="004E41C9" w:rsidRPr="008440BF" w14:paraId="71B2480C" w14:textId="77777777" w:rsidTr="002708AD">
        <w:trPr>
          <w:trHeight w:val="300"/>
          <w:jc w:val="center"/>
        </w:trPr>
        <w:tc>
          <w:tcPr>
            <w:tcW w:w="3590" w:type="dxa"/>
            <w:shd w:val="clear" w:color="auto" w:fill="D9E1F2"/>
            <w:noWrap/>
            <w:vAlign w:val="center"/>
            <w:hideMark/>
          </w:tcPr>
          <w:p w14:paraId="1258BF5F" w14:textId="77777777" w:rsidR="004E41C9" w:rsidRPr="008440BF" w:rsidRDefault="004E41C9" w:rsidP="00E26929">
            <w:pPr>
              <w:widowControl/>
              <w:autoSpaceDE/>
              <w:autoSpaceDN/>
              <w:rPr>
                <w:rFonts w:asciiTheme="minorHAnsi" w:eastAsia="Times New Roman" w:hAnsiTheme="minorHAnsi"/>
                <w:b/>
                <w:bCs/>
                <w:color w:val="0563C1"/>
                <w:sz w:val="22"/>
                <w:szCs w:val="22"/>
                <w:u w:val="single"/>
              </w:rPr>
            </w:pPr>
            <w:r w:rsidRPr="008440BF">
              <w:rPr>
                <w:rFonts w:asciiTheme="minorHAnsi" w:eastAsia="Times New Roman" w:hAnsiTheme="minorHAnsi"/>
                <w:b/>
                <w:bCs/>
                <w:color w:val="000000"/>
                <w:sz w:val="22"/>
                <w:szCs w:val="22"/>
              </w:rPr>
              <w:footnoteReference w:customMarkFollows="1" w:id="27"/>
              <w:t>Total</w:t>
            </w:r>
          </w:p>
        </w:tc>
      </w:tr>
    </w:tbl>
    <w:p w14:paraId="4082BDE3" w14:textId="77777777" w:rsidR="004E41C9" w:rsidRDefault="004E41C9" w:rsidP="004E41C9">
      <w:pPr>
        <w:widowControl/>
        <w:autoSpaceDE/>
        <w:autoSpaceDN/>
        <w:contextualSpacing/>
        <w:rPr>
          <w:rFonts w:asciiTheme="minorHAnsi" w:hAnsiTheme="minorHAnsi"/>
          <w:b/>
          <w:bCs/>
          <w:szCs w:val="24"/>
        </w:rPr>
      </w:pPr>
    </w:p>
    <w:p w14:paraId="4E388B09" w14:textId="1B8AB58E" w:rsidR="00296E08" w:rsidRPr="009D3018" w:rsidRDefault="00296E08" w:rsidP="00296E08">
      <w:pPr>
        <w:widowControl/>
        <w:autoSpaceDE/>
        <w:autoSpaceDN/>
        <w:contextualSpacing/>
        <w:rPr>
          <w:rStyle w:val="normaltextrun"/>
          <w:rFonts w:asciiTheme="minorHAnsi" w:hAnsiTheme="minorHAnsi"/>
          <w:szCs w:val="24"/>
        </w:rPr>
      </w:pPr>
      <w:r w:rsidRPr="009D3018">
        <w:rPr>
          <w:rStyle w:val="normaltextrun"/>
          <w:rFonts w:asciiTheme="minorHAnsi" w:hAnsiTheme="minorHAnsi"/>
          <w:szCs w:val="24"/>
        </w:rPr>
        <w:t xml:space="preserve">The DoN program shall review the data received in accordance with Condition </w:t>
      </w:r>
      <w:r>
        <w:rPr>
          <w:rStyle w:val="normaltextrun"/>
          <w:rFonts w:asciiTheme="minorHAnsi" w:hAnsiTheme="minorHAnsi"/>
          <w:szCs w:val="24"/>
        </w:rPr>
        <w:t>7</w:t>
      </w:r>
      <w:r w:rsidRPr="009D3018">
        <w:rPr>
          <w:rStyle w:val="normaltextrun"/>
          <w:rFonts w:asciiTheme="minorHAnsi" w:hAnsiTheme="minorHAnsi"/>
          <w:szCs w:val="24"/>
        </w:rPr>
        <w:t xml:space="preserve"> to determine whether one or more of the following Referral Indicators is present:</w:t>
      </w:r>
    </w:p>
    <w:p w14:paraId="6A3AC8BC" w14:textId="5085CD59" w:rsidR="00296E08" w:rsidRPr="005C2DC3" w:rsidRDefault="00296E08" w:rsidP="005C2DC3">
      <w:pPr>
        <w:pStyle w:val="ListParagraph"/>
        <w:widowControl/>
        <w:numPr>
          <w:ilvl w:val="0"/>
          <w:numId w:val="51"/>
        </w:numPr>
        <w:autoSpaceDE/>
        <w:autoSpaceDN/>
        <w:spacing w:after="160" w:line="256" w:lineRule="auto"/>
        <w:contextualSpacing/>
        <w:rPr>
          <w:rFonts w:asciiTheme="minorHAnsi" w:hAnsiTheme="minorHAnsi"/>
          <w:szCs w:val="24"/>
        </w:rPr>
      </w:pPr>
      <w:r w:rsidRPr="005C2DC3">
        <w:rPr>
          <w:rFonts w:asciiTheme="minorHAnsi" w:hAnsiTheme="minorHAnsi"/>
          <w:szCs w:val="24"/>
        </w:rPr>
        <w:t xml:space="preserve">A material increase in total volume of the targeted surgeries at the </w:t>
      </w:r>
      <w:r w:rsidR="007D16AE">
        <w:rPr>
          <w:rFonts w:asciiTheme="minorHAnsi" w:hAnsiTheme="minorHAnsi"/>
          <w:szCs w:val="24"/>
        </w:rPr>
        <w:t>BID Plymouth</w:t>
      </w:r>
    </w:p>
    <w:p w14:paraId="7FD58740" w14:textId="5EBBF3A2" w:rsidR="00296E08" w:rsidRPr="005C2DC3" w:rsidRDefault="00296E08" w:rsidP="005C2DC3">
      <w:pPr>
        <w:pStyle w:val="ListParagraph"/>
        <w:widowControl/>
        <w:numPr>
          <w:ilvl w:val="0"/>
          <w:numId w:val="51"/>
        </w:numPr>
        <w:autoSpaceDE/>
        <w:autoSpaceDN/>
        <w:contextualSpacing/>
        <w:rPr>
          <w:rFonts w:asciiTheme="minorHAnsi" w:hAnsiTheme="minorHAnsi"/>
          <w:b/>
          <w:bCs/>
          <w:szCs w:val="24"/>
        </w:rPr>
      </w:pPr>
      <w:r w:rsidRPr="005C2DC3">
        <w:rPr>
          <w:rFonts w:asciiTheme="minorHAnsi" w:hAnsiTheme="minorHAnsi"/>
          <w:szCs w:val="24"/>
        </w:rPr>
        <w:t xml:space="preserve">A material decrease in total volume of targeted surgeries at </w:t>
      </w:r>
      <w:r w:rsidR="007D16AE">
        <w:rPr>
          <w:rFonts w:asciiTheme="minorHAnsi" w:hAnsiTheme="minorHAnsi"/>
          <w:szCs w:val="24"/>
        </w:rPr>
        <w:t xml:space="preserve">BILH Surgery </w:t>
      </w:r>
      <w:r w:rsidR="00940691">
        <w:rPr>
          <w:rFonts w:asciiTheme="minorHAnsi" w:hAnsiTheme="minorHAnsi"/>
          <w:szCs w:val="24"/>
        </w:rPr>
        <w:t>Center</w:t>
      </w:r>
    </w:p>
    <w:p w14:paraId="5F0FF1FC" w14:textId="3495423B" w:rsidR="141D870C" w:rsidRDefault="141D870C" w:rsidP="141D870C">
      <w:pPr>
        <w:rPr>
          <w:rFonts w:asciiTheme="minorHAnsi" w:hAnsiTheme="minorHAnsi"/>
          <w:highlight w:val="yellow"/>
        </w:rPr>
      </w:pPr>
    </w:p>
    <w:p w14:paraId="29FA46BC" w14:textId="39760F33" w:rsidR="006515A9" w:rsidRPr="009D3018" w:rsidRDefault="006515A9" w:rsidP="006515A9">
      <w:pPr>
        <w:rPr>
          <w:rFonts w:asciiTheme="minorHAnsi" w:hAnsiTheme="minorHAnsi"/>
          <w:szCs w:val="24"/>
        </w:rPr>
      </w:pPr>
      <w:r w:rsidRPr="009D3018">
        <w:rPr>
          <w:rFonts w:asciiTheme="minorHAnsi" w:hAnsiTheme="minorHAnsi"/>
          <w:szCs w:val="24"/>
        </w:rPr>
        <w:t xml:space="preserve">If the DoN Program finds any one or more of the Referral Indicators, the matter shall be referred to the Public Health Council (PHC) for review to determine whether </w:t>
      </w:r>
      <w:r>
        <w:rPr>
          <w:rFonts w:asciiTheme="minorHAnsi" w:hAnsiTheme="minorHAnsi"/>
          <w:szCs w:val="24"/>
        </w:rPr>
        <w:t>BILH Surgery Center</w:t>
      </w:r>
      <w:r w:rsidRPr="009D3018">
        <w:rPr>
          <w:rFonts w:asciiTheme="minorHAnsi" w:hAnsiTheme="minorHAnsi"/>
          <w:szCs w:val="24"/>
        </w:rPr>
        <w:t xml:space="preserve"> is in violation of one or more of the conditions and thus out of compliance with the terms of this Notice of DoN.  </w:t>
      </w:r>
    </w:p>
    <w:p w14:paraId="01785BB7" w14:textId="77777777" w:rsidR="006515A9" w:rsidRPr="009D3018" w:rsidRDefault="006515A9" w:rsidP="006515A9">
      <w:pPr>
        <w:contextualSpacing/>
        <w:rPr>
          <w:rFonts w:asciiTheme="minorHAnsi" w:hAnsiTheme="minorHAnsi"/>
          <w:szCs w:val="24"/>
        </w:rPr>
      </w:pPr>
    </w:p>
    <w:p w14:paraId="01631E8D" w14:textId="778356A5" w:rsidR="006515A9" w:rsidRDefault="006515A9" w:rsidP="006515A9">
      <w:pPr>
        <w:contextualSpacing/>
        <w:rPr>
          <w:rFonts w:asciiTheme="minorHAnsi" w:hAnsiTheme="minorHAnsi"/>
          <w:szCs w:val="24"/>
        </w:rPr>
      </w:pPr>
      <w:r w:rsidRPr="009D3018">
        <w:rPr>
          <w:rFonts w:asciiTheme="minorHAnsi" w:hAnsiTheme="minorHAnsi"/>
          <w:szCs w:val="24"/>
        </w:rPr>
        <w:t xml:space="preserve">Upon referral to the PHC based upon any one or more of the Referral Indicators, </w:t>
      </w:r>
      <w:r>
        <w:rPr>
          <w:rFonts w:asciiTheme="minorHAnsi" w:hAnsiTheme="minorHAnsi"/>
          <w:szCs w:val="24"/>
        </w:rPr>
        <w:t>BI</w:t>
      </w:r>
      <w:r w:rsidR="00483C09">
        <w:rPr>
          <w:rFonts w:asciiTheme="minorHAnsi" w:hAnsiTheme="minorHAnsi"/>
          <w:szCs w:val="24"/>
        </w:rPr>
        <w:t>L</w:t>
      </w:r>
      <w:r>
        <w:rPr>
          <w:rFonts w:asciiTheme="minorHAnsi" w:hAnsiTheme="minorHAnsi"/>
          <w:szCs w:val="24"/>
        </w:rPr>
        <w:t>H Surgery Center</w:t>
      </w:r>
      <w:r w:rsidRPr="009D3018">
        <w:rPr>
          <w:rFonts w:asciiTheme="minorHAnsi" w:hAnsiTheme="minorHAnsi"/>
          <w:szCs w:val="24"/>
        </w:rPr>
        <w:t xml:space="preserve"> shall have an opportunity to show cause why the PHC shall not find one or more of the Referral Indicators. </w:t>
      </w:r>
    </w:p>
    <w:p w14:paraId="4A75AB66" w14:textId="77777777" w:rsidR="006515A9" w:rsidRDefault="006515A9" w:rsidP="141D870C">
      <w:pPr>
        <w:rPr>
          <w:rFonts w:asciiTheme="minorHAnsi" w:hAnsiTheme="minorHAnsi"/>
          <w:highlight w:val="yellow"/>
        </w:rPr>
      </w:pPr>
    </w:p>
    <w:p w14:paraId="0B87CEC0" w14:textId="77777777" w:rsidR="006515A9" w:rsidRDefault="006515A9" w:rsidP="141D870C">
      <w:pPr>
        <w:rPr>
          <w:rFonts w:asciiTheme="minorHAnsi" w:hAnsiTheme="minorHAnsi"/>
          <w:highlight w:val="yellow"/>
        </w:rPr>
      </w:pPr>
    </w:p>
    <w:p w14:paraId="1681E1B5" w14:textId="77777777" w:rsidR="00507877" w:rsidRPr="008440BF" w:rsidRDefault="00507877" w:rsidP="00507877">
      <w:pPr>
        <w:pStyle w:val="Heading1"/>
        <w:ind w:left="0"/>
        <w:rPr>
          <w:rFonts w:asciiTheme="minorHAnsi" w:hAnsiTheme="minorHAnsi"/>
          <w:color w:val="1F497D" w:themeColor="text2"/>
        </w:rPr>
      </w:pPr>
      <w:bookmarkStart w:id="38" w:name="Attachment_1:_Required_Measures_for_Annu"/>
      <w:bookmarkStart w:id="39" w:name="_Toc166249390"/>
      <w:bookmarkEnd w:id="38"/>
      <w:r w:rsidRPr="008440BF">
        <w:rPr>
          <w:rFonts w:asciiTheme="minorHAnsi" w:hAnsiTheme="minorHAnsi"/>
          <w:color w:val="1F497D" w:themeColor="text2"/>
          <w:bdr w:val="none" w:sz="0" w:space="0" w:color="auto" w:frame="1"/>
        </w:rPr>
        <w:t>Appendix I: Required Measures for Annual Reporting</w:t>
      </w:r>
      <w:bookmarkEnd w:id="39"/>
      <w:r w:rsidRPr="008440BF">
        <w:rPr>
          <w:rFonts w:asciiTheme="minorHAnsi" w:hAnsiTheme="minorHAnsi"/>
          <w:color w:val="1F497D" w:themeColor="text2"/>
          <w:bdr w:val="none" w:sz="0" w:space="0" w:color="auto" w:frame="1"/>
        </w:rPr>
        <w:t> </w:t>
      </w:r>
    </w:p>
    <w:p w14:paraId="0FBC9447" w14:textId="77777777" w:rsidR="00507877" w:rsidRPr="008440BF" w:rsidRDefault="00507877" w:rsidP="00507877">
      <w:pPr>
        <w:rPr>
          <w:rFonts w:asciiTheme="minorHAnsi" w:eastAsia="Times New Roman" w:hAnsiTheme="minorHAnsi"/>
          <w:color w:val="000000"/>
          <w:szCs w:val="24"/>
        </w:rPr>
      </w:pPr>
      <w:r w:rsidRPr="008440BF">
        <w:rPr>
          <w:rFonts w:asciiTheme="minorHAnsi" w:eastAsia="Times New Roman" w:hAnsiTheme="minorHAnsi"/>
          <w:color w:val="000000"/>
          <w:szCs w:val="24"/>
          <w:bdr w:val="none" w:sz="0" w:space="0" w:color="auto" w:frame="1"/>
        </w:rPr>
        <w:t>The Holder shall, on an annual basis, commencing with approval of this DoN, and continuing annually for a period of five years after the Project is complete, report on the following data elements, pursuant to 105 CMR 100.310(A)(12). Reporting will include a description of numerators and denominators. </w:t>
      </w:r>
    </w:p>
    <w:p w14:paraId="5091321F" w14:textId="77777777" w:rsidR="00507877" w:rsidRPr="008440BF" w:rsidRDefault="00507877" w:rsidP="00507877">
      <w:pPr>
        <w:outlineLvl w:val="3"/>
        <w:rPr>
          <w:rFonts w:asciiTheme="minorHAnsi" w:eastAsia="Times New Roman" w:hAnsiTheme="minorHAnsi"/>
          <w:b/>
          <w:bCs/>
          <w:color w:val="000000"/>
          <w:szCs w:val="24"/>
        </w:rPr>
      </w:pPr>
      <w:r w:rsidRPr="008440BF">
        <w:rPr>
          <w:rFonts w:asciiTheme="minorHAnsi" w:eastAsia="Times New Roman" w:hAnsiTheme="minorHAnsi"/>
          <w:b/>
          <w:bCs/>
          <w:color w:val="000000"/>
          <w:szCs w:val="24"/>
          <w:bdr w:val="none" w:sz="0" w:space="0" w:color="auto" w:frame="1"/>
        </w:rPr>
        <w:t> </w:t>
      </w:r>
    </w:p>
    <w:p w14:paraId="5F2D8028" w14:textId="0706D175" w:rsidR="00C216C5" w:rsidRDefault="00C216C5" w:rsidP="00C216C5">
      <w:pPr>
        <w:pStyle w:val="ListParagraph"/>
        <w:numPr>
          <w:ilvl w:val="0"/>
          <w:numId w:val="40"/>
        </w:numPr>
        <w:rPr>
          <w:rFonts w:asciiTheme="minorHAnsi" w:eastAsia="Times New Roman" w:hAnsiTheme="minorHAnsi"/>
          <w:color w:val="000000"/>
          <w:szCs w:val="24"/>
        </w:rPr>
      </w:pPr>
      <w:r w:rsidRPr="00C216C5">
        <w:rPr>
          <w:rFonts w:asciiTheme="minorHAnsi" w:eastAsia="Times New Roman" w:hAnsiTheme="minorHAnsi"/>
          <w:color w:val="000000"/>
          <w:szCs w:val="24"/>
        </w:rPr>
        <w:t xml:space="preserve">The Holder shall report on progress in reduction of wait times for scheduling surgical procedures with a description of how wait time is calculated. </w:t>
      </w:r>
    </w:p>
    <w:p w14:paraId="3F75373F" w14:textId="77777777" w:rsidR="005D6FB3" w:rsidRPr="005D6FB3" w:rsidRDefault="005D6FB3" w:rsidP="005D6FB3">
      <w:pPr>
        <w:ind w:left="360"/>
        <w:rPr>
          <w:rFonts w:asciiTheme="minorHAnsi" w:eastAsia="Times New Roman" w:hAnsiTheme="minorHAnsi"/>
          <w:color w:val="000000"/>
          <w:szCs w:val="24"/>
        </w:rPr>
      </w:pPr>
    </w:p>
    <w:p w14:paraId="14875E4C" w14:textId="664ABB58" w:rsidR="00B2770A" w:rsidRPr="005D6FB3" w:rsidRDefault="00B2770A" w:rsidP="005D6FB3">
      <w:pPr>
        <w:pStyle w:val="ListParagraph"/>
        <w:widowControl/>
        <w:numPr>
          <w:ilvl w:val="0"/>
          <w:numId w:val="40"/>
        </w:numPr>
        <w:autoSpaceDE/>
        <w:autoSpaceDN/>
        <w:spacing w:before="120" w:after="120"/>
        <w:jc w:val="both"/>
        <w:rPr>
          <w:rFonts w:asciiTheme="minorHAnsi" w:hAnsiTheme="minorHAnsi"/>
          <w:szCs w:val="24"/>
        </w:rPr>
      </w:pPr>
      <w:bookmarkStart w:id="40" w:name="_Hlk94022825"/>
      <w:r w:rsidRPr="005D6FB3">
        <w:rPr>
          <w:rFonts w:asciiTheme="minorHAnsi" w:hAnsiTheme="minorHAnsi"/>
          <w:b/>
          <w:bCs/>
          <w:szCs w:val="24"/>
        </w:rPr>
        <w:t>Patient Satisfaction</w:t>
      </w:r>
      <w:r w:rsidRPr="005D6FB3">
        <w:rPr>
          <w:rFonts w:asciiTheme="minorHAnsi" w:hAnsiTheme="minorHAnsi"/>
          <w:szCs w:val="24"/>
        </w:rPr>
        <w:t xml:space="preserve">: Patients that are satisfied with their care are more likely to seek additional treatment when necessary. </w:t>
      </w:r>
    </w:p>
    <w:p w14:paraId="283939A4" w14:textId="77777777" w:rsidR="00B2770A" w:rsidRPr="008440BF" w:rsidRDefault="00B2770A" w:rsidP="00B2770A">
      <w:pPr>
        <w:pStyle w:val="Default"/>
        <w:spacing w:after="120"/>
        <w:ind w:left="1440"/>
        <w:rPr>
          <w:rFonts w:asciiTheme="minorHAnsi" w:hAnsiTheme="minorHAnsi" w:cstheme="minorHAnsi"/>
        </w:rPr>
      </w:pPr>
      <w:r w:rsidRPr="008440BF">
        <w:rPr>
          <w:rFonts w:asciiTheme="minorHAnsi" w:hAnsiTheme="minorHAnsi" w:cstheme="minorHAnsi"/>
          <w:b/>
          <w:bCs/>
        </w:rPr>
        <w:lastRenderedPageBreak/>
        <w:t xml:space="preserve">Measure: </w:t>
      </w:r>
      <w:r w:rsidRPr="008440BF">
        <w:rPr>
          <w:rFonts w:asciiTheme="minorHAnsi" w:hAnsiTheme="minorHAnsi" w:cstheme="minorHAnsi"/>
        </w:rPr>
        <w:t>Patient satisfaction scores will be used to determine the impact of the Proposed Project on patient experience.</w:t>
      </w:r>
    </w:p>
    <w:p w14:paraId="36650C9D" w14:textId="080D9752" w:rsidR="00B2770A" w:rsidRPr="008440BF" w:rsidRDefault="001222C3" w:rsidP="00B2770A">
      <w:pPr>
        <w:pStyle w:val="ListParagraph"/>
        <w:spacing w:after="120"/>
        <w:ind w:left="2160"/>
        <w:rPr>
          <w:rFonts w:asciiTheme="minorHAnsi" w:hAnsiTheme="minorHAnsi"/>
          <w:szCs w:val="24"/>
        </w:rPr>
      </w:pPr>
      <w:r w:rsidRPr="008440BF">
        <w:rPr>
          <w:rFonts w:asciiTheme="minorHAnsi" w:hAnsiTheme="minorHAnsi"/>
          <w:szCs w:val="24"/>
        </w:rPr>
        <w:t xml:space="preserve">      </w:t>
      </w:r>
      <w:r w:rsidR="00B2770A" w:rsidRPr="008440BF">
        <w:rPr>
          <w:rFonts w:asciiTheme="minorHAnsi" w:hAnsiTheme="minorHAnsi"/>
          <w:szCs w:val="24"/>
        </w:rPr>
        <w:t xml:space="preserve">Numerator = Number of top scores, such as “likely to recommend” or “highly satisfied”. </w:t>
      </w:r>
    </w:p>
    <w:p w14:paraId="5DA1BA2D" w14:textId="77777777" w:rsidR="00B2770A" w:rsidRPr="008440BF" w:rsidRDefault="00B2770A" w:rsidP="00B2770A">
      <w:pPr>
        <w:pStyle w:val="ListParagraph"/>
        <w:spacing w:after="120"/>
        <w:ind w:left="1440" w:firstLine="720"/>
        <w:rPr>
          <w:rFonts w:asciiTheme="minorHAnsi" w:hAnsiTheme="minorHAnsi"/>
          <w:szCs w:val="24"/>
        </w:rPr>
      </w:pPr>
      <w:r w:rsidRPr="008440BF">
        <w:rPr>
          <w:rFonts w:asciiTheme="minorHAnsi" w:hAnsiTheme="minorHAnsi"/>
          <w:szCs w:val="24"/>
        </w:rPr>
        <w:t xml:space="preserve">Denominator = Total number of survey respondents  </w:t>
      </w:r>
    </w:p>
    <w:p w14:paraId="207033B4" w14:textId="77777777" w:rsidR="00B2770A" w:rsidRPr="008440BF" w:rsidRDefault="00B2770A" w:rsidP="00B2770A">
      <w:pPr>
        <w:pStyle w:val="Default"/>
        <w:spacing w:after="120"/>
        <w:ind w:left="1440"/>
        <w:rPr>
          <w:rFonts w:asciiTheme="minorHAnsi" w:hAnsiTheme="minorHAnsi" w:cstheme="minorHAnsi"/>
        </w:rPr>
      </w:pPr>
      <w:r w:rsidRPr="008440BF">
        <w:rPr>
          <w:rFonts w:asciiTheme="minorHAnsi" w:hAnsiTheme="minorHAnsi" w:cstheme="minorHAnsi"/>
          <w:b/>
          <w:bCs/>
        </w:rPr>
        <w:t xml:space="preserve">Projections: </w:t>
      </w:r>
      <w:r w:rsidRPr="008440BF">
        <w:rPr>
          <w:rFonts w:asciiTheme="minorHAnsi" w:hAnsiTheme="minorHAnsi" w:cstheme="minorHAnsi"/>
        </w:rPr>
        <w:t>As the Proposed Project is to establish a new ASC, the Applicant will provide baseline measures and three years of projections following the first fiscal year of operation.</w:t>
      </w:r>
    </w:p>
    <w:p w14:paraId="0B7C54B0" w14:textId="77777777" w:rsidR="00B2770A" w:rsidRPr="008440BF" w:rsidRDefault="00B2770A" w:rsidP="00B2770A">
      <w:pPr>
        <w:pStyle w:val="Default"/>
        <w:spacing w:after="120"/>
        <w:ind w:left="1440"/>
        <w:rPr>
          <w:rFonts w:asciiTheme="minorHAnsi" w:hAnsiTheme="minorHAnsi" w:cstheme="minorHAnsi"/>
        </w:rPr>
      </w:pPr>
      <w:r w:rsidRPr="008440BF">
        <w:rPr>
          <w:rFonts w:asciiTheme="minorHAnsi" w:hAnsiTheme="minorHAnsi" w:cstheme="minorHAnsi"/>
          <w:b/>
          <w:bCs/>
        </w:rPr>
        <w:t xml:space="preserve">Monitoring: </w:t>
      </w:r>
      <w:r w:rsidRPr="008440BF">
        <w:rPr>
          <w:rFonts w:asciiTheme="minorHAnsi" w:hAnsiTheme="minorHAnsi" w:cstheme="minorHAnsi"/>
        </w:rPr>
        <w:t xml:space="preserve">The ASC’s Administrator or their designee will review survey scores monthly and report quarterly to the governing board of the Applicant.  </w:t>
      </w:r>
    </w:p>
    <w:p w14:paraId="3BC9A4AD" w14:textId="77777777" w:rsidR="00B2770A" w:rsidRPr="008440BF" w:rsidRDefault="00B2770A" w:rsidP="00B2770A">
      <w:pPr>
        <w:pStyle w:val="ListParagraph"/>
        <w:widowControl/>
        <w:numPr>
          <w:ilvl w:val="0"/>
          <w:numId w:val="40"/>
        </w:numPr>
        <w:autoSpaceDE/>
        <w:autoSpaceDN/>
        <w:spacing w:before="120" w:after="120"/>
        <w:jc w:val="both"/>
        <w:rPr>
          <w:rFonts w:asciiTheme="minorHAnsi" w:hAnsiTheme="minorHAnsi"/>
          <w:b/>
          <w:bCs/>
          <w:szCs w:val="24"/>
        </w:rPr>
      </w:pPr>
      <w:r w:rsidRPr="008440BF">
        <w:rPr>
          <w:rFonts w:asciiTheme="minorHAnsi" w:hAnsiTheme="minorHAnsi"/>
          <w:b/>
          <w:bCs/>
          <w:szCs w:val="24"/>
        </w:rPr>
        <w:t xml:space="preserve">Surgical Site Infection (“SSI”): </w:t>
      </w:r>
      <w:r w:rsidRPr="008440BF">
        <w:rPr>
          <w:rFonts w:asciiTheme="minorHAnsi" w:hAnsiTheme="minorHAnsi"/>
          <w:szCs w:val="24"/>
        </w:rPr>
        <w:t xml:space="preserve">This measure will monitor the rate at which the ASC’s patients develop surgical site infections and aims to reduce or eliminate such incidences. </w:t>
      </w:r>
    </w:p>
    <w:p w14:paraId="41BF584A" w14:textId="77777777" w:rsidR="00B2770A" w:rsidRPr="008440BF" w:rsidRDefault="00B2770A" w:rsidP="00B2770A">
      <w:pPr>
        <w:pStyle w:val="Default"/>
        <w:spacing w:after="120"/>
        <w:ind w:left="1440"/>
        <w:rPr>
          <w:rFonts w:asciiTheme="minorHAnsi" w:hAnsiTheme="minorHAnsi" w:cstheme="minorHAnsi"/>
        </w:rPr>
      </w:pPr>
      <w:r w:rsidRPr="008440BF">
        <w:rPr>
          <w:rFonts w:asciiTheme="minorHAnsi" w:hAnsiTheme="minorHAnsi" w:cstheme="minorHAnsi"/>
          <w:b/>
          <w:bCs/>
        </w:rPr>
        <w:t xml:space="preserve">Measure: </w:t>
      </w:r>
      <w:r w:rsidRPr="008440BF">
        <w:rPr>
          <w:rFonts w:asciiTheme="minorHAnsi" w:hAnsiTheme="minorHAnsi" w:cstheme="minorHAnsi"/>
        </w:rPr>
        <w:t xml:space="preserve">The percent of SSIs within 30 days of procedure. </w:t>
      </w:r>
    </w:p>
    <w:p w14:paraId="64AAE7BF" w14:textId="77777777" w:rsidR="00B2770A" w:rsidRPr="008440BF" w:rsidRDefault="00B2770A" w:rsidP="00B2770A">
      <w:pPr>
        <w:pStyle w:val="ListParagraph"/>
        <w:spacing w:after="120"/>
        <w:ind w:left="1440" w:firstLine="720"/>
        <w:rPr>
          <w:rFonts w:asciiTheme="minorHAnsi" w:hAnsiTheme="minorHAnsi"/>
          <w:szCs w:val="24"/>
        </w:rPr>
      </w:pPr>
      <w:r w:rsidRPr="008440BF">
        <w:rPr>
          <w:rFonts w:asciiTheme="minorHAnsi" w:hAnsiTheme="minorHAnsi"/>
          <w:szCs w:val="24"/>
        </w:rPr>
        <w:t>Numerator = Number of SSIs</w:t>
      </w:r>
    </w:p>
    <w:p w14:paraId="0B897490" w14:textId="77777777" w:rsidR="00B2770A" w:rsidRPr="008440BF" w:rsidRDefault="00B2770A" w:rsidP="00B2770A">
      <w:pPr>
        <w:pStyle w:val="ListParagraph"/>
        <w:spacing w:after="120"/>
        <w:ind w:left="1440" w:firstLine="720"/>
        <w:rPr>
          <w:rFonts w:asciiTheme="minorHAnsi" w:hAnsiTheme="minorHAnsi"/>
          <w:szCs w:val="24"/>
        </w:rPr>
      </w:pPr>
      <w:r w:rsidRPr="008440BF">
        <w:rPr>
          <w:rFonts w:asciiTheme="minorHAnsi" w:hAnsiTheme="minorHAnsi"/>
          <w:szCs w:val="24"/>
        </w:rPr>
        <w:t xml:space="preserve">Denominator = Total number of procedures </w:t>
      </w:r>
    </w:p>
    <w:p w14:paraId="33497A8D" w14:textId="77777777" w:rsidR="00B2770A" w:rsidRPr="008440BF" w:rsidRDefault="00B2770A" w:rsidP="00B2770A">
      <w:pPr>
        <w:pStyle w:val="Default"/>
        <w:spacing w:after="120"/>
        <w:ind w:left="1440"/>
        <w:rPr>
          <w:rFonts w:asciiTheme="minorHAnsi" w:hAnsiTheme="minorHAnsi" w:cstheme="minorHAnsi"/>
        </w:rPr>
      </w:pPr>
      <w:r w:rsidRPr="008440BF">
        <w:rPr>
          <w:rFonts w:asciiTheme="minorHAnsi" w:hAnsiTheme="minorHAnsi" w:cstheme="minorHAnsi"/>
          <w:b/>
          <w:bCs/>
        </w:rPr>
        <w:t xml:space="preserve">Projections: </w:t>
      </w:r>
      <w:r w:rsidRPr="008440BF">
        <w:rPr>
          <w:rFonts w:asciiTheme="minorHAnsi" w:hAnsiTheme="minorHAnsi" w:cstheme="minorHAnsi"/>
        </w:rPr>
        <w:t>As the Proposed Project is to establish a new ASC, the Applicant will provide baseline measures and three years of projections following the first fiscal year of operation.</w:t>
      </w:r>
    </w:p>
    <w:p w14:paraId="24EF3C94" w14:textId="77777777" w:rsidR="00B2770A" w:rsidRPr="008440BF" w:rsidRDefault="00B2770A" w:rsidP="00B2770A">
      <w:pPr>
        <w:pStyle w:val="Default"/>
        <w:spacing w:after="120"/>
        <w:ind w:left="1440"/>
        <w:rPr>
          <w:rFonts w:asciiTheme="minorHAnsi" w:hAnsiTheme="minorHAnsi" w:cstheme="minorHAnsi"/>
        </w:rPr>
      </w:pPr>
      <w:r w:rsidRPr="008440BF">
        <w:rPr>
          <w:rFonts w:asciiTheme="minorHAnsi" w:hAnsiTheme="minorHAnsi" w:cstheme="minorHAnsi"/>
          <w:b/>
          <w:bCs/>
        </w:rPr>
        <w:t xml:space="preserve">Monitoring: </w:t>
      </w:r>
      <w:r w:rsidRPr="008440BF">
        <w:rPr>
          <w:rFonts w:asciiTheme="minorHAnsi" w:hAnsiTheme="minorHAnsi" w:cstheme="minorHAnsi"/>
        </w:rPr>
        <w:t xml:space="preserve">The ASC’s Administrator or their designee will review the incidence of SSIs monthly and report quarterly to the governing board of the Applicant.  </w:t>
      </w:r>
    </w:p>
    <w:p w14:paraId="08F3CCF1" w14:textId="77777777" w:rsidR="00B2770A" w:rsidRPr="008440BF" w:rsidRDefault="00B2770A" w:rsidP="00B2770A">
      <w:pPr>
        <w:pStyle w:val="ListParagraph"/>
        <w:widowControl/>
        <w:numPr>
          <w:ilvl w:val="0"/>
          <w:numId w:val="40"/>
        </w:numPr>
        <w:autoSpaceDE/>
        <w:autoSpaceDN/>
        <w:spacing w:before="120" w:after="120"/>
        <w:jc w:val="both"/>
        <w:rPr>
          <w:rFonts w:asciiTheme="minorHAnsi" w:hAnsiTheme="minorHAnsi"/>
          <w:b/>
          <w:bCs/>
          <w:szCs w:val="24"/>
        </w:rPr>
      </w:pPr>
      <w:r w:rsidRPr="008440BF">
        <w:rPr>
          <w:rFonts w:asciiTheme="minorHAnsi" w:hAnsiTheme="minorHAnsi"/>
          <w:b/>
          <w:bCs/>
          <w:szCs w:val="24"/>
        </w:rPr>
        <w:t xml:space="preserve">Fall Prevention: </w:t>
      </w:r>
      <w:r w:rsidRPr="008440BF">
        <w:rPr>
          <w:rFonts w:asciiTheme="minorHAnsi" w:hAnsiTheme="minorHAnsi"/>
          <w:szCs w:val="24"/>
        </w:rPr>
        <w:t xml:space="preserve">This measure will monitor the number of patients who report a fall within 30 days of surgery and aims to reduce or eliminate such incidences. </w:t>
      </w:r>
      <w:bookmarkEnd w:id="40"/>
    </w:p>
    <w:p w14:paraId="0C09DE7E" w14:textId="77777777" w:rsidR="00B2770A" w:rsidRPr="008440BF" w:rsidRDefault="00B2770A" w:rsidP="00B2770A">
      <w:pPr>
        <w:pStyle w:val="Default"/>
        <w:spacing w:after="120"/>
        <w:ind w:left="1440"/>
        <w:rPr>
          <w:rFonts w:asciiTheme="minorHAnsi" w:hAnsiTheme="minorHAnsi" w:cstheme="minorHAnsi"/>
        </w:rPr>
      </w:pPr>
      <w:r w:rsidRPr="008440BF">
        <w:rPr>
          <w:rFonts w:asciiTheme="minorHAnsi" w:hAnsiTheme="minorHAnsi" w:cstheme="minorHAnsi"/>
          <w:b/>
          <w:bCs/>
        </w:rPr>
        <w:t xml:space="preserve">Measure: </w:t>
      </w:r>
      <w:r w:rsidRPr="008440BF">
        <w:rPr>
          <w:rFonts w:asciiTheme="minorHAnsi" w:hAnsiTheme="minorHAnsi" w:cstheme="minorHAnsi"/>
        </w:rPr>
        <w:t xml:space="preserve">The percentage of falls with injury 30 days of procedure. </w:t>
      </w:r>
    </w:p>
    <w:p w14:paraId="71A9504D" w14:textId="77777777" w:rsidR="00B2770A" w:rsidRPr="008440BF" w:rsidRDefault="00B2770A" w:rsidP="00B2770A">
      <w:pPr>
        <w:pStyle w:val="ListParagraph"/>
        <w:spacing w:after="120"/>
        <w:ind w:left="1440" w:firstLine="720"/>
        <w:rPr>
          <w:rFonts w:asciiTheme="minorHAnsi" w:hAnsiTheme="minorHAnsi"/>
          <w:szCs w:val="24"/>
        </w:rPr>
      </w:pPr>
      <w:r w:rsidRPr="008440BF">
        <w:rPr>
          <w:rFonts w:asciiTheme="minorHAnsi" w:hAnsiTheme="minorHAnsi"/>
          <w:szCs w:val="24"/>
        </w:rPr>
        <w:t>Numerator = Number of falls with injury</w:t>
      </w:r>
    </w:p>
    <w:p w14:paraId="077A9396" w14:textId="77777777" w:rsidR="00B2770A" w:rsidRPr="008440BF" w:rsidRDefault="00B2770A" w:rsidP="00B2770A">
      <w:pPr>
        <w:pStyle w:val="ListParagraph"/>
        <w:spacing w:after="120"/>
        <w:ind w:left="1440" w:firstLine="720"/>
        <w:rPr>
          <w:rFonts w:asciiTheme="minorHAnsi" w:hAnsiTheme="minorHAnsi"/>
          <w:szCs w:val="24"/>
        </w:rPr>
      </w:pPr>
      <w:r w:rsidRPr="008440BF">
        <w:rPr>
          <w:rFonts w:asciiTheme="minorHAnsi" w:hAnsiTheme="minorHAnsi"/>
          <w:szCs w:val="24"/>
        </w:rPr>
        <w:t xml:space="preserve">Denominator = Total number of procedures </w:t>
      </w:r>
    </w:p>
    <w:p w14:paraId="047C8D7B" w14:textId="77777777" w:rsidR="00B2770A" w:rsidRPr="008440BF" w:rsidRDefault="00B2770A" w:rsidP="00B2770A">
      <w:pPr>
        <w:pStyle w:val="Default"/>
        <w:spacing w:after="120"/>
        <w:ind w:left="1440"/>
        <w:rPr>
          <w:rFonts w:asciiTheme="minorHAnsi" w:hAnsiTheme="minorHAnsi" w:cstheme="minorHAnsi"/>
          <w:b/>
          <w:bCs/>
        </w:rPr>
      </w:pPr>
      <w:r w:rsidRPr="008440BF">
        <w:rPr>
          <w:rFonts w:asciiTheme="minorHAnsi" w:hAnsiTheme="minorHAnsi" w:cstheme="minorHAnsi"/>
          <w:b/>
          <w:bCs/>
        </w:rPr>
        <w:t xml:space="preserve">Projections: </w:t>
      </w:r>
      <w:r w:rsidRPr="008440BF">
        <w:rPr>
          <w:rFonts w:asciiTheme="minorHAnsi" w:hAnsiTheme="minorHAnsi" w:cstheme="minorHAnsi"/>
        </w:rPr>
        <w:t>As the Proposed Project is to establish a new ASC, the Applicant will provide baseline measures and three years of projections following the first fiscal year of operation.</w:t>
      </w:r>
    </w:p>
    <w:p w14:paraId="394C4CB3" w14:textId="77777777" w:rsidR="00B2770A" w:rsidRPr="008440BF" w:rsidRDefault="00B2770A" w:rsidP="00B2770A">
      <w:pPr>
        <w:pStyle w:val="Default"/>
        <w:spacing w:after="120"/>
        <w:ind w:left="1440"/>
        <w:rPr>
          <w:rFonts w:asciiTheme="minorHAnsi" w:hAnsiTheme="minorHAnsi" w:cstheme="minorHAnsi"/>
        </w:rPr>
      </w:pPr>
      <w:r w:rsidRPr="008440BF">
        <w:rPr>
          <w:rFonts w:asciiTheme="minorHAnsi" w:hAnsiTheme="minorHAnsi" w:cstheme="minorHAnsi"/>
          <w:b/>
          <w:bCs/>
        </w:rPr>
        <w:t xml:space="preserve">Monitoring: </w:t>
      </w:r>
      <w:r w:rsidRPr="008440BF">
        <w:rPr>
          <w:rFonts w:asciiTheme="minorHAnsi" w:hAnsiTheme="minorHAnsi" w:cstheme="minorHAnsi"/>
        </w:rPr>
        <w:t xml:space="preserve">The ASC’s Administrator or their designee will review fall reports monthly and report quarterly to the governing board of the Applicant.  </w:t>
      </w:r>
    </w:p>
    <w:p w14:paraId="3F273E87" w14:textId="77777777" w:rsidR="00B2770A" w:rsidRPr="008440BF" w:rsidRDefault="00B2770A" w:rsidP="00B2770A">
      <w:pPr>
        <w:pStyle w:val="Default"/>
        <w:numPr>
          <w:ilvl w:val="0"/>
          <w:numId w:val="40"/>
        </w:numPr>
        <w:spacing w:after="120"/>
        <w:rPr>
          <w:rFonts w:asciiTheme="minorHAnsi" w:hAnsiTheme="minorHAnsi" w:cstheme="minorHAnsi"/>
        </w:rPr>
      </w:pPr>
      <w:r w:rsidRPr="008440BF">
        <w:rPr>
          <w:rFonts w:asciiTheme="minorHAnsi" w:hAnsiTheme="minorHAnsi" w:cstheme="minorHAnsi"/>
          <w:b/>
          <w:bCs/>
        </w:rPr>
        <w:t xml:space="preserve">Pre-Operative Time-Out: </w:t>
      </w:r>
      <w:r w:rsidRPr="008440BF">
        <w:rPr>
          <w:rFonts w:asciiTheme="minorHAnsi" w:hAnsiTheme="minorHAnsi" w:cstheme="minorHAnsi"/>
        </w:rPr>
        <w:t xml:space="preserve">This measure will monitor compliance with the surgical team’s performance of a time-out immediately prior to each procedure. </w:t>
      </w:r>
    </w:p>
    <w:p w14:paraId="5F96902A" w14:textId="77777777" w:rsidR="00B2770A" w:rsidRPr="008440BF" w:rsidRDefault="00B2770A" w:rsidP="00B2770A">
      <w:pPr>
        <w:pStyle w:val="Default"/>
        <w:spacing w:after="120"/>
        <w:ind w:left="720" w:firstLine="720"/>
        <w:rPr>
          <w:rFonts w:asciiTheme="minorHAnsi" w:hAnsiTheme="minorHAnsi" w:cstheme="minorHAnsi"/>
        </w:rPr>
      </w:pPr>
      <w:r w:rsidRPr="008440BF">
        <w:rPr>
          <w:rFonts w:asciiTheme="minorHAnsi" w:hAnsiTheme="minorHAnsi" w:cstheme="minorHAnsi"/>
          <w:b/>
          <w:bCs/>
        </w:rPr>
        <w:t xml:space="preserve">Measure: </w:t>
      </w:r>
      <w:r w:rsidRPr="008440BF">
        <w:rPr>
          <w:rFonts w:asciiTheme="minorHAnsi" w:hAnsiTheme="minorHAnsi" w:cstheme="minorHAnsi"/>
        </w:rPr>
        <w:t xml:space="preserve">The percentage of time-outs completed each month. </w:t>
      </w:r>
    </w:p>
    <w:p w14:paraId="2E259445" w14:textId="77777777" w:rsidR="00B2770A" w:rsidRPr="008440BF" w:rsidRDefault="00B2770A" w:rsidP="00B2770A">
      <w:pPr>
        <w:spacing w:after="120"/>
        <w:ind w:left="1440" w:firstLine="720"/>
        <w:rPr>
          <w:rFonts w:asciiTheme="minorHAnsi" w:hAnsiTheme="minorHAnsi"/>
          <w:szCs w:val="24"/>
        </w:rPr>
      </w:pPr>
      <w:r w:rsidRPr="008440BF">
        <w:rPr>
          <w:rFonts w:asciiTheme="minorHAnsi" w:hAnsiTheme="minorHAnsi"/>
          <w:szCs w:val="24"/>
        </w:rPr>
        <w:t xml:space="preserve">Numerator = Number of time-outs completed </w:t>
      </w:r>
    </w:p>
    <w:p w14:paraId="72B5DBF4" w14:textId="77777777" w:rsidR="00B2770A" w:rsidRPr="008440BF" w:rsidRDefault="00B2770A" w:rsidP="00B2770A">
      <w:pPr>
        <w:pStyle w:val="ListParagraph"/>
        <w:spacing w:after="120"/>
        <w:ind w:left="1440" w:firstLine="720"/>
        <w:rPr>
          <w:rFonts w:asciiTheme="minorHAnsi" w:hAnsiTheme="minorHAnsi"/>
          <w:szCs w:val="24"/>
        </w:rPr>
      </w:pPr>
      <w:r w:rsidRPr="008440BF">
        <w:rPr>
          <w:rFonts w:asciiTheme="minorHAnsi" w:hAnsiTheme="minorHAnsi"/>
          <w:szCs w:val="24"/>
        </w:rPr>
        <w:t xml:space="preserve">Denominator = Total number of procedures </w:t>
      </w:r>
    </w:p>
    <w:p w14:paraId="45C40505" w14:textId="77777777" w:rsidR="00B2770A" w:rsidRPr="008440BF" w:rsidRDefault="00B2770A" w:rsidP="00B2770A">
      <w:pPr>
        <w:pStyle w:val="Default"/>
        <w:spacing w:after="120"/>
        <w:ind w:left="1440"/>
        <w:rPr>
          <w:rFonts w:asciiTheme="minorHAnsi" w:hAnsiTheme="minorHAnsi" w:cstheme="minorHAnsi"/>
          <w:b/>
          <w:bCs/>
        </w:rPr>
      </w:pPr>
      <w:r w:rsidRPr="008440BF">
        <w:rPr>
          <w:rFonts w:asciiTheme="minorHAnsi" w:hAnsiTheme="minorHAnsi" w:cstheme="minorHAnsi"/>
          <w:b/>
          <w:bCs/>
        </w:rPr>
        <w:lastRenderedPageBreak/>
        <w:t xml:space="preserve">Projections: </w:t>
      </w:r>
      <w:r w:rsidRPr="008440BF">
        <w:rPr>
          <w:rFonts w:asciiTheme="minorHAnsi" w:hAnsiTheme="minorHAnsi" w:cstheme="minorHAnsi"/>
        </w:rPr>
        <w:t>As the Proposed Project is to establish a new ASC, the Applicant will provide baseline measures and three years of projections following the first fiscal year of operation.</w:t>
      </w:r>
    </w:p>
    <w:p w14:paraId="04369CC3" w14:textId="0C016185" w:rsidR="00507877" w:rsidRPr="008440BF" w:rsidRDefault="00B2770A" w:rsidP="00B2770A">
      <w:pPr>
        <w:ind w:left="1800" w:hanging="360"/>
        <w:rPr>
          <w:rFonts w:asciiTheme="minorHAnsi" w:hAnsiTheme="minorHAnsi"/>
          <w:szCs w:val="24"/>
        </w:rPr>
      </w:pPr>
      <w:r w:rsidRPr="008440BF">
        <w:rPr>
          <w:rFonts w:asciiTheme="minorHAnsi" w:hAnsiTheme="minorHAnsi"/>
          <w:b/>
          <w:bCs/>
          <w:szCs w:val="24"/>
        </w:rPr>
        <w:t xml:space="preserve">Monitoring: </w:t>
      </w:r>
      <w:r w:rsidRPr="008440BF">
        <w:rPr>
          <w:rFonts w:asciiTheme="minorHAnsi" w:hAnsiTheme="minorHAnsi"/>
          <w:szCs w:val="24"/>
        </w:rPr>
        <w:t>The ASC’s Administrator or their designee will review time-out compliance monthly and report quarterly to the governing board of the Applicant.</w:t>
      </w:r>
    </w:p>
    <w:p w14:paraId="510889F3" w14:textId="77777777" w:rsidR="00B2770A" w:rsidRPr="008440BF" w:rsidRDefault="00B2770A" w:rsidP="00B2770A">
      <w:pPr>
        <w:ind w:left="360" w:hanging="360"/>
        <w:rPr>
          <w:rFonts w:asciiTheme="minorHAnsi" w:hAnsiTheme="minorHAnsi"/>
          <w:szCs w:val="24"/>
        </w:rPr>
      </w:pPr>
    </w:p>
    <w:p w14:paraId="2D2C04DE" w14:textId="77777777" w:rsidR="00507877" w:rsidRPr="008440BF" w:rsidRDefault="00507877" w:rsidP="00507877">
      <w:pPr>
        <w:ind w:left="360" w:hanging="360"/>
        <w:rPr>
          <w:rFonts w:asciiTheme="minorHAnsi" w:eastAsia="Times New Roman" w:hAnsiTheme="minorHAnsi"/>
          <w:color w:val="000000"/>
          <w:szCs w:val="24"/>
          <w:highlight w:val="yellow"/>
        </w:rPr>
      </w:pPr>
    </w:p>
    <w:p w14:paraId="70688AF7" w14:textId="5CC60CB6" w:rsidR="00AD00A8" w:rsidRPr="008440BF" w:rsidRDefault="00AD00A8" w:rsidP="0023644A">
      <w:pPr>
        <w:pStyle w:val="Heading1"/>
        <w:ind w:left="0"/>
        <w:rPr>
          <w:rFonts w:asciiTheme="minorHAnsi" w:hAnsiTheme="minorHAnsi"/>
          <w:b w:val="0"/>
          <w:bCs w:val="0"/>
          <w:color w:val="1F497D" w:themeColor="text2"/>
          <w:szCs w:val="24"/>
        </w:rPr>
      </w:pPr>
      <w:bookmarkStart w:id="41" w:name="_Toc166249391"/>
      <w:r w:rsidRPr="008440BF">
        <w:rPr>
          <w:rFonts w:asciiTheme="minorHAnsi" w:hAnsiTheme="minorHAnsi"/>
          <w:color w:val="1F497D" w:themeColor="text2"/>
        </w:rPr>
        <w:t xml:space="preserve">Appendix II: </w:t>
      </w:r>
      <w:r w:rsidR="003036C1" w:rsidRPr="008440BF">
        <w:rPr>
          <w:rFonts w:asciiTheme="minorHAnsi" w:hAnsiTheme="minorHAnsi"/>
          <w:color w:val="1F497D" w:themeColor="text2"/>
          <w:szCs w:val="24"/>
        </w:rPr>
        <w:t>Literature Review</w:t>
      </w:r>
      <w:bookmarkEnd w:id="41"/>
      <w:r w:rsidR="0023644A" w:rsidRPr="008440BF">
        <w:rPr>
          <w:rFonts w:asciiTheme="minorHAnsi" w:hAnsiTheme="minorHAnsi"/>
          <w:b w:val="0"/>
          <w:bCs w:val="0"/>
          <w:color w:val="1F497D" w:themeColor="text2"/>
          <w:szCs w:val="24"/>
        </w:rPr>
        <w:t xml:space="preserve"> </w:t>
      </w:r>
    </w:p>
    <w:p w14:paraId="751E1E25" w14:textId="5971E9DB" w:rsidR="0005344D" w:rsidRPr="008440BF" w:rsidRDefault="0005344D" w:rsidP="00082B2A">
      <w:pPr>
        <w:pStyle w:val="ListParagraph"/>
        <w:shd w:val="clear" w:color="auto" w:fill="FFFFFF"/>
        <w:spacing w:before="120"/>
        <w:ind w:left="450"/>
        <w:rPr>
          <w:rStyle w:val="cf01"/>
          <w:rFonts w:asciiTheme="minorHAnsi" w:hAnsiTheme="minorHAnsi" w:cstheme="minorHAnsi"/>
          <w:iCs/>
          <w:sz w:val="24"/>
          <w:szCs w:val="24"/>
        </w:rPr>
      </w:pPr>
      <w:r w:rsidRPr="008440BF">
        <w:rPr>
          <w:rFonts w:asciiTheme="minorHAnsi" w:hAnsiTheme="minorHAnsi"/>
          <w:iCs/>
          <w:szCs w:val="24"/>
        </w:rPr>
        <w:t xml:space="preserve">Ayers DC, Yousef M, Yang W, Zheng H. </w:t>
      </w:r>
      <w:hyperlink r:id="rId17" w:history="1">
        <w:r w:rsidRPr="006538A8">
          <w:rPr>
            <w:rStyle w:val="Hyperlink"/>
            <w:rFonts w:asciiTheme="minorHAnsi" w:hAnsiTheme="minorHAnsi"/>
            <w:iCs/>
            <w:color w:val="auto"/>
            <w:szCs w:val="24"/>
            <w:u w:val="none"/>
          </w:rPr>
          <w:t>Age-Related Differences in Pain, Function, and Quality of Life Following Primary Total Knee Arthroplasty: Results From a FORCE-TJR (Function and Outcomes Research for Comparative Effectiveness in Total Joint Replacement)</w:t>
        </w:r>
      </w:hyperlink>
      <w:r w:rsidRPr="006538A8">
        <w:rPr>
          <w:rFonts w:asciiTheme="minorHAnsi" w:hAnsiTheme="minorHAnsi"/>
          <w:iCs/>
          <w:szCs w:val="24"/>
        </w:rPr>
        <w:t xml:space="preserve"> Cohort</w:t>
      </w:r>
      <w:r w:rsidRPr="008440BF">
        <w:rPr>
          <w:rFonts w:asciiTheme="minorHAnsi" w:hAnsiTheme="minorHAnsi"/>
          <w:iCs/>
          <w:szCs w:val="24"/>
        </w:rPr>
        <w:t>. J Arthroplasty. 2023 07; 38(7 Suppl 2):S169-S176. PMID: </w:t>
      </w:r>
      <w:hyperlink r:id="rId18" w:tgtFrame="_blank" w:history="1">
        <w:r w:rsidRPr="008440BF">
          <w:rPr>
            <w:rStyle w:val="Hyperlink"/>
            <w:rFonts w:asciiTheme="minorHAnsi" w:hAnsiTheme="minorHAnsi"/>
            <w:iCs/>
            <w:color w:val="365F91" w:themeColor="accent1" w:themeShade="BF"/>
            <w:szCs w:val="24"/>
          </w:rPr>
          <w:t>37121490</w:t>
        </w:r>
      </w:hyperlink>
      <w:r w:rsidRPr="008440BF">
        <w:rPr>
          <w:rFonts w:asciiTheme="minorHAnsi" w:hAnsiTheme="minorHAnsi"/>
          <w:iCs/>
          <w:color w:val="365F91" w:themeColor="accent1" w:themeShade="BF"/>
          <w:szCs w:val="24"/>
        </w:rPr>
        <w:t>.</w:t>
      </w:r>
    </w:p>
    <w:p w14:paraId="13F59D0E" w14:textId="3924EFE8" w:rsidR="00AA1F89" w:rsidRPr="008440BF" w:rsidRDefault="00000000" w:rsidP="00082B2A">
      <w:pPr>
        <w:pStyle w:val="ListParagraph"/>
        <w:shd w:val="clear" w:color="auto" w:fill="FFFFFF"/>
        <w:spacing w:before="120"/>
        <w:ind w:left="450"/>
        <w:rPr>
          <w:rStyle w:val="cf01"/>
          <w:rFonts w:asciiTheme="minorHAnsi" w:hAnsiTheme="minorHAnsi" w:cstheme="minorHAnsi"/>
          <w:iCs/>
          <w:sz w:val="24"/>
          <w:szCs w:val="24"/>
        </w:rPr>
      </w:pPr>
      <w:hyperlink r:id="rId19" w:tgtFrame="_blank" w:history="1">
        <w:r w:rsidR="00AA1F89" w:rsidRPr="008F2D42">
          <w:rPr>
            <w:rFonts w:asciiTheme="minorHAnsi" w:hAnsiTheme="minorHAnsi"/>
            <w:szCs w:val="24"/>
          </w:rPr>
          <w:t>Mark D. Porter, MD, DSc, FACSP, FRACS (Orth)</w:t>
        </w:r>
      </w:hyperlink>
      <w:r w:rsidR="00AA1F89" w:rsidRPr="008F2D42">
        <w:rPr>
          <w:rFonts w:asciiTheme="minorHAnsi" w:hAnsiTheme="minorHAnsi"/>
          <w:iCs/>
          <w:szCs w:val="24"/>
        </w:rPr>
        <w:t>and </w:t>
      </w:r>
      <w:hyperlink r:id="rId20" w:tgtFrame="_blank" w:history="1">
        <w:r w:rsidR="00AA1F89" w:rsidRPr="008F2D42">
          <w:rPr>
            <w:rFonts w:asciiTheme="minorHAnsi" w:hAnsiTheme="minorHAnsi"/>
            <w:szCs w:val="24"/>
          </w:rPr>
          <w:t>Bruce Shadbolt, PhD</w:t>
        </w:r>
      </w:hyperlink>
      <w:r w:rsidR="00AA1F89" w:rsidRPr="008F2D42">
        <w:rPr>
          <w:rFonts w:asciiTheme="minorHAnsi" w:hAnsiTheme="minorHAnsi"/>
          <w:iCs/>
          <w:szCs w:val="24"/>
        </w:rPr>
        <w:t>. </w:t>
      </w:r>
      <w:hyperlink r:id="rId21" w:history="1">
        <w:r w:rsidR="00AA1F89" w:rsidRPr="008F2D42">
          <w:rPr>
            <w:rStyle w:val="Hyperlink"/>
            <w:rFonts w:asciiTheme="minorHAnsi" w:hAnsiTheme="minorHAnsi"/>
            <w:iCs/>
            <w:color w:val="auto"/>
            <w:szCs w:val="24"/>
            <w:u w:val="none"/>
          </w:rPr>
          <w:t>Improved Outcome With Knee Arthroscopy Relative to Physiotherapy for Symptomatic Unstable Meniscal Tears: 2-Year Prospective Cohort Study </w:t>
        </w:r>
      </w:hyperlink>
      <w:hyperlink r:id="rId22" w:tgtFrame="_blank" w:history="1">
        <w:r w:rsidR="00AA1F89" w:rsidRPr="008440BF">
          <w:rPr>
            <w:rStyle w:val="Hyperlink"/>
            <w:rFonts w:asciiTheme="minorHAnsi" w:hAnsiTheme="minorHAnsi"/>
            <w:iCs/>
            <w:color w:val="365F91" w:themeColor="accent1" w:themeShade="BF"/>
            <w:szCs w:val="24"/>
          </w:rPr>
          <w:t>https://doi.org/10.1177/19417381231156378</w:t>
        </w:r>
      </w:hyperlink>
    </w:p>
    <w:p w14:paraId="4E19A180" w14:textId="00086573" w:rsidR="00730DB0" w:rsidRPr="008440BF" w:rsidRDefault="00730DB0" w:rsidP="00082B2A">
      <w:pPr>
        <w:pStyle w:val="ListParagraph"/>
        <w:shd w:val="clear" w:color="auto" w:fill="FFFFFF"/>
        <w:spacing w:before="120"/>
        <w:ind w:left="450"/>
        <w:rPr>
          <w:rStyle w:val="cf01"/>
          <w:rFonts w:asciiTheme="minorHAnsi" w:hAnsiTheme="minorHAnsi" w:cstheme="minorHAnsi"/>
          <w:iCs/>
          <w:sz w:val="24"/>
          <w:szCs w:val="24"/>
          <w:u w:val="single"/>
        </w:rPr>
      </w:pPr>
      <w:r w:rsidRPr="008440BF">
        <w:rPr>
          <w:rFonts w:asciiTheme="minorHAnsi" w:hAnsiTheme="minorHAnsi"/>
          <w:iCs/>
          <w:szCs w:val="24"/>
        </w:rPr>
        <w:t xml:space="preserve">Batuhan Çokyaşar M.D. ,Ozan Altun M.D, Uygar Daşar M.D. </w:t>
      </w:r>
      <w:hyperlink r:id="rId23" w:history="1">
        <w:r w:rsidRPr="000C4339">
          <w:rPr>
            <w:rStyle w:val="Hyperlink"/>
            <w:rFonts w:asciiTheme="minorHAnsi" w:hAnsiTheme="minorHAnsi"/>
            <w:iCs/>
            <w:color w:val="auto"/>
            <w:szCs w:val="24"/>
            <w:u w:val="none"/>
          </w:rPr>
          <w:t>Anterior Cruciate Ligament Reconstruction Improves Functional Scores and Quality of Life in Patients Older Than 50 Years of Age </w:t>
        </w:r>
      </w:hyperlink>
      <w:hyperlink r:id="rId24" w:tgtFrame="_blank" w:tooltip="Persistent link using digital object identifier" w:history="1">
        <w:r w:rsidRPr="008440BF">
          <w:rPr>
            <w:rStyle w:val="Hyperlink"/>
            <w:rFonts w:asciiTheme="minorHAnsi" w:hAnsiTheme="minorHAnsi"/>
            <w:iCs/>
            <w:color w:val="365F91" w:themeColor="accent1" w:themeShade="BF"/>
            <w:szCs w:val="24"/>
          </w:rPr>
          <w:t>https://doi.org/10.1016/j.asmr.2023.100806</w:t>
        </w:r>
      </w:hyperlink>
    </w:p>
    <w:p w14:paraId="657B364B" w14:textId="77777777" w:rsidR="00137EEE" w:rsidRPr="008440BF" w:rsidRDefault="00137EEE" w:rsidP="00082B2A">
      <w:pPr>
        <w:pStyle w:val="ListParagraph"/>
        <w:shd w:val="clear" w:color="auto" w:fill="FFFFFF"/>
        <w:spacing w:before="120"/>
        <w:ind w:left="450"/>
        <w:rPr>
          <w:rFonts w:asciiTheme="minorHAnsi" w:hAnsiTheme="minorHAnsi"/>
          <w:iCs/>
          <w:szCs w:val="24"/>
        </w:rPr>
      </w:pPr>
      <w:r w:rsidRPr="008440BF">
        <w:rPr>
          <w:rFonts w:asciiTheme="minorHAnsi" w:hAnsiTheme="minorHAnsi"/>
          <w:iCs/>
          <w:szCs w:val="24"/>
        </w:rPr>
        <w:t>Cagle, Paul J. et al. An Outcomes Protocol for Carpal Tunnel Release: A Comparison of Outcomes in Patients With and Without Medical Comorbidities. Journal of Hand Surgery, 2014; Volume 39, Issue 11, 2175 – 2180</w:t>
      </w:r>
    </w:p>
    <w:p w14:paraId="22F3FB2E" w14:textId="77777777" w:rsidR="0033365A" w:rsidRPr="008440BF" w:rsidRDefault="0033365A" w:rsidP="00082B2A">
      <w:pPr>
        <w:pStyle w:val="ListParagraph"/>
        <w:shd w:val="clear" w:color="auto" w:fill="FFFFFF"/>
        <w:spacing w:before="120"/>
        <w:ind w:left="450"/>
        <w:rPr>
          <w:rFonts w:asciiTheme="minorHAnsi" w:hAnsiTheme="minorHAnsi"/>
          <w:iCs/>
          <w:szCs w:val="24"/>
        </w:rPr>
      </w:pPr>
      <w:r w:rsidRPr="008440BF">
        <w:rPr>
          <w:rFonts w:asciiTheme="minorHAnsi" w:hAnsiTheme="minorHAnsi"/>
          <w:iCs/>
          <w:szCs w:val="24"/>
        </w:rPr>
        <w:t>Meyers, Abigail et al. A Systematic Review of the Outcomes of Carpal Ligament Release in Severe Carpal Tunnel Syndrome. Journal of Hand Surgery, 2023; Volume 48, Issue 4, 408.e1 - 408.e18</w:t>
      </w:r>
    </w:p>
    <w:p w14:paraId="5ADDA2CA" w14:textId="77777777" w:rsidR="0068457A" w:rsidRPr="008440BF" w:rsidRDefault="0068457A" w:rsidP="00082B2A">
      <w:pPr>
        <w:pStyle w:val="ListParagraph"/>
        <w:shd w:val="clear" w:color="auto" w:fill="FFFFFF"/>
        <w:spacing w:before="120"/>
        <w:ind w:left="450"/>
        <w:rPr>
          <w:rFonts w:asciiTheme="minorHAnsi" w:hAnsiTheme="minorHAnsi"/>
          <w:iCs/>
          <w:szCs w:val="24"/>
        </w:rPr>
      </w:pPr>
      <w:r w:rsidRPr="008440BF">
        <w:rPr>
          <w:rFonts w:asciiTheme="minorHAnsi" w:hAnsiTheme="minorHAnsi"/>
          <w:iCs/>
          <w:szCs w:val="24"/>
        </w:rPr>
        <w:t>Rivlin, Michael et al. Electrodiagnostic Grade and Carpal Tunnel Release Outcomes: A Prospective Analysis. Journal of Hand Surgery, 2018; Volume 43, Issue 5, 425 – 431</w:t>
      </w:r>
    </w:p>
    <w:p w14:paraId="49EFDCD4" w14:textId="435C4E0B" w:rsidR="00D1021F" w:rsidRPr="008440BF" w:rsidRDefault="00000000" w:rsidP="00082B2A">
      <w:pPr>
        <w:pStyle w:val="ListParagraph"/>
        <w:shd w:val="clear" w:color="auto" w:fill="FFFFFF"/>
        <w:spacing w:beforeAutospacing="1" w:afterAutospacing="1"/>
        <w:ind w:left="450"/>
        <w:rPr>
          <w:rFonts w:asciiTheme="minorHAnsi" w:hAnsiTheme="minorHAnsi"/>
          <w:iCs/>
          <w:szCs w:val="24"/>
        </w:rPr>
      </w:pPr>
      <w:hyperlink r:id="rId25" w:history="1">
        <w:r w:rsidR="00D1021F" w:rsidRPr="000C4339">
          <w:rPr>
            <w:rStyle w:val="Hyperlink"/>
            <w:rFonts w:asciiTheme="minorHAnsi" w:hAnsiTheme="minorHAnsi"/>
            <w:iCs/>
            <w:color w:val="auto"/>
            <w:szCs w:val="24"/>
            <w:u w:val="none"/>
          </w:rPr>
          <w:t>American Academy of Orthopaedic Surgeons/American Society for Surgery of the Hand Management of Distal Radius Fractures Evidence-Based Clinical Practice Guidelines.</w:t>
        </w:r>
        <w:r w:rsidR="00D1021F" w:rsidRPr="000C4339">
          <w:rPr>
            <w:rStyle w:val="Hyperlink"/>
            <w:rFonts w:asciiTheme="minorHAnsi" w:hAnsiTheme="minorHAnsi"/>
            <w:iCs/>
            <w:szCs w:val="24"/>
          </w:rPr>
          <w:t> </w:t>
        </w:r>
      </w:hyperlink>
      <w:hyperlink r:id="rId26" w:tgtFrame="_blank" w:history="1">
        <w:r w:rsidR="00D1021F" w:rsidRPr="008440BF">
          <w:rPr>
            <w:rStyle w:val="Hyperlink"/>
            <w:rFonts w:asciiTheme="minorHAnsi" w:hAnsiTheme="minorHAnsi"/>
            <w:iCs/>
            <w:color w:val="365F91" w:themeColor="accent1" w:themeShade="BF"/>
            <w:szCs w:val="24"/>
          </w:rPr>
          <w:t>www.aaos.org/drfcpg</w:t>
        </w:r>
      </w:hyperlink>
      <w:r w:rsidR="00D1021F" w:rsidRPr="008440BF">
        <w:rPr>
          <w:rFonts w:asciiTheme="minorHAnsi" w:hAnsiTheme="minorHAnsi"/>
          <w:iCs/>
          <w:szCs w:val="24"/>
        </w:rPr>
        <w:t xml:space="preserve"> Published December 5, 2020. Accessed April 04, 2024. </w:t>
      </w:r>
      <w:hyperlink r:id="rId27" w:history="1">
        <w:r w:rsidR="00D1021F" w:rsidRPr="008440BF">
          <w:rPr>
            <w:rStyle w:val="Hyperlink"/>
            <w:rFonts w:asciiTheme="minorHAnsi" w:hAnsiTheme="minorHAnsi"/>
            <w:iCs/>
            <w:color w:val="365F91" w:themeColor="accent1" w:themeShade="BF"/>
            <w:szCs w:val="24"/>
          </w:rPr>
          <w:t>https://www.orthoguidelines.org/guideline-detail?id=1599&amp;tab=all_guidelines</w:t>
        </w:r>
      </w:hyperlink>
      <w:r w:rsidR="00D1021F" w:rsidRPr="008440BF">
        <w:rPr>
          <w:rFonts w:asciiTheme="minorHAnsi" w:hAnsiTheme="minorHAnsi"/>
          <w:iCs/>
          <w:color w:val="365F91" w:themeColor="accent1" w:themeShade="BF"/>
          <w:szCs w:val="24"/>
        </w:rPr>
        <w:t>  </w:t>
      </w:r>
    </w:p>
    <w:p w14:paraId="78AB0AD2" w14:textId="359F5C40" w:rsidR="00F52CD5" w:rsidRPr="008440BF" w:rsidRDefault="00F52CD5" w:rsidP="00082B2A">
      <w:pPr>
        <w:pStyle w:val="ListParagraph"/>
        <w:shd w:val="clear" w:color="auto" w:fill="FFFFFF"/>
        <w:spacing w:beforeAutospacing="1" w:afterAutospacing="1"/>
        <w:ind w:left="450"/>
        <w:rPr>
          <w:rFonts w:asciiTheme="minorHAnsi" w:hAnsiTheme="minorHAnsi"/>
          <w:iCs/>
          <w:szCs w:val="24"/>
        </w:rPr>
      </w:pPr>
      <w:r w:rsidRPr="008440BF">
        <w:rPr>
          <w:rFonts w:asciiTheme="minorHAnsi" w:hAnsiTheme="minorHAnsi"/>
          <w:iCs/>
          <w:szCs w:val="24"/>
        </w:rPr>
        <w:t>Do elderly patients gain as much benefit from arthroscopic rotator cuff repair as their younger peers? Journal of Shoulder and Elbow Surgery</w:t>
      </w:r>
      <w:r w:rsidR="009D031B">
        <w:rPr>
          <w:rFonts w:asciiTheme="minorHAnsi" w:hAnsiTheme="minorHAnsi"/>
          <w:iCs/>
          <w:szCs w:val="24"/>
        </w:rPr>
        <w:t xml:space="preserve"> </w:t>
      </w:r>
      <w:r w:rsidRPr="008440BF">
        <w:rPr>
          <w:rFonts w:asciiTheme="minorHAnsi" w:hAnsiTheme="minorHAnsi"/>
          <w:iCs/>
          <w:szCs w:val="24"/>
        </w:rPr>
        <w:t>Vol. 28Issue 6p1056–1065Published online: January 28, 2019 Caroline Witney-LagenGeorgios MazisJuan BrugueraEhud AtounGiuseppe SforzaOfer Levy</w:t>
      </w:r>
    </w:p>
    <w:p w14:paraId="67753875" w14:textId="14599AF8" w:rsidR="00D21E5B" w:rsidRPr="008440BF" w:rsidRDefault="00000000" w:rsidP="00082B2A">
      <w:pPr>
        <w:pStyle w:val="BodyText"/>
        <w:ind w:left="450" w:hanging="450"/>
        <w:rPr>
          <w:rStyle w:val="cf01"/>
          <w:rFonts w:asciiTheme="minorHAnsi" w:hAnsiTheme="minorHAnsi" w:cstheme="minorHAnsi"/>
          <w:iCs/>
          <w:color w:val="365F91" w:themeColor="accent1" w:themeShade="BF"/>
          <w:sz w:val="24"/>
          <w:szCs w:val="24"/>
        </w:rPr>
      </w:pPr>
      <w:hyperlink r:id="rId28" w:anchor=":~:text=By%20type%20of%20arthroplasty%2C%20only,cost%20reduction%20of%20%246.797%2C02" w:history="1">
        <w:r w:rsidR="00D21E5B" w:rsidRPr="00303D20">
          <w:rPr>
            <w:rStyle w:val="Hyperlink"/>
            <w:rFonts w:asciiTheme="minorHAnsi" w:hAnsiTheme="minorHAnsi"/>
            <w:color w:val="auto"/>
            <w:kern w:val="2"/>
            <w:u w:val="none"/>
          </w:rPr>
          <w:t>Safety and efficacy of outpatient hip and knee arthroplasty: a systematic review with meta-analysis Y</w:t>
        </w:r>
      </w:hyperlink>
      <w:r w:rsidR="00D21E5B" w:rsidRPr="00303D20">
        <w:rPr>
          <w:rFonts w:asciiTheme="minorHAnsi" w:hAnsiTheme="minorHAnsi"/>
          <w:kern w:val="2"/>
        </w:rPr>
        <w:t xml:space="preserve"> </w:t>
      </w:r>
      <w:r w:rsidR="00D21E5B" w:rsidRPr="008440BF">
        <w:rPr>
          <w:rFonts w:asciiTheme="minorHAnsi" w:hAnsiTheme="minorHAnsi"/>
          <w:color w:val="0A163B"/>
          <w:kern w:val="2"/>
        </w:rPr>
        <w:t>F L Bemelmans, M H F Keulen, M Heymans, EH van Haaren, B Boonen, M G M Schotanus</w:t>
      </w:r>
      <w:r w:rsidR="00D21E5B" w:rsidRPr="008440BF">
        <w:rPr>
          <w:rStyle w:val="cf01"/>
          <w:rFonts w:asciiTheme="minorHAnsi" w:hAnsiTheme="minorHAnsi" w:cstheme="minorHAnsi"/>
          <w:iCs/>
          <w:sz w:val="24"/>
          <w:szCs w:val="24"/>
        </w:rPr>
        <w:t xml:space="preserve"> </w:t>
      </w:r>
      <w:hyperlink r:id="rId29" w:anchor=":~:text=By%20type%20of%20arthroplasty%2C%20only,cost%20reduction%20of%20%246.797%2C02" w:history="1">
        <w:r w:rsidR="00D21E5B" w:rsidRPr="008440BF">
          <w:rPr>
            <w:rStyle w:val="Hyperlink"/>
            <w:rFonts w:asciiTheme="minorHAnsi" w:hAnsiTheme="minorHAnsi"/>
            <w:iCs/>
            <w:color w:val="365F91" w:themeColor="accent1" w:themeShade="BF"/>
          </w:rPr>
          <w:t>https://pubmed.ncbi.nlm.nih.gov/33587170/#:~:text=By%20type%20of%20arthroplasty%2C%20only,cost%20reduction%20of%20%246.797%2C02</w:t>
        </w:r>
      </w:hyperlink>
      <w:r w:rsidR="00D21E5B" w:rsidRPr="008440BF">
        <w:rPr>
          <w:rStyle w:val="cf01"/>
          <w:rFonts w:asciiTheme="minorHAnsi" w:hAnsiTheme="minorHAnsi" w:cstheme="minorHAnsi"/>
          <w:iCs/>
          <w:color w:val="365F91" w:themeColor="accent1" w:themeShade="BF"/>
          <w:sz w:val="24"/>
          <w:szCs w:val="24"/>
        </w:rPr>
        <w:t xml:space="preserve">. </w:t>
      </w:r>
    </w:p>
    <w:p w14:paraId="19854377" w14:textId="77777777" w:rsidR="00082B2A" w:rsidRPr="008440BF" w:rsidRDefault="00082B2A" w:rsidP="00082B2A">
      <w:pPr>
        <w:pStyle w:val="BodyText"/>
        <w:ind w:left="450" w:hanging="450"/>
        <w:rPr>
          <w:rStyle w:val="cf01"/>
          <w:rFonts w:asciiTheme="minorHAnsi" w:hAnsiTheme="minorHAnsi" w:cstheme="minorHAnsi"/>
          <w:color w:val="0A163B"/>
          <w:kern w:val="2"/>
          <w:sz w:val="24"/>
          <w:szCs w:val="24"/>
        </w:rPr>
      </w:pPr>
    </w:p>
    <w:p w14:paraId="79FB184B" w14:textId="7355FB7B" w:rsidR="003B5036" w:rsidRPr="008440BF" w:rsidRDefault="003B5036" w:rsidP="00082B2A">
      <w:pPr>
        <w:pStyle w:val="BodyText"/>
        <w:ind w:left="450" w:hanging="450"/>
        <w:rPr>
          <w:rStyle w:val="Hyperlink"/>
          <w:rFonts w:asciiTheme="minorHAnsi" w:hAnsiTheme="minorHAnsi"/>
          <w:color w:val="365F91" w:themeColor="accent1" w:themeShade="BF"/>
          <w:kern w:val="2"/>
        </w:rPr>
      </w:pPr>
      <w:r w:rsidRPr="008440BF">
        <w:rPr>
          <w:rFonts w:asciiTheme="minorHAnsi" w:hAnsiTheme="minorHAnsi"/>
          <w:color w:val="0A163B"/>
          <w:kern w:val="2"/>
        </w:rPr>
        <w:lastRenderedPageBreak/>
        <w:t>The Journal of Arthroplasty 38 (2023) S65eS71</w:t>
      </w:r>
      <w:r w:rsidRPr="008440BF">
        <w:rPr>
          <w:rFonts w:asciiTheme="minorHAnsi" w:hAnsiTheme="minorHAnsi"/>
          <w:kern w:val="2"/>
        </w:rPr>
        <w:t xml:space="preserve">, </w:t>
      </w:r>
      <w:hyperlink r:id="rId30" w:history="1">
        <w:r w:rsidRPr="00303D20">
          <w:rPr>
            <w:rStyle w:val="Hyperlink"/>
            <w:rFonts w:asciiTheme="minorHAnsi" w:hAnsiTheme="minorHAnsi"/>
            <w:i/>
            <w:iCs/>
            <w:color w:val="auto"/>
            <w:kern w:val="2"/>
            <w:u w:val="none"/>
          </w:rPr>
          <w:t>Recovery Curves for Patient Reported Outcomes and Physical Function After Total Hip Arthroplasty</w:t>
        </w:r>
        <w:r w:rsidRPr="00303D20">
          <w:rPr>
            <w:rStyle w:val="Hyperlink"/>
            <w:rFonts w:asciiTheme="minorHAnsi" w:hAnsiTheme="minorHAnsi"/>
            <w:color w:val="auto"/>
            <w:kern w:val="2"/>
            <w:u w:val="none"/>
          </w:rPr>
          <w:t>.</w:t>
        </w:r>
      </w:hyperlink>
      <w:r w:rsidRPr="008440BF">
        <w:rPr>
          <w:rFonts w:asciiTheme="minorHAnsi" w:hAnsiTheme="minorHAnsi"/>
          <w:color w:val="0A163B"/>
          <w:kern w:val="2"/>
        </w:rPr>
        <w:t xml:space="preserve"> Eleanor </w:t>
      </w:r>
      <w:r w:rsidRPr="008440BF">
        <w:rPr>
          <w:rFonts w:asciiTheme="minorHAnsi" w:hAnsiTheme="minorHAnsi"/>
          <w:bCs/>
          <w:color w:val="0A163B"/>
          <w:kern w:val="2"/>
        </w:rPr>
        <w:t xml:space="preserve">H. </w:t>
      </w:r>
      <w:r w:rsidRPr="008440BF">
        <w:rPr>
          <w:rFonts w:asciiTheme="minorHAnsi" w:hAnsiTheme="minorHAnsi"/>
          <w:color w:val="0A163B"/>
          <w:kern w:val="2"/>
        </w:rPr>
        <w:t xml:space="preserve">Sato, MD Kimberly L. Stevenson, MD Brenna E. Blackburn, </w:t>
      </w:r>
      <w:r w:rsidRPr="008440BF">
        <w:rPr>
          <w:rFonts w:asciiTheme="minorHAnsi" w:hAnsiTheme="minorHAnsi"/>
          <w:bCs/>
          <w:color w:val="0A163B"/>
          <w:kern w:val="2"/>
        </w:rPr>
        <w:t xml:space="preserve">MPH, </w:t>
      </w:r>
      <w:r w:rsidRPr="008440BF">
        <w:rPr>
          <w:rFonts w:asciiTheme="minorHAnsi" w:hAnsiTheme="minorHAnsi"/>
          <w:color w:val="0A163B"/>
          <w:kern w:val="2"/>
        </w:rPr>
        <w:t>PhD Christopher E. Pelt, MD Jeremy M. Gililland, MD Lucas A. Anderson, MD</w:t>
      </w:r>
      <w:r w:rsidRPr="008440BF">
        <w:rPr>
          <w:rFonts w:asciiTheme="minorHAnsi" w:hAnsiTheme="minorHAnsi"/>
          <w:kern w:val="2"/>
        </w:rPr>
        <w:t xml:space="preserve">, </w:t>
      </w:r>
      <w:r w:rsidRPr="008440BF">
        <w:rPr>
          <w:rFonts w:asciiTheme="minorHAnsi" w:hAnsiTheme="minorHAnsi"/>
          <w:color w:val="0A163B"/>
          <w:kern w:val="2"/>
        </w:rPr>
        <w:t xml:space="preserve">Published: April 15, 2023D01: </w:t>
      </w:r>
      <w:hyperlink r:id="rId31" w:history="1">
        <w:r w:rsidRPr="008440BF">
          <w:rPr>
            <w:rStyle w:val="Hyperlink"/>
            <w:rFonts w:asciiTheme="minorHAnsi" w:hAnsiTheme="minorHAnsi"/>
            <w:color w:val="365F91" w:themeColor="accent1" w:themeShade="BF"/>
            <w:kern w:val="2"/>
          </w:rPr>
          <w:t>https://doi.org/10.1016/j.arth.2023.04.012</w:t>
        </w:r>
      </w:hyperlink>
    </w:p>
    <w:p w14:paraId="6B0B806F" w14:textId="77777777" w:rsidR="00082B2A" w:rsidRPr="008440BF" w:rsidRDefault="00082B2A" w:rsidP="00082B2A">
      <w:pPr>
        <w:pStyle w:val="BodyText"/>
        <w:ind w:left="450" w:hanging="450"/>
        <w:rPr>
          <w:rFonts w:asciiTheme="minorHAnsi" w:hAnsiTheme="minorHAnsi"/>
          <w:color w:val="0A163B"/>
          <w:kern w:val="2"/>
        </w:rPr>
      </w:pPr>
    </w:p>
    <w:p w14:paraId="3B071291" w14:textId="2F031AD0" w:rsidR="00EC7F8B" w:rsidRPr="008440BF" w:rsidRDefault="00000000" w:rsidP="00082B2A">
      <w:pPr>
        <w:spacing w:line="229" w:lineRule="exact"/>
        <w:jc w:val="both"/>
        <w:rPr>
          <w:rStyle w:val="Hyperlink"/>
          <w:rFonts w:asciiTheme="minorHAnsi" w:hAnsiTheme="minorHAnsi"/>
          <w:bCs/>
          <w:iCs/>
          <w:color w:val="365F91" w:themeColor="accent1" w:themeShade="BF"/>
          <w:szCs w:val="24"/>
        </w:rPr>
      </w:pPr>
      <w:hyperlink r:id="rId32" w:history="1">
        <w:r w:rsidR="00082B2A" w:rsidRPr="008440BF">
          <w:rPr>
            <w:rStyle w:val="Hyperlink"/>
            <w:rFonts w:asciiTheme="minorHAnsi" w:hAnsiTheme="minorHAnsi"/>
            <w:bCs/>
            <w:iCs/>
            <w:color w:val="365F91" w:themeColor="accent1" w:themeShade="BF"/>
            <w:szCs w:val="24"/>
          </w:rPr>
          <w:t>https://bmcmusculoskeletdisord.biomedcentral.com/articles/10.1186/1471-2474-12-222</w:t>
        </w:r>
      </w:hyperlink>
      <w:r w:rsidR="00EC7F8B" w:rsidRPr="008440BF">
        <w:rPr>
          <w:rStyle w:val="Hyperlink"/>
          <w:rFonts w:asciiTheme="minorHAnsi" w:hAnsiTheme="minorHAnsi"/>
          <w:bCs/>
          <w:iCs/>
          <w:color w:val="365F91" w:themeColor="accent1" w:themeShade="BF"/>
          <w:szCs w:val="24"/>
        </w:rPr>
        <w:t xml:space="preserve"> </w:t>
      </w:r>
    </w:p>
    <w:p w14:paraId="32D4B30C" w14:textId="77777777" w:rsidR="003B7F83" w:rsidRPr="008440BF" w:rsidRDefault="003B7F83" w:rsidP="00082B2A">
      <w:pPr>
        <w:spacing w:line="229" w:lineRule="exact"/>
        <w:jc w:val="both"/>
        <w:rPr>
          <w:rStyle w:val="Hyperlink"/>
          <w:rFonts w:asciiTheme="minorHAnsi" w:hAnsiTheme="minorHAnsi"/>
          <w:bCs/>
          <w:iCs/>
          <w:color w:val="365F91" w:themeColor="accent1" w:themeShade="BF"/>
          <w:szCs w:val="24"/>
        </w:rPr>
      </w:pPr>
    </w:p>
    <w:p w14:paraId="1ADEC771" w14:textId="6B085E75" w:rsidR="003B7F83" w:rsidRPr="008440BF" w:rsidRDefault="003B7F83" w:rsidP="00082B2A">
      <w:pPr>
        <w:spacing w:line="229" w:lineRule="exact"/>
        <w:jc w:val="both"/>
        <w:rPr>
          <w:rStyle w:val="Hyperlink"/>
          <w:rFonts w:asciiTheme="minorHAnsi" w:hAnsiTheme="minorHAnsi"/>
          <w:bCs/>
          <w:iCs/>
          <w:color w:val="365F91" w:themeColor="accent1" w:themeShade="BF"/>
          <w:szCs w:val="24"/>
        </w:rPr>
      </w:pPr>
      <w:r w:rsidRPr="008440BF">
        <w:rPr>
          <w:rStyle w:val="Hyperlink"/>
          <w:rFonts w:asciiTheme="minorHAnsi" w:hAnsiTheme="minorHAnsi"/>
          <w:bCs/>
          <w:iCs/>
          <w:color w:val="365F91" w:themeColor="accent1" w:themeShade="BF"/>
          <w:szCs w:val="24"/>
        </w:rPr>
        <w:t>https:</w:t>
      </w:r>
      <w:r w:rsidR="00713298" w:rsidRPr="008440BF">
        <w:rPr>
          <w:rStyle w:val="Hyperlink"/>
          <w:rFonts w:asciiTheme="minorHAnsi" w:hAnsiTheme="minorHAnsi"/>
          <w:bCs/>
          <w:iCs/>
          <w:color w:val="365F91" w:themeColor="accent1" w:themeShade="BF"/>
          <w:szCs w:val="24"/>
        </w:rPr>
        <w:t>//journals.lww.com/jbjsoa/Fulltext/2018/09000/Quality_Adjusted_Life_Years_After_Hip_and_Knee.8.aspx</w:t>
      </w:r>
    </w:p>
    <w:p w14:paraId="0CD85DC8" w14:textId="77777777" w:rsidR="003036C1" w:rsidRPr="008440BF" w:rsidRDefault="003036C1" w:rsidP="0023644A">
      <w:pPr>
        <w:pStyle w:val="Heading1"/>
        <w:ind w:left="0"/>
        <w:rPr>
          <w:rFonts w:asciiTheme="minorHAnsi" w:hAnsiTheme="minorHAnsi"/>
          <w:color w:val="1F497D" w:themeColor="text2"/>
        </w:rPr>
      </w:pPr>
    </w:p>
    <w:p w14:paraId="0306810F" w14:textId="6A310899" w:rsidR="00B447F3" w:rsidRPr="008440BF" w:rsidRDefault="00A4110F" w:rsidP="00014053">
      <w:pPr>
        <w:pStyle w:val="Heading1"/>
        <w:ind w:left="0"/>
        <w:rPr>
          <w:rFonts w:asciiTheme="minorHAnsi" w:hAnsiTheme="minorHAnsi"/>
          <w:color w:val="1F497D" w:themeColor="text2"/>
        </w:rPr>
      </w:pPr>
      <w:bookmarkStart w:id="42" w:name="_Toc166249392"/>
      <w:r w:rsidRPr="008440BF">
        <w:rPr>
          <w:rFonts w:asciiTheme="minorHAnsi" w:hAnsiTheme="minorHAnsi"/>
          <w:color w:val="1F497D" w:themeColor="text2"/>
        </w:rPr>
        <w:t>REFERENCES</w:t>
      </w:r>
      <w:bookmarkEnd w:id="42"/>
    </w:p>
    <w:p w14:paraId="1AC40378" w14:textId="77777777" w:rsidR="008440BF" w:rsidRPr="008440BF" w:rsidRDefault="008440BF">
      <w:pPr>
        <w:pStyle w:val="Heading1"/>
        <w:ind w:left="0"/>
        <w:rPr>
          <w:rFonts w:asciiTheme="minorHAnsi" w:hAnsiTheme="minorHAnsi"/>
          <w:color w:val="1F497D" w:themeColor="text2"/>
        </w:rPr>
      </w:pPr>
    </w:p>
    <w:sectPr w:rsidR="008440BF" w:rsidRPr="008440BF">
      <w:headerReference w:type="even" r:id="rId33"/>
      <w:headerReference w:type="default" r:id="rId34"/>
      <w:footerReference w:type="default" r:id="rId35"/>
      <w:headerReference w:type="first" r:id="rId36"/>
      <w:endnotePr>
        <w:numFmt w:val="lowerLetter"/>
      </w:endnotePr>
      <w:pgSz w:w="12240" w:h="15840"/>
      <w:pgMar w:top="1140" w:right="1200" w:bottom="12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7DAA9" w14:textId="77777777" w:rsidR="00F33A18" w:rsidRDefault="00F33A18">
      <w:r>
        <w:separator/>
      </w:r>
    </w:p>
  </w:endnote>
  <w:endnote w:type="continuationSeparator" w:id="0">
    <w:p w14:paraId="590BAEA9" w14:textId="77777777" w:rsidR="00F33A18" w:rsidRDefault="00F33A18">
      <w:r>
        <w:continuationSeparator/>
      </w:r>
    </w:p>
  </w:endnote>
  <w:endnote w:type="continuationNotice" w:id="1">
    <w:p w14:paraId="0099B9F6" w14:textId="77777777" w:rsidR="00F33A18" w:rsidRDefault="00F33A18"/>
  </w:endnote>
  <w:endnote w:id="2">
    <w:p w14:paraId="2D7C44A4" w14:textId="30BB91FD" w:rsidR="007332ED" w:rsidRPr="00185944" w:rsidRDefault="007332ED" w:rsidP="007332ED">
      <w:pPr>
        <w:pStyle w:val="EndnoteText"/>
        <w:rPr>
          <w:rFonts w:asciiTheme="minorHAnsi" w:hAnsiTheme="minorHAnsi"/>
        </w:rPr>
      </w:pPr>
      <w:r w:rsidRPr="00185944">
        <w:rPr>
          <w:rStyle w:val="EndnoteReference"/>
          <w:rFonts w:asciiTheme="minorHAnsi" w:hAnsiTheme="minorHAnsi"/>
        </w:rPr>
        <w:endnoteRef/>
      </w:r>
      <w:r w:rsidRPr="00185944">
        <w:rPr>
          <w:rFonts w:asciiTheme="minorHAnsi" w:hAnsiTheme="minorHAnsi"/>
        </w:rPr>
        <w:t xml:space="preserve"> United States Census Bureau, </w:t>
      </w:r>
      <w:hyperlink r:id="rId1" w:history="1">
        <w:r w:rsidRPr="00DB10F8">
          <w:rPr>
            <w:rStyle w:val="Hyperlink"/>
            <w:rFonts w:asciiTheme="minorHAnsi" w:hAnsiTheme="minorHAnsi"/>
            <w:i/>
            <w:iCs/>
            <w:color w:val="auto"/>
            <w:u w:val="none"/>
          </w:rPr>
          <w:t>2020 Quick Facts</w:t>
        </w:r>
      </w:hyperlink>
      <w:r w:rsidRPr="00DB10F8">
        <w:rPr>
          <w:rFonts w:asciiTheme="minorHAnsi" w:hAnsiTheme="minorHAnsi"/>
        </w:rPr>
        <w:t xml:space="preserve">, </w:t>
      </w:r>
      <w:r w:rsidRPr="00DB10F8">
        <w:rPr>
          <w:rFonts w:asciiTheme="minorHAnsi" w:hAnsiTheme="minorHAnsi"/>
          <w:shd w:val="clear" w:color="auto" w:fill="FFFFFF"/>
        </w:rPr>
        <w:t xml:space="preserve">Retrieved </w:t>
      </w:r>
      <w:r w:rsidRPr="00185944">
        <w:rPr>
          <w:rFonts w:asciiTheme="minorHAnsi" w:hAnsiTheme="minorHAnsi"/>
          <w:color w:val="414042"/>
          <w:shd w:val="clear" w:color="auto" w:fill="FFFFFF"/>
        </w:rPr>
        <w:t>March 20, 2024, from</w:t>
      </w:r>
      <w:r w:rsidRPr="00185944">
        <w:rPr>
          <w:rFonts w:asciiTheme="minorHAnsi" w:hAnsiTheme="minorHAnsi"/>
          <w:color w:val="365F91" w:themeColor="accent1" w:themeShade="BF"/>
        </w:rPr>
        <w:t xml:space="preserve"> </w:t>
      </w:r>
      <w:hyperlink r:id="rId2" w:history="1">
        <w:r w:rsidRPr="00185944">
          <w:rPr>
            <w:rStyle w:val="Hyperlink"/>
            <w:rFonts w:asciiTheme="minorHAnsi" w:hAnsiTheme="minorHAnsi"/>
            <w:color w:val="17365D" w:themeColor="text2" w:themeShade="BF"/>
          </w:rPr>
          <w:t>https://www.census.gov/quickfacts/fact/table/plymouthcountymassachusetts/PST045223</w:t>
        </w:r>
      </w:hyperlink>
      <w:r w:rsidRPr="00185944">
        <w:rPr>
          <w:rFonts w:asciiTheme="minorHAnsi" w:hAnsiTheme="minorHAnsi"/>
        </w:rPr>
        <w:t>.</w:t>
      </w:r>
    </w:p>
  </w:endnote>
  <w:endnote w:id="3">
    <w:p w14:paraId="13621941" w14:textId="6762C03A" w:rsidR="007332ED" w:rsidRPr="00185944" w:rsidRDefault="007332ED" w:rsidP="007332ED">
      <w:pPr>
        <w:pStyle w:val="EndnoteText"/>
        <w:rPr>
          <w:rFonts w:asciiTheme="minorHAnsi" w:hAnsiTheme="minorHAnsi"/>
        </w:rPr>
      </w:pPr>
      <w:r w:rsidRPr="00185944">
        <w:rPr>
          <w:rStyle w:val="EndnoteReference"/>
          <w:rFonts w:asciiTheme="minorHAnsi" w:hAnsiTheme="minorHAnsi"/>
        </w:rPr>
        <w:endnoteRef/>
      </w:r>
      <w:r w:rsidRPr="00185944">
        <w:rPr>
          <w:rFonts w:asciiTheme="minorHAnsi" w:hAnsiTheme="minorHAnsi"/>
        </w:rPr>
        <w:t xml:space="preserve"> United States Census Bureau, </w:t>
      </w:r>
      <w:hyperlink r:id="rId3" w:history="1">
        <w:r w:rsidRPr="00DB10F8">
          <w:rPr>
            <w:rStyle w:val="Hyperlink"/>
            <w:rFonts w:asciiTheme="minorHAnsi" w:hAnsiTheme="minorHAnsi"/>
            <w:i/>
            <w:iCs/>
            <w:color w:val="auto"/>
            <w:u w:val="none"/>
          </w:rPr>
          <w:t>2020 Quick Facts</w:t>
        </w:r>
      </w:hyperlink>
      <w:r w:rsidRPr="00DB10F8">
        <w:rPr>
          <w:rFonts w:asciiTheme="minorHAnsi" w:hAnsiTheme="minorHAnsi"/>
        </w:rPr>
        <w:t xml:space="preserve">, </w:t>
      </w:r>
      <w:r w:rsidRPr="00DB10F8">
        <w:rPr>
          <w:rFonts w:asciiTheme="minorHAnsi" w:hAnsiTheme="minorHAnsi"/>
          <w:shd w:val="clear" w:color="auto" w:fill="FFFFFF"/>
        </w:rPr>
        <w:t xml:space="preserve">Retrieved </w:t>
      </w:r>
      <w:r w:rsidRPr="00185944">
        <w:rPr>
          <w:rFonts w:asciiTheme="minorHAnsi" w:hAnsiTheme="minorHAnsi"/>
          <w:color w:val="414042"/>
          <w:shd w:val="clear" w:color="auto" w:fill="FFFFFF"/>
        </w:rPr>
        <w:t>March 20, 2024, from</w:t>
      </w:r>
      <w:r w:rsidRPr="00185944">
        <w:rPr>
          <w:rFonts w:asciiTheme="minorHAnsi" w:hAnsiTheme="minorHAnsi"/>
          <w:color w:val="365F91" w:themeColor="accent1" w:themeShade="BF"/>
        </w:rPr>
        <w:t xml:space="preserve"> </w:t>
      </w:r>
      <w:hyperlink r:id="rId4" w:history="1">
        <w:r w:rsidRPr="00185944">
          <w:rPr>
            <w:rStyle w:val="Hyperlink"/>
            <w:rFonts w:asciiTheme="minorHAnsi" w:hAnsiTheme="minorHAnsi"/>
            <w:color w:val="17365D" w:themeColor="text2" w:themeShade="BF"/>
          </w:rPr>
          <w:t>https://www.census.gov/quickfacts/fact/table/plymouthcountymassachusetts/PST045223</w:t>
        </w:r>
      </w:hyperlink>
      <w:r w:rsidRPr="00185944">
        <w:rPr>
          <w:rFonts w:asciiTheme="minorHAnsi" w:hAnsiTheme="minorHAnsi"/>
        </w:rPr>
        <w:t>.</w:t>
      </w:r>
    </w:p>
  </w:endnote>
  <w:endnote w:id="4">
    <w:p w14:paraId="356F85A4" w14:textId="2743F65C" w:rsidR="007332ED" w:rsidRPr="00185944" w:rsidRDefault="007332ED" w:rsidP="007332ED">
      <w:pPr>
        <w:rPr>
          <w:rFonts w:asciiTheme="minorHAnsi" w:hAnsiTheme="minorHAnsi"/>
          <w:sz w:val="20"/>
          <w:highlight w:val="yellow"/>
        </w:rPr>
      </w:pPr>
      <w:r w:rsidRPr="00185944">
        <w:rPr>
          <w:rStyle w:val="EndnoteReference"/>
          <w:rFonts w:asciiTheme="minorHAnsi" w:hAnsiTheme="minorHAnsi"/>
          <w:sz w:val="20"/>
        </w:rPr>
        <w:endnoteRef/>
      </w:r>
      <w:r w:rsidRPr="00185944">
        <w:rPr>
          <w:rFonts w:asciiTheme="minorHAnsi" w:hAnsiTheme="minorHAnsi"/>
          <w:sz w:val="20"/>
        </w:rPr>
        <w:t xml:space="preserve"> </w:t>
      </w:r>
      <w:hyperlink r:id="rId5" w:history="1">
        <w:r w:rsidRPr="00DB10F8">
          <w:rPr>
            <w:rStyle w:val="Hyperlink"/>
            <w:rFonts w:asciiTheme="minorHAnsi" w:hAnsiTheme="minorHAnsi"/>
            <w:i/>
            <w:iCs/>
            <w:color w:val="auto"/>
            <w:sz w:val="20"/>
            <w:u w:val="none"/>
          </w:rPr>
          <w:t>Latest ASC Data Highlight Ambulatory Surgical Trends</w:t>
        </w:r>
      </w:hyperlink>
      <w:r w:rsidRPr="00DB10F8">
        <w:rPr>
          <w:rFonts w:asciiTheme="minorHAnsi" w:hAnsiTheme="minorHAnsi"/>
          <w:sz w:val="20"/>
        </w:rPr>
        <w:t xml:space="preserve">, Relias </w:t>
      </w:r>
      <w:r w:rsidRPr="00185944">
        <w:rPr>
          <w:rFonts w:asciiTheme="minorHAnsi" w:hAnsiTheme="minorHAnsi"/>
          <w:sz w:val="20"/>
        </w:rPr>
        <w:t xml:space="preserve">Media (Jun. 1, 2017), </w:t>
      </w:r>
      <w:hyperlink r:id="rId6" w:history="1">
        <w:r w:rsidRPr="00185944">
          <w:rPr>
            <w:rStyle w:val="Hyperlink"/>
            <w:rFonts w:asciiTheme="minorHAnsi" w:hAnsiTheme="minorHAnsi"/>
            <w:color w:val="1F497D" w:themeColor="text2"/>
            <w:sz w:val="20"/>
          </w:rPr>
          <w:t>https://www.reliasmedia.com/articles/140663-latest-asc-data-highlight-ambulatory-surgical-trends</w:t>
        </w:r>
      </w:hyperlink>
      <w:r w:rsidRPr="00185944">
        <w:rPr>
          <w:rFonts w:asciiTheme="minorHAnsi" w:hAnsiTheme="minorHAnsi"/>
          <w:sz w:val="20"/>
        </w:rPr>
        <w:t xml:space="preserve"> ; In 2010, patients over the age of 65 represented 33% of all ASC cases, while an additional 39% of patients were in the 45-64 age group.</w:t>
      </w:r>
      <w:r w:rsidRPr="00185944">
        <w:rPr>
          <w:rStyle w:val="EndnoteReference"/>
          <w:rFonts w:asciiTheme="minorHAnsi" w:hAnsiTheme="minorHAnsi"/>
          <w:sz w:val="20"/>
        </w:rPr>
        <w:t xml:space="preserve"> </w:t>
      </w:r>
      <w:r w:rsidRPr="00185944">
        <w:rPr>
          <w:rFonts w:asciiTheme="minorHAnsi" w:hAnsiTheme="minorHAnsi"/>
          <w:sz w:val="20"/>
        </w:rPr>
        <w:t>In total, adults over the age of 45 comprised 72% of all ASCs patients.</w:t>
      </w:r>
    </w:p>
  </w:endnote>
  <w:endnote w:id="5">
    <w:p w14:paraId="1266B2CE" w14:textId="29144BEB" w:rsidR="007332ED" w:rsidRPr="00185944" w:rsidRDefault="007332ED" w:rsidP="007332ED">
      <w:pPr>
        <w:pStyle w:val="EndnoteText"/>
        <w:rPr>
          <w:rFonts w:asciiTheme="minorHAnsi" w:hAnsiTheme="minorHAnsi"/>
          <w:highlight w:val="yellow"/>
        </w:rPr>
      </w:pPr>
      <w:r w:rsidRPr="00185944">
        <w:rPr>
          <w:rStyle w:val="EndnoteReference"/>
          <w:rFonts w:asciiTheme="minorHAnsi" w:hAnsiTheme="minorHAnsi"/>
        </w:rPr>
        <w:endnoteRef/>
      </w:r>
      <w:r w:rsidRPr="00185944">
        <w:rPr>
          <w:rFonts w:asciiTheme="minorHAnsi" w:hAnsiTheme="minorHAnsi"/>
        </w:rPr>
        <w:t xml:space="preserve"> </w:t>
      </w:r>
      <w:hyperlink r:id="rId7" w:history="1">
        <w:r w:rsidRPr="00DF5A6E">
          <w:rPr>
            <w:rStyle w:val="Hyperlink"/>
            <w:rFonts w:asciiTheme="minorHAnsi" w:hAnsiTheme="minorHAnsi"/>
            <w:i/>
            <w:iCs/>
            <w:color w:val="auto"/>
            <w:u w:val="none"/>
          </w:rPr>
          <w:t>Arthritis</w:t>
        </w:r>
        <w:r w:rsidRPr="00DF5A6E">
          <w:rPr>
            <w:rStyle w:val="Hyperlink"/>
            <w:rFonts w:asciiTheme="minorHAnsi" w:hAnsiTheme="minorHAnsi"/>
            <w:color w:val="auto"/>
            <w:u w:val="none"/>
          </w:rPr>
          <w:t xml:space="preserve"> </w:t>
        </w:r>
        <w:r w:rsidRPr="00DF5A6E">
          <w:rPr>
            <w:rStyle w:val="Hyperlink"/>
            <w:rFonts w:asciiTheme="minorHAnsi" w:hAnsiTheme="minorHAnsi"/>
            <w:i/>
            <w:iCs/>
            <w:color w:val="auto"/>
            <w:u w:val="none"/>
          </w:rPr>
          <w:t>Risk Factors</w:t>
        </w:r>
      </w:hyperlink>
      <w:r w:rsidRPr="00DF5A6E">
        <w:rPr>
          <w:rFonts w:asciiTheme="minorHAnsi" w:hAnsiTheme="minorHAnsi"/>
        </w:rPr>
        <w:t xml:space="preserve">, Centers for </w:t>
      </w:r>
      <w:r w:rsidRPr="00185944">
        <w:rPr>
          <w:rFonts w:asciiTheme="minorHAnsi" w:hAnsiTheme="minorHAnsi"/>
        </w:rPr>
        <w:t>Disease Control and Prevention: Arthritis,</w:t>
      </w:r>
      <w:r w:rsidRPr="00185944">
        <w:rPr>
          <w:rFonts w:asciiTheme="minorHAnsi" w:hAnsiTheme="minorHAnsi"/>
          <w:color w:val="1F497D" w:themeColor="text2"/>
        </w:rPr>
        <w:t xml:space="preserve"> </w:t>
      </w:r>
      <w:hyperlink r:id="rId8" w:history="1">
        <w:r w:rsidRPr="00185944">
          <w:rPr>
            <w:rStyle w:val="Hyperlink"/>
            <w:rFonts w:asciiTheme="minorHAnsi" w:hAnsiTheme="minorHAnsi"/>
            <w:color w:val="1F497D" w:themeColor="text2"/>
          </w:rPr>
          <w:t>https://www.cdc.gov/arthritis/basics/risk-factors.htm</w:t>
        </w:r>
      </w:hyperlink>
      <w:r w:rsidRPr="00185944">
        <w:rPr>
          <w:rFonts w:asciiTheme="minorHAnsi" w:hAnsiTheme="minorHAnsi"/>
          <w:color w:val="1F497D" w:themeColor="text2"/>
        </w:rPr>
        <w:t xml:space="preserve"> </w:t>
      </w:r>
      <w:r w:rsidRPr="00185944">
        <w:rPr>
          <w:rFonts w:asciiTheme="minorHAnsi" w:hAnsiTheme="minorHAnsi"/>
        </w:rPr>
        <w:t>(last reviewed Apr. 16, 2021).</w:t>
      </w:r>
    </w:p>
  </w:endnote>
  <w:endnote w:id="6">
    <w:p w14:paraId="08E65498" w14:textId="14800511" w:rsidR="007332ED" w:rsidRPr="00185944" w:rsidRDefault="007332ED" w:rsidP="007332ED">
      <w:pPr>
        <w:pStyle w:val="EndnoteText"/>
        <w:rPr>
          <w:rFonts w:asciiTheme="minorHAnsi" w:hAnsiTheme="minorHAnsi"/>
          <w:highlight w:val="yellow"/>
        </w:rPr>
      </w:pPr>
      <w:r w:rsidRPr="00185944">
        <w:rPr>
          <w:rStyle w:val="EndnoteReference"/>
          <w:rFonts w:asciiTheme="minorHAnsi" w:hAnsiTheme="minorHAnsi"/>
        </w:rPr>
        <w:endnoteRef/>
      </w:r>
      <w:r w:rsidRPr="00185944">
        <w:rPr>
          <w:rFonts w:asciiTheme="minorHAnsi" w:hAnsiTheme="minorHAnsi"/>
          <w:i/>
          <w:iCs/>
        </w:rPr>
        <w:t xml:space="preserve"> </w:t>
      </w:r>
      <w:r w:rsidRPr="00185944">
        <w:rPr>
          <w:rFonts w:asciiTheme="minorHAnsi" w:hAnsiTheme="minorHAnsi"/>
        </w:rPr>
        <w:t xml:space="preserve">Jennifer M. Hootman et al., </w:t>
      </w:r>
      <w:hyperlink r:id="rId9" w:history="1">
        <w:r w:rsidRPr="00DF5A6E">
          <w:rPr>
            <w:rStyle w:val="Hyperlink"/>
            <w:rFonts w:asciiTheme="minorHAnsi" w:hAnsiTheme="minorHAnsi"/>
            <w:i/>
            <w:iCs/>
            <w:color w:val="auto"/>
            <w:u w:val="none"/>
          </w:rPr>
          <w:t>Updated Projected Prevalence of Self-Reported Doctor-Diagnosed Arthritis and Arthritis-Attributable Activity Limitation Among US Adults, 2015-2040</w:t>
        </w:r>
      </w:hyperlink>
      <w:r w:rsidRPr="00DF5A6E">
        <w:rPr>
          <w:rFonts w:asciiTheme="minorHAnsi" w:hAnsiTheme="minorHAnsi"/>
        </w:rPr>
        <w:t xml:space="preserve">, </w:t>
      </w:r>
      <w:r w:rsidRPr="00185944">
        <w:rPr>
          <w:rFonts w:asciiTheme="minorHAnsi" w:hAnsiTheme="minorHAnsi"/>
        </w:rPr>
        <w:t xml:space="preserve">PubMed, </w:t>
      </w:r>
      <w:r w:rsidRPr="00185944">
        <w:rPr>
          <w:rFonts w:asciiTheme="minorHAnsi" w:hAnsiTheme="minorHAnsi"/>
          <w:i/>
          <w:iCs/>
        </w:rPr>
        <w:t xml:space="preserve"> </w:t>
      </w:r>
      <w:hyperlink r:id="rId10" w:history="1">
        <w:r w:rsidRPr="00185944">
          <w:rPr>
            <w:rStyle w:val="Hyperlink"/>
            <w:rFonts w:asciiTheme="minorHAnsi" w:hAnsiTheme="minorHAnsi"/>
            <w:color w:val="1F497D" w:themeColor="text2"/>
          </w:rPr>
          <w:t>https://www.ncbi.nlm.nih.gov/pmc/articles/PMC6059375/</w:t>
        </w:r>
      </w:hyperlink>
      <w:r w:rsidRPr="00185944">
        <w:rPr>
          <w:rFonts w:asciiTheme="minorHAnsi" w:hAnsiTheme="minorHAnsi"/>
          <w:color w:val="1F497D" w:themeColor="text2"/>
        </w:rPr>
        <w:t xml:space="preserve"> </w:t>
      </w:r>
      <w:r w:rsidRPr="00185944">
        <w:rPr>
          <w:rFonts w:asciiTheme="minorHAnsi" w:hAnsiTheme="minorHAnsi"/>
        </w:rPr>
        <w:t>(last visited Feb. 17, 2023).</w:t>
      </w:r>
    </w:p>
  </w:endnote>
  <w:endnote w:id="7">
    <w:p w14:paraId="0747F0D6" w14:textId="5AFF68EA" w:rsidR="007332ED" w:rsidRPr="00185944" w:rsidRDefault="007332ED" w:rsidP="007332ED">
      <w:pPr>
        <w:pStyle w:val="EndnoteText"/>
        <w:rPr>
          <w:rFonts w:asciiTheme="minorHAnsi" w:hAnsiTheme="minorHAnsi"/>
        </w:rPr>
      </w:pPr>
      <w:r w:rsidRPr="00185944">
        <w:rPr>
          <w:rStyle w:val="EndnoteReference"/>
          <w:rFonts w:asciiTheme="minorHAnsi" w:hAnsiTheme="minorHAnsi"/>
        </w:rPr>
        <w:endnoteRef/>
      </w:r>
      <w:r w:rsidRPr="00185944">
        <w:rPr>
          <w:rFonts w:asciiTheme="minorHAnsi" w:hAnsiTheme="minorHAnsi"/>
        </w:rPr>
        <w:t xml:space="preserve"> </w:t>
      </w:r>
      <w:hyperlink r:id="rId11" w:history="1">
        <w:r w:rsidRPr="003D2F94">
          <w:rPr>
            <w:rStyle w:val="Hyperlink"/>
            <w:rFonts w:asciiTheme="minorHAnsi" w:hAnsiTheme="minorHAnsi"/>
            <w:i/>
            <w:iCs/>
            <w:color w:val="auto"/>
            <w:u w:val="none"/>
          </w:rPr>
          <w:t>Massachusetts Obesity Statistics</w:t>
        </w:r>
      </w:hyperlink>
      <w:r w:rsidRPr="003D2F94">
        <w:rPr>
          <w:rFonts w:asciiTheme="minorHAnsi" w:hAnsiTheme="minorHAnsi"/>
        </w:rPr>
        <w:t xml:space="preserve">, </w:t>
      </w:r>
      <w:r w:rsidRPr="00185944">
        <w:rPr>
          <w:rFonts w:asciiTheme="minorHAnsi" w:hAnsiTheme="minorHAnsi"/>
        </w:rPr>
        <w:t xml:space="preserve">Mass.gov, </w:t>
      </w:r>
      <w:hyperlink r:id="rId12" w:history="1">
        <w:r w:rsidRPr="00185944">
          <w:rPr>
            <w:rStyle w:val="Hyperlink"/>
            <w:rFonts w:asciiTheme="minorHAnsi" w:hAnsiTheme="minorHAnsi"/>
            <w:color w:val="1F497D" w:themeColor="text2"/>
          </w:rPr>
          <w:t>https://www.mass.gov/service-details/massachusetts-obesity-statistics</w:t>
        </w:r>
      </w:hyperlink>
      <w:r w:rsidRPr="00185944">
        <w:rPr>
          <w:rFonts w:asciiTheme="minorHAnsi" w:hAnsiTheme="minorHAnsi"/>
        </w:rPr>
        <w:t xml:space="preserve"> </w:t>
      </w:r>
      <w:r w:rsidRPr="00185944">
        <w:rPr>
          <w:rStyle w:val="Hyperlink"/>
          <w:rFonts w:asciiTheme="minorHAnsi" w:hAnsiTheme="minorHAnsi"/>
          <w:color w:val="auto"/>
          <w:u w:val="none"/>
        </w:rPr>
        <w:t>(last visited Feb. 17, 2023)</w:t>
      </w:r>
      <w:r w:rsidRPr="00185944">
        <w:rPr>
          <w:rFonts w:asciiTheme="minorHAnsi" w:hAnsiTheme="minorHAnsi"/>
        </w:rPr>
        <w:t xml:space="preserve">; </w:t>
      </w:r>
      <w:hyperlink r:id="rId13" w:history="1">
        <w:r w:rsidRPr="001C2326">
          <w:rPr>
            <w:rStyle w:val="Hyperlink"/>
            <w:rFonts w:asciiTheme="minorHAnsi" w:hAnsiTheme="minorHAnsi"/>
            <w:i/>
            <w:iCs/>
            <w:color w:val="auto"/>
            <w:u w:val="none"/>
          </w:rPr>
          <w:t>Obesity</w:t>
        </w:r>
        <w:r w:rsidRPr="001C2326">
          <w:rPr>
            <w:rStyle w:val="Hyperlink"/>
            <w:rFonts w:asciiTheme="minorHAnsi" w:hAnsiTheme="minorHAnsi"/>
            <w:color w:val="auto"/>
            <w:u w:val="none"/>
          </w:rPr>
          <w:t>, America’s Health Rankings: Annual Report,</w:t>
        </w:r>
      </w:hyperlink>
      <w:r w:rsidRPr="001C2326">
        <w:rPr>
          <w:rFonts w:asciiTheme="minorHAnsi" w:hAnsiTheme="minorHAnsi"/>
        </w:rPr>
        <w:t xml:space="preserve"> </w:t>
      </w:r>
      <w:hyperlink r:id="rId14" w:history="1">
        <w:r w:rsidRPr="00185944">
          <w:rPr>
            <w:rStyle w:val="Hyperlink"/>
            <w:rFonts w:asciiTheme="minorHAnsi" w:hAnsiTheme="minorHAnsi"/>
            <w:color w:val="1F497D" w:themeColor="text2"/>
          </w:rPr>
          <w:t>https://www.americashealthrankings.org/explore/annual/measure/Obesity/state/MA</w:t>
        </w:r>
      </w:hyperlink>
      <w:r w:rsidRPr="00185944">
        <w:rPr>
          <w:rFonts w:asciiTheme="minorHAnsi" w:hAnsiTheme="minorHAnsi"/>
        </w:rPr>
        <w:t xml:space="preserve"> (last visited Feb. 17, 2023).</w:t>
      </w:r>
    </w:p>
  </w:endnote>
  <w:endnote w:id="8">
    <w:p w14:paraId="6DEEFC42" w14:textId="1F0DF8A6" w:rsidR="007332ED" w:rsidRPr="00185944" w:rsidRDefault="007332ED" w:rsidP="007332ED">
      <w:pPr>
        <w:pStyle w:val="EndnoteText"/>
        <w:rPr>
          <w:rFonts w:asciiTheme="minorHAnsi" w:hAnsiTheme="minorHAnsi"/>
        </w:rPr>
      </w:pPr>
      <w:r w:rsidRPr="00185944">
        <w:rPr>
          <w:rStyle w:val="EndnoteReference"/>
          <w:rFonts w:asciiTheme="minorHAnsi" w:hAnsiTheme="minorHAnsi"/>
        </w:rPr>
        <w:endnoteRef/>
      </w:r>
      <w:r w:rsidRPr="00185944">
        <w:rPr>
          <w:rFonts w:asciiTheme="minorHAnsi" w:hAnsiTheme="minorHAnsi"/>
        </w:rPr>
        <w:t xml:space="preserve"> </w:t>
      </w:r>
      <w:hyperlink r:id="rId15" w:history="1">
        <w:r w:rsidRPr="00393D23">
          <w:rPr>
            <w:rStyle w:val="Hyperlink"/>
            <w:rFonts w:asciiTheme="minorHAnsi" w:hAnsiTheme="minorHAnsi"/>
            <w:i/>
            <w:iCs/>
            <w:color w:val="auto"/>
            <w:u w:val="none"/>
          </w:rPr>
          <w:t>The Impact of Obesity on Bone and Joint Health</w:t>
        </w:r>
      </w:hyperlink>
      <w:r w:rsidRPr="00393D23">
        <w:rPr>
          <w:rFonts w:asciiTheme="minorHAnsi" w:hAnsiTheme="minorHAnsi"/>
        </w:rPr>
        <w:t xml:space="preserve">, </w:t>
      </w:r>
      <w:r w:rsidRPr="00185944">
        <w:rPr>
          <w:rFonts w:asciiTheme="minorHAnsi" w:hAnsiTheme="minorHAnsi"/>
        </w:rPr>
        <w:t xml:space="preserve">AAOS Position Statement, (Mar. 2015), </w:t>
      </w:r>
      <w:hyperlink r:id="rId16" w:history="1">
        <w:r w:rsidRPr="00185944">
          <w:rPr>
            <w:rStyle w:val="Hyperlink"/>
            <w:rFonts w:asciiTheme="minorHAnsi" w:hAnsiTheme="minorHAnsi"/>
            <w:color w:val="1F497D" w:themeColor="text2"/>
          </w:rPr>
          <w:t>https://www.aaos.org/contentassets/1cd7f41417ec4dd4b5c4c48532183b96/1184-the-impact-of-obesity-on-bone-and-joint-health1.pdf</w:t>
        </w:r>
      </w:hyperlink>
      <w:r w:rsidRPr="00185944">
        <w:rPr>
          <w:rFonts w:asciiTheme="minorHAnsi" w:hAnsiTheme="minorHAnsi"/>
          <w:color w:val="1F497D" w:themeColor="text2"/>
        </w:rPr>
        <w:t xml:space="preserve">  </w:t>
      </w:r>
    </w:p>
  </w:endnote>
  <w:endnote w:id="9">
    <w:p w14:paraId="04506ADD" w14:textId="3EC64EFA" w:rsidR="007332ED" w:rsidRPr="00E620C0" w:rsidRDefault="007332ED" w:rsidP="007332ED">
      <w:pPr>
        <w:pStyle w:val="EndnoteText"/>
        <w:rPr>
          <w:rFonts w:ascii="Arial" w:hAnsi="Arial" w:cs="Arial"/>
          <w:color w:val="1F497D" w:themeColor="text2"/>
          <w:sz w:val="18"/>
          <w:szCs w:val="18"/>
        </w:rPr>
      </w:pPr>
      <w:r w:rsidRPr="00185944">
        <w:rPr>
          <w:rStyle w:val="EndnoteReference"/>
          <w:rFonts w:asciiTheme="minorHAnsi" w:hAnsiTheme="minorHAnsi"/>
        </w:rPr>
        <w:endnoteRef/>
      </w:r>
      <w:r w:rsidRPr="00185944">
        <w:rPr>
          <w:rFonts w:asciiTheme="minorHAnsi" w:hAnsiTheme="minorHAnsi"/>
        </w:rPr>
        <w:t xml:space="preserve"> </w:t>
      </w:r>
      <w:hyperlink r:id="rId17" w:history="1">
        <w:r w:rsidRPr="00393D23">
          <w:rPr>
            <w:rStyle w:val="Hyperlink"/>
            <w:rFonts w:ascii="Arial" w:hAnsi="Arial" w:cs="Arial"/>
            <w:i/>
            <w:iCs/>
            <w:color w:val="auto"/>
            <w:sz w:val="18"/>
            <w:szCs w:val="18"/>
            <w:u w:val="none"/>
          </w:rPr>
          <w:t>The Impact of Obesity on Bone and Joint Health</w:t>
        </w:r>
        <w:r w:rsidRPr="00393D23">
          <w:rPr>
            <w:rStyle w:val="Hyperlink"/>
            <w:rFonts w:ascii="Arial" w:hAnsi="Arial" w:cs="Arial"/>
            <w:color w:val="auto"/>
            <w:sz w:val="18"/>
            <w:szCs w:val="18"/>
            <w:u w:val="none"/>
          </w:rPr>
          <w:t>,</w:t>
        </w:r>
      </w:hyperlink>
      <w:r w:rsidRPr="00393D23">
        <w:rPr>
          <w:rFonts w:ascii="Arial" w:hAnsi="Arial" w:cs="Arial"/>
          <w:sz w:val="18"/>
          <w:szCs w:val="18"/>
        </w:rPr>
        <w:t xml:space="preserve"> AAOS </w:t>
      </w:r>
      <w:r w:rsidRPr="00F2046F">
        <w:rPr>
          <w:rFonts w:ascii="Arial" w:hAnsi="Arial" w:cs="Arial"/>
          <w:sz w:val="18"/>
          <w:szCs w:val="18"/>
        </w:rPr>
        <w:t xml:space="preserve">Position Statement, (Mar. 2015), </w:t>
      </w:r>
      <w:hyperlink r:id="rId18" w:history="1">
        <w:r w:rsidRPr="00E620C0">
          <w:rPr>
            <w:rStyle w:val="Hyperlink"/>
            <w:rFonts w:ascii="Arial" w:hAnsi="Arial" w:cs="Arial"/>
            <w:color w:val="1F497D" w:themeColor="text2"/>
            <w:sz w:val="18"/>
            <w:szCs w:val="18"/>
          </w:rPr>
          <w:t>https://www.aaos.org/contentassets/1cd7f41417ec4dd4b5c4c48532183b96/1184-the-impact-of-obesity-on-bone-and-joint-health1.pdf</w:t>
        </w:r>
      </w:hyperlink>
      <w:r w:rsidRPr="00185944">
        <w:rPr>
          <w:rFonts w:asciiTheme="minorHAnsi" w:hAnsiTheme="minorHAnsi"/>
        </w:rPr>
        <w:t>The number of TKA procedures performed on obese patients doubled between 2002 and 2009.</w:t>
      </w:r>
    </w:p>
  </w:endnote>
  <w:endnote w:id="10">
    <w:p w14:paraId="1C204F91" w14:textId="1B838997" w:rsidR="007332ED" w:rsidRPr="00061F12" w:rsidRDefault="007332ED" w:rsidP="007332ED">
      <w:pPr>
        <w:pStyle w:val="EndnoteText"/>
        <w:rPr>
          <w:rFonts w:ascii="Arial" w:hAnsi="Arial" w:cs="Arial"/>
          <w:sz w:val="18"/>
          <w:szCs w:val="18"/>
        </w:rPr>
      </w:pPr>
      <w:r w:rsidRPr="00185944">
        <w:rPr>
          <w:rStyle w:val="EndnoteReference"/>
          <w:rFonts w:asciiTheme="minorHAnsi" w:hAnsiTheme="minorHAnsi"/>
        </w:rPr>
        <w:endnoteRef/>
      </w:r>
      <w:r w:rsidRPr="00185944">
        <w:rPr>
          <w:rFonts w:asciiTheme="minorHAnsi" w:hAnsiTheme="minorHAnsi"/>
        </w:rPr>
        <w:t xml:space="preserve"> Relin Yang et al., </w:t>
      </w:r>
      <w:hyperlink r:id="rId19" w:history="1">
        <w:r w:rsidRPr="00393D23">
          <w:rPr>
            <w:rStyle w:val="Hyperlink"/>
            <w:rFonts w:asciiTheme="minorHAnsi" w:hAnsiTheme="minorHAnsi"/>
            <w:i/>
            <w:iCs/>
            <w:color w:val="auto"/>
            <w:u w:val="none"/>
          </w:rPr>
          <w:t>Unique Aspects of the Elderly Surgical Population</w:t>
        </w:r>
        <w:r w:rsidRPr="00393D23">
          <w:rPr>
            <w:rStyle w:val="Hyperlink"/>
            <w:rFonts w:asciiTheme="minorHAnsi" w:hAnsiTheme="minorHAnsi"/>
            <w:color w:val="auto"/>
            <w:u w:val="none"/>
          </w:rPr>
          <w:t>,</w:t>
        </w:r>
      </w:hyperlink>
      <w:r w:rsidRPr="00393D23">
        <w:rPr>
          <w:rFonts w:asciiTheme="minorHAnsi" w:hAnsiTheme="minorHAnsi"/>
        </w:rPr>
        <w:t xml:space="preserve"> </w:t>
      </w:r>
      <w:r w:rsidRPr="00185944">
        <w:rPr>
          <w:rFonts w:asciiTheme="minorHAnsi" w:hAnsiTheme="minorHAnsi"/>
        </w:rPr>
        <w:t xml:space="preserve">PubMed (Mar. 2011), </w:t>
      </w:r>
      <w:hyperlink r:id="rId20" w:history="1">
        <w:r w:rsidRPr="00185944">
          <w:rPr>
            <w:rStyle w:val="Hyperlink"/>
            <w:rFonts w:asciiTheme="minorHAnsi" w:hAnsiTheme="minorHAnsi"/>
            <w:color w:val="365F91" w:themeColor="accent1" w:themeShade="BF"/>
          </w:rPr>
          <w:t>https://www.ncbi.nlm.nih.gov/pmc/articles/PMC3597305/</w:t>
        </w:r>
      </w:hyperlink>
      <w:r w:rsidRPr="00061F12">
        <w:rPr>
          <w:rFonts w:asciiTheme="minorHAnsi" w:hAnsiTheme="minorHAnsi"/>
        </w:rPr>
        <w:t>.</w:t>
      </w:r>
    </w:p>
  </w:endnote>
  <w:endnote w:id="11">
    <w:p w14:paraId="672D51FB" w14:textId="77CE52BB" w:rsidR="003D7683" w:rsidRPr="001E1AA8" w:rsidRDefault="003D7683" w:rsidP="003D7683">
      <w:pPr>
        <w:pStyle w:val="EndnoteText"/>
        <w:rPr>
          <w:rFonts w:asciiTheme="minorHAnsi" w:hAnsiTheme="minorHAnsi"/>
          <w:color w:val="365F91" w:themeColor="accent1" w:themeShade="BF"/>
        </w:rPr>
      </w:pPr>
      <w:r w:rsidRPr="001E1AA8">
        <w:rPr>
          <w:rStyle w:val="EndnoteReference"/>
          <w:rFonts w:asciiTheme="minorHAnsi" w:hAnsiTheme="minorHAnsi"/>
        </w:rPr>
        <w:endnoteRef/>
      </w:r>
      <w:r w:rsidRPr="001E1AA8">
        <w:rPr>
          <w:rFonts w:asciiTheme="minorHAnsi" w:hAnsiTheme="minorHAnsi"/>
        </w:rPr>
        <w:t xml:space="preserve"> Louis Levitt, </w:t>
      </w:r>
      <w:hyperlink r:id="rId21" w:history="1">
        <w:r w:rsidRPr="00393D23">
          <w:rPr>
            <w:rStyle w:val="Hyperlink"/>
            <w:rFonts w:asciiTheme="minorHAnsi" w:hAnsiTheme="minorHAnsi"/>
            <w:i/>
            <w:color w:val="auto"/>
            <w:u w:val="none"/>
          </w:rPr>
          <w:t>The Benefits of Outpatient Surgical Centers</w:t>
        </w:r>
        <w:r w:rsidRPr="00393D23">
          <w:rPr>
            <w:rStyle w:val="Hyperlink"/>
            <w:rFonts w:asciiTheme="minorHAnsi" w:hAnsiTheme="minorHAnsi"/>
            <w:color w:val="auto"/>
            <w:u w:val="none"/>
          </w:rPr>
          <w:t>.</w:t>
        </w:r>
      </w:hyperlink>
      <w:r w:rsidRPr="00393D23">
        <w:rPr>
          <w:rFonts w:asciiTheme="minorHAnsi" w:hAnsiTheme="minorHAnsi"/>
        </w:rPr>
        <w:t xml:space="preserve"> </w:t>
      </w:r>
      <w:r w:rsidRPr="001E1AA8">
        <w:rPr>
          <w:rFonts w:asciiTheme="minorHAnsi" w:hAnsiTheme="minorHAnsi"/>
        </w:rPr>
        <w:t xml:space="preserve">The Centers for Advanced Orthopedics (Jun. 15, 2017), </w:t>
      </w:r>
      <w:hyperlink r:id="rId22" w:history="1">
        <w:r w:rsidRPr="001E1AA8">
          <w:rPr>
            <w:rStyle w:val="Hyperlink"/>
            <w:rFonts w:asciiTheme="minorHAnsi" w:hAnsiTheme="minorHAnsi"/>
            <w:color w:val="365F91" w:themeColor="accent1" w:themeShade="BF"/>
          </w:rPr>
          <w:t>https://www.cfaortho.com/media/news/2017/06/the-benefits-of-outpatient-surgical-centers</w:t>
        </w:r>
      </w:hyperlink>
      <w:r w:rsidRPr="001E1AA8">
        <w:rPr>
          <w:rStyle w:val="Hyperlink"/>
          <w:rFonts w:asciiTheme="minorHAnsi" w:hAnsiTheme="minorHAnsi"/>
          <w:color w:val="365F91" w:themeColor="accent1" w:themeShade="BF"/>
          <w:u w:val="none"/>
        </w:rPr>
        <w:t xml:space="preserve">; </w:t>
      </w:r>
      <w:r w:rsidRPr="001E1AA8">
        <w:rPr>
          <w:rStyle w:val="Hyperlink"/>
          <w:rFonts w:asciiTheme="minorHAnsi" w:hAnsiTheme="minorHAnsi"/>
          <w:color w:val="auto"/>
          <w:u w:val="none"/>
        </w:rPr>
        <w:t>Michael Bar</w:t>
      </w:r>
      <w:r w:rsidRPr="00393D23">
        <w:rPr>
          <w:rStyle w:val="Hyperlink"/>
          <w:rFonts w:asciiTheme="minorHAnsi" w:hAnsiTheme="minorHAnsi"/>
          <w:color w:val="auto"/>
          <w:u w:val="none"/>
        </w:rPr>
        <w:t xml:space="preserve">bella, </w:t>
      </w:r>
      <w:hyperlink r:id="rId23" w:history="1">
        <w:r w:rsidRPr="00393D23">
          <w:rPr>
            <w:rStyle w:val="Hyperlink"/>
            <w:rFonts w:asciiTheme="minorHAnsi" w:hAnsiTheme="minorHAnsi"/>
            <w:i/>
            <w:iCs/>
            <w:color w:val="auto"/>
            <w:u w:val="none"/>
          </w:rPr>
          <w:t>The ABCs of ASC Cost Savings</w:t>
        </w:r>
      </w:hyperlink>
      <w:r w:rsidRPr="00393D23">
        <w:rPr>
          <w:rStyle w:val="Hyperlink"/>
          <w:rFonts w:asciiTheme="minorHAnsi" w:hAnsiTheme="minorHAnsi"/>
          <w:i/>
          <w:iCs/>
          <w:color w:val="auto"/>
          <w:u w:val="none"/>
        </w:rPr>
        <w:t xml:space="preserve">, </w:t>
      </w:r>
      <w:r w:rsidRPr="00393D23">
        <w:rPr>
          <w:rStyle w:val="Hyperlink"/>
          <w:rFonts w:asciiTheme="minorHAnsi" w:hAnsiTheme="minorHAnsi"/>
          <w:color w:val="auto"/>
          <w:u w:val="none"/>
        </w:rPr>
        <w:t xml:space="preserve">Orthopedic </w:t>
      </w:r>
      <w:r w:rsidRPr="001E1AA8">
        <w:rPr>
          <w:rStyle w:val="Hyperlink"/>
          <w:rFonts w:asciiTheme="minorHAnsi" w:hAnsiTheme="minorHAnsi"/>
          <w:color w:val="auto"/>
          <w:u w:val="none"/>
        </w:rPr>
        <w:t>Design &amp; Technology (Mar. 22, 2017),</w:t>
      </w:r>
      <w:r w:rsidRPr="001E1AA8">
        <w:rPr>
          <w:rStyle w:val="Hyperlink"/>
          <w:rFonts w:asciiTheme="minorHAnsi" w:hAnsiTheme="minorHAnsi"/>
          <w:color w:val="auto"/>
        </w:rPr>
        <w:t xml:space="preserve"> </w:t>
      </w:r>
      <w:hyperlink r:id="rId24" w:history="1">
        <w:r w:rsidRPr="001E1AA8">
          <w:rPr>
            <w:rStyle w:val="Hyperlink"/>
            <w:rFonts w:asciiTheme="minorHAnsi" w:hAnsiTheme="minorHAnsi"/>
            <w:color w:val="365F91" w:themeColor="accent1" w:themeShade="BF"/>
          </w:rPr>
          <w:t>https://www.odtmag.com/issues/2017-03-01/view_columns/the-abcs-of-asc-cost-savings/</w:t>
        </w:r>
      </w:hyperlink>
      <w:r w:rsidRPr="001E1AA8">
        <w:rPr>
          <w:rStyle w:val="Hyperlink"/>
          <w:rFonts w:asciiTheme="minorHAnsi" w:hAnsiTheme="minorHAnsi"/>
          <w:color w:val="365F91" w:themeColor="accent1" w:themeShade="BF"/>
        </w:rPr>
        <w:t>.</w:t>
      </w:r>
    </w:p>
  </w:endnote>
  <w:endnote w:id="12">
    <w:p w14:paraId="50AEE8AB" w14:textId="29D37721" w:rsidR="003D7683" w:rsidRPr="001E1AA8" w:rsidRDefault="003D7683" w:rsidP="003D7683">
      <w:pPr>
        <w:pStyle w:val="EndnoteText"/>
        <w:rPr>
          <w:rFonts w:asciiTheme="minorHAnsi" w:hAnsiTheme="minorHAnsi"/>
        </w:rPr>
      </w:pPr>
      <w:r w:rsidRPr="001E1AA8">
        <w:rPr>
          <w:rStyle w:val="EndnoteReference"/>
          <w:rFonts w:asciiTheme="minorHAnsi" w:hAnsiTheme="minorHAnsi"/>
        </w:rPr>
        <w:endnoteRef/>
      </w:r>
      <w:r w:rsidRPr="001E1AA8">
        <w:rPr>
          <w:rFonts w:asciiTheme="minorHAnsi" w:hAnsiTheme="minorHAnsi"/>
        </w:rPr>
        <w:t xml:space="preserve"> Dennis C. Crawford et al., </w:t>
      </w:r>
      <w:hyperlink r:id="rId25" w:history="1">
        <w:r w:rsidRPr="00393D23">
          <w:rPr>
            <w:rStyle w:val="Hyperlink"/>
            <w:rFonts w:asciiTheme="minorHAnsi" w:hAnsiTheme="minorHAnsi"/>
            <w:i/>
            <w:color w:val="auto"/>
            <w:u w:val="none"/>
          </w:rPr>
          <w:t>Clinical and Cost Implications of Inpatient Versus Outpatient Orthopedic Surgeries: A Systematic Review of the Published Literature</w:t>
        </w:r>
        <w:r w:rsidRPr="00393D23">
          <w:rPr>
            <w:rStyle w:val="Hyperlink"/>
            <w:rFonts w:asciiTheme="minorHAnsi" w:hAnsiTheme="minorHAnsi"/>
            <w:color w:val="auto"/>
            <w:u w:val="none"/>
          </w:rPr>
          <w:t>,</w:t>
        </w:r>
      </w:hyperlink>
      <w:r w:rsidRPr="00393D23">
        <w:rPr>
          <w:rFonts w:asciiTheme="minorHAnsi" w:hAnsiTheme="minorHAnsi"/>
        </w:rPr>
        <w:t xml:space="preserve"> 7 </w:t>
      </w:r>
      <w:r w:rsidRPr="001E1AA8">
        <w:rPr>
          <w:rFonts w:asciiTheme="minorHAnsi" w:hAnsiTheme="minorHAnsi"/>
          <w:smallCaps/>
        </w:rPr>
        <w:t>Orthopedic Review</w:t>
      </w:r>
      <w:r w:rsidRPr="001E1AA8">
        <w:rPr>
          <w:rFonts w:asciiTheme="minorHAnsi" w:hAnsiTheme="minorHAnsi"/>
        </w:rPr>
        <w:t xml:space="preserve"> 116 (2015), </w:t>
      </w:r>
      <w:hyperlink r:id="rId26" w:history="1">
        <w:r w:rsidRPr="001E1AA8">
          <w:rPr>
            <w:rStyle w:val="Hyperlink"/>
            <w:rFonts w:asciiTheme="minorHAnsi" w:hAnsiTheme="minorHAnsi"/>
            <w:color w:val="365F91" w:themeColor="accent1" w:themeShade="BF"/>
          </w:rPr>
          <w:t>https://www.ncbi.nlm.nih.gov/pmc/articles/PMC4703913/pdf/or-2015-4-6177.pdf</w:t>
        </w:r>
      </w:hyperlink>
      <w:r w:rsidRPr="001E1AA8">
        <w:rPr>
          <w:rStyle w:val="Hyperlink"/>
          <w:rFonts w:asciiTheme="minorHAnsi" w:hAnsiTheme="minorHAnsi"/>
          <w:color w:val="auto"/>
          <w:u w:val="none"/>
        </w:rPr>
        <w:t xml:space="preserve">; </w:t>
      </w:r>
      <w:r w:rsidRPr="001E1AA8">
        <w:rPr>
          <w:rFonts w:asciiTheme="minorHAnsi" w:hAnsiTheme="minorHAnsi"/>
        </w:rPr>
        <w:t>David Coo</w:t>
      </w:r>
      <w:r w:rsidRPr="00393D23">
        <w:rPr>
          <w:rFonts w:asciiTheme="minorHAnsi" w:hAnsiTheme="minorHAnsi"/>
        </w:rPr>
        <w:t xml:space="preserve">k et al., </w:t>
      </w:r>
      <w:hyperlink r:id="rId27" w:history="1">
        <w:r w:rsidRPr="00393D23">
          <w:rPr>
            <w:rStyle w:val="Hyperlink"/>
            <w:rFonts w:asciiTheme="minorHAnsi" w:hAnsiTheme="minorHAnsi"/>
            <w:i/>
            <w:color w:val="auto"/>
            <w:u w:val="none"/>
          </w:rPr>
          <w:t>From ‘Solution Shop’ Model to ‘Focused Factor’ In Hospital Surgery: Increasing Care Value and Predictability</w:t>
        </w:r>
      </w:hyperlink>
      <w:r w:rsidRPr="00393D23">
        <w:rPr>
          <w:rFonts w:asciiTheme="minorHAnsi" w:hAnsiTheme="minorHAnsi"/>
        </w:rPr>
        <w:t xml:space="preserve">, 33 </w:t>
      </w:r>
      <w:r w:rsidRPr="001E1AA8">
        <w:rPr>
          <w:rFonts w:asciiTheme="minorHAnsi" w:hAnsiTheme="minorHAnsi"/>
          <w:smallCaps/>
        </w:rPr>
        <w:t>Health Affairs</w:t>
      </w:r>
      <w:r w:rsidRPr="001E1AA8">
        <w:rPr>
          <w:rFonts w:asciiTheme="minorHAnsi" w:hAnsiTheme="minorHAnsi"/>
        </w:rPr>
        <w:t xml:space="preserve"> 746 (2014), </w:t>
      </w:r>
      <w:hyperlink r:id="rId28" w:history="1">
        <w:r w:rsidRPr="001E1AA8">
          <w:rPr>
            <w:rStyle w:val="Hyperlink"/>
            <w:rFonts w:asciiTheme="minorHAnsi" w:hAnsiTheme="minorHAnsi"/>
            <w:color w:val="365F91" w:themeColor="accent1" w:themeShade="BF"/>
          </w:rPr>
          <w:t>https://www.healthaffairs.org/doi/pdf/10.1377/hlthaff.2013.1266</w:t>
        </w:r>
      </w:hyperlink>
      <w:r w:rsidRPr="001E1AA8">
        <w:rPr>
          <w:rStyle w:val="Hyperlink"/>
          <w:rFonts w:asciiTheme="minorHAnsi" w:hAnsiTheme="minorHAnsi"/>
          <w:color w:val="auto"/>
          <w:u w:val="none"/>
        </w:rPr>
        <w:t>.</w:t>
      </w:r>
    </w:p>
  </w:endnote>
  <w:endnote w:id="13">
    <w:p w14:paraId="6120C3D5" w14:textId="1708C034" w:rsidR="003D7683" w:rsidRPr="004D0859" w:rsidRDefault="003D7683" w:rsidP="003D7683">
      <w:pPr>
        <w:pStyle w:val="EndnoteText"/>
        <w:rPr>
          <w:rFonts w:asciiTheme="minorHAnsi" w:hAnsiTheme="minorHAnsi"/>
          <w:color w:val="365F91" w:themeColor="accent1" w:themeShade="BF"/>
        </w:rPr>
      </w:pPr>
      <w:r w:rsidRPr="001E1AA8">
        <w:rPr>
          <w:rStyle w:val="EndnoteReference"/>
          <w:rFonts w:asciiTheme="minorHAnsi" w:hAnsiTheme="minorHAnsi"/>
        </w:rPr>
        <w:endnoteRef/>
      </w:r>
      <w:r w:rsidRPr="001E1AA8">
        <w:rPr>
          <w:rFonts w:asciiTheme="minorHAnsi" w:hAnsiTheme="minorHAnsi"/>
        </w:rPr>
        <w:t xml:space="preserve"> </w:t>
      </w:r>
      <w:hyperlink r:id="rId29" w:history="1">
        <w:r w:rsidRPr="00992715">
          <w:rPr>
            <w:rStyle w:val="Hyperlink"/>
            <w:rFonts w:asciiTheme="minorHAnsi" w:hAnsiTheme="minorHAnsi"/>
            <w:i/>
            <w:iCs/>
            <w:color w:val="auto"/>
            <w:u w:val="none"/>
          </w:rPr>
          <w:t>Reducing Medicare Costs by Migrating Volume from Hospital Outpatient Departments to Ambulatory Surgical Centers</w:t>
        </w:r>
      </w:hyperlink>
      <w:r w:rsidRPr="00992715">
        <w:rPr>
          <w:rFonts w:asciiTheme="minorHAnsi" w:hAnsiTheme="minorHAnsi"/>
        </w:rPr>
        <w:t xml:space="preserve">, </w:t>
      </w:r>
      <w:r w:rsidRPr="001E1AA8">
        <w:rPr>
          <w:rFonts w:asciiTheme="minorHAnsi" w:hAnsiTheme="minorHAnsi"/>
        </w:rPr>
        <w:t xml:space="preserve">Advancing Surgical Care (Released October 2020), </w:t>
      </w:r>
      <w:hyperlink r:id="rId30" w:history="1">
        <w:r w:rsidRPr="001E1AA8">
          <w:rPr>
            <w:rStyle w:val="Hyperlink"/>
            <w:rFonts w:asciiTheme="minorHAnsi" w:hAnsiTheme="minorHAnsi"/>
            <w:color w:val="365F91" w:themeColor="accent1" w:themeShade="BF"/>
          </w:rPr>
          <w:t>https://www.advancingsurgicalcare.com/reducinghealthcarecosts/costsavings/reducing-medicare-costs</w:t>
        </w:r>
      </w:hyperlink>
      <w:r w:rsidRPr="001E1AA8">
        <w:rPr>
          <w:rFonts w:asciiTheme="minorHAnsi" w:hAnsiTheme="minorHAnsi"/>
          <w:color w:val="365F91" w:themeColor="accent1" w:themeShade="BF"/>
        </w:rPr>
        <w:t>.</w:t>
      </w:r>
    </w:p>
  </w:endnote>
  <w:endnote w:id="14">
    <w:p w14:paraId="4105A8CE" w14:textId="141902A8" w:rsidR="003D7683" w:rsidRPr="001E1AA8" w:rsidRDefault="003D7683" w:rsidP="003D7683">
      <w:pPr>
        <w:pStyle w:val="EndnoteText"/>
        <w:rPr>
          <w:rFonts w:asciiTheme="minorHAnsi" w:hAnsiTheme="minorHAnsi"/>
          <w:i/>
          <w:iCs/>
        </w:rPr>
      </w:pPr>
      <w:r w:rsidRPr="001E1AA8">
        <w:rPr>
          <w:rStyle w:val="EndnoteReference"/>
          <w:rFonts w:asciiTheme="minorHAnsi" w:hAnsiTheme="minorHAnsi"/>
        </w:rPr>
        <w:endnoteRef/>
      </w:r>
      <w:r w:rsidRPr="001E1AA8">
        <w:rPr>
          <w:rFonts w:asciiTheme="minorHAnsi" w:hAnsiTheme="minorHAnsi"/>
        </w:rPr>
        <w:t xml:space="preserve"> </w:t>
      </w:r>
      <w:hyperlink r:id="rId31" w:history="1">
        <w:r w:rsidRPr="00992715">
          <w:rPr>
            <w:rStyle w:val="Hyperlink"/>
            <w:rFonts w:asciiTheme="minorHAnsi" w:hAnsiTheme="minorHAnsi"/>
            <w:i/>
            <w:iCs/>
            <w:color w:val="auto"/>
            <w:u w:val="none"/>
          </w:rPr>
          <w:t>Procedure Price Lookup</w:t>
        </w:r>
        <w:r w:rsidRPr="00992715">
          <w:rPr>
            <w:rStyle w:val="Hyperlink"/>
            <w:rFonts w:asciiTheme="minorHAnsi" w:hAnsiTheme="minorHAnsi"/>
            <w:color w:val="auto"/>
            <w:u w:val="none"/>
          </w:rPr>
          <w:t>,</w:t>
        </w:r>
      </w:hyperlink>
      <w:r w:rsidRPr="00992715">
        <w:rPr>
          <w:rFonts w:asciiTheme="minorHAnsi" w:hAnsiTheme="minorHAnsi"/>
        </w:rPr>
        <w:t xml:space="preserve"> </w:t>
      </w:r>
      <w:r w:rsidRPr="001E1AA8">
        <w:rPr>
          <w:rFonts w:asciiTheme="minorHAnsi" w:hAnsiTheme="minorHAnsi"/>
        </w:rPr>
        <w:t>Medicare.gov,</w:t>
      </w:r>
      <w:r w:rsidRPr="001E1AA8">
        <w:rPr>
          <w:rFonts w:asciiTheme="minorHAnsi" w:hAnsiTheme="minorHAnsi"/>
          <w:i/>
          <w:iCs/>
        </w:rPr>
        <w:t xml:space="preserve"> </w:t>
      </w:r>
      <w:hyperlink r:id="rId32" w:history="1">
        <w:r w:rsidRPr="001E1AA8">
          <w:rPr>
            <w:rStyle w:val="Hyperlink"/>
            <w:rFonts w:asciiTheme="minorHAnsi" w:hAnsiTheme="minorHAnsi"/>
            <w:i/>
            <w:iCs/>
            <w:color w:val="365F91" w:themeColor="accent1" w:themeShade="BF"/>
          </w:rPr>
          <w:t>https://www.medicare.gov/procedure-price-lookup/</w:t>
        </w:r>
      </w:hyperlink>
      <w:r w:rsidRPr="001E1AA8">
        <w:rPr>
          <w:rFonts w:asciiTheme="minorHAnsi" w:hAnsiTheme="minorHAnsi"/>
          <w:i/>
          <w:iCs/>
        </w:rPr>
        <w:t xml:space="preserve"> </w:t>
      </w:r>
      <w:r w:rsidRPr="001E1AA8">
        <w:rPr>
          <w:rFonts w:asciiTheme="minorHAnsi" w:hAnsiTheme="minorHAnsi"/>
        </w:rPr>
        <w:t xml:space="preserve">(last visited Feb.23, 2023). Totals reflect US average. </w:t>
      </w:r>
    </w:p>
  </w:endnote>
  <w:endnote w:id="15">
    <w:p w14:paraId="1129CC4B" w14:textId="00B4C091" w:rsidR="003D7683" w:rsidRPr="001E1AA8" w:rsidRDefault="003D7683" w:rsidP="003D7683">
      <w:pPr>
        <w:pStyle w:val="EndnoteText"/>
        <w:rPr>
          <w:rFonts w:asciiTheme="minorHAnsi" w:hAnsiTheme="minorHAnsi"/>
        </w:rPr>
      </w:pPr>
      <w:r w:rsidRPr="001E1AA8">
        <w:rPr>
          <w:rStyle w:val="EndnoteReference"/>
          <w:rFonts w:asciiTheme="minorHAnsi" w:hAnsiTheme="minorHAnsi"/>
        </w:rPr>
        <w:endnoteRef/>
      </w:r>
      <w:r w:rsidRPr="001E1AA8">
        <w:rPr>
          <w:rFonts w:asciiTheme="minorHAnsi" w:hAnsiTheme="minorHAnsi"/>
        </w:rPr>
        <w:t xml:space="preserve"> Shameek Rakshit et al., </w:t>
      </w:r>
      <w:hyperlink r:id="rId33" w:history="1">
        <w:r w:rsidRPr="00341FF9">
          <w:rPr>
            <w:rStyle w:val="Hyperlink"/>
            <w:rFonts w:asciiTheme="minorHAnsi" w:hAnsiTheme="minorHAnsi"/>
            <w:i/>
            <w:iCs/>
            <w:color w:val="auto"/>
            <w:u w:val="none"/>
          </w:rPr>
          <w:t>How does Cost affect access to healthcare?</w:t>
        </w:r>
        <w:r w:rsidRPr="00341FF9">
          <w:rPr>
            <w:rStyle w:val="Hyperlink"/>
            <w:rFonts w:asciiTheme="minorHAnsi" w:hAnsiTheme="minorHAnsi"/>
            <w:color w:val="auto"/>
            <w:u w:val="none"/>
          </w:rPr>
          <w:t>,</w:t>
        </w:r>
      </w:hyperlink>
      <w:r w:rsidRPr="00341FF9">
        <w:rPr>
          <w:rFonts w:asciiTheme="minorHAnsi" w:hAnsiTheme="minorHAnsi"/>
        </w:rPr>
        <w:t xml:space="preserve"> </w:t>
      </w:r>
      <w:r w:rsidRPr="001E1AA8">
        <w:rPr>
          <w:rFonts w:asciiTheme="minorHAnsi" w:hAnsiTheme="minorHAnsi"/>
        </w:rPr>
        <w:t xml:space="preserve">Peterson-KFF: Access &amp; Affordability (Jan. 30, 2023), </w:t>
      </w:r>
      <w:hyperlink r:id="rId34" w:history="1">
        <w:r w:rsidRPr="001E1AA8">
          <w:rPr>
            <w:rStyle w:val="Hyperlink"/>
            <w:rFonts w:asciiTheme="minorHAnsi" w:hAnsiTheme="minorHAnsi"/>
            <w:color w:val="365F91" w:themeColor="accent1" w:themeShade="BF"/>
          </w:rPr>
          <w:t>https://www.healthsystemtracker.org/chart-collection/cost-affect-access-care/</w:t>
        </w:r>
      </w:hyperlink>
      <w:r w:rsidRPr="001E1AA8">
        <w:rPr>
          <w:rFonts w:asciiTheme="minorHAnsi" w:hAnsiTheme="minorHAnsi"/>
        </w:rPr>
        <w:t>.</w:t>
      </w:r>
    </w:p>
  </w:endnote>
  <w:endnote w:id="16">
    <w:p w14:paraId="0B8F0A7A" w14:textId="53666A0D" w:rsidR="003D7683" w:rsidRPr="001E1AA8" w:rsidRDefault="003D7683" w:rsidP="003D7683">
      <w:pPr>
        <w:pStyle w:val="FootnoteText"/>
        <w:rPr>
          <w:rFonts w:asciiTheme="minorHAnsi" w:hAnsiTheme="minorHAnsi"/>
          <w:color w:val="365F91" w:themeColor="accent1" w:themeShade="BF"/>
        </w:rPr>
      </w:pPr>
      <w:r w:rsidRPr="001E1AA8">
        <w:rPr>
          <w:rStyle w:val="EndnoteReference"/>
          <w:rFonts w:asciiTheme="minorHAnsi" w:hAnsiTheme="minorHAnsi"/>
        </w:rPr>
        <w:endnoteRef/>
      </w:r>
      <w:r w:rsidRPr="001E1AA8">
        <w:rPr>
          <w:rFonts w:asciiTheme="minorHAnsi" w:hAnsiTheme="minorHAnsi"/>
        </w:rPr>
        <w:t xml:space="preserve"> Shameek Rakshit et al., </w:t>
      </w:r>
      <w:hyperlink r:id="rId35" w:history="1">
        <w:r w:rsidRPr="00341FF9">
          <w:rPr>
            <w:rStyle w:val="Hyperlink"/>
            <w:rFonts w:asciiTheme="minorHAnsi" w:hAnsiTheme="minorHAnsi"/>
            <w:i/>
            <w:iCs/>
            <w:color w:val="auto"/>
            <w:u w:val="none"/>
          </w:rPr>
          <w:t>How does Cost affect access to healthcare?</w:t>
        </w:r>
        <w:r w:rsidRPr="00341FF9">
          <w:rPr>
            <w:rStyle w:val="Hyperlink"/>
            <w:rFonts w:asciiTheme="minorHAnsi" w:hAnsiTheme="minorHAnsi"/>
            <w:color w:val="auto"/>
            <w:u w:val="none"/>
          </w:rPr>
          <w:t>,</w:t>
        </w:r>
      </w:hyperlink>
      <w:r w:rsidRPr="00341FF9">
        <w:rPr>
          <w:rFonts w:asciiTheme="minorHAnsi" w:hAnsiTheme="minorHAnsi"/>
        </w:rPr>
        <w:t xml:space="preserve"> </w:t>
      </w:r>
      <w:r w:rsidRPr="001E1AA8">
        <w:rPr>
          <w:rFonts w:asciiTheme="minorHAnsi" w:hAnsiTheme="minorHAnsi"/>
        </w:rPr>
        <w:t xml:space="preserve">Peterson-KFF: Access &amp; Affordability (Jan. 30, 2023), </w:t>
      </w:r>
      <w:hyperlink r:id="rId36" w:history="1">
        <w:r w:rsidRPr="001E1AA8">
          <w:rPr>
            <w:rStyle w:val="Hyperlink"/>
            <w:rFonts w:asciiTheme="minorHAnsi" w:hAnsiTheme="minorHAnsi"/>
            <w:color w:val="365F91" w:themeColor="accent1" w:themeShade="BF"/>
          </w:rPr>
          <w:t>https://www.healthsystemtracker.org/chart-collection/cost-affect-access-care/</w:t>
        </w:r>
      </w:hyperlink>
      <w:r w:rsidRPr="001E1AA8">
        <w:rPr>
          <w:rFonts w:asciiTheme="minorHAnsi" w:hAnsiTheme="minorHAnsi"/>
        </w:rPr>
        <w:t>.</w:t>
      </w:r>
    </w:p>
  </w:endnote>
  <w:endnote w:id="17">
    <w:p w14:paraId="0991AAC3" w14:textId="00F6BB67" w:rsidR="003D7683" w:rsidRPr="001E1AA8" w:rsidRDefault="003D7683" w:rsidP="003D7683">
      <w:pPr>
        <w:pStyle w:val="EndnoteText"/>
        <w:rPr>
          <w:rFonts w:asciiTheme="minorHAnsi" w:hAnsiTheme="minorHAnsi"/>
          <w:color w:val="365F91" w:themeColor="accent1" w:themeShade="BF"/>
        </w:rPr>
      </w:pPr>
      <w:r w:rsidRPr="001E1AA8">
        <w:rPr>
          <w:rStyle w:val="EndnoteReference"/>
          <w:rFonts w:asciiTheme="minorHAnsi" w:hAnsiTheme="minorHAnsi"/>
        </w:rPr>
        <w:endnoteRef/>
      </w:r>
      <w:r w:rsidRPr="001E1AA8">
        <w:rPr>
          <w:rFonts w:asciiTheme="minorHAnsi" w:hAnsiTheme="minorHAnsi"/>
        </w:rPr>
        <w:t xml:space="preserve"> Les Masterson, </w:t>
      </w:r>
      <w:hyperlink r:id="rId37" w:anchor=":~:text=NRC%20Health's%20Market%20Insights%20surveyed,quality%20of%20care%20(35%25)." w:history="1">
        <w:r w:rsidRPr="00341FF9">
          <w:rPr>
            <w:rStyle w:val="Hyperlink"/>
            <w:rFonts w:asciiTheme="minorHAnsi" w:hAnsiTheme="minorHAnsi"/>
            <w:i/>
            <w:iCs/>
            <w:color w:val="auto"/>
            <w:u w:val="none"/>
          </w:rPr>
          <w:t>Convenience more important to patients than quality of care, survey finds</w:t>
        </w:r>
        <w:r w:rsidRPr="00341FF9">
          <w:rPr>
            <w:rStyle w:val="Hyperlink"/>
            <w:rFonts w:asciiTheme="minorHAnsi" w:hAnsiTheme="minorHAnsi"/>
            <w:color w:val="auto"/>
            <w:u w:val="none"/>
          </w:rPr>
          <w:t>,</w:t>
        </w:r>
      </w:hyperlink>
      <w:r w:rsidRPr="00341FF9">
        <w:rPr>
          <w:rFonts w:asciiTheme="minorHAnsi" w:hAnsiTheme="minorHAnsi"/>
        </w:rPr>
        <w:t xml:space="preserve"> </w:t>
      </w:r>
      <w:r w:rsidRPr="001E1AA8">
        <w:rPr>
          <w:rFonts w:asciiTheme="minorHAnsi" w:hAnsiTheme="minorHAnsi"/>
        </w:rPr>
        <w:t xml:space="preserve">Healthcare Dive (Jan. 7, 2019), </w:t>
      </w:r>
      <w:hyperlink r:id="rId38" w:anchor=":~:text=NRC%20Health's%20Market%20Insights%20surveyed,quality%20of%20care%20(35%25)" w:history="1">
        <w:r w:rsidRPr="001E1AA8">
          <w:rPr>
            <w:rStyle w:val="Hyperlink"/>
            <w:rFonts w:asciiTheme="minorHAnsi" w:hAnsiTheme="minorHAnsi"/>
            <w:color w:val="365F91" w:themeColor="accent1" w:themeShade="BF"/>
          </w:rPr>
          <w:t>https://www.healthcaredive.com/news/convenience-more-important-to-patients-than-quality-of-care-survey-finds/545365/#:~:text=NRC%20Health's%20Market%20Insights%20surveyed,quality%20of%20care%20(35%25)</w:t>
        </w:r>
      </w:hyperlink>
      <w:r w:rsidRPr="001E1AA8">
        <w:rPr>
          <w:rFonts w:asciiTheme="minorHAnsi" w:hAnsiTheme="minorHAnsi"/>
        </w:rPr>
        <w:t xml:space="preserve">. </w:t>
      </w:r>
    </w:p>
  </w:endnote>
  <w:endnote w:id="18">
    <w:p w14:paraId="191AC4BC" w14:textId="038DFAAB" w:rsidR="00D11B18" w:rsidRPr="002C6BC6" w:rsidRDefault="00D11B18" w:rsidP="00D11B18">
      <w:pPr>
        <w:pStyle w:val="EndnoteText"/>
        <w:rPr>
          <w:rFonts w:asciiTheme="minorHAnsi" w:hAnsiTheme="minorHAnsi"/>
        </w:rPr>
      </w:pPr>
      <w:r w:rsidRPr="002C6BC6">
        <w:rPr>
          <w:rStyle w:val="EndnoteReference"/>
          <w:rFonts w:asciiTheme="minorHAnsi" w:hAnsiTheme="minorHAnsi"/>
        </w:rPr>
        <w:endnoteRef/>
      </w:r>
      <w:r w:rsidRPr="002C6BC6">
        <w:rPr>
          <w:rFonts w:asciiTheme="minorHAnsi" w:hAnsiTheme="minorHAnsi"/>
        </w:rPr>
        <w:t xml:space="preserve"> </w:t>
      </w:r>
      <w:hyperlink r:id="rId39" w:history="1">
        <w:r w:rsidRPr="00341FF9">
          <w:rPr>
            <w:rStyle w:val="Hyperlink"/>
            <w:rFonts w:asciiTheme="minorHAnsi" w:hAnsiTheme="minorHAnsi"/>
            <w:i/>
            <w:iCs/>
            <w:color w:val="auto"/>
            <w:u w:val="none"/>
          </w:rPr>
          <w:t>Medical Cost Savings</w:t>
        </w:r>
        <w:r w:rsidRPr="00341FF9">
          <w:rPr>
            <w:rStyle w:val="Hyperlink"/>
            <w:rFonts w:asciiTheme="minorHAnsi" w:hAnsiTheme="minorHAnsi"/>
            <w:color w:val="auto"/>
            <w:u w:val="none"/>
          </w:rPr>
          <w:t>,</w:t>
        </w:r>
      </w:hyperlink>
      <w:r w:rsidRPr="00341FF9">
        <w:rPr>
          <w:rFonts w:asciiTheme="minorHAnsi" w:hAnsiTheme="minorHAnsi"/>
        </w:rPr>
        <w:t xml:space="preserve"> Advanced </w:t>
      </w:r>
      <w:r w:rsidRPr="002C6BC6">
        <w:rPr>
          <w:rFonts w:asciiTheme="minorHAnsi" w:hAnsiTheme="minorHAnsi"/>
        </w:rPr>
        <w:t xml:space="preserve">Surgical Care, </w:t>
      </w:r>
      <w:hyperlink r:id="rId40" w:history="1">
        <w:r w:rsidRPr="002C6BC6">
          <w:rPr>
            <w:rStyle w:val="Hyperlink"/>
            <w:rFonts w:asciiTheme="minorHAnsi" w:hAnsiTheme="minorHAnsi"/>
            <w:color w:val="365F91" w:themeColor="accent1" w:themeShade="BF"/>
          </w:rPr>
          <w:t>https://www.ascassociation.org/advancingsurgicalcare/reducinghealthcarecosts/costsavings</w:t>
        </w:r>
      </w:hyperlink>
      <w:r w:rsidRPr="002C6BC6">
        <w:rPr>
          <w:rFonts w:asciiTheme="minorHAnsi" w:hAnsiTheme="minorHAnsi"/>
          <w:color w:val="365F91" w:themeColor="accent1" w:themeShade="BF"/>
        </w:rPr>
        <w:t xml:space="preserve"> </w:t>
      </w:r>
      <w:r w:rsidRPr="002C6BC6">
        <w:rPr>
          <w:rFonts w:asciiTheme="minorHAnsi" w:hAnsiTheme="minorHAnsi"/>
        </w:rPr>
        <w:t>(last visited Feb. 17, 2023).</w:t>
      </w:r>
    </w:p>
  </w:endnote>
  <w:endnote w:id="19">
    <w:p w14:paraId="32FA23A9" w14:textId="4C1D40CA" w:rsidR="00D11B18" w:rsidRPr="002C6BC6" w:rsidRDefault="00D11B18" w:rsidP="00D11B18">
      <w:pPr>
        <w:pStyle w:val="EndnoteText"/>
        <w:rPr>
          <w:rFonts w:asciiTheme="minorHAnsi" w:hAnsiTheme="minorHAnsi"/>
          <w:i/>
          <w:iCs/>
        </w:rPr>
      </w:pPr>
      <w:r w:rsidRPr="002C6BC6">
        <w:rPr>
          <w:rStyle w:val="EndnoteReference"/>
          <w:rFonts w:asciiTheme="minorHAnsi" w:hAnsiTheme="minorHAnsi"/>
        </w:rPr>
        <w:endnoteRef/>
      </w:r>
      <w:r w:rsidRPr="002C6BC6">
        <w:rPr>
          <w:rFonts w:asciiTheme="minorHAnsi" w:hAnsiTheme="minorHAnsi"/>
          <w:i/>
          <w:iCs/>
        </w:rPr>
        <w:t xml:space="preserve"> </w:t>
      </w:r>
      <w:hyperlink r:id="rId41" w:history="1">
        <w:r w:rsidRPr="00341FF9">
          <w:rPr>
            <w:rStyle w:val="Hyperlink"/>
            <w:rFonts w:asciiTheme="minorHAnsi" w:hAnsiTheme="minorHAnsi"/>
            <w:i/>
            <w:iCs/>
            <w:color w:val="auto"/>
            <w:u w:val="none"/>
          </w:rPr>
          <w:t>Medical Cost Savings</w:t>
        </w:r>
      </w:hyperlink>
      <w:r w:rsidRPr="00341FF9">
        <w:rPr>
          <w:rFonts w:asciiTheme="minorHAnsi" w:hAnsiTheme="minorHAnsi"/>
        </w:rPr>
        <w:t xml:space="preserve">, Advanced </w:t>
      </w:r>
      <w:r w:rsidRPr="002C6BC6">
        <w:rPr>
          <w:rFonts w:asciiTheme="minorHAnsi" w:hAnsiTheme="minorHAnsi"/>
        </w:rPr>
        <w:t xml:space="preserve">Surgical Care, </w:t>
      </w:r>
      <w:hyperlink r:id="rId42" w:history="1">
        <w:r w:rsidRPr="002C6BC6">
          <w:rPr>
            <w:rStyle w:val="Hyperlink"/>
            <w:rFonts w:asciiTheme="minorHAnsi" w:hAnsiTheme="minorHAnsi"/>
            <w:color w:val="365F91" w:themeColor="accent1" w:themeShade="BF"/>
          </w:rPr>
          <w:t>https://www.ascassociation.org/advancingsurgicalcare/reducinghealthcarecosts/costsavings</w:t>
        </w:r>
      </w:hyperlink>
      <w:r w:rsidRPr="002C6BC6">
        <w:rPr>
          <w:rFonts w:asciiTheme="minorHAnsi" w:hAnsiTheme="minorHAnsi"/>
          <w:color w:val="365F91" w:themeColor="accent1" w:themeShade="BF"/>
        </w:rPr>
        <w:t xml:space="preserve"> </w:t>
      </w:r>
      <w:r w:rsidRPr="002C6BC6">
        <w:rPr>
          <w:rFonts w:asciiTheme="minorHAnsi" w:hAnsiTheme="minorHAnsi"/>
        </w:rPr>
        <w:t>(last visited Feb. 17, 2023).</w:t>
      </w:r>
    </w:p>
  </w:endnote>
  <w:endnote w:id="20">
    <w:p w14:paraId="4136C92F" w14:textId="32421B3A" w:rsidR="00D11B18" w:rsidRPr="002C6BC6" w:rsidRDefault="00D11B18" w:rsidP="00D11B18">
      <w:pPr>
        <w:pStyle w:val="EndnoteText"/>
        <w:rPr>
          <w:rFonts w:asciiTheme="minorHAnsi" w:hAnsiTheme="minorHAnsi"/>
        </w:rPr>
      </w:pPr>
      <w:r w:rsidRPr="002C6BC6">
        <w:rPr>
          <w:rStyle w:val="EndnoteReference"/>
          <w:rFonts w:asciiTheme="minorHAnsi" w:hAnsiTheme="minorHAnsi"/>
        </w:rPr>
        <w:endnoteRef/>
      </w:r>
      <w:r w:rsidRPr="002C6BC6">
        <w:rPr>
          <w:rFonts w:asciiTheme="minorHAnsi" w:hAnsiTheme="minorHAnsi"/>
        </w:rPr>
        <w:t xml:space="preserve"> </w:t>
      </w:r>
      <w:hyperlink r:id="rId43" w:history="1">
        <w:r w:rsidRPr="00341FF9">
          <w:rPr>
            <w:rStyle w:val="Hyperlink"/>
            <w:rFonts w:asciiTheme="minorHAnsi" w:hAnsiTheme="minorHAnsi"/>
            <w:i/>
            <w:iCs/>
            <w:color w:val="auto"/>
            <w:u w:val="none"/>
          </w:rPr>
          <w:t>Reducing Medicare Costs by Migrating Volume from Hospital Outpatient Departments to Ambulatory Surgical Centers</w:t>
        </w:r>
      </w:hyperlink>
      <w:r w:rsidRPr="00341FF9">
        <w:rPr>
          <w:rFonts w:asciiTheme="minorHAnsi" w:hAnsiTheme="minorHAnsi"/>
        </w:rPr>
        <w:t xml:space="preserve">, </w:t>
      </w:r>
      <w:r w:rsidRPr="002C6BC6">
        <w:rPr>
          <w:rFonts w:asciiTheme="minorHAnsi" w:hAnsiTheme="minorHAnsi"/>
        </w:rPr>
        <w:t xml:space="preserve">Advancing Surgical Care (Released October 2020), </w:t>
      </w:r>
      <w:hyperlink r:id="rId44" w:history="1">
        <w:r w:rsidRPr="002C6BC6">
          <w:rPr>
            <w:rStyle w:val="Hyperlink"/>
            <w:rFonts w:asciiTheme="minorHAnsi" w:hAnsiTheme="minorHAnsi"/>
            <w:color w:val="365F91" w:themeColor="accent1" w:themeShade="BF"/>
          </w:rPr>
          <w:t>https://www.advancingsurgicalcare.com/reducinghealthcarecosts/costsavings/reducing-medicare-costs</w:t>
        </w:r>
      </w:hyperlink>
      <w:r w:rsidRPr="002C6BC6">
        <w:rPr>
          <w:rFonts w:asciiTheme="minorHAnsi" w:hAnsiTheme="minorHAnsi"/>
        </w:rPr>
        <w:t>.</w:t>
      </w:r>
    </w:p>
  </w:endnote>
  <w:endnote w:id="21">
    <w:p w14:paraId="6DD0F227" w14:textId="5A67F7BE" w:rsidR="00D11B18" w:rsidRPr="002C6BC6" w:rsidRDefault="00D11B18" w:rsidP="00D11B18">
      <w:pPr>
        <w:pStyle w:val="EndnoteText"/>
        <w:rPr>
          <w:rFonts w:asciiTheme="minorHAnsi" w:hAnsiTheme="minorHAnsi"/>
        </w:rPr>
      </w:pPr>
      <w:r w:rsidRPr="002C6BC6">
        <w:rPr>
          <w:rStyle w:val="EndnoteReference"/>
          <w:rFonts w:asciiTheme="minorHAnsi" w:hAnsiTheme="minorHAnsi"/>
        </w:rPr>
        <w:endnoteRef/>
      </w:r>
      <w:r w:rsidRPr="002C6BC6">
        <w:rPr>
          <w:rFonts w:asciiTheme="minorHAnsi" w:hAnsiTheme="minorHAnsi"/>
        </w:rPr>
        <w:t xml:space="preserve"> </w:t>
      </w:r>
      <w:hyperlink r:id="rId45" w:history="1">
        <w:r w:rsidRPr="00341FF9">
          <w:rPr>
            <w:rStyle w:val="Hyperlink"/>
            <w:rFonts w:asciiTheme="minorHAnsi" w:hAnsiTheme="minorHAnsi"/>
            <w:i/>
            <w:iCs/>
            <w:color w:val="auto"/>
            <w:u w:val="none"/>
          </w:rPr>
          <w:t>ASCs Projected to take 68% of Orthopedic surgeries by mid-decade</w:t>
        </w:r>
      </w:hyperlink>
      <w:r w:rsidRPr="00341FF9">
        <w:rPr>
          <w:rFonts w:asciiTheme="minorHAnsi" w:hAnsiTheme="minorHAnsi"/>
        </w:rPr>
        <w:t xml:space="preserve">, </w:t>
      </w:r>
      <w:r w:rsidRPr="002C6BC6">
        <w:rPr>
          <w:rFonts w:asciiTheme="minorHAnsi" w:hAnsiTheme="minorHAnsi"/>
        </w:rPr>
        <w:t xml:space="preserve">Becker’s ASC Review (Oct. 22, 2020), </w:t>
      </w:r>
      <w:hyperlink r:id="rId46" w:history="1">
        <w:r w:rsidRPr="002C6BC6">
          <w:rPr>
            <w:rStyle w:val="Hyperlink"/>
            <w:rFonts w:asciiTheme="minorHAnsi" w:hAnsiTheme="minorHAnsi"/>
            <w:color w:val="365F91" w:themeColor="accent1" w:themeShade="BF"/>
          </w:rPr>
          <w:t>https://www.beckersasc.com/orthopedics-tjr/ascs-projected-to-take-68-of-orthopedic-surgeries-by-mid-decade-5-insights.html</w:t>
        </w:r>
      </w:hyperlink>
      <w:r w:rsidRPr="002C6BC6">
        <w:rPr>
          <w:rFonts w:asciiTheme="minorHAnsi" w:hAnsiTheme="minorHAnsi"/>
        </w:rPr>
        <w:t xml:space="preserve"> . </w:t>
      </w:r>
    </w:p>
  </w:endnote>
  <w:endnote w:id="22">
    <w:p w14:paraId="19738C54" w14:textId="7D220FB7" w:rsidR="00E17DF0" w:rsidRPr="00FF25C2" w:rsidRDefault="00E17DF0" w:rsidP="00E17DF0">
      <w:pPr>
        <w:pStyle w:val="EndnoteText"/>
        <w:rPr>
          <w:rFonts w:asciiTheme="minorHAnsi" w:hAnsiTheme="minorHAnsi"/>
        </w:rPr>
      </w:pPr>
      <w:r w:rsidRPr="00FF25C2">
        <w:rPr>
          <w:rStyle w:val="EndnoteReference"/>
          <w:rFonts w:asciiTheme="minorHAnsi" w:hAnsiTheme="minorHAnsi"/>
        </w:rPr>
        <w:endnoteRef/>
      </w:r>
      <w:r w:rsidRPr="00FF25C2">
        <w:rPr>
          <w:rFonts w:asciiTheme="minorHAnsi" w:hAnsiTheme="minorHAnsi"/>
        </w:rPr>
        <w:t xml:space="preserve"> Louis Levitt, </w:t>
      </w:r>
      <w:hyperlink r:id="rId47" w:history="1">
        <w:r w:rsidRPr="00341FF9">
          <w:rPr>
            <w:rStyle w:val="Hyperlink"/>
            <w:rFonts w:asciiTheme="minorHAnsi" w:hAnsiTheme="minorHAnsi"/>
            <w:i/>
            <w:color w:val="auto"/>
            <w:u w:val="none"/>
          </w:rPr>
          <w:t>The Benefits of Outpatient Surgical Centers</w:t>
        </w:r>
      </w:hyperlink>
      <w:r w:rsidRPr="00341FF9">
        <w:rPr>
          <w:rFonts w:asciiTheme="minorHAnsi" w:hAnsiTheme="minorHAnsi"/>
        </w:rPr>
        <w:t xml:space="preserve">. The </w:t>
      </w:r>
      <w:r w:rsidRPr="00FF25C2">
        <w:rPr>
          <w:rFonts w:asciiTheme="minorHAnsi" w:hAnsiTheme="minorHAnsi"/>
        </w:rPr>
        <w:t xml:space="preserve">Centers for Advanced Orthopedics (Jun. 15, 2017), </w:t>
      </w:r>
      <w:hyperlink r:id="rId48" w:history="1">
        <w:r w:rsidRPr="00FF25C2">
          <w:rPr>
            <w:rStyle w:val="Hyperlink"/>
            <w:rFonts w:asciiTheme="minorHAnsi" w:hAnsiTheme="minorHAnsi"/>
            <w:color w:val="365F91" w:themeColor="accent1" w:themeShade="BF"/>
          </w:rPr>
          <w:t>https://www.cfaortho.com/media/news/2017/06/the-benefits-of-outpatient-surgical-centers</w:t>
        </w:r>
      </w:hyperlink>
      <w:r w:rsidRPr="00FF25C2">
        <w:rPr>
          <w:rStyle w:val="Hyperlink"/>
          <w:rFonts w:asciiTheme="minorHAnsi" w:hAnsiTheme="minorHAnsi"/>
          <w:color w:val="auto"/>
          <w:u w:val="none"/>
        </w:rPr>
        <w:t>; Michael Barbella</w:t>
      </w:r>
      <w:r w:rsidRPr="00341FF9">
        <w:rPr>
          <w:rStyle w:val="Hyperlink"/>
          <w:rFonts w:asciiTheme="minorHAnsi" w:hAnsiTheme="minorHAnsi"/>
          <w:color w:val="auto"/>
          <w:u w:val="none"/>
        </w:rPr>
        <w:t xml:space="preserve">, </w:t>
      </w:r>
      <w:hyperlink r:id="rId49" w:history="1">
        <w:r w:rsidRPr="00341FF9">
          <w:rPr>
            <w:rStyle w:val="Hyperlink"/>
            <w:rFonts w:asciiTheme="minorHAnsi" w:hAnsiTheme="minorHAnsi"/>
            <w:i/>
            <w:iCs/>
            <w:color w:val="auto"/>
            <w:u w:val="none"/>
          </w:rPr>
          <w:t>The ABCs of ASC Cost Savings,</w:t>
        </w:r>
      </w:hyperlink>
      <w:r w:rsidRPr="00341FF9">
        <w:rPr>
          <w:rStyle w:val="Hyperlink"/>
          <w:rFonts w:asciiTheme="minorHAnsi" w:hAnsiTheme="minorHAnsi"/>
          <w:i/>
          <w:iCs/>
          <w:color w:val="auto"/>
          <w:u w:val="none"/>
        </w:rPr>
        <w:t xml:space="preserve"> </w:t>
      </w:r>
      <w:r w:rsidRPr="00341FF9">
        <w:rPr>
          <w:rStyle w:val="Hyperlink"/>
          <w:rFonts w:asciiTheme="minorHAnsi" w:hAnsiTheme="minorHAnsi"/>
          <w:color w:val="auto"/>
          <w:u w:val="none"/>
        </w:rPr>
        <w:t xml:space="preserve">Orthopedic </w:t>
      </w:r>
      <w:r w:rsidRPr="00FF25C2">
        <w:rPr>
          <w:rStyle w:val="Hyperlink"/>
          <w:rFonts w:asciiTheme="minorHAnsi" w:hAnsiTheme="minorHAnsi"/>
          <w:color w:val="auto"/>
          <w:u w:val="none"/>
        </w:rPr>
        <w:t xml:space="preserve">Design &amp; Technology (Mar. 22, 2017), </w:t>
      </w:r>
      <w:hyperlink r:id="rId50" w:history="1">
        <w:r w:rsidRPr="00FF25C2">
          <w:rPr>
            <w:rStyle w:val="Hyperlink"/>
            <w:rFonts w:asciiTheme="minorHAnsi" w:hAnsiTheme="minorHAnsi"/>
            <w:color w:val="365F91" w:themeColor="accent1" w:themeShade="BF"/>
          </w:rPr>
          <w:t>https://www.odtmag.com/issues/2017-03-01/view_columns/the-abcs-of-asc-cost-savings/</w:t>
        </w:r>
      </w:hyperlink>
      <w:r w:rsidRPr="00FF25C2">
        <w:rPr>
          <w:rStyle w:val="Hyperlink"/>
          <w:rFonts w:asciiTheme="minorHAnsi" w:hAnsiTheme="minorHAnsi"/>
          <w:color w:val="auto"/>
          <w:u w:val="none"/>
        </w:rPr>
        <w:t>.</w:t>
      </w:r>
    </w:p>
  </w:endnote>
  <w:endnote w:id="23">
    <w:p w14:paraId="75AD9AF1" w14:textId="514A4E6E" w:rsidR="00B604D9" w:rsidRDefault="00B604D9">
      <w:pPr>
        <w:pStyle w:val="EndnoteText"/>
      </w:pPr>
      <w:r>
        <w:rPr>
          <w:rStyle w:val="EndnoteReference"/>
        </w:rPr>
        <w:endnoteRef/>
      </w:r>
      <w:r>
        <w:t xml:space="preserve"> </w:t>
      </w:r>
      <w:hyperlink r:id="rId51" w:history="1">
        <w:r w:rsidRPr="00341FF9">
          <w:rPr>
            <w:rStyle w:val="Hyperlink"/>
            <w:rFonts w:cs="Calibri"/>
            <w:color w:val="auto"/>
            <w:u w:val="none"/>
            <w:shd w:val="clear" w:color="auto" w:fill="FFFFFF"/>
          </w:rPr>
          <w:t>Massachusetts Health Policy Commission. HPC DataPoints, Issue 26 Trends in Ambulatory Surgical Centers in Massachusetts.</w:t>
        </w:r>
      </w:hyperlink>
      <w:r w:rsidRPr="00341FF9">
        <w:rPr>
          <w:rStyle w:val="normaltextrun"/>
          <w:rFonts w:cs="Calibri"/>
          <w:shd w:val="clear" w:color="auto" w:fill="FFFFFF"/>
        </w:rPr>
        <w:t xml:space="preserve"> February </w:t>
      </w:r>
      <w:r>
        <w:rPr>
          <w:rStyle w:val="normaltextrun"/>
          <w:rFonts w:cs="Calibri"/>
          <w:color w:val="000000"/>
          <w:shd w:val="clear" w:color="auto" w:fill="FFFFFF"/>
        </w:rPr>
        <w:t>15, 2024. </w:t>
      </w:r>
      <w:hyperlink r:id="rId52" w:tgtFrame="_blank" w:history="1">
        <w:r w:rsidRPr="00A5453D">
          <w:rPr>
            <w:rStyle w:val="normaltextrun"/>
            <w:rFonts w:cs="Calibri"/>
            <w:color w:val="365F91" w:themeColor="accent1" w:themeShade="BF"/>
            <w:u w:val="single"/>
            <w:shd w:val="clear" w:color="auto" w:fill="FFFFFF"/>
          </w:rPr>
          <w:t>https://www.mass.gov/info-details/hpc-datapoints-issue-26</w:t>
        </w:r>
      </w:hyperlink>
      <w:r w:rsidRPr="00A5453D">
        <w:rPr>
          <w:rStyle w:val="normaltextrun"/>
          <w:rFonts w:cs="Calibri"/>
          <w:color w:val="365F91" w:themeColor="accent1" w:themeShade="BF"/>
          <w:shd w:val="clear" w:color="auto" w:fill="FFFFFF"/>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BA8AB" w14:textId="77777777" w:rsidR="00E54588" w:rsidRDefault="00E54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A007" w14:textId="6A78658F" w:rsidR="00E54588" w:rsidRDefault="00E545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43DB562" wp14:editId="280532BE">
              <wp:simplePos x="0" y="0"/>
              <wp:positionH relativeFrom="page">
                <wp:posOffset>3813175</wp:posOffset>
              </wp:positionH>
              <wp:positionV relativeFrom="page">
                <wp:posOffset>9272905</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DB562" id="_x0000_t202" coordsize="21600,21600" o:spt="202" path="m,l,21600r21600,l21600,xe">
              <v:stroke joinstyle="miter"/>
              <v:path gradientshapeok="t" o:connecttype="rect"/>
            </v:shapetype>
            <v:shape id="Text Box 2" o:spid="_x0000_s1026" type="#_x0000_t202" style="position:absolute;margin-left:300.25pt;margin-top:730.15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W+SjROEAAAANAQAADwAAAAAAAAAAAAAAAAAvBAAAZHJzL2Rvd25yZXYueG1sUEsFBgAAAAAEAAQA&#10;8wAAAD0FAAAAAA==&#10;" filled="f" stroked="f">
              <v:textbox inset="0,0,0,0">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E6BB5" w14:textId="77777777" w:rsidR="00E54588" w:rsidRDefault="00E545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8573723"/>
      <w:docPartObj>
        <w:docPartGallery w:val="Page Numbers (Bottom of Page)"/>
        <w:docPartUnique/>
      </w:docPartObj>
    </w:sdtPr>
    <w:sdtEndPr>
      <w:rPr>
        <w:noProof/>
      </w:rPr>
    </w:sdtEndPr>
    <w:sdtContent>
      <w:p w14:paraId="16AC19D4" w14:textId="17302680" w:rsidR="00E54588" w:rsidRDefault="00E54588">
        <w:pPr>
          <w:pStyle w:val="Footer"/>
          <w:jc w:val="center"/>
        </w:pPr>
        <w:r w:rsidRPr="00542854">
          <w:rPr>
            <w:rFonts w:asciiTheme="minorHAnsi" w:hAnsiTheme="minorHAnsi"/>
          </w:rPr>
          <w:fldChar w:fldCharType="begin"/>
        </w:r>
        <w:r w:rsidRPr="00542854">
          <w:rPr>
            <w:rFonts w:asciiTheme="minorHAnsi" w:hAnsiTheme="minorHAnsi"/>
          </w:rPr>
          <w:instrText xml:space="preserve"> PAGE   \* MERGEFORMAT </w:instrText>
        </w:r>
        <w:r w:rsidRPr="00542854">
          <w:rPr>
            <w:rFonts w:asciiTheme="minorHAnsi" w:hAnsiTheme="minorHAnsi"/>
          </w:rPr>
          <w:fldChar w:fldCharType="separate"/>
        </w:r>
        <w:r w:rsidRPr="00542854">
          <w:rPr>
            <w:rFonts w:asciiTheme="minorHAnsi" w:hAnsiTheme="minorHAnsi"/>
            <w:noProof/>
          </w:rPr>
          <w:t>2</w:t>
        </w:r>
        <w:r w:rsidRPr="00542854">
          <w:rPr>
            <w:rFonts w:asciiTheme="minorHAnsi" w:hAnsiTheme="minorHAnsi"/>
            <w:noProof/>
          </w:rPr>
          <w:fldChar w:fldCharType="end"/>
        </w:r>
      </w:p>
    </w:sdtContent>
  </w:sdt>
  <w:p w14:paraId="525B5754" w14:textId="78558AD7" w:rsidR="00E54588" w:rsidRPr="00542854" w:rsidRDefault="00E54588" w:rsidP="0054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C4CBC" w14:textId="77777777" w:rsidR="00F33A18" w:rsidRDefault="00F33A18">
      <w:r>
        <w:separator/>
      </w:r>
    </w:p>
  </w:footnote>
  <w:footnote w:type="continuationSeparator" w:id="0">
    <w:p w14:paraId="1CB7E95B" w14:textId="77777777" w:rsidR="00F33A18" w:rsidRDefault="00F33A18">
      <w:r>
        <w:continuationSeparator/>
      </w:r>
    </w:p>
  </w:footnote>
  <w:footnote w:type="continuationNotice" w:id="1">
    <w:p w14:paraId="079F3FE9" w14:textId="77777777" w:rsidR="00F33A18" w:rsidRDefault="00F33A18"/>
  </w:footnote>
  <w:footnote w:id="2">
    <w:p w14:paraId="7E2055BB" w14:textId="77777777" w:rsidR="00CB4771" w:rsidRPr="00B039BD" w:rsidRDefault="00CB4771" w:rsidP="00CB4771">
      <w:pPr>
        <w:pStyle w:val="FootnoteText"/>
        <w:jc w:val="both"/>
        <w:rPr>
          <w:rFonts w:asciiTheme="minorHAnsi" w:hAnsiTheme="minorHAnsi"/>
          <w:sz w:val="16"/>
          <w:szCs w:val="16"/>
        </w:rPr>
      </w:pPr>
      <w:r w:rsidRPr="00B039BD">
        <w:rPr>
          <w:rStyle w:val="FootnoteReference"/>
          <w:rFonts w:asciiTheme="minorHAnsi" w:hAnsiTheme="minorHAnsi"/>
          <w:sz w:val="16"/>
          <w:szCs w:val="16"/>
        </w:rPr>
        <w:footnoteRef/>
      </w:r>
      <w:r w:rsidRPr="00B039BD">
        <w:rPr>
          <w:rFonts w:asciiTheme="minorHAnsi" w:hAnsiTheme="minorHAnsi"/>
          <w:sz w:val="16"/>
          <w:szCs w:val="16"/>
        </w:rPr>
        <w:t xml:space="preserve"> BILH also includes </w:t>
      </w:r>
      <w:r w:rsidRPr="00B039BD">
        <w:rPr>
          <w:rFonts w:asciiTheme="minorHAnsi" w:eastAsia="Times New Roman" w:hAnsiTheme="minorHAnsi"/>
          <w:kern w:val="2"/>
          <w:sz w:val="16"/>
          <w:szCs w:val="16"/>
        </w:rPr>
        <w:t>Addison Gilbert Hospital; Anna Jaques Hospital; Beth Israel Deaconess Medical Center; Beth Israel Deaconess Hospital-Milton; Beth Israel Deaconess Hospital-Needham; Beverly Hospital; Lahey Hospital &amp; Medical Center; Mount Auburn Hospital; New England Baptist Hospital; and Winchester Hospital.</w:t>
      </w:r>
    </w:p>
  </w:footnote>
  <w:footnote w:id="3">
    <w:p w14:paraId="50FD4E9C" w14:textId="7C5061BB" w:rsidR="00E54588" w:rsidRPr="00AF45AF" w:rsidRDefault="00E54588">
      <w:pPr>
        <w:pStyle w:val="FootnoteText"/>
      </w:pPr>
      <w:r w:rsidRPr="00B039BD">
        <w:rPr>
          <w:rStyle w:val="FootnoteReference"/>
          <w:rFonts w:asciiTheme="minorHAnsi" w:hAnsiTheme="minorHAnsi"/>
          <w:sz w:val="16"/>
          <w:szCs w:val="16"/>
        </w:rPr>
        <w:footnoteRef/>
      </w:r>
      <w:r w:rsidRPr="00B039BD">
        <w:rPr>
          <w:rFonts w:asciiTheme="minorHAnsi" w:hAnsiTheme="minorHAnsi"/>
          <w:sz w:val="16"/>
          <w:szCs w:val="16"/>
        </w:rPr>
        <w:t xml:space="preserve"> </w:t>
      </w:r>
      <w:hyperlink r:id="rId1" w:history="1">
        <w:r w:rsidRPr="00B039BD">
          <w:rPr>
            <w:rStyle w:val="Hyperlink"/>
            <w:rFonts w:asciiTheme="minorHAnsi" w:hAnsiTheme="minorHAnsi"/>
            <w:color w:val="000000" w:themeColor="text1"/>
            <w:sz w:val="16"/>
            <w:szCs w:val="16"/>
            <w:u w:val="none"/>
          </w:rPr>
          <w:t>HPC-Certified ACOs - LEAP 2022-2023.</w:t>
        </w:r>
      </w:hyperlink>
      <w:r w:rsidRPr="00B039BD">
        <w:rPr>
          <w:rFonts w:asciiTheme="minorHAnsi" w:hAnsiTheme="minorHAnsi"/>
          <w:color w:val="000000" w:themeColor="text1"/>
          <w:sz w:val="16"/>
          <w:szCs w:val="16"/>
        </w:rPr>
        <w:t xml:space="preserve"> </w:t>
      </w:r>
      <w:hyperlink r:id="rId2" w:history="1">
        <w:r w:rsidRPr="00B039BD">
          <w:rPr>
            <w:rStyle w:val="Hyperlink"/>
            <w:rFonts w:asciiTheme="minorHAnsi" w:hAnsiTheme="minorHAnsi"/>
            <w:sz w:val="16"/>
            <w:szCs w:val="16"/>
          </w:rPr>
          <w:t>https://www.mass.gov/service-details/the-hpc-accountable-care-organization-aco-certification-program</w:t>
        </w:r>
      </w:hyperlink>
      <w:r w:rsidRPr="00AF45AF">
        <w:t xml:space="preserve"> </w:t>
      </w:r>
    </w:p>
  </w:footnote>
  <w:footnote w:id="4">
    <w:p w14:paraId="43F1E1DC" w14:textId="79D35ADE" w:rsidR="00E54588" w:rsidRPr="008D7E4D" w:rsidRDefault="00E54588">
      <w:pPr>
        <w:pStyle w:val="FootnoteText"/>
        <w:rPr>
          <w:rFonts w:asciiTheme="minorHAnsi" w:hAnsiTheme="minorHAnsi"/>
          <w:sz w:val="16"/>
          <w:szCs w:val="16"/>
        </w:rPr>
      </w:pPr>
      <w:r w:rsidRPr="008D7E4D">
        <w:rPr>
          <w:rStyle w:val="FootnoteReference"/>
          <w:rFonts w:asciiTheme="minorHAnsi" w:hAnsiTheme="minorHAnsi"/>
          <w:sz w:val="16"/>
          <w:szCs w:val="16"/>
        </w:rPr>
        <w:footnoteRef/>
      </w:r>
      <w:r w:rsidRPr="008D7E4D">
        <w:rPr>
          <w:rFonts w:asciiTheme="minorHAnsi" w:hAnsiTheme="minorHAnsi"/>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Patient Panel also means: (1) If the Applicant or Holder has no Patient Panel itself, the Patient Panel includes the Patient Panel of the health care facilities affiliated with the Applicant; or (2) If the Proposed Project is for a new facility and there is no existing Patient Panel, Patient Panel means the anticipated patients; or (3) In the case of a Transfer of Ownership, Patient Panel also includes the Patient Panel of the Entity to be acquired.</w:t>
      </w:r>
    </w:p>
  </w:footnote>
  <w:footnote w:id="5">
    <w:p w14:paraId="3E60C85E" w14:textId="1B516156" w:rsidR="00D71048" w:rsidRPr="00C42D5F" w:rsidRDefault="00D71048">
      <w:pPr>
        <w:pStyle w:val="FootnoteText"/>
        <w:rPr>
          <w:sz w:val="16"/>
          <w:szCs w:val="16"/>
        </w:rPr>
      </w:pPr>
      <w:r w:rsidRPr="00C42D5F">
        <w:rPr>
          <w:rStyle w:val="FootnoteReference"/>
          <w:sz w:val="16"/>
          <w:szCs w:val="16"/>
        </w:rPr>
        <w:footnoteRef/>
      </w:r>
      <w:r w:rsidRPr="00C42D5F">
        <w:rPr>
          <w:sz w:val="16"/>
          <w:szCs w:val="16"/>
        </w:rPr>
        <w:t xml:space="preserve"> </w:t>
      </w:r>
      <w:r w:rsidR="0020019D" w:rsidRPr="00C42D5F">
        <w:rPr>
          <w:sz w:val="16"/>
          <w:szCs w:val="16"/>
        </w:rPr>
        <w:t>Fiscal year October – September.</w:t>
      </w:r>
    </w:p>
  </w:footnote>
  <w:footnote w:id="6">
    <w:p w14:paraId="0A9E0B4B" w14:textId="36655CA4" w:rsidR="0020019D" w:rsidRDefault="0020019D">
      <w:pPr>
        <w:pStyle w:val="FootnoteText"/>
      </w:pPr>
      <w:r w:rsidRPr="00C42D5F">
        <w:rPr>
          <w:rStyle w:val="FootnoteReference"/>
          <w:sz w:val="16"/>
          <w:szCs w:val="16"/>
        </w:rPr>
        <w:footnoteRef/>
      </w:r>
      <w:r w:rsidRPr="00C42D5F">
        <w:rPr>
          <w:sz w:val="16"/>
          <w:szCs w:val="16"/>
        </w:rPr>
        <w:t xml:space="preserve"> </w:t>
      </w:r>
      <w:r w:rsidR="00C42D5F" w:rsidRPr="00C42D5F">
        <w:rPr>
          <w:sz w:val="16"/>
          <w:szCs w:val="16"/>
        </w:rPr>
        <w:t>Fiscal year January – December.</w:t>
      </w:r>
      <w:r w:rsidR="00C42D5F">
        <w:t xml:space="preserve"> </w:t>
      </w:r>
    </w:p>
  </w:footnote>
  <w:footnote w:id="7">
    <w:p w14:paraId="29F8772F" w14:textId="16D4B576" w:rsidR="006C2EDB" w:rsidRDefault="006C2EDB">
      <w:pPr>
        <w:pStyle w:val="FootnoteText"/>
      </w:pPr>
      <w:r w:rsidRPr="008D7E4D">
        <w:rPr>
          <w:rStyle w:val="FootnoteReference"/>
          <w:sz w:val="16"/>
          <w:szCs w:val="16"/>
        </w:rPr>
        <w:footnoteRef/>
      </w:r>
      <w:r w:rsidRPr="008D7E4D">
        <w:rPr>
          <w:sz w:val="16"/>
          <w:szCs w:val="16"/>
        </w:rPr>
        <w:t xml:space="preserve"> </w:t>
      </w:r>
      <w:r w:rsidRPr="008D7E4D">
        <w:rPr>
          <w:rFonts w:asciiTheme="minorHAnsi" w:hAnsiTheme="minorHAnsi"/>
          <w:sz w:val="16"/>
          <w:szCs w:val="16"/>
        </w:rPr>
        <w:t xml:space="preserve">The Applicant notes that PBOA surgeons most frequently perform surgery at BID Plymouth so the surgical patient panels of PBOA and BID Plymouth overlap significantly. </w:t>
      </w:r>
      <w:r w:rsidR="00C56415" w:rsidRPr="008D7E4D">
        <w:rPr>
          <w:rFonts w:asciiTheme="minorHAnsi" w:hAnsiTheme="minorHAnsi"/>
          <w:sz w:val="16"/>
          <w:szCs w:val="16"/>
        </w:rPr>
        <w:t xml:space="preserve">The Applicant provided data showing that </w:t>
      </w:r>
      <w:r w:rsidR="00F90FC0">
        <w:rPr>
          <w:rFonts w:asciiTheme="minorHAnsi" w:hAnsiTheme="minorHAnsi"/>
          <w:sz w:val="16"/>
          <w:szCs w:val="16"/>
        </w:rPr>
        <w:t xml:space="preserve">only </w:t>
      </w:r>
      <w:r w:rsidR="00C56415" w:rsidRPr="008D7E4D">
        <w:rPr>
          <w:rFonts w:asciiTheme="minorHAnsi" w:hAnsiTheme="minorHAnsi"/>
          <w:sz w:val="16"/>
          <w:szCs w:val="16"/>
        </w:rPr>
        <w:t xml:space="preserve">1% or less of all PBOA surgeries are performed outside of </w:t>
      </w:r>
      <w:r w:rsidR="008D7E4D" w:rsidRPr="008D7E4D">
        <w:rPr>
          <w:rFonts w:asciiTheme="minorHAnsi" w:hAnsiTheme="minorHAnsi"/>
          <w:sz w:val="16"/>
          <w:szCs w:val="16"/>
        </w:rPr>
        <w:t>BID Plymouth</w:t>
      </w:r>
      <w:r w:rsidR="00C334D3">
        <w:rPr>
          <w:rFonts w:asciiTheme="minorHAnsi" w:hAnsiTheme="minorHAnsi"/>
          <w:sz w:val="16"/>
          <w:szCs w:val="16"/>
        </w:rPr>
        <w:t>, at South Shore Hospital</w:t>
      </w:r>
      <w:r w:rsidR="008D7E4D" w:rsidRPr="008D7E4D">
        <w:rPr>
          <w:rFonts w:asciiTheme="minorHAnsi" w:hAnsiTheme="minorHAnsi"/>
          <w:sz w:val="16"/>
          <w:szCs w:val="16"/>
        </w:rPr>
        <w:t>.</w:t>
      </w:r>
    </w:p>
  </w:footnote>
  <w:footnote w:id="8">
    <w:p w14:paraId="36D4DD5C" w14:textId="22252325" w:rsidR="007332ED" w:rsidRDefault="007332ED" w:rsidP="007332ED">
      <w:pPr>
        <w:pStyle w:val="FootnoteText"/>
      </w:pPr>
      <w:r w:rsidRPr="00D814FE">
        <w:rPr>
          <w:rStyle w:val="FootnoteReference"/>
          <w:rFonts w:asciiTheme="minorHAnsi" w:hAnsiTheme="minorHAnsi"/>
          <w:sz w:val="16"/>
          <w:szCs w:val="16"/>
        </w:rPr>
        <w:footnoteRef/>
      </w:r>
      <w:r w:rsidRPr="00D814FE">
        <w:rPr>
          <w:rFonts w:asciiTheme="minorHAnsi" w:hAnsiTheme="minorHAnsi"/>
          <w:sz w:val="16"/>
          <w:szCs w:val="16"/>
        </w:rPr>
        <w:t xml:space="preserve"> </w:t>
      </w:r>
      <w:r w:rsidR="009312F9">
        <w:rPr>
          <w:rFonts w:asciiTheme="minorHAnsi" w:hAnsiTheme="minorHAnsi"/>
          <w:sz w:val="16"/>
          <w:szCs w:val="16"/>
        </w:rPr>
        <w:t xml:space="preserve">Due to the </w:t>
      </w:r>
      <w:r w:rsidR="00A509C5">
        <w:rPr>
          <w:rFonts w:asciiTheme="minorHAnsi" w:hAnsiTheme="minorHAnsi"/>
          <w:sz w:val="16"/>
          <w:szCs w:val="16"/>
        </w:rPr>
        <w:t>low numbers of patients identifying as “Other” or “Unknown”</w:t>
      </w:r>
      <w:r w:rsidR="00D6490B">
        <w:rPr>
          <w:rFonts w:asciiTheme="minorHAnsi" w:hAnsiTheme="minorHAnsi"/>
          <w:sz w:val="16"/>
          <w:szCs w:val="16"/>
        </w:rPr>
        <w:t>, these categories have been combined with the “Female” category to protect confidentiality.</w:t>
      </w:r>
      <w:r w:rsidR="009265E8">
        <w:rPr>
          <w:rFonts w:asciiTheme="minorHAnsi" w:hAnsiTheme="minorHAnsi"/>
          <w:sz w:val="16"/>
          <w:szCs w:val="16"/>
        </w:rPr>
        <w:t xml:space="preserve"> Categories with &lt;11 patients are typically added to the </w:t>
      </w:r>
      <w:r w:rsidR="00AD1F0D">
        <w:rPr>
          <w:rFonts w:asciiTheme="minorHAnsi" w:hAnsiTheme="minorHAnsi"/>
          <w:sz w:val="16"/>
          <w:szCs w:val="16"/>
        </w:rPr>
        <w:t>gender category with higher numbers</w:t>
      </w:r>
      <w:r w:rsidR="005C2DC3">
        <w:rPr>
          <w:rFonts w:asciiTheme="minorHAnsi" w:hAnsiTheme="minorHAnsi"/>
          <w:sz w:val="16"/>
          <w:szCs w:val="16"/>
        </w:rPr>
        <w:t>.</w:t>
      </w:r>
    </w:p>
  </w:footnote>
  <w:footnote w:id="9">
    <w:p w14:paraId="1F3CF601" w14:textId="77777777" w:rsidR="007332ED" w:rsidRPr="00783141" w:rsidRDefault="007332ED" w:rsidP="007332ED">
      <w:pPr>
        <w:pStyle w:val="FootnoteText"/>
        <w:rPr>
          <w:rFonts w:asciiTheme="minorHAnsi" w:hAnsiTheme="minorHAnsi"/>
          <w:sz w:val="16"/>
          <w:szCs w:val="16"/>
        </w:rPr>
      </w:pPr>
      <w:r w:rsidRPr="00783141">
        <w:rPr>
          <w:rStyle w:val="FootnoteReference"/>
          <w:rFonts w:asciiTheme="minorHAnsi" w:hAnsiTheme="minorHAnsi"/>
          <w:sz w:val="16"/>
          <w:szCs w:val="16"/>
        </w:rPr>
        <w:footnoteRef/>
      </w:r>
      <w:r w:rsidRPr="00783141">
        <w:rPr>
          <w:rFonts w:asciiTheme="minorHAnsi" w:hAnsiTheme="minorHAnsi"/>
          <w:sz w:val="16"/>
          <w:szCs w:val="16"/>
        </w:rPr>
        <w:t xml:space="preserve"> “Other” is a choice for patients to select if they do not feel that their race/ethnicity is reflected in the list of choices.</w:t>
      </w:r>
    </w:p>
  </w:footnote>
  <w:footnote w:id="10">
    <w:p w14:paraId="00B64734" w14:textId="77777777" w:rsidR="007332ED" w:rsidRPr="00783141" w:rsidRDefault="007332ED" w:rsidP="007332ED">
      <w:pPr>
        <w:pStyle w:val="FootnoteText"/>
        <w:rPr>
          <w:rFonts w:asciiTheme="minorHAnsi" w:hAnsiTheme="minorHAnsi"/>
          <w:sz w:val="16"/>
          <w:szCs w:val="16"/>
        </w:rPr>
      </w:pPr>
      <w:r w:rsidRPr="00783141">
        <w:rPr>
          <w:rStyle w:val="FootnoteReference"/>
          <w:rFonts w:asciiTheme="minorHAnsi" w:hAnsiTheme="minorHAnsi"/>
          <w:sz w:val="16"/>
          <w:szCs w:val="16"/>
        </w:rPr>
        <w:footnoteRef/>
      </w:r>
      <w:r w:rsidRPr="00783141">
        <w:rPr>
          <w:rFonts w:asciiTheme="minorHAnsi" w:hAnsiTheme="minorHAnsi"/>
          <w:sz w:val="16"/>
          <w:szCs w:val="16"/>
        </w:rPr>
        <w:t xml:space="preserve"> Due to how Ethnicity data is pulled and the timing of when FY22 data was pulled, a discrepancy exists between the patient totals for Ethnicity and overall patients. </w:t>
      </w:r>
    </w:p>
  </w:footnote>
  <w:footnote w:id="11">
    <w:p w14:paraId="6BD64A43" w14:textId="77777777" w:rsidR="007332ED" w:rsidRDefault="007332ED" w:rsidP="007332ED">
      <w:pPr>
        <w:pStyle w:val="FootnoteText"/>
      </w:pPr>
      <w:r w:rsidRPr="00783141">
        <w:rPr>
          <w:rStyle w:val="FootnoteReference"/>
          <w:rFonts w:asciiTheme="minorHAnsi" w:hAnsiTheme="minorHAnsi"/>
          <w:sz w:val="16"/>
          <w:szCs w:val="16"/>
        </w:rPr>
        <w:footnoteRef/>
      </w:r>
      <w:r w:rsidRPr="00783141">
        <w:rPr>
          <w:rFonts w:asciiTheme="minorHAnsi" w:hAnsiTheme="minorHAnsi"/>
          <w:sz w:val="16"/>
          <w:szCs w:val="16"/>
        </w:rPr>
        <w:t xml:space="preserve"> Includes self-pay, health safety net, and liability is coverage other than worker’s comp for an injury event.</w:t>
      </w:r>
    </w:p>
  </w:footnote>
  <w:footnote w:id="12">
    <w:p w14:paraId="16EBEB46" w14:textId="77777777" w:rsidR="007332ED" w:rsidRPr="003B4BD4" w:rsidRDefault="007332ED" w:rsidP="007332ED">
      <w:pPr>
        <w:pStyle w:val="FootnoteText"/>
        <w:rPr>
          <w:rFonts w:asciiTheme="minorHAnsi" w:hAnsiTheme="minorHAnsi"/>
          <w:sz w:val="16"/>
          <w:szCs w:val="16"/>
        </w:rPr>
      </w:pPr>
      <w:r w:rsidRPr="003B4BD4">
        <w:rPr>
          <w:rStyle w:val="FootnoteReference"/>
          <w:rFonts w:asciiTheme="minorHAnsi" w:hAnsiTheme="minorHAnsi"/>
          <w:sz w:val="16"/>
          <w:szCs w:val="16"/>
        </w:rPr>
        <w:footnoteRef/>
      </w:r>
      <w:r w:rsidRPr="003B4BD4">
        <w:rPr>
          <w:rFonts w:asciiTheme="minorHAnsi" w:hAnsiTheme="minorHAnsi"/>
          <w:sz w:val="16"/>
          <w:szCs w:val="16"/>
        </w:rPr>
        <w:t xml:space="preserve"> For confidentiality, “Other” includes all races not separately listed.</w:t>
      </w:r>
    </w:p>
  </w:footnote>
  <w:footnote w:id="13">
    <w:p w14:paraId="73AD8FE7" w14:textId="77777777" w:rsidR="007332ED" w:rsidRPr="00AA79D9" w:rsidRDefault="007332ED" w:rsidP="007332ED">
      <w:pPr>
        <w:pStyle w:val="FootnoteText"/>
        <w:rPr>
          <w:rFonts w:asciiTheme="minorHAnsi" w:hAnsiTheme="minorHAnsi"/>
          <w:sz w:val="16"/>
          <w:szCs w:val="16"/>
        </w:rPr>
      </w:pPr>
      <w:r w:rsidRPr="00AA79D9">
        <w:rPr>
          <w:rStyle w:val="FootnoteReference"/>
          <w:rFonts w:asciiTheme="minorHAnsi" w:hAnsiTheme="minorHAnsi"/>
          <w:sz w:val="16"/>
          <w:szCs w:val="16"/>
        </w:rPr>
        <w:footnoteRef/>
      </w:r>
      <w:r w:rsidRPr="00AA79D9">
        <w:rPr>
          <w:rFonts w:asciiTheme="minorHAnsi" w:hAnsiTheme="minorHAnsi"/>
          <w:sz w:val="16"/>
          <w:szCs w:val="16"/>
        </w:rPr>
        <w:t xml:space="preserve"> Payer mix is based on total patient encounters.</w:t>
      </w:r>
    </w:p>
  </w:footnote>
  <w:footnote w:id="14">
    <w:p w14:paraId="647688F4" w14:textId="77777777" w:rsidR="007332ED" w:rsidRDefault="007332ED" w:rsidP="007332ED">
      <w:pPr>
        <w:pStyle w:val="FootnoteText"/>
      </w:pPr>
      <w:r w:rsidRPr="00AA79D9">
        <w:rPr>
          <w:rStyle w:val="FootnoteReference"/>
          <w:rFonts w:asciiTheme="minorHAnsi" w:hAnsiTheme="minorHAnsi"/>
          <w:sz w:val="16"/>
          <w:szCs w:val="16"/>
        </w:rPr>
        <w:footnoteRef/>
      </w:r>
      <w:r w:rsidRPr="00AA79D9">
        <w:rPr>
          <w:rFonts w:asciiTheme="minorHAnsi" w:hAnsiTheme="minorHAnsi"/>
          <w:sz w:val="16"/>
          <w:szCs w:val="16"/>
        </w:rPr>
        <w:t xml:space="preserve"> Payer mix is based on total patient encounters.</w:t>
      </w:r>
    </w:p>
  </w:footnote>
  <w:footnote w:id="15">
    <w:p w14:paraId="3270D22E" w14:textId="77777777" w:rsidR="007332ED" w:rsidRPr="009A0F4A" w:rsidRDefault="007332ED" w:rsidP="007332ED">
      <w:pPr>
        <w:pStyle w:val="FootnoteText"/>
        <w:rPr>
          <w:rFonts w:asciiTheme="minorHAnsi" w:hAnsiTheme="minorHAnsi"/>
          <w:sz w:val="16"/>
          <w:szCs w:val="16"/>
        </w:rPr>
      </w:pPr>
      <w:r w:rsidRPr="009A0F4A">
        <w:rPr>
          <w:rStyle w:val="FootnoteReference"/>
          <w:rFonts w:asciiTheme="minorHAnsi" w:hAnsiTheme="minorHAnsi"/>
          <w:sz w:val="16"/>
          <w:szCs w:val="16"/>
        </w:rPr>
        <w:footnoteRef/>
      </w:r>
      <w:r w:rsidRPr="009A0F4A">
        <w:rPr>
          <w:rFonts w:asciiTheme="minorHAnsi" w:hAnsiTheme="minorHAnsi"/>
          <w:sz w:val="16"/>
          <w:szCs w:val="16"/>
        </w:rPr>
        <w:t xml:space="preserve"> For confidentiality, “Other” includes all races not separately listed.</w:t>
      </w:r>
    </w:p>
  </w:footnote>
  <w:footnote w:id="16">
    <w:p w14:paraId="60BBC1D9" w14:textId="66816729" w:rsidR="00215196" w:rsidRPr="00DA3305" w:rsidRDefault="00215196">
      <w:pPr>
        <w:pStyle w:val="FootnoteText"/>
        <w:rPr>
          <w:sz w:val="16"/>
          <w:szCs w:val="16"/>
        </w:rPr>
      </w:pPr>
      <w:r w:rsidRPr="00DA3305">
        <w:rPr>
          <w:rStyle w:val="FootnoteReference"/>
          <w:sz w:val="16"/>
          <w:szCs w:val="16"/>
        </w:rPr>
        <w:footnoteRef/>
      </w:r>
      <w:r w:rsidRPr="00DA3305">
        <w:rPr>
          <w:sz w:val="16"/>
          <w:szCs w:val="16"/>
        </w:rPr>
        <w:t xml:space="preserve"> </w:t>
      </w:r>
      <w:r w:rsidR="0022527C" w:rsidRPr="00DA3305">
        <w:rPr>
          <w:sz w:val="16"/>
          <w:szCs w:val="16"/>
        </w:rPr>
        <w:t>PBOA and BID Plymouth do not share the same fiscal year. PBOA’s fiscal year is January through December and BID Plymouth’s fiscal year is October through September</w:t>
      </w:r>
      <w:r w:rsidR="00C62A28" w:rsidRPr="00DA3305">
        <w:rPr>
          <w:sz w:val="16"/>
          <w:szCs w:val="16"/>
        </w:rPr>
        <w:t xml:space="preserve">. </w:t>
      </w:r>
      <w:r w:rsidR="00E717C0" w:rsidRPr="00DA3305">
        <w:rPr>
          <w:sz w:val="16"/>
          <w:szCs w:val="16"/>
        </w:rPr>
        <w:t>As such,</w:t>
      </w:r>
      <w:r w:rsidR="0022527C" w:rsidRPr="00DA3305">
        <w:rPr>
          <w:sz w:val="16"/>
          <w:szCs w:val="16"/>
        </w:rPr>
        <w:t xml:space="preserve"> the </w:t>
      </w:r>
      <w:r w:rsidR="00DA3305" w:rsidRPr="00DA3305">
        <w:rPr>
          <w:sz w:val="16"/>
          <w:szCs w:val="16"/>
        </w:rPr>
        <w:t>unique patient</w:t>
      </w:r>
      <w:r w:rsidR="00E717C0" w:rsidRPr="00DA3305">
        <w:rPr>
          <w:sz w:val="16"/>
          <w:szCs w:val="16"/>
        </w:rPr>
        <w:t xml:space="preserve"> totals in </w:t>
      </w:r>
      <w:r w:rsidR="003F14D6" w:rsidRPr="00DA3305">
        <w:rPr>
          <w:sz w:val="16"/>
          <w:szCs w:val="16"/>
        </w:rPr>
        <w:t xml:space="preserve">Tables </w:t>
      </w:r>
      <w:r w:rsidR="00317376" w:rsidRPr="00DA3305">
        <w:rPr>
          <w:sz w:val="16"/>
          <w:szCs w:val="16"/>
        </w:rPr>
        <w:t xml:space="preserve">1-4 </w:t>
      </w:r>
      <w:r w:rsidR="008C6248" w:rsidRPr="00DA3305">
        <w:rPr>
          <w:sz w:val="16"/>
          <w:szCs w:val="16"/>
        </w:rPr>
        <w:t>will not align with the totals in Table 5 due to</w:t>
      </w:r>
      <w:r w:rsidR="0022527C" w:rsidRPr="00DA3305">
        <w:rPr>
          <w:sz w:val="16"/>
          <w:szCs w:val="16"/>
        </w:rPr>
        <w:t xml:space="preserve"> the mismatch in months included</w:t>
      </w:r>
      <w:r w:rsidR="008C6248" w:rsidRPr="00DA3305">
        <w:rPr>
          <w:sz w:val="16"/>
          <w:szCs w:val="16"/>
        </w:rPr>
        <w:t>.</w:t>
      </w:r>
    </w:p>
  </w:footnote>
  <w:footnote w:id="17">
    <w:p w14:paraId="7379F6E2" w14:textId="77777777" w:rsidR="00F2138F" w:rsidRDefault="00F2138F" w:rsidP="007332ED"/>
  </w:footnote>
  <w:footnote w:id="18">
    <w:p w14:paraId="0B2AB8F5" w14:textId="77777777" w:rsidR="001A21D8" w:rsidRPr="00541F6A" w:rsidRDefault="001A21D8" w:rsidP="001A21D8">
      <w:pPr>
        <w:pStyle w:val="FootnoteText"/>
        <w:rPr>
          <w:rFonts w:ascii="Arial" w:hAnsi="Arial" w:cs="Arial"/>
          <w:sz w:val="18"/>
          <w:szCs w:val="18"/>
        </w:rPr>
      </w:pPr>
      <w:r w:rsidRPr="007F0A94">
        <w:rPr>
          <w:rStyle w:val="FootnoteReference"/>
          <w:rFonts w:asciiTheme="minorHAnsi" w:hAnsiTheme="minorHAnsi"/>
          <w:sz w:val="16"/>
          <w:szCs w:val="16"/>
        </w:rPr>
        <w:footnoteRef/>
      </w:r>
      <w:r w:rsidRPr="007F0A94">
        <w:rPr>
          <w:rFonts w:asciiTheme="minorHAnsi" w:hAnsiTheme="minorHAnsi"/>
          <w:sz w:val="16"/>
          <w:szCs w:val="16"/>
        </w:rPr>
        <w:t xml:space="preserve"> FY22 actuals were not available at the time the Applicant determined projections for the Proposed Project and therefore annualized data was used. As a result, the Applicant projected only 76% of cases would shift. This figure was relied upon in the Applicant’s proforma and financial feasibility study. However, FY22 actuals show a higher percentage of appropriate cases that can be shifted from BID Plymouth to the proposed ASC.</w:t>
      </w:r>
      <w:r w:rsidRPr="00541F6A">
        <w:rPr>
          <w:rFonts w:ascii="Arial" w:hAnsi="Arial" w:cs="Arial"/>
          <w:sz w:val="18"/>
          <w:szCs w:val="18"/>
        </w:rPr>
        <w:t xml:space="preserve"> </w:t>
      </w:r>
    </w:p>
  </w:footnote>
  <w:footnote w:id="19">
    <w:p w14:paraId="6F9F9058" w14:textId="43AB1A8B" w:rsidR="007D0981" w:rsidRPr="006003BA" w:rsidRDefault="007D0981">
      <w:pPr>
        <w:pStyle w:val="FootnoteText"/>
        <w:rPr>
          <w:sz w:val="16"/>
          <w:szCs w:val="16"/>
        </w:rPr>
      </w:pPr>
      <w:r w:rsidRPr="006003BA">
        <w:rPr>
          <w:rStyle w:val="FootnoteReference"/>
          <w:sz w:val="16"/>
          <w:szCs w:val="16"/>
        </w:rPr>
        <w:footnoteRef/>
      </w:r>
      <w:r w:rsidRPr="006003BA">
        <w:rPr>
          <w:sz w:val="16"/>
          <w:szCs w:val="16"/>
        </w:rPr>
        <w:t xml:space="preserve"> Ten of the </w:t>
      </w:r>
      <w:r w:rsidR="005F44FC" w:rsidRPr="006003BA">
        <w:rPr>
          <w:sz w:val="16"/>
          <w:szCs w:val="16"/>
        </w:rPr>
        <w:t xml:space="preserve">surgeons are part of </w:t>
      </w:r>
      <w:r w:rsidR="005F44FC" w:rsidRPr="006003BA">
        <w:rPr>
          <w:iCs/>
          <w:color w:val="000000" w:themeColor="text1"/>
          <w:sz w:val="16"/>
          <w:szCs w:val="16"/>
          <w:shd w:val="clear" w:color="auto" w:fill="FFFFFF"/>
        </w:rPr>
        <w:t>the existing integrated orthopedic service developed between PBOA and BID-P</w:t>
      </w:r>
      <w:r w:rsidR="006003BA">
        <w:rPr>
          <w:iCs/>
          <w:color w:val="000000" w:themeColor="text1"/>
          <w:sz w:val="16"/>
          <w:szCs w:val="16"/>
          <w:shd w:val="clear" w:color="auto" w:fill="FFFFFF"/>
        </w:rPr>
        <w:t>,</w:t>
      </w:r>
      <w:r w:rsidR="005F44FC" w:rsidRPr="006003BA">
        <w:rPr>
          <w:iCs/>
          <w:color w:val="000000" w:themeColor="text1"/>
          <w:sz w:val="16"/>
          <w:szCs w:val="16"/>
          <w:shd w:val="clear" w:color="auto" w:fill="FFFFFF"/>
        </w:rPr>
        <w:t xml:space="preserve"> with plans to add two </w:t>
      </w:r>
      <w:r w:rsidR="006003BA" w:rsidRPr="006003BA">
        <w:rPr>
          <w:iCs/>
          <w:color w:val="000000" w:themeColor="text1"/>
          <w:sz w:val="16"/>
          <w:szCs w:val="16"/>
          <w:shd w:val="clear" w:color="auto" w:fill="FFFFFF"/>
        </w:rPr>
        <w:t>joint replacement surgeons to the roster.</w:t>
      </w:r>
    </w:p>
  </w:footnote>
  <w:footnote w:id="20">
    <w:p w14:paraId="4076D366" w14:textId="4A8E51C1" w:rsidR="008A2FD3" w:rsidRPr="008A2FD3" w:rsidRDefault="008A2FD3">
      <w:pPr>
        <w:pStyle w:val="FootnoteText"/>
        <w:rPr>
          <w:sz w:val="16"/>
          <w:szCs w:val="16"/>
        </w:rPr>
      </w:pPr>
      <w:r w:rsidRPr="008A2FD3">
        <w:rPr>
          <w:rStyle w:val="FootnoteReference"/>
          <w:sz w:val="16"/>
          <w:szCs w:val="16"/>
        </w:rPr>
        <w:footnoteRef/>
      </w:r>
      <w:r w:rsidRPr="008A2FD3">
        <w:rPr>
          <w:sz w:val="16"/>
          <w:szCs w:val="16"/>
        </w:rPr>
        <w:t xml:space="preserve"> </w:t>
      </w:r>
      <w:r w:rsidRPr="008A2FD3">
        <w:rPr>
          <w:rStyle w:val="cf01"/>
          <w:rFonts w:asciiTheme="minorHAnsi" w:hAnsiTheme="minorHAnsi"/>
          <w:sz w:val="16"/>
          <w:szCs w:val="16"/>
        </w:rPr>
        <w:t xml:space="preserve">Wait time is measured as the time between a consultation that results in mutual agreement between the surgeon and the patient that surgery is the next best course of action and the day the patient’s surgery is scheduled. </w:t>
      </w:r>
      <w:r w:rsidRPr="008A2FD3">
        <w:rPr>
          <w:sz w:val="16"/>
          <w:szCs w:val="16"/>
          <w:shd w:val="clear" w:color="auto" w:fill="FFFFFF"/>
        </w:rPr>
        <w:t> </w:t>
      </w:r>
    </w:p>
  </w:footnote>
  <w:footnote w:id="21">
    <w:p w14:paraId="1DE01756" w14:textId="2579623A" w:rsidR="00004CFD" w:rsidRPr="00DE3632" w:rsidRDefault="00004CFD" w:rsidP="00004CFD">
      <w:pPr>
        <w:pStyle w:val="FootnoteText"/>
        <w:rPr>
          <w:sz w:val="16"/>
          <w:szCs w:val="16"/>
        </w:rPr>
      </w:pPr>
      <w:r w:rsidRPr="00DE3632">
        <w:rPr>
          <w:rStyle w:val="FootnoteReference"/>
          <w:sz w:val="16"/>
          <w:szCs w:val="16"/>
        </w:rPr>
        <w:footnoteRef/>
      </w:r>
      <w:r w:rsidRPr="00DE3632">
        <w:rPr>
          <w:sz w:val="16"/>
          <w:szCs w:val="16"/>
        </w:rPr>
        <w:t xml:space="preserve"> </w:t>
      </w:r>
      <w:hyperlink r:id="rId3" w:history="1">
        <w:r w:rsidRPr="003B5D7C">
          <w:rPr>
            <w:rStyle w:val="Hyperlink"/>
            <w:color w:val="auto"/>
            <w:sz w:val="16"/>
            <w:szCs w:val="16"/>
            <w:u w:val="none"/>
          </w:rPr>
          <w:t>Community Engagement Standards for Community Health Planning Guideline</w:t>
        </w:r>
      </w:hyperlink>
      <w:r w:rsidRPr="003B5D7C">
        <w:rPr>
          <w:sz w:val="16"/>
          <w:szCs w:val="16"/>
        </w:rPr>
        <w:t xml:space="preserve">: </w:t>
      </w:r>
      <w:r>
        <w:rPr>
          <w:sz w:val="16"/>
          <w:szCs w:val="16"/>
        </w:rPr>
        <w:t xml:space="preserve">Available at </w:t>
      </w:r>
      <w:hyperlink r:id="rId4" w:history="1">
        <w:r w:rsidRPr="00ED5F18">
          <w:rPr>
            <w:rStyle w:val="Hyperlink"/>
            <w:color w:val="365F91" w:themeColor="accent1" w:themeShade="BF"/>
            <w:sz w:val="16"/>
            <w:szCs w:val="16"/>
          </w:rPr>
          <w:t>https://www.mass.gov/doc/community-engagement-guidelines-for-community-health-planning-pdf/download</w:t>
        </w:r>
      </w:hyperlink>
    </w:p>
  </w:footnote>
  <w:footnote w:id="22">
    <w:p w14:paraId="38EBF41E" w14:textId="199146AE" w:rsidR="00004CFD" w:rsidRPr="0010344C" w:rsidRDefault="00004CFD" w:rsidP="00004CFD">
      <w:pPr>
        <w:pStyle w:val="FootnoteText"/>
        <w:rPr>
          <w:sz w:val="18"/>
          <w:szCs w:val="18"/>
        </w:rPr>
      </w:pPr>
      <w:r w:rsidRPr="00DE3632">
        <w:rPr>
          <w:rStyle w:val="FootnoteReference"/>
          <w:sz w:val="16"/>
          <w:szCs w:val="16"/>
        </w:rPr>
        <w:footnoteRef/>
      </w:r>
      <w:r w:rsidRPr="00DE3632">
        <w:rPr>
          <w:sz w:val="16"/>
          <w:szCs w:val="16"/>
        </w:rPr>
        <w:t xml:space="preserve"> </w:t>
      </w:r>
      <w:hyperlink r:id="rId5" w:history="1">
        <w:r w:rsidRPr="00C47CF7">
          <w:rPr>
            <w:rStyle w:val="Hyperlink"/>
            <w:color w:val="auto"/>
            <w:sz w:val="16"/>
            <w:szCs w:val="16"/>
            <w:u w:val="none"/>
          </w:rPr>
          <w:t>DoN Regulation 100.210 (A)(1)(e):</w:t>
        </w:r>
      </w:hyperlink>
      <w:r w:rsidRPr="00DE3632">
        <w:rPr>
          <w:sz w:val="16"/>
          <w:szCs w:val="16"/>
        </w:rPr>
        <w:t xml:space="preserve"> </w:t>
      </w:r>
      <w:hyperlink r:id="rId6" w:history="1">
        <w:r w:rsidRPr="00DE3632">
          <w:rPr>
            <w:rStyle w:val="Hyperlink"/>
            <w:color w:val="365F91" w:themeColor="accent1" w:themeShade="BF"/>
            <w:sz w:val="16"/>
            <w:szCs w:val="16"/>
          </w:rPr>
          <w:t>Available at https://www.mass.gov/files/documents/2018/12/31/jud-lib-105cmr100.pdf</w:t>
        </w:r>
      </w:hyperlink>
      <w:r w:rsidRPr="00DE3632">
        <w:rPr>
          <w:color w:val="365F91" w:themeColor="accent1" w:themeShade="BF"/>
          <w:sz w:val="18"/>
          <w:szCs w:val="18"/>
        </w:rPr>
        <w:t xml:space="preserve"> </w:t>
      </w:r>
    </w:p>
  </w:footnote>
  <w:footnote w:id="23">
    <w:p w14:paraId="79E9CAEC" w14:textId="77777777" w:rsidR="00D11B18" w:rsidRPr="00485B2D" w:rsidRDefault="00D11B18" w:rsidP="00D11B18">
      <w:pPr>
        <w:pStyle w:val="FootnoteText"/>
        <w:rPr>
          <w:rFonts w:asciiTheme="minorHAnsi" w:hAnsiTheme="minorHAnsi"/>
          <w:sz w:val="16"/>
          <w:szCs w:val="16"/>
        </w:rPr>
      </w:pPr>
      <w:r w:rsidRPr="00485B2D">
        <w:rPr>
          <w:rStyle w:val="FootnoteReference"/>
          <w:rFonts w:asciiTheme="minorHAnsi" w:hAnsiTheme="minorHAnsi"/>
          <w:sz w:val="16"/>
          <w:szCs w:val="16"/>
        </w:rPr>
        <w:footnoteRef/>
      </w:r>
      <w:r w:rsidRPr="00485B2D">
        <w:rPr>
          <w:rFonts w:asciiTheme="minorHAnsi" w:hAnsiTheme="minorHAnsi"/>
          <w:sz w:val="16"/>
          <w:szCs w:val="16"/>
        </w:rPr>
        <w:t xml:space="preserve"> For example, E</w:t>
      </w:r>
      <w:r w:rsidRPr="00485B2D">
        <w:rPr>
          <w:rFonts w:asciiTheme="minorHAnsi" w:hAnsiTheme="minorHAnsi"/>
          <w:color w:val="292929"/>
          <w:sz w:val="16"/>
          <w:szCs w:val="16"/>
          <w:shd w:val="clear" w:color="auto" w:fill="FFFFFF"/>
        </w:rPr>
        <w:t>mpire BlueCross BlueShield in New York </w:t>
      </w:r>
      <w:r w:rsidRPr="00485B2D">
        <w:rPr>
          <w:rFonts w:asciiTheme="minorHAnsi" w:hAnsiTheme="minorHAnsi"/>
          <w:sz w:val="16"/>
          <w:szCs w:val="16"/>
        </w:rPr>
        <w:t>now</w:t>
      </w:r>
      <w:r w:rsidRPr="00485B2D">
        <w:rPr>
          <w:rFonts w:asciiTheme="minorHAnsi" w:hAnsiTheme="minorHAnsi"/>
          <w:color w:val="292929"/>
          <w:sz w:val="16"/>
          <w:szCs w:val="16"/>
          <w:shd w:val="clear" w:color="auto" w:fill="FFFFFF"/>
        </w:rPr>
        <w:t xml:space="preserve"> requires medical necessity review for certain procedures if they're performed in a hospital outpatient setting instead of an ASC. Medicare indirectly incentivizes outpatient surgery through penalties for excessive hospital readmissions. </w:t>
      </w:r>
    </w:p>
  </w:footnote>
  <w:footnote w:id="24">
    <w:p w14:paraId="0A8B9C28" w14:textId="77777777" w:rsidR="00537D76" w:rsidRPr="005D77FB" w:rsidRDefault="00537D76" w:rsidP="00537D76">
      <w:pPr>
        <w:pStyle w:val="FootnoteText"/>
        <w:rPr>
          <w:sz w:val="16"/>
          <w:szCs w:val="16"/>
        </w:rPr>
      </w:pPr>
      <w:r w:rsidRPr="005D77FB">
        <w:rPr>
          <w:rStyle w:val="FootnoteReference"/>
          <w:sz w:val="16"/>
          <w:szCs w:val="16"/>
        </w:rPr>
        <w:footnoteRef/>
      </w:r>
      <w:r w:rsidRPr="005D77FB">
        <w:rPr>
          <w:sz w:val="16"/>
          <w:szCs w:val="16"/>
        </w:rPr>
        <w:t xml:space="preserve"> </w:t>
      </w:r>
      <w:r w:rsidRPr="005D77FB">
        <w:rPr>
          <w:rFonts w:eastAsia="Times New Roman"/>
          <w:sz w:val="16"/>
          <w:szCs w:val="16"/>
        </w:rPr>
        <w:t>Reasonableness is defined within the context of this report as supportable and proper, given the underlying</w:t>
      </w:r>
      <w:r w:rsidRPr="005D77FB">
        <w:rPr>
          <w:sz w:val="16"/>
          <w:szCs w:val="16"/>
        </w:rPr>
        <w:t xml:space="preserve"> </w:t>
      </w:r>
      <w:r w:rsidRPr="005D77FB">
        <w:rPr>
          <w:rFonts w:eastAsia="Times New Roman"/>
          <w:sz w:val="16"/>
          <w:szCs w:val="16"/>
        </w:rPr>
        <w:t>information.</w:t>
      </w:r>
    </w:p>
  </w:footnote>
  <w:footnote w:id="25">
    <w:p w14:paraId="28F26ECB" w14:textId="77777777" w:rsidR="00537D76" w:rsidRPr="00BB5601" w:rsidRDefault="00537D76" w:rsidP="00537D76">
      <w:pPr>
        <w:adjustRightInd w:val="0"/>
        <w:rPr>
          <w:rFonts w:asciiTheme="minorHAnsi" w:hAnsiTheme="minorHAnsi"/>
        </w:rPr>
      </w:pPr>
      <w:r w:rsidRPr="005D77FB">
        <w:rPr>
          <w:rStyle w:val="FootnoteReference"/>
          <w:rFonts w:asciiTheme="minorHAnsi" w:hAnsiTheme="minorHAnsi"/>
          <w:sz w:val="16"/>
          <w:szCs w:val="16"/>
        </w:rPr>
        <w:footnoteRef/>
      </w:r>
      <w:r w:rsidRPr="005D77FB">
        <w:rPr>
          <w:sz w:val="16"/>
          <w:szCs w:val="16"/>
        </w:rPr>
        <w:t xml:space="preserve"> </w:t>
      </w:r>
      <w:r w:rsidRPr="005D77FB">
        <w:rPr>
          <w:rFonts w:asciiTheme="minorHAnsi" w:hAnsiTheme="minorHAnsi"/>
          <w:sz w:val="16"/>
          <w:szCs w:val="16"/>
        </w:rPr>
        <w:t>Feasibility is defined as based on the assumptions used, the plan is not likely to result in insufficient funds available for capital and ongoing operating costs necessary to support the proposed project without negative impacts or consequences to existing Patient Panel.</w:t>
      </w:r>
    </w:p>
  </w:footnote>
  <w:footnote w:id="26">
    <w:p w14:paraId="1C1D05D5" w14:textId="77777777" w:rsidR="003A181E" w:rsidRPr="00717A81" w:rsidRDefault="003A181E" w:rsidP="003A181E">
      <w:pPr>
        <w:pStyle w:val="FootnoteText"/>
        <w:rPr>
          <w:sz w:val="16"/>
          <w:szCs w:val="16"/>
        </w:rPr>
      </w:pPr>
      <w:r w:rsidRPr="00717A81">
        <w:rPr>
          <w:rStyle w:val="FootnoteReference"/>
          <w:sz w:val="16"/>
          <w:szCs w:val="16"/>
        </w:rPr>
        <w:footnoteRef/>
      </w:r>
      <w:r w:rsidRPr="00717A81">
        <w:rPr>
          <w:sz w:val="16"/>
          <w:szCs w:val="16"/>
        </w:rPr>
        <w:t xml:space="preserve"> The New England Baptist Outpatient Care Center, a joint venture by New England Baptist Hospital and Constitution Surgery Alliance, is 40 minutes/40 miles away from BID Plymouth. </w:t>
      </w:r>
    </w:p>
  </w:footnote>
  <w:footnote w:id="27">
    <w:p w14:paraId="5F82D876" w14:textId="77777777" w:rsidR="004E41C9" w:rsidRDefault="004E41C9" w:rsidP="004E4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19C0" w14:textId="18FF356D" w:rsidR="00E54588" w:rsidRDefault="00E54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6B657" w14:textId="11B15218" w:rsidR="00E54588" w:rsidRDefault="00E54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CBDD0" w14:textId="3A59903D" w:rsidR="00E54588" w:rsidRDefault="00E54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913E" w14:textId="5852FF17" w:rsidR="00E54588" w:rsidRDefault="00E545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07A5E" w14:textId="03110BAC" w:rsidR="00E54588" w:rsidRDefault="00E545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96555" w14:textId="5AA71EBC" w:rsidR="00E54588" w:rsidRDefault="00E54588">
    <w:pPr>
      <w:pStyle w:val="Header"/>
    </w:pPr>
  </w:p>
</w:hdr>
</file>

<file path=word/intelligence2.xml><?xml version="1.0" encoding="utf-8"?>
<int2:intelligence xmlns:int2="http://schemas.microsoft.com/office/intelligence/2020/intelligence" xmlns:oel="http://schemas.microsoft.com/office/2019/extlst">
  <int2:observations>
    <int2:textHash int2:hashCode="FXOcqJK+9PPsZh" int2:id="WI5LvmmN">
      <int2:state int2:value="Rejected" int2:type="LegacyProofing"/>
    </int2:textHash>
    <int2:textHash int2:hashCode="BzvN8B/rJ5tKx/" int2:id="axrM9OZY">
      <int2:state int2:value="Rejected" int2:type="LegacyProofing"/>
    </int2:textHash>
    <int2:textHash int2:hashCode="MrGydln25631a1" int2:id="cTAHSydM">
      <int2:state int2:value="Rejected" int2:type="LegacyProofing"/>
    </int2:textHash>
    <int2:textHash int2:hashCode="Hx5n5f2yXS5c0Y" int2:id="g8x8b5mZ">
      <int2:state int2:value="Rejected" int2:type="LegacyProofing"/>
    </int2:textHash>
    <int2:textHash int2:hashCode="H0RIRLHKYWAJwr" int2:id="ye4AxkzS">
      <int2:state int2:value="Rejected" int2:type="LegacyProofing"/>
    </int2:textHash>
    <int2:bookmark int2:bookmarkName="_Int_BedYxzXG" int2:invalidationBookmarkName="" int2:hashCode="6bVNq+N7VCJ8bt" int2:id="YBCJAkw8">
      <int2:state int2:value="Rejected" int2:type="LegacyProofing"/>
    </int2:bookmark>
    <int2:bookmark int2:bookmarkName="_Int_eF0C7Txz" int2:invalidationBookmarkName="" int2:hashCode="W5Z4vmu9anL2GF" int2:id="Zn5A3tNs">
      <int2:state int2:value="Rejected" int2:type="LegacyProofing"/>
    </int2:bookmark>
    <int2:bookmark int2:bookmarkName="_Int_AMFiQq3f" int2:invalidationBookmarkName="" int2:hashCode="W5Z4vmu9anL2GF" int2:id="bokPq7s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760E"/>
    <w:multiLevelType w:val="hybridMultilevel"/>
    <w:tmpl w:val="7E8E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3EDB7"/>
    <w:multiLevelType w:val="hybridMultilevel"/>
    <w:tmpl w:val="6A7CA598"/>
    <w:lvl w:ilvl="0" w:tplc="4C70B7C2">
      <w:start w:val="1"/>
      <w:numFmt w:val="decimal"/>
      <w:lvlText w:val="%1."/>
      <w:lvlJc w:val="left"/>
      <w:pPr>
        <w:ind w:left="720" w:hanging="360"/>
      </w:pPr>
    </w:lvl>
    <w:lvl w:ilvl="1" w:tplc="08481E16">
      <w:start w:val="1"/>
      <w:numFmt w:val="lowerLetter"/>
      <w:lvlText w:val="%2."/>
      <w:lvlJc w:val="left"/>
      <w:pPr>
        <w:ind w:left="1440" w:hanging="360"/>
      </w:pPr>
    </w:lvl>
    <w:lvl w:ilvl="2" w:tplc="A18E7478">
      <w:start w:val="1"/>
      <w:numFmt w:val="lowerRoman"/>
      <w:lvlText w:val="%3."/>
      <w:lvlJc w:val="right"/>
      <w:pPr>
        <w:ind w:left="2160" w:hanging="180"/>
      </w:pPr>
    </w:lvl>
    <w:lvl w:ilvl="3" w:tplc="89B094D2">
      <w:start w:val="1"/>
      <w:numFmt w:val="decimal"/>
      <w:lvlText w:val="%4."/>
      <w:lvlJc w:val="left"/>
      <w:pPr>
        <w:ind w:left="2880" w:hanging="360"/>
      </w:pPr>
    </w:lvl>
    <w:lvl w:ilvl="4" w:tplc="C406AB92">
      <w:start w:val="1"/>
      <w:numFmt w:val="lowerLetter"/>
      <w:lvlText w:val="%5."/>
      <w:lvlJc w:val="left"/>
      <w:pPr>
        <w:ind w:left="3600" w:hanging="360"/>
      </w:pPr>
    </w:lvl>
    <w:lvl w:ilvl="5" w:tplc="B380C4C8">
      <w:start w:val="1"/>
      <w:numFmt w:val="lowerRoman"/>
      <w:lvlText w:val="%6."/>
      <w:lvlJc w:val="right"/>
      <w:pPr>
        <w:ind w:left="4320" w:hanging="180"/>
      </w:pPr>
    </w:lvl>
    <w:lvl w:ilvl="6" w:tplc="B2388E60">
      <w:start w:val="1"/>
      <w:numFmt w:val="decimal"/>
      <w:lvlText w:val="%7."/>
      <w:lvlJc w:val="left"/>
      <w:pPr>
        <w:ind w:left="5040" w:hanging="360"/>
      </w:pPr>
    </w:lvl>
    <w:lvl w:ilvl="7" w:tplc="96A4AC56">
      <w:start w:val="1"/>
      <w:numFmt w:val="lowerLetter"/>
      <w:lvlText w:val="%8."/>
      <w:lvlJc w:val="left"/>
      <w:pPr>
        <w:ind w:left="5760" w:hanging="360"/>
      </w:pPr>
    </w:lvl>
    <w:lvl w:ilvl="8" w:tplc="FE2ECCA8">
      <w:start w:val="1"/>
      <w:numFmt w:val="lowerRoman"/>
      <w:lvlText w:val="%9."/>
      <w:lvlJc w:val="right"/>
      <w:pPr>
        <w:ind w:left="6480" w:hanging="180"/>
      </w:pPr>
    </w:lvl>
  </w:abstractNum>
  <w:abstractNum w:abstractNumId="2" w15:restartNumberingAfterBreak="0">
    <w:nsid w:val="02BA56C3"/>
    <w:multiLevelType w:val="hybridMultilevel"/>
    <w:tmpl w:val="8FB2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0670"/>
    <w:multiLevelType w:val="hybridMultilevel"/>
    <w:tmpl w:val="5274B7E2"/>
    <w:lvl w:ilvl="0" w:tplc="C810C94C">
      <w:start w:val="1"/>
      <w:numFmt w:val="decimal"/>
      <w:lvlText w:val="%1."/>
      <w:lvlJc w:val="left"/>
      <w:pPr>
        <w:ind w:left="1020" w:hanging="360"/>
      </w:pPr>
    </w:lvl>
    <w:lvl w:ilvl="1" w:tplc="EBDC0690">
      <w:start w:val="1"/>
      <w:numFmt w:val="decimal"/>
      <w:lvlText w:val="%2."/>
      <w:lvlJc w:val="left"/>
      <w:pPr>
        <w:ind w:left="1020" w:hanging="360"/>
      </w:pPr>
    </w:lvl>
    <w:lvl w:ilvl="2" w:tplc="19042D12">
      <w:start w:val="1"/>
      <w:numFmt w:val="decimal"/>
      <w:lvlText w:val="%3."/>
      <w:lvlJc w:val="left"/>
      <w:pPr>
        <w:ind w:left="1020" w:hanging="360"/>
      </w:pPr>
    </w:lvl>
    <w:lvl w:ilvl="3" w:tplc="86EC6E60">
      <w:start w:val="1"/>
      <w:numFmt w:val="decimal"/>
      <w:lvlText w:val="%4."/>
      <w:lvlJc w:val="left"/>
      <w:pPr>
        <w:ind w:left="1020" w:hanging="360"/>
      </w:pPr>
    </w:lvl>
    <w:lvl w:ilvl="4" w:tplc="DBB2B8BA">
      <w:start w:val="1"/>
      <w:numFmt w:val="decimal"/>
      <w:lvlText w:val="%5."/>
      <w:lvlJc w:val="left"/>
      <w:pPr>
        <w:ind w:left="1020" w:hanging="360"/>
      </w:pPr>
    </w:lvl>
    <w:lvl w:ilvl="5" w:tplc="43662082">
      <w:start w:val="1"/>
      <w:numFmt w:val="decimal"/>
      <w:lvlText w:val="%6."/>
      <w:lvlJc w:val="left"/>
      <w:pPr>
        <w:ind w:left="1020" w:hanging="360"/>
      </w:pPr>
    </w:lvl>
    <w:lvl w:ilvl="6" w:tplc="7EDE8704">
      <w:start w:val="1"/>
      <w:numFmt w:val="decimal"/>
      <w:lvlText w:val="%7."/>
      <w:lvlJc w:val="left"/>
      <w:pPr>
        <w:ind w:left="1020" w:hanging="360"/>
      </w:pPr>
    </w:lvl>
    <w:lvl w:ilvl="7" w:tplc="23DAD0D6">
      <w:start w:val="1"/>
      <w:numFmt w:val="decimal"/>
      <w:lvlText w:val="%8."/>
      <w:lvlJc w:val="left"/>
      <w:pPr>
        <w:ind w:left="1020" w:hanging="360"/>
      </w:pPr>
    </w:lvl>
    <w:lvl w:ilvl="8" w:tplc="4EF80536">
      <w:start w:val="1"/>
      <w:numFmt w:val="decimal"/>
      <w:lvlText w:val="%9."/>
      <w:lvlJc w:val="left"/>
      <w:pPr>
        <w:ind w:left="1020" w:hanging="360"/>
      </w:pPr>
    </w:lvl>
  </w:abstractNum>
  <w:abstractNum w:abstractNumId="4" w15:restartNumberingAfterBreak="0">
    <w:nsid w:val="05F40F23"/>
    <w:multiLevelType w:val="hybridMultilevel"/>
    <w:tmpl w:val="A4804C50"/>
    <w:lvl w:ilvl="0" w:tplc="F0521F4A">
      <w:start w:val="1"/>
      <w:numFmt w:val="upperLetter"/>
      <w:lvlText w:val="%1."/>
      <w:lvlJc w:val="left"/>
      <w:pPr>
        <w:ind w:left="1020" w:hanging="360"/>
      </w:pPr>
    </w:lvl>
    <w:lvl w:ilvl="1" w:tplc="C8309644">
      <w:start w:val="1"/>
      <w:numFmt w:val="upperLetter"/>
      <w:lvlText w:val="%2."/>
      <w:lvlJc w:val="left"/>
      <w:pPr>
        <w:ind w:left="1020" w:hanging="360"/>
      </w:pPr>
    </w:lvl>
    <w:lvl w:ilvl="2" w:tplc="465EF414">
      <w:start w:val="1"/>
      <w:numFmt w:val="upperLetter"/>
      <w:lvlText w:val="%3."/>
      <w:lvlJc w:val="left"/>
      <w:pPr>
        <w:ind w:left="1020" w:hanging="360"/>
      </w:pPr>
    </w:lvl>
    <w:lvl w:ilvl="3" w:tplc="3F96B00E">
      <w:start w:val="1"/>
      <w:numFmt w:val="upperLetter"/>
      <w:lvlText w:val="%4."/>
      <w:lvlJc w:val="left"/>
      <w:pPr>
        <w:ind w:left="1020" w:hanging="360"/>
      </w:pPr>
    </w:lvl>
    <w:lvl w:ilvl="4" w:tplc="8FBE152E">
      <w:start w:val="1"/>
      <w:numFmt w:val="upperLetter"/>
      <w:lvlText w:val="%5."/>
      <w:lvlJc w:val="left"/>
      <w:pPr>
        <w:ind w:left="1020" w:hanging="360"/>
      </w:pPr>
    </w:lvl>
    <w:lvl w:ilvl="5" w:tplc="DB68C7BE">
      <w:start w:val="1"/>
      <w:numFmt w:val="upperLetter"/>
      <w:lvlText w:val="%6."/>
      <w:lvlJc w:val="left"/>
      <w:pPr>
        <w:ind w:left="1020" w:hanging="360"/>
      </w:pPr>
    </w:lvl>
    <w:lvl w:ilvl="6" w:tplc="4F944A6C">
      <w:start w:val="1"/>
      <w:numFmt w:val="upperLetter"/>
      <w:lvlText w:val="%7."/>
      <w:lvlJc w:val="left"/>
      <w:pPr>
        <w:ind w:left="1020" w:hanging="360"/>
      </w:pPr>
    </w:lvl>
    <w:lvl w:ilvl="7" w:tplc="954C123E">
      <w:start w:val="1"/>
      <w:numFmt w:val="upperLetter"/>
      <w:lvlText w:val="%8."/>
      <w:lvlJc w:val="left"/>
      <w:pPr>
        <w:ind w:left="1020" w:hanging="360"/>
      </w:pPr>
    </w:lvl>
    <w:lvl w:ilvl="8" w:tplc="18F0EE0E">
      <w:start w:val="1"/>
      <w:numFmt w:val="upperLetter"/>
      <w:lvlText w:val="%9."/>
      <w:lvlJc w:val="left"/>
      <w:pPr>
        <w:ind w:left="1020" w:hanging="360"/>
      </w:pPr>
    </w:lvl>
  </w:abstractNum>
  <w:abstractNum w:abstractNumId="5" w15:restartNumberingAfterBreak="0">
    <w:nsid w:val="06A4028F"/>
    <w:multiLevelType w:val="hybridMultilevel"/>
    <w:tmpl w:val="913C565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089D1ACF"/>
    <w:multiLevelType w:val="hybridMultilevel"/>
    <w:tmpl w:val="63E6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7670D"/>
    <w:multiLevelType w:val="hybridMultilevel"/>
    <w:tmpl w:val="03D68AD8"/>
    <w:lvl w:ilvl="0" w:tplc="F020B8E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9B1DD7"/>
    <w:multiLevelType w:val="hybridMultilevel"/>
    <w:tmpl w:val="EFCAA504"/>
    <w:lvl w:ilvl="0" w:tplc="16BEF412">
      <w:numFmt w:val="bullet"/>
      <w:lvlText w:val=""/>
      <w:lvlJc w:val="left"/>
      <w:pPr>
        <w:ind w:left="762" w:hanging="360"/>
      </w:pPr>
      <w:rPr>
        <w:rFonts w:ascii="Symbol" w:eastAsia="Symbol" w:hAnsi="Symbol" w:cs="Symbol" w:hint="default"/>
        <w:w w:val="99"/>
        <w:sz w:val="20"/>
        <w:szCs w:val="20"/>
        <w:lang w:val="en-US" w:eastAsia="en-US" w:bidi="en-US"/>
      </w:rPr>
    </w:lvl>
    <w:lvl w:ilvl="1" w:tplc="F32A4852">
      <w:numFmt w:val="bullet"/>
      <w:lvlText w:val="•"/>
      <w:lvlJc w:val="left"/>
      <w:pPr>
        <w:ind w:left="1146" w:hanging="360"/>
      </w:pPr>
      <w:rPr>
        <w:rFonts w:hint="default"/>
        <w:lang w:val="en-US" w:eastAsia="en-US" w:bidi="en-US"/>
      </w:rPr>
    </w:lvl>
    <w:lvl w:ilvl="2" w:tplc="E146BCDA">
      <w:numFmt w:val="bullet"/>
      <w:lvlText w:val="•"/>
      <w:lvlJc w:val="left"/>
      <w:pPr>
        <w:ind w:left="1532" w:hanging="360"/>
      </w:pPr>
      <w:rPr>
        <w:rFonts w:hint="default"/>
        <w:lang w:val="en-US" w:eastAsia="en-US" w:bidi="en-US"/>
      </w:rPr>
    </w:lvl>
    <w:lvl w:ilvl="3" w:tplc="B080B76A">
      <w:numFmt w:val="bullet"/>
      <w:lvlText w:val="•"/>
      <w:lvlJc w:val="left"/>
      <w:pPr>
        <w:ind w:left="1918" w:hanging="360"/>
      </w:pPr>
      <w:rPr>
        <w:rFonts w:hint="default"/>
        <w:lang w:val="en-US" w:eastAsia="en-US" w:bidi="en-US"/>
      </w:rPr>
    </w:lvl>
    <w:lvl w:ilvl="4" w:tplc="E236BAA2">
      <w:numFmt w:val="bullet"/>
      <w:lvlText w:val="•"/>
      <w:lvlJc w:val="left"/>
      <w:pPr>
        <w:ind w:left="2304" w:hanging="360"/>
      </w:pPr>
      <w:rPr>
        <w:rFonts w:hint="default"/>
        <w:lang w:val="en-US" w:eastAsia="en-US" w:bidi="en-US"/>
      </w:rPr>
    </w:lvl>
    <w:lvl w:ilvl="5" w:tplc="6F849084">
      <w:numFmt w:val="bullet"/>
      <w:lvlText w:val="•"/>
      <w:lvlJc w:val="left"/>
      <w:pPr>
        <w:ind w:left="2690" w:hanging="360"/>
      </w:pPr>
      <w:rPr>
        <w:rFonts w:hint="default"/>
        <w:lang w:val="en-US" w:eastAsia="en-US" w:bidi="en-US"/>
      </w:rPr>
    </w:lvl>
    <w:lvl w:ilvl="6" w:tplc="B8286054">
      <w:numFmt w:val="bullet"/>
      <w:lvlText w:val="•"/>
      <w:lvlJc w:val="left"/>
      <w:pPr>
        <w:ind w:left="3076" w:hanging="360"/>
      </w:pPr>
      <w:rPr>
        <w:rFonts w:hint="default"/>
        <w:lang w:val="en-US" w:eastAsia="en-US" w:bidi="en-US"/>
      </w:rPr>
    </w:lvl>
    <w:lvl w:ilvl="7" w:tplc="0B90040A">
      <w:numFmt w:val="bullet"/>
      <w:lvlText w:val="•"/>
      <w:lvlJc w:val="left"/>
      <w:pPr>
        <w:ind w:left="3462" w:hanging="360"/>
      </w:pPr>
      <w:rPr>
        <w:rFonts w:hint="default"/>
        <w:lang w:val="en-US" w:eastAsia="en-US" w:bidi="en-US"/>
      </w:rPr>
    </w:lvl>
    <w:lvl w:ilvl="8" w:tplc="3EACC778">
      <w:numFmt w:val="bullet"/>
      <w:lvlText w:val="•"/>
      <w:lvlJc w:val="left"/>
      <w:pPr>
        <w:ind w:left="3848" w:hanging="360"/>
      </w:pPr>
      <w:rPr>
        <w:rFonts w:hint="default"/>
        <w:lang w:val="en-US" w:eastAsia="en-US" w:bidi="en-US"/>
      </w:rPr>
    </w:lvl>
  </w:abstractNum>
  <w:abstractNum w:abstractNumId="9" w15:restartNumberingAfterBreak="0">
    <w:nsid w:val="0B6F5E3F"/>
    <w:multiLevelType w:val="hybridMultilevel"/>
    <w:tmpl w:val="CC5697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C5121F"/>
    <w:multiLevelType w:val="hybridMultilevel"/>
    <w:tmpl w:val="E8F4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9443C"/>
    <w:multiLevelType w:val="hybridMultilevel"/>
    <w:tmpl w:val="D3BA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740DA"/>
    <w:multiLevelType w:val="hybridMultilevel"/>
    <w:tmpl w:val="3D86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C49B3"/>
    <w:multiLevelType w:val="hybridMultilevel"/>
    <w:tmpl w:val="70668574"/>
    <w:lvl w:ilvl="0" w:tplc="25CC653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D12F3"/>
    <w:multiLevelType w:val="hybridMultilevel"/>
    <w:tmpl w:val="EBACE304"/>
    <w:lvl w:ilvl="0" w:tplc="BF442B24">
      <w:start w:val="1"/>
      <w:numFmt w:val="decimal"/>
      <w:lvlText w:val="%1."/>
      <w:lvlJc w:val="left"/>
      <w:pPr>
        <w:ind w:left="720" w:hanging="360"/>
      </w:pPr>
    </w:lvl>
    <w:lvl w:ilvl="1" w:tplc="8C40FD0A">
      <w:start w:val="1"/>
      <w:numFmt w:val="lowerLetter"/>
      <w:lvlText w:val="%2."/>
      <w:lvlJc w:val="left"/>
      <w:pPr>
        <w:ind w:left="1440" w:hanging="360"/>
      </w:pPr>
    </w:lvl>
    <w:lvl w:ilvl="2" w:tplc="0080A21A">
      <w:start w:val="1"/>
      <w:numFmt w:val="lowerRoman"/>
      <w:lvlText w:val="%3."/>
      <w:lvlJc w:val="right"/>
      <w:pPr>
        <w:ind w:left="2160" w:hanging="180"/>
      </w:pPr>
    </w:lvl>
    <w:lvl w:ilvl="3" w:tplc="422E5650">
      <w:start w:val="1"/>
      <w:numFmt w:val="decimal"/>
      <w:lvlText w:val="%4."/>
      <w:lvlJc w:val="left"/>
      <w:pPr>
        <w:ind w:left="2880" w:hanging="360"/>
      </w:pPr>
    </w:lvl>
    <w:lvl w:ilvl="4" w:tplc="9A04F72E">
      <w:start w:val="1"/>
      <w:numFmt w:val="lowerLetter"/>
      <w:lvlText w:val="%5."/>
      <w:lvlJc w:val="left"/>
      <w:pPr>
        <w:ind w:left="3600" w:hanging="360"/>
      </w:pPr>
    </w:lvl>
    <w:lvl w:ilvl="5" w:tplc="4CDE7304">
      <w:start w:val="1"/>
      <w:numFmt w:val="lowerRoman"/>
      <w:lvlText w:val="%6."/>
      <w:lvlJc w:val="right"/>
      <w:pPr>
        <w:ind w:left="4320" w:hanging="180"/>
      </w:pPr>
    </w:lvl>
    <w:lvl w:ilvl="6" w:tplc="F4284BE6">
      <w:start w:val="1"/>
      <w:numFmt w:val="decimal"/>
      <w:lvlText w:val="%7."/>
      <w:lvlJc w:val="left"/>
      <w:pPr>
        <w:ind w:left="5040" w:hanging="360"/>
      </w:pPr>
    </w:lvl>
    <w:lvl w:ilvl="7" w:tplc="12A2144C">
      <w:start w:val="1"/>
      <w:numFmt w:val="lowerLetter"/>
      <w:lvlText w:val="%8."/>
      <w:lvlJc w:val="left"/>
      <w:pPr>
        <w:ind w:left="5760" w:hanging="360"/>
      </w:pPr>
    </w:lvl>
    <w:lvl w:ilvl="8" w:tplc="0406C04C">
      <w:start w:val="1"/>
      <w:numFmt w:val="lowerRoman"/>
      <w:lvlText w:val="%9."/>
      <w:lvlJc w:val="right"/>
      <w:pPr>
        <w:ind w:left="6480" w:hanging="180"/>
      </w:pPr>
    </w:lvl>
  </w:abstractNum>
  <w:abstractNum w:abstractNumId="15" w15:restartNumberingAfterBreak="0">
    <w:nsid w:val="1D057716"/>
    <w:multiLevelType w:val="hybridMultilevel"/>
    <w:tmpl w:val="CC128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613D0"/>
    <w:multiLevelType w:val="hybridMultilevel"/>
    <w:tmpl w:val="E6FE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37269"/>
    <w:multiLevelType w:val="hybridMultilevel"/>
    <w:tmpl w:val="CFE8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F91AF3"/>
    <w:multiLevelType w:val="hybridMultilevel"/>
    <w:tmpl w:val="23BEA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55380"/>
    <w:multiLevelType w:val="hybridMultilevel"/>
    <w:tmpl w:val="537E6DE0"/>
    <w:lvl w:ilvl="0" w:tplc="CC6AAF1C">
      <w:start w:val="1"/>
      <w:numFmt w:val="decimal"/>
      <w:lvlText w:val="%1."/>
      <w:lvlJc w:val="left"/>
      <w:pPr>
        <w:ind w:left="940" w:hanging="360"/>
      </w:pPr>
      <w:rPr>
        <w:rFonts w:ascii="Garamond" w:eastAsia="Garamond" w:hAnsi="Garamond" w:cs="Garamond" w:hint="default"/>
        <w:b/>
        <w:bCs/>
        <w:spacing w:val="-3"/>
        <w:w w:val="100"/>
        <w:sz w:val="24"/>
        <w:szCs w:val="24"/>
        <w:lang w:val="en-US" w:eastAsia="en-US" w:bidi="en-US"/>
      </w:rPr>
    </w:lvl>
    <w:lvl w:ilvl="1" w:tplc="52062406">
      <w:start w:val="1"/>
      <w:numFmt w:val="lowerLetter"/>
      <w:lvlText w:val="%2."/>
      <w:lvlJc w:val="left"/>
      <w:pPr>
        <w:ind w:left="1300" w:hanging="360"/>
      </w:pPr>
      <w:rPr>
        <w:rFonts w:ascii="Garamond" w:eastAsia="Garamond" w:hAnsi="Garamond" w:cs="Garamond" w:hint="default"/>
        <w:b/>
        <w:bCs/>
        <w:spacing w:val="-3"/>
        <w:w w:val="100"/>
        <w:sz w:val="24"/>
        <w:szCs w:val="24"/>
        <w:lang w:val="en-US" w:eastAsia="en-US" w:bidi="en-US"/>
      </w:rPr>
    </w:lvl>
    <w:lvl w:ilvl="2" w:tplc="3B8E051A">
      <w:numFmt w:val="bullet"/>
      <w:lvlText w:val="•"/>
      <w:lvlJc w:val="left"/>
      <w:pPr>
        <w:ind w:left="2246" w:hanging="360"/>
      </w:pPr>
      <w:rPr>
        <w:rFonts w:hint="default"/>
        <w:lang w:val="en-US" w:eastAsia="en-US" w:bidi="en-US"/>
      </w:rPr>
    </w:lvl>
    <w:lvl w:ilvl="3" w:tplc="18D8569E">
      <w:numFmt w:val="bullet"/>
      <w:lvlText w:val="•"/>
      <w:lvlJc w:val="left"/>
      <w:pPr>
        <w:ind w:left="3193" w:hanging="360"/>
      </w:pPr>
      <w:rPr>
        <w:rFonts w:hint="default"/>
        <w:lang w:val="en-US" w:eastAsia="en-US" w:bidi="en-US"/>
      </w:rPr>
    </w:lvl>
    <w:lvl w:ilvl="4" w:tplc="641E350A">
      <w:numFmt w:val="bullet"/>
      <w:lvlText w:val="•"/>
      <w:lvlJc w:val="left"/>
      <w:pPr>
        <w:ind w:left="4140" w:hanging="360"/>
      </w:pPr>
      <w:rPr>
        <w:rFonts w:hint="default"/>
        <w:lang w:val="en-US" w:eastAsia="en-US" w:bidi="en-US"/>
      </w:rPr>
    </w:lvl>
    <w:lvl w:ilvl="5" w:tplc="3FACFA5A">
      <w:numFmt w:val="bullet"/>
      <w:lvlText w:val="•"/>
      <w:lvlJc w:val="left"/>
      <w:pPr>
        <w:ind w:left="5086" w:hanging="360"/>
      </w:pPr>
      <w:rPr>
        <w:rFonts w:hint="default"/>
        <w:lang w:val="en-US" w:eastAsia="en-US" w:bidi="en-US"/>
      </w:rPr>
    </w:lvl>
    <w:lvl w:ilvl="6" w:tplc="E8FA4E0C">
      <w:numFmt w:val="bullet"/>
      <w:lvlText w:val="•"/>
      <w:lvlJc w:val="left"/>
      <w:pPr>
        <w:ind w:left="6033" w:hanging="360"/>
      </w:pPr>
      <w:rPr>
        <w:rFonts w:hint="default"/>
        <w:lang w:val="en-US" w:eastAsia="en-US" w:bidi="en-US"/>
      </w:rPr>
    </w:lvl>
    <w:lvl w:ilvl="7" w:tplc="87124CA2">
      <w:numFmt w:val="bullet"/>
      <w:lvlText w:val="•"/>
      <w:lvlJc w:val="left"/>
      <w:pPr>
        <w:ind w:left="6980" w:hanging="360"/>
      </w:pPr>
      <w:rPr>
        <w:rFonts w:hint="default"/>
        <w:lang w:val="en-US" w:eastAsia="en-US" w:bidi="en-US"/>
      </w:rPr>
    </w:lvl>
    <w:lvl w:ilvl="8" w:tplc="44E69654">
      <w:numFmt w:val="bullet"/>
      <w:lvlText w:val="•"/>
      <w:lvlJc w:val="left"/>
      <w:pPr>
        <w:ind w:left="7926" w:hanging="360"/>
      </w:pPr>
      <w:rPr>
        <w:rFonts w:hint="default"/>
        <w:lang w:val="en-US" w:eastAsia="en-US" w:bidi="en-US"/>
      </w:rPr>
    </w:lvl>
  </w:abstractNum>
  <w:abstractNum w:abstractNumId="20" w15:restartNumberingAfterBreak="0">
    <w:nsid w:val="36DD7134"/>
    <w:multiLevelType w:val="hybridMultilevel"/>
    <w:tmpl w:val="5ED69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872C8"/>
    <w:multiLevelType w:val="hybridMultilevel"/>
    <w:tmpl w:val="12A8F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912355"/>
    <w:multiLevelType w:val="hybridMultilevel"/>
    <w:tmpl w:val="74B25002"/>
    <w:lvl w:ilvl="0" w:tplc="E1A0742C">
      <w:start w:val="1"/>
      <w:numFmt w:val="lowerRoman"/>
      <w:lvlText w:val="%1."/>
      <w:lvlJc w:val="left"/>
      <w:pPr>
        <w:ind w:left="2380" w:hanging="288"/>
      </w:pPr>
      <w:rPr>
        <w:rFonts w:ascii="Garamond" w:eastAsia="Garamond" w:hAnsi="Garamond" w:cs="Garamond" w:hint="default"/>
        <w:spacing w:val="-3"/>
        <w:w w:val="100"/>
        <w:sz w:val="24"/>
        <w:szCs w:val="24"/>
        <w:lang w:val="en-US" w:eastAsia="en-US" w:bidi="en-US"/>
      </w:rPr>
    </w:lvl>
    <w:lvl w:ilvl="1" w:tplc="606ED638">
      <w:numFmt w:val="bullet"/>
      <w:lvlText w:val="•"/>
      <w:lvlJc w:val="left"/>
      <w:pPr>
        <w:ind w:left="3124" w:hanging="288"/>
      </w:pPr>
      <w:rPr>
        <w:rFonts w:hint="default"/>
        <w:lang w:val="en-US" w:eastAsia="en-US" w:bidi="en-US"/>
      </w:rPr>
    </w:lvl>
    <w:lvl w:ilvl="2" w:tplc="AE80D1BE">
      <w:numFmt w:val="bullet"/>
      <w:lvlText w:val="•"/>
      <w:lvlJc w:val="left"/>
      <w:pPr>
        <w:ind w:left="3868" w:hanging="288"/>
      </w:pPr>
      <w:rPr>
        <w:rFonts w:hint="default"/>
        <w:lang w:val="en-US" w:eastAsia="en-US" w:bidi="en-US"/>
      </w:rPr>
    </w:lvl>
    <w:lvl w:ilvl="3" w:tplc="FEA48840">
      <w:numFmt w:val="bullet"/>
      <w:lvlText w:val="•"/>
      <w:lvlJc w:val="left"/>
      <w:pPr>
        <w:ind w:left="4612" w:hanging="288"/>
      </w:pPr>
      <w:rPr>
        <w:rFonts w:hint="default"/>
        <w:lang w:val="en-US" w:eastAsia="en-US" w:bidi="en-US"/>
      </w:rPr>
    </w:lvl>
    <w:lvl w:ilvl="4" w:tplc="801E6684">
      <w:numFmt w:val="bullet"/>
      <w:lvlText w:val="•"/>
      <w:lvlJc w:val="left"/>
      <w:pPr>
        <w:ind w:left="5356" w:hanging="288"/>
      </w:pPr>
      <w:rPr>
        <w:rFonts w:hint="default"/>
        <w:lang w:val="en-US" w:eastAsia="en-US" w:bidi="en-US"/>
      </w:rPr>
    </w:lvl>
    <w:lvl w:ilvl="5" w:tplc="69EE66D0">
      <w:numFmt w:val="bullet"/>
      <w:lvlText w:val="•"/>
      <w:lvlJc w:val="left"/>
      <w:pPr>
        <w:ind w:left="6100" w:hanging="288"/>
      </w:pPr>
      <w:rPr>
        <w:rFonts w:hint="default"/>
        <w:lang w:val="en-US" w:eastAsia="en-US" w:bidi="en-US"/>
      </w:rPr>
    </w:lvl>
    <w:lvl w:ilvl="6" w:tplc="C53AE186">
      <w:numFmt w:val="bullet"/>
      <w:lvlText w:val="•"/>
      <w:lvlJc w:val="left"/>
      <w:pPr>
        <w:ind w:left="6844" w:hanging="288"/>
      </w:pPr>
      <w:rPr>
        <w:rFonts w:hint="default"/>
        <w:lang w:val="en-US" w:eastAsia="en-US" w:bidi="en-US"/>
      </w:rPr>
    </w:lvl>
    <w:lvl w:ilvl="7" w:tplc="5F665FBE">
      <w:numFmt w:val="bullet"/>
      <w:lvlText w:val="•"/>
      <w:lvlJc w:val="left"/>
      <w:pPr>
        <w:ind w:left="7588" w:hanging="288"/>
      </w:pPr>
      <w:rPr>
        <w:rFonts w:hint="default"/>
        <w:lang w:val="en-US" w:eastAsia="en-US" w:bidi="en-US"/>
      </w:rPr>
    </w:lvl>
    <w:lvl w:ilvl="8" w:tplc="8FBEF35C">
      <w:numFmt w:val="bullet"/>
      <w:lvlText w:val="•"/>
      <w:lvlJc w:val="left"/>
      <w:pPr>
        <w:ind w:left="8332" w:hanging="288"/>
      </w:pPr>
      <w:rPr>
        <w:rFonts w:hint="default"/>
        <w:lang w:val="en-US" w:eastAsia="en-US" w:bidi="en-US"/>
      </w:rPr>
    </w:lvl>
  </w:abstractNum>
  <w:abstractNum w:abstractNumId="23" w15:restartNumberingAfterBreak="0">
    <w:nsid w:val="3F433365"/>
    <w:multiLevelType w:val="hybridMultilevel"/>
    <w:tmpl w:val="8A206168"/>
    <w:lvl w:ilvl="0" w:tplc="9B06C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25916"/>
    <w:multiLevelType w:val="hybridMultilevel"/>
    <w:tmpl w:val="B1F82024"/>
    <w:lvl w:ilvl="0" w:tplc="6B564B9C">
      <w:numFmt w:val="bullet"/>
      <w:lvlText w:val=""/>
      <w:lvlJc w:val="left"/>
      <w:pPr>
        <w:ind w:left="762" w:hanging="360"/>
      </w:pPr>
      <w:rPr>
        <w:rFonts w:ascii="Symbol" w:eastAsia="Symbol" w:hAnsi="Symbol" w:cs="Symbol" w:hint="default"/>
        <w:w w:val="99"/>
        <w:sz w:val="20"/>
        <w:szCs w:val="20"/>
        <w:lang w:val="en-US" w:eastAsia="en-US" w:bidi="en-US"/>
      </w:rPr>
    </w:lvl>
    <w:lvl w:ilvl="1" w:tplc="1F02D3CE">
      <w:numFmt w:val="bullet"/>
      <w:lvlText w:val="•"/>
      <w:lvlJc w:val="left"/>
      <w:pPr>
        <w:ind w:left="1027" w:hanging="360"/>
      </w:pPr>
      <w:rPr>
        <w:rFonts w:hint="default"/>
        <w:lang w:val="en-US" w:eastAsia="en-US" w:bidi="en-US"/>
      </w:rPr>
    </w:lvl>
    <w:lvl w:ilvl="2" w:tplc="476E93A2">
      <w:numFmt w:val="bullet"/>
      <w:lvlText w:val="•"/>
      <w:lvlJc w:val="left"/>
      <w:pPr>
        <w:ind w:left="1295" w:hanging="360"/>
      </w:pPr>
      <w:rPr>
        <w:rFonts w:hint="default"/>
        <w:lang w:val="en-US" w:eastAsia="en-US" w:bidi="en-US"/>
      </w:rPr>
    </w:lvl>
    <w:lvl w:ilvl="3" w:tplc="40AEAFC6">
      <w:numFmt w:val="bullet"/>
      <w:lvlText w:val="•"/>
      <w:lvlJc w:val="left"/>
      <w:pPr>
        <w:ind w:left="1562" w:hanging="360"/>
      </w:pPr>
      <w:rPr>
        <w:rFonts w:hint="default"/>
        <w:lang w:val="en-US" w:eastAsia="en-US" w:bidi="en-US"/>
      </w:rPr>
    </w:lvl>
    <w:lvl w:ilvl="4" w:tplc="E12269E4">
      <w:numFmt w:val="bullet"/>
      <w:lvlText w:val="•"/>
      <w:lvlJc w:val="left"/>
      <w:pPr>
        <w:ind w:left="1830" w:hanging="360"/>
      </w:pPr>
      <w:rPr>
        <w:rFonts w:hint="default"/>
        <w:lang w:val="en-US" w:eastAsia="en-US" w:bidi="en-US"/>
      </w:rPr>
    </w:lvl>
    <w:lvl w:ilvl="5" w:tplc="DD78FC1E">
      <w:numFmt w:val="bullet"/>
      <w:lvlText w:val="•"/>
      <w:lvlJc w:val="left"/>
      <w:pPr>
        <w:ind w:left="2097" w:hanging="360"/>
      </w:pPr>
      <w:rPr>
        <w:rFonts w:hint="default"/>
        <w:lang w:val="en-US" w:eastAsia="en-US" w:bidi="en-US"/>
      </w:rPr>
    </w:lvl>
    <w:lvl w:ilvl="6" w:tplc="D4960772">
      <w:numFmt w:val="bullet"/>
      <w:lvlText w:val="•"/>
      <w:lvlJc w:val="left"/>
      <w:pPr>
        <w:ind w:left="2365" w:hanging="360"/>
      </w:pPr>
      <w:rPr>
        <w:rFonts w:hint="default"/>
        <w:lang w:val="en-US" w:eastAsia="en-US" w:bidi="en-US"/>
      </w:rPr>
    </w:lvl>
    <w:lvl w:ilvl="7" w:tplc="FAB47DA6">
      <w:numFmt w:val="bullet"/>
      <w:lvlText w:val="•"/>
      <w:lvlJc w:val="left"/>
      <w:pPr>
        <w:ind w:left="2632" w:hanging="360"/>
      </w:pPr>
      <w:rPr>
        <w:rFonts w:hint="default"/>
        <w:lang w:val="en-US" w:eastAsia="en-US" w:bidi="en-US"/>
      </w:rPr>
    </w:lvl>
    <w:lvl w:ilvl="8" w:tplc="B016ABAA">
      <w:numFmt w:val="bullet"/>
      <w:lvlText w:val="•"/>
      <w:lvlJc w:val="left"/>
      <w:pPr>
        <w:ind w:left="2900" w:hanging="360"/>
      </w:pPr>
      <w:rPr>
        <w:rFonts w:hint="default"/>
        <w:lang w:val="en-US" w:eastAsia="en-US" w:bidi="en-US"/>
      </w:rPr>
    </w:lvl>
  </w:abstractNum>
  <w:abstractNum w:abstractNumId="25" w15:restartNumberingAfterBreak="0">
    <w:nsid w:val="432B7ED1"/>
    <w:multiLevelType w:val="hybridMultilevel"/>
    <w:tmpl w:val="11D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C76FAE"/>
    <w:multiLevelType w:val="hybridMultilevel"/>
    <w:tmpl w:val="4B60272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7" w15:restartNumberingAfterBreak="0">
    <w:nsid w:val="45911DC4"/>
    <w:multiLevelType w:val="multilevel"/>
    <w:tmpl w:val="C5AE3C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0958C8"/>
    <w:multiLevelType w:val="multilevel"/>
    <w:tmpl w:val="9B42B000"/>
    <w:lvl w:ilvl="0">
      <w:start w:val="1"/>
      <w:numFmt w:val="bullet"/>
      <w:lvlText w:val=""/>
      <w:lvlJc w:val="left"/>
      <w:pPr>
        <w:tabs>
          <w:tab w:val="num" w:pos="1800"/>
        </w:tabs>
        <w:ind w:left="1800" w:hanging="360"/>
      </w:pPr>
      <w:rPr>
        <w:rFonts w:ascii="Symbol" w:hAnsi="Symbol" w:hint="default"/>
      </w:rPr>
    </w:lvl>
    <w:lvl w:ilvl="1">
      <w:start w:val="1"/>
      <w:numFmt w:val="lowerRoman"/>
      <w:lvlText w:val="%2."/>
      <w:lvlJc w:val="righ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Letter"/>
      <w:lvlText w:val="%6."/>
      <w:lvlJc w:val="left"/>
      <w:pPr>
        <w:tabs>
          <w:tab w:val="num" w:pos="5400"/>
        </w:tabs>
        <w:ind w:left="5400" w:hanging="360"/>
      </w:pPr>
    </w:lvl>
    <w:lvl w:ilvl="6">
      <w:start w:val="1"/>
      <w:numFmt w:val="lowerLetter"/>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Letter"/>
      <w:lvlText w:val="%9."/>
      <w:lvlJc w:val="left"/>
      <w:pPr>
        <w:tabs>
          <w:tab w:val="num" w:pos="7560"/>
        </w:tabs>
        <w:ind w:left="7560" w:hanging="360"/>
      </w:pPr>
    </w:lvl>
  </w:abstractNum>
  <w:abstractNum w:abstractNumId="29" w15:restartNumberingAfterBreak="0">
    <w:nsid w:val="484E0A33"/>
    <w:multiLevelType w:val="hybridMultilevel"/>
    <w:tmpl w:val="986E1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864546"/>
    <w:multiLevelType w:val="hybridMultilevel"/>
    <w:tmpl w:val="10E0D910"/>
    <w:lvl w:ilvl="0" w:tplc="0D40BE5A">
      <w:start w:val="1"/>
      <w:numFmt w:val="decimal"/>
      <w:lvlText w:val="%1."/>
      <w:lvlJc w:val="left"/>
      <w:pPr>
        <w:ind w:left="720" w:hanging="360"/>
      </w:pPr>
      <w:rPr>
        <w:b/>
        <w:bCs/>
      </w:rPr>
    </w:lvl>
    <w:lvl w:ilvl="1" w:tplc="CB22587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EF148EE0">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DD1A5A"/>
    <w:multiLevelType w:val="hybridMultilevel"/>
    <w:tmpl w:val="4A2AA99A"/>
    <w:lvl w:ilvl="0" w:tplc="2D0C89D6">
      <w:start w:val="1"/>
      <w:numFmt w:val="decimal"/>
      <w:lvlText w:val="%1."/>
      <w:lvlJc w:val="left"/>
      <w:pPr>
        <w:ind w:left="940" w:hanging="360"/>
      </w:pPr>
      <w:rPr>
        <w:rFonts w:ascii="Garamond" w:eastAsia="Garamond" w:hAnsi="Garamond" w:cs="Garamond" w:hint="default"/>
        <w:spacing w:val="-3"/>
        <w:w w:val="100"/>
        <w:sz w:val="24"/>
        <w:szCs w:val="24"/>
        <w:lang w:val="en-US" w:eastAsia="en-US" w:bidi="en-US"/>
      </w:rPr>
    </w:lvl>
    <w:lvl w:ilvl="1" w:tplc="3A44CBDE">
      <w:start w:val="1"/>
      <w:numFmt w:val="lowerLetter"/>
      <w:lvlText w:val="%2."/>
      <w:lvlJc w:val="left"/>
      <w:pPr>
        <w:ind w:left="1660" w:hanging="360"/>
      </w:pPr>
      <w:rPr>
        <w:rFonts w:ascii="Garamond" w:eastAsia="Garamond" w:hAnsi="Garamond" w:cs="Garamond" w:hint="default"/>
        <w:spacing w:val="-3"/>
        <w:w w:val="100"/>
        <w:sz w:val="24"/>
        <w:szCs w:val="24"/>
        <w:lang w:val="en-US" w:eastAsia="en-US" w:bidi="en-US"/>
      </w:rPr>
    </w:lvl>
    <w:lvl w:ilvl="2" w:tplc="A7A4C9B8">
      <w:start w:val="1"/>
      <w:numFmt w:val="lowerRoman"/>
      <w:lvlText w:val="%3."/>
      <w:lvlJc w:val="left"/>
      <w:pPr>
        <w:ind w:left="2380" w:hanging="288"/>
      </w:pPr>
      <w:rPr>
        <w:rFonts w:ascii="Garamond" w:eastAsia="Garamond" w:hAnsi="Garamond" w:cs="Garamond" w:hint="default"/>
        <w:spacing w:val="-3"/>
        <w:w w:val="100"/>
        <w:sz w:val="24"/>
        <w:szCs w:val="24"/>
        <w:lang w:val="en-US" w:eastAsia="en-US" w:bidi="en-US"/>
      </w:rPr>
    </w:lvl>
    <w:lvl w:ilvl="3" w:tplc="2BE6761A">
      <w:numFmt w:val="bullet"/>
      <w:lvlText w:val="•"/>
      <w:lvlJc w:val="left"/>
      <w:pPr>
        <w:ind w:left="3310" w:hanging="288"/>
      </w:pPr>
      <w:rPr>
        <w:rFonts w:hint="default"/>
        <w:lang w:val="en-US" w:eastAsia="en-US" w:bidi="en-US"/>
      </w:rPr>
    </w:lvl>
    <w:lvl w:ilvl="4" w:tplc="452C191E">
      <w:numFmt w:val="bullet"/>
      <w:lvlText w:val="•"/>
      <w:lvlJc w:val="left"/>
      <w:pPr>
        <w:ind w:left="4240" w:hanging="288"/>
      </w:pPr>
      <w:rPr>
        <w:rFonts w:hint="default"/>
        <w:lang w:val="en-US" w:eastAsia="en-US" w:bidi="en-US"/>
      </w:rPr>
    </w:lvl>
    <w:lvl w:ilvl="5" w:tplc="F404BE4E">
      <w:numFmt w:val="bullet"/>
      <w:lvlText w:val="•"/>
      <w:lvlJc w:val="left"/>
      <w:pPr>
        <w:ind w:left="5170" w:hanging="288"/>
      </w:pPr>
      <w:rPr>
        <w:rFonts w:hint="default"/>
        <w:lang w:val="en-US" w:eastAsia="en-US" w:bidi="en-US"/>
      </w:rPr>
    </w:lvl>
    <w:lvl w:ilvl="6" w:tplc="44EC9856">
      <w:numFmt w:val="bullet"/>
      <w:lvlText w:val="•"/>
      <w:lvlJc w:val="left"/>
      <w:pPr>
        <w:ind w:left="6100" w:hanging="288"/>
      </w:pPr>
      <w:rPr>
        <w:rFonts w:hint="default"/>
        <w:lang w:val="en-US" w:eastAsia="en-US" w:bidi="en-US"/>
      </w:rPr>
    </w:lvl>
    <w:lvl w:ilvl="7" w:tplc="BEF68246">
      <w:numFmt w:val="bullet"/>
      <w:lvlText w:val="•"/>
      <w:lvlJc w:val="left"/>
      <w:pPr>
        <w:ind w:left="7030" w:hanging="288"/>
      </w:pPr>
      <w:rPr>
        <w:rFonts w:hint="default"/>
        <w:lang w:val="en-US" w:eastAsia="en-US" w:bidi="en-US"/>
      </w:rPr>
    </w:lvl>
    <w:lvl w:ilvl="8" w:tplc="2C0C2CD2">
      <w:numFmt w:val="bullet"/>
      <w:lvlText w:val="•"/>
      <w:lvlJc w:val="left"/>
      <w:pPr>
        <w:ind w:left="7960" w:hanging="288"/>
      </w:pPr>
      <w:rPr>
        <w:rFonts w:hint="default"/>
        <w:lang w:val="en-US" w:eastAsia="en-US" w:bidi="en-US"/>
      </w:rPr>
    </w:lvl>
  </w:abstractNum>
  <w:abstractNum w:abstractNumId="32" w15:restartNumberingAfterBreak="0">
    <w:nsid w:val="4D115978"/>
    <w:multiLevelType w:val="hybridMultilevel"/>
    <w:tmpl w:val="48EC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642ED6"/>
    <w:multiLevelType w:val="hybridMultilevel"/>
    <w:tmpl w:val="C1CE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423A02"/>
    <w:multiLevelType w:val="hybridMultilevel"/>
    <w:tmpl w:val="5B6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A270AC"/>
    <w:multiLevelType w:val="hybridMultilevel"/>
    <w:tmpl w:val="913081F6"/>
    <w:lvl w:ilvl="0" w:tplc="29D2E294">
      <w:start w:val="1"/>
      <w:numFmt w:val="decimal"/>
      <w:lvlText w:val="%1."/>
      <w:lvlJc w:val="left"/>
      <w:pPr>
        <w:ind w:left="940" w:hanging="360"/>
      </w:pPr>
      <w:rPr>
        <w:rFonts w:ascii="Garamond" w:eastAsia="Garamond" w:hAnsi="Garamond" w:cs="Garamond" w:hint="default"/>
        <w:spacing w:val="-2"/>
        <w:w w:val="99"/>
        <w:sz w:val="24"/>
        <w:szCs w:val="24"/>
        <w:lang w:val="en-US" w:eastAsia="en-US" w:bidi="en-US"/>
      </w:rPr>
    </w:lvl>
    <w:lvl w:ilvl="1" w:tplc="C4D0E862">
      <w:numFmt w:val="bullet"/>
      <w:lvlText w:val=""/>
      <w:lvlJc w:val="left"/>
      <w:pPr>
        <w:ind w:left="1300" w:hanging="360"/>
      </w:pPr>
      <w:rPr>
        <w:rFonts w:ascii="Symbol" w:eastAsia="Symbol" w:hAnsi="Symbol" w:cs="Symbol" w:hint="default"/>
        <w:w w:val="100"/>
        <w:sz w:val="24"/>
        <w:szCs w:val="24"/>
        <w:lang w:val="en-US" w:eastAsia="en-US" w:bidi="en-US"/>
      </w:rPr>
    </w:lvl>
    <w:lvl w:ilvl="2" w:tplc="964EAB1E">
      <w:numFmt w:val="bullet"/>
      <w:lvlText w:val="•"/>
      <w:lvlJc w:val="left"/>
      <w:pPr>
        <w:ind w:left="1660" w:hanging="360"/>
      </w:pPr>
      <w:rPr>
        <w:rFonts w:hint="default"/>
        <w:lang w:val="en-US" w:eastAsia="en-US" w:bidi="en-US"/>
      </w:rPr>
    </w:lvl>
    <w:lvl w:ilvl="3" w:tplc="11286DB6">
      <w:numFmt w:val="bullet"/>
      <w:lvlText w:val="•"/>
      <w:lvlJc w:val="left"/>
      <w:pPr>
        <w:ind w:left="2680" w:hanging="360"/>
      </w:pPr>
      <w:rPr>
        <w:rFonts w:hint="default"/>
        <w:lang w:val="en-US" w:eastAsia="en-US" w:bidi="en-US"/>
      </w:rPr>
    </w:lvl>
    <w:lvl w:ilvl="4" w:tplc="5854E83C">
      <w:numFmt w:val="bullet"/>
      <w:lvlText w:val="•"/>
      <w:lvlJc w:val="left"/>
      <w:pPr>
        <w:ind w:left="3700" w:hanging="360"/>
      </w:pPr>
      <w:rPr>
        <w:rFonts w:hint="default"/>
        <w:lang w:val="en-US" w:eastAsia="en-US" w:bidi="en-US"/>
      </w:rPr>
    </w:lvl>
    <w:lvl w:ilvl="5" w:tplc="0CA475C6">
      <w:numFmt w:val="bullet"/>
      <w:lvlText w:val="•"/>
      <w:lvlJc w:val="left"/>
      <w:pPr>
        <w:ind w:left="4720" w:hanging="360"/>
      </w:pPr>
      <w:rPr>
        <w:rFonts w:hint="default"/>
        <w:lang w:val="en-US" w:eastAsia="en-US" w:bidi="en-US"/>
      </w:rPr>
    </w:lvl>
    <w:lvl w:ilvl="6" w:tplc="D012D8FC">
      <w:numFmt w:val="bullet"/>
      <w:lvlText w:val="•"/>
      <w:lvlJc w:val="left"/>
      <w:pPr>
        <w:ind w:left="5740" w:hanging="360"/>
      </w:pPr>
      <w:rPr>
        <w:rFonts w:hint="default"/>
        <w:lang w:val="en-US" w:eastAsia="en-US" w:bidi="en-US"/>
      </w:rPr>
    </w:lvl>
    <w:lvl w:ilvl="7" w:tplc="D982D70A">
      <w:numFmt w:val="bullet"/>
      <w:lvlText w:val="•"/>
      <w:lvlJc w:val="left"/>
      <w:pPr>
        <w:ind w:left="6760" w:hanging="360"/>
      </w:pPr>
      <w:rPr>
        <w:rFonts w:hint="default"/>
        <w:lang w:val="en-US" w:eastAsia="en-US" w:bidi="en-US"/>
      </w:rPr>
    </w:lvl>
    <w:lvl w:ilvl="8" w:tplc="5A166ED6">
      <w:numFmt w:val="bullet"/>
      <w:lvlText w:val="•"/>
      <w:lvlJc w:val="left"/>
      <w:pPr>
        <w:ind w:left="7780" w:hanging="360"/>
      </w:pPr>
      <w:rPr>
        <w:rFonts w:hint="default"/>
        <w:lang w:val="en-US" w:eastAsia="en-US" w:bidi="en-US"/>
      </w:rPr>
    </w:lvl>
  </w:abstractNum>
  <w:abstractNum w:abstractNumId="36" w15:restartNumberingAfterBreak="0">
    <w:nsid w:val="65065AB2"/>
    <w:multiLevelType w:val="hybridMultilevel"/>
    <w:tmpl w:val="736C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92E6E"/>
    <w:multiLevelType w:val="hybridMultilevel"/>
    <w:tmpl w:val="B7163812"/>
    <w:lvl w:ilvl="0" w:tplc="3AC2A808">
      <w:start w:val="1"/>
      <w:numFmt w:val="decimal"/>
      <w:lvlText w:val="%1."/>
      <w:lvlJc w:val="left"/>
      <w:pPr>
        <w:ind w:left="1080" w:hanging="360"/>
      </w:pPr>
      <w:rPr>
        <w:rFonts w:eastAsia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4C2701"/>
    <w:multiLevelType w:val="hybridMultilevel"/>
    <w:tmpl w:val="1938FF8E"/>
    <w:lvl w:ilvl="0" w:tplc="6FE28BAA">
      <w:numFmt w:val="bullet"/>
      <w:lvlText w:val=""/>
      <w:lvlJc w:val="left"/>
      <w:pPr>
        <w:ind w:left="940" w:hanging="360"/>
      </w:pPr>
      <w:rPr>
        <w:rFonts w:ascii="Symbol" w:eastAsia="Symbol" w:hAnsi="Symbol" w:cs="Symbol" w:hint="default"/>
        <w:w w:val="100"/>
        <w:sz w:val="24"/>
        <w:szCs w:val="24"/>
        <w:lang w:val="en-US" w:eastAsia="en-US" w:bidi="en-US"/>
      </w:rPr>
    </w:lvl>
    <w:lvl w:ilvl="1" w:tplc="7BDAE956">
      <w:start w:val="1"/>
      <w:numFmt w:val="decimal"/>
      <w:lvlText w:val="%2."/>
      <w:lvlJc w:val="left"/>
      <w:pPr>
        <w:ind w:left="1300" w:hanging="360"/>
      </w:pPr>
      <w:rPr>
        <w:rFonts w:ascii="Garamond" w:eastAsia="Garamond" w:hAnsi="Garamond" w:cs="Garamond" w:hint="default"/>
        <w:b/>
        <w:bCs/>
        <w:spacing w:val="-2"/>
        <w:w w:val="100"/>
        <w:sz w:val="24"/>
        <w:szCs w:val="24"/>
        <w:lang w:val="en-US" w:eastAsia="en-US" w:bidi="en-US"/>
      </w:rPr>
    </w:lvl>
    <w:lvl w:ilvl="2" w:tplc="0EF8B9BC">
      <w:start w:val="1"/>
      <w:numFmt w:val="lowerLetter"/>
      <w:lvlText w:val="%3."/>
      <w:lvlJc w:val="left"/>
      <w:pPr>
        <w:ind w:left="1660" w:hanging="360"/>
      </w:pPr>
      <w:rPr>
        <w:rFonts w:ascii="Garamond" w:eastAsia="Garamond" w:hAnsi="Garamond" w:cs="Garamond" w:hint="default"/>
        <w:spacing w:val="-3"/>
        <w:w w:val="100"/>
        <w:sz w:val="24"/>
        <w:szCs w:val="24"/>
        <w:lang w:val="en-US" w:eastAsia="en-US" w:bidi="en-US"/>
      </w:rPr>
    </w:lvl>
    <w:lvl w:ilvl="3" w:tplc="19924F0C">
      <w:numFmt w:val="bullet"/>
      <w:lvlText w:val="•"/>
      <w:lvlJc w:val="left"/>
      <w:pPr>
        <w:ind w:left="2680" w:hanging="360"/>
      </w:pPr>
      <w:rPr>
        <w:rFonts w:hint="default"/>
        <w:lang w:val="en-US" w:eastAsia="en-US" w:bidi="en-US"/>
      </w:rPr>
    </w:lvl>
    <w:lvl w:ilvl="4" w:tplc="FBEE5E9E">
      <w:numFmt w:val="bullet"/>
      <w:lvlText w:val="•"/>
      <w:lvlJc w:val="left"/>
      <w:pPr>
        <w:ind w:left="3700" w:hanging="360"/>
      </w:pPr>
      <w:rPr>
        <w:rFonts w:hint="default"/>
        <w:lang w:val="en-US" w:eastAsia="en-US" w:bidi="en-US"/>
      </w:rPr>
    </w:lvl>
    <w:lvl w:ilvl="5" w:tplc="41A2409A">
      <w:numFmt w:val="bullet"/>
      <w:lvlText w:val="•"/>
      <w:lvlJc w:val="left"/>
      <w:pPr>
        <w:ind w:left="4720" w:hanging="360"/>
      </w:pPr>
      <w:rPr>
        <w:rFonts w:hint="default"/>
        <w:lang w:val="en-US" w:eastAsia="en-US" w:bidi="en-US"/>
      </w:rPr>
    </w:lvl>
    <w:lvl w:ilvl="6" w:tplc="ADE0E80C">
      <w:numFmt w:val="bullet"/>
      <w:lvlText w:val="•"/>
      <w:lvlJc w:val="left"/>
      <w:pPr>
        <w:ind w:left="5740" w:hanging="360"/>
      </w:pPr>
      <w:rPr>
        <w:rFonts w:hint="default"/>
        <w:lang w:val="en-US" w:eastAsia="en-US" w:bidi="en-US"/>
      </w:rPr>
    </w:lvl>
    <w:lvl w:ilvl="7" w:tplc="B1208ECC">
      <w:numFmt w:val="bullet"/>
      <w:lvlText w:val="•"/>
      <w:lvlJc w:val="left"/>
      <w:pPr>
        <w:ind w:left="6760" w:hanging="360"/>
      </w:pPr>
      <w:rPr>
        <w:rFonts w:hint="default"/>
        <w:lang w:val="en-US" w:eastAsia="en-US" w:bidi="en-US"/>
      </w:rPr>
    </w:lvl>
    <w:lvl w:ilvl="8" w:tplc="C71ACF4E">
      <w:numFmt w:val="bullet"/>
      <w:lvlText w:val="•"/>
      <w:lvlJc w:val="left"/>
      <w:pPr>
        <w:ind w:left="7780" w:hanging="360"/>
      </w:pPr>
      <w:rPr>
        <w:rFonts w:hint="default"/>
        <w:lang w:val="en-US" w:eastAsia="en-US" w:bidi="en-US"/>
      </w:rPr>
    </w:lvl>
  </w:abstractNum>
  <w:abstractNum w:abstractNumId="39" w15:restartNumberingAfterBreak="0">
    <w:nsid w:val="6E1E355B"/>
    <w:multiLevelType w:val="hybridMultilevel"/>
    <w:tmpl w:val="5524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514AD9"/>
    <w:multiLevelType w:val="hybridMultilevel"/>
    <w:tmpl w:val="4E92B8D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41" w15:restartNumberingAfterBreak="0">
    <w:nsid w:val="6F821DAF"/>
    <w:multiLevelType w:val="hybridMultilevel"/>
    <w:tmpl w:val="B7D4E642"/>
    <w:lvl w:ilvl="0" w:tplc="14EE76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FE7BEC"/>
    <w:multiLevelType w:val="hybridMultilevel"/>
    <w:tmpl w:val="464C50B8"/>
    <w:lvl w:ilvl="0" w:tplc="067E8ED0">
      <w:start w:val="1"/>
      <w:numFmt w:val="decimal"/>
      <w:lvlText w:val="%1."/>
      <w:lvlJc w:val="left"/>
      <w:pPr>
        <w:ind w:left="57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43" w15:restartNumberingAfterBreak="0">
    <w:nsid w:val="72091CAB"/>
    <w:multiLevelType w:val="multilevel"/>
    <w:tmpl w:val="1C86A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142BB7"/>
    <w:multiLevelType w:val="hybridMultilevel"/>
    <w:tmpl w:val="B19C1A6E"/>
    <w:lvl w:ilvl="0" w:tplc="766C6F34">
      <w:start w:val="1"/>
      <w:numFmt w:val="decimal"/>
      <w:lvlText w:val="%1."/>
      <w:lvlJc w:val="left"/>
      <w:pPr>
        <w:ind w:left="1020" w:hanging="360"/>
      </w:pPr>
    </w:lvl>
    <w:lvl w:ilvl="1" w:tplc="AEC6502E">
      <w:start w:val="1"/>
      <w:numFmt w:val="decimal"/>
      <w:lvlText w:val="%2."/>
      <w:lvlJc w:val="left"/>
      <w:pPr>
        <w:ind w:left="1020" w:hanging="360"/>
      </w:pPr>
    </w:lvl>
    <w:lvl w:ilvl="2" w:tplc="7A245E54">
      <w:start w:val="1"/>
      <w:numFmt w:val="decimal"/>
      <w:lvlText w:val="%3."/>
      <w:lvlJc w:val="left"/>
      <w:pPr>
        <w:ind w:left="1020" w:hanging="360"/>
      </w:pPr>
    </w:lvl>
    <w:lvl w:ilvl="3" w:tplc="30D6F138">
      <w:start w:val="1"/>
      <w:numFmt w:val="decimal"/>
      <w:lvlText w:val="%4."/>
      <w:lvlJc w:val="left"/>
      <w:pPr>
        <w:ind w:left="1020" w:hanging="360"/>
      </w:pPr>
    </w:lvl>
    <w:lvl w:ilvl="4" w:tplc="AD5879D6">
      <w:start w:val="1"/>
      <w:numFmt w:val="decimal"/>
      <w:lvlText w:val="%5."/>
      <w:lvlJc w:val="left"/>
      <w:pPr>
        <w:ind w:left="1020" w:hanging="360"/>
      </w:pPr>
    </w:lvl>
    <w:lvl w:ilvl="5" w:tplc="ACA4C51C">
      <w:start w:val="1"/>
      <w:numFmt w:val="decimal"/>
      <w:lvlText w:val="%6."/>
      <w:lvlJc w:val="left"/>
      <w:pPr>
        <w:ind w:left="1020" w:hanging="360"/>
      </w:pPr>
    </w:lvl>
    <w:lvl w:ilvl="6" w:tplc="3CA61352">
      <w:start w:val="1"/>
      <w:numFmt w:val="decimal"/>
      <w:lvlText w:val="%7."/>
      <w:lvlJc w:val="left"/>
      <w:pPr>
        <w:ind w:left="1020" w:hanging="360"/>
      </w:pPr>
    </w:lvl>
    <w:lvl w:ilvl="7" w:tplc="85DE3BB2">
      <w:start w:val="1"/>
      <w:numFmt w:val="decimal"/>
      <w:lvlText w:val="%8."/>
      <w:lvlJc w:val="left"/>
      <w:pPr>
        <w:ind w:left="1020" w:hanging="360"/>
      </w:pPr>
    </w:lvl>
    <w:lvl w:ilvl="8" w:tplc="A9D6272E">
      <w:start w:val="1"/>
      <w:numFmt w:val="decimal"/>
      <w:lvlText w:val="%9."/>
      <w:lvlJc w:val="left"/>
      <w:pPr>
        <w:ind w:left="1020" w:hanging="360"/>
      </w:pPr>
    </w:lvl>
  </w:abstractNum>
  <w:abstractNum w:abstractNumId="45" w15:restartNumberingAfterBreak="0">
    <w:nsid w:val="728E7671"/>
    <w:multiLevelType w:val="hybridMultilevel"/>
    <w:tmpl w:val="49D8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F246EE"/>
    <w:multiLevelType w:val="hybridMultilevel"/>
    <w:tmpl w:val="C10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F04BC4"/>
    <w:multiLevelType w:val="hybridMultilevel"/>
    <w:tmpl w:val="AC36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EC684D"/>
    <w:multiLevelType w:val="hybridMultilevel"/>
    <w:tmpl w:val="58C26F24"/>
    <w:lvl w:ilvl="0" w:tplc="1FD8E606">
      <w:numFmt w:val="bullet"/>
      <w:lvlText w:val=""/>
      <w:lvlJc w:val="left"/>
      <w:pPr>
        <w:ind w:left="1300" w:hanging="360"/>
      </w:pPr>
      <w:rPr>
        <w:rFonts w:ascii="Symbol" w:eastAsia="Symbol" w:hAnsi="Symbol" w:cs="Symbol" w:hint="default"/>
        <w:w w:val="100"/>
        <w:sz w:val="24"/>
        <w:szCs w:val="24"/>
        <w:lang w:val="en-US" w:eastAsia="en-US" w:bidi="en-US"/>
      </w:rPr>
    </w:lvl>
    <w:lvl w:ilvl="1" w:tplc="3AECD724">
      <w:numFmt w:val="bullet"/>
      <w:lvlText w:val="•"/>
      <w:lvlJc w:val="left"/>
      <w:pPr>
        <w:ind w:left="2152" w:hanging="360"/>
      </w:pPr>
      <w:rPr>
        <w:rFonts w:hint="default"/>
        <w:lang w:val="en-US" w:eastAsia="en-US" w:bidi="en-US"/>
      </w:rPr>
    </w:lvl>
    <w:lvl w:ilvl="2" w:tplc="FD44B040">
      <w:numFmt w:val="bullet"/>
      <w:lvlText w:val="•"/>
      <w:lvlJc w:val="left"/>
      <w:pPr>
        <w:ind w:left="3004" w:hanging="360"/>
      </w:pPr>
      <w:rPr>
        <w:rFonts w:hint="default"/>
        <w:lang w:val="en-US" w:eastAsia="en-US" w:bidi="en-US"/>
      </w:rPr>
    </w:lvl>
    <w:lvl w:ilvl="3" w:tplc="1C4857A2">
      <w:numFmt w:val="bullet"/>
      <w:lvlText w:val="•"/>
      <w:lvlJc w:val="left"/>
      <w:pPr>
        <w:ind w:left="3856" w:hanging="360"/>
      </w:pPr>
      <w:rPr>
        <w:rFonts w:hint="default"/>
        <w:lang w:val="en-US" w:eastAsia="en-US" w:bidi="en-US"/>
      </w:rPr>
    </w:lvl>
    <w:lvl w:ilvl="4" w:tplc="69E26C82">
      <w:numFmt w:val="bullet"/>
      <w:lvlText w:val="•"/>
      <w:lvlJc w:val="left"/>
      <w:pPr>
        <w:ind w:left="4708" w:hanging="360"/>
      </w:pPr>
      <w:rPr>
        <w:rFonts w:hint="default"/>
        <w:lang w:val="en-US" w:eastAsia="en-US" w:bidi="en-US"/>
      </w:rPr>
    </w:lvl>
    <w:lvl w:ilvl="5" w:tplc="22B6E3B2">
      <w:numFmt w:val="bullet"/>
      <w:lvlText w:val="•"/>
      <w:lvlJc w:val="left"/>
      <w:pPr>
        <w:ind w:left="5560" w:hanging="360"/>
      </w:pPr>
      <w:rPr>
        <w:rFonts w:hint="default"/>
        <w:lang w:val="en-US" w:eastAsia="en-US" w:bidi="en-US"/>
      </w:rPr>
    </w:lvl>
    <w:lvl w:ilvl="6" w:tplc="ACE451FE">
      <w:numFmt w:val="bullet"/>
      <w:lvlText w:val="•"/>
      <w:lvlJc w:val="left"/>
      <w:pPr>
        <w:ind w:left="6412" w:hanging="360"/>
      </w:pPr>
      <w:rPr>
        <w:rFonts w:hint="default"/>
        <w:lang w:val="en-US" w:eastAsia="en-US" w:bidi="en-US"/>
      </w:rPr>
    </w:lvl>
    <w:lvl w:ilvl="7" w:tplc="E4701B4E">
      <w:numFmt w:val="bullet"/>
      <w:lvlText w:val="•"/>
      <w:lvlJc w:val="left"/>
      <w:pPr>
        <w:ind w:left="7264" w:hanging="360"/>
      </w:pPr>
      <w:rPr>
        <w:rFonts w:hint="default"/>
        <w:lang w:val="en-US" w:eastAsia="en-US" w:bidi="en-US"/>
      </w:rPr>
    </w:lvl>
    <w:lvl w:ilvl="8" w:tplc="0A48C9D6">
      <w:numFmt w:val="bullet"/>
      <w:lvlText w:val="•"/>
      <w:lvlJc w:val="left"/>
      <w:pPr>
        <w:ind w:left="8116" w:hanging="360"/>
      </w:pPr>
      <w:rPr>
        <w:rFonts w:hint="default"/>
        <w:lang w:val="en-US" w:eastAsia="en-US" w:bidi="en-US"/>
      </w:rPr>
    </w:lvl>
  </w:abstractNum>
  <w:abstractNum w:abstractNumId="49" w15:restartNumberingAfterBreak="0">
    <w:nsid w:val="78D26B89"/>
    <w:multiLevelType w:val="hybridMultilevel"/>
    <w:tmpl w:val="8368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107941"/>
    <w:multiLevelType w:val="hybridMultilevel"/>
    <w:tmpl w:val="0364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505269">
    <w:abstractNumId w:val="22"/>
  </w:num>
  <w:num w:numId="2" w16cid:durableId="888885641">
    <w:abstractNumId w:val="31"/>
  </w:num>
  <w:num w:numId="3" w16cid:durableId="655955477">
    <w:abstractNumId w:val="48"/>
  </w:num>
  <w:num w:numId="4" w16cid:durableId="2122140223">
    <w:abstractNumId w:val="35"/>
  </w:num>
  <w:num w:numId="5" w16cid:durableId="1829591766">
    <w:abstractNumId w:val="19"/>
  </w:num>
  <w:num w:numId="6" w16cid:durableId="1416826090">
    <w:abstractNumId w:val="24"/>
  </w:num>
  <w:num w:numId="7" w16cid:durableId="123239594">
    <w:abstractNumId w:val="8"/>
  </w:num>
  <w:num w:numId="8" w16cid:durableId="1649552302">
    <w:abstractNumId w:val="38"/>
  </w:num>
  <w:num w:numId="9" w16cid:durableId="295263068">
    <w:abstractNumId w:val="5"/>
  </w:num>
  <w:num w:numId="10" w16cid:durableId="98910101">
    <w:abstractNumId w:val="42"/>
  </w:num>
  <w:num w:numId="11" w16cid:durableId="1748307269">
    <w:abstractNumId w:val="29"/>
  </w:num>
  <w:num w:numId="12" w16cid:durableId="603345889">
    <w:abstractNumId w:val="2"/>
  </w:num>
  <w:num w:numId="13" w16cid:durableId="1246190712">
    <w:abstractNumId w:val="39"/>
  </w:num>
  <w:num w:numId="14" w16cid:durableId="215556126">
    <w:abstractNumId w:val="26"/>
  </w:num>
  <w:num w:numId="15" w16cid:durableId="658775005">
    <w:abstractNumId w:val="49"/>
  </w:num>
  <w:num w:numId="16" w16cid:durableId="864370024">
    <w:abstractNumId w:val="50"/>
  </w:num>
  <w:num w:numId="17" w16cid:durableId="1960523069">
    <w:abstractNumId w:val="34"/>
  </w:num>
  <w:num w:numId="18" w16cid:durableId="1826898803">
    <w:abstractNumId w:val="47"/>
  </w:num>
  <w:num w:numId="19" w16cid:durableId="1549562742">
    <w:abstractNumId w:val="25"/>
  </w:num>
  <w:num w:numId="20" w16cid:durableId="363139551">
    <w:abstractNumId w:val="16"/>
  </w:num>
  <w:num w:numId="21" w16cid:durableId="1046027887">
    <w:abstractNumId w:val="46"/>
  </w:num>
  <w:num w:numId="22" w16cid:durableId="989216006">
    <w:abstractNumId w:val="33"/>
  </w:num>
  <w:num w:numId="23" w16cid:durableId="1284920958">
    <w:abstractNumId w:val="15"/>
  </w:num>
  <w:num w:numId="24" w16cid:durableId="714817421">
    <w:abstractNumId w:val="36"/>
  </w:num>
  <w:num w:numId="25" w16cid:durableId="420762092">
    <w:abstractNumId w:val="45"/>
  </w:num>
  <w:num w:numId="26" w16cid:durableId="1323316872">
    <w:abstractNumId w:val="6"/>
  </w:num>
  <w:num w:numId="27" w16cid:durableId="1856653684">
    <w:abstractNumId w:val="10"/>
  </w:num>
  <w:num w:numId="28" w16cid:durableId="458063264">
    <w:abstractNumId w:val="17"/>
  </w:num>
  <w:num w:numId="29" w16cid:durableId="1891308383">
    <w:abstractNumId w:val="11"/>
  </w:num>
  <w:num w:numId="30" w16cid:durableId="840320520">
    <w:abstractNumId w:val="12"/>
  </w:num>
  <w:num w:numId="31" w16cid:durableId="566963635">
    <w:abstractNumId w:val="13"/>
  </w:num>
  <w:num w:numId="32" w16cid:durableId="1809545001">
    <w:abstractNumId w:val="41"/>
  </w:num>
  <w:num w:numId="33" w16cid:durableId="569581149">
    <w:abstractNumId w:val="0"/>
  </w:num>
  <w:num w:numId="34" w16cid:durableId="820543004">
    <w:abstractNumId w:val="18"/>
  </w:num>
  <w:num w:numId="35" w16cid:durableId="2083604042">
    <w:abstractNumId w:val="20"/>
  </w:num>
  <w:num w:numId="36" w16cid:durableId="2050639498">
    <w:abstractNumId w:val="43"/>
  </w:num>
  <w:num w:numId="37" w16cid:durableId="2088308602">
    <w:abstractNumId w:val="40"/>
  </w:num>
  <w:num w:numId="38" w16cid:durableId="1268004261">
    <w:abstractNumId w:val="27"/>
    <w:lvlOverride w:ilvl="0"/>
    <w:lvlOverride w:ilvl="1">
      <w:startOverride w:val="1"/>
    </w:lvlOverride>
    <w:lvlOverride w:ilvl="2"/>
    <w:lvlOverride w:ilvl="3"/>
    <w:lvlOverride w:ilvl="4"/>
    <w:lvlOverride w:ilvl="5"/>
    <w:lvlOverride w:ilvl="6"/>
    <w:lvlOverride w:ilvl="7"/>
    <w:lvlOverride w:ilvl="8"/>
  </w:num>
  <w:num w:numId="39" w16cid:durableId="1918129803">
    <w:abstractNumId w:val="32"/>
  </w:num>
  <w:num w:numId="40" w16cid:durableId="708259633">
    <w:abstractNumId w:val="30"/>
  </w:num>
  <w:num w:numId="41" w16cid:durableId="1799689906">
    <w:abstractNumId w:val="1"/>
  </w:num>
  <w:num w:numId="42" w16cid:durableId="210768093">
    <w:abstractNumId w:val="37"/>
  </w:num>
  <w:num w:numId="43" w16cid:durableId="120928621">
    <w:abstractNumId w:val="23"/>
  </w:num>
  <w:num w:numId="44" w16cid:durableId="670180514">
    <w:abstractNumId w:val="21"/>
  </w:num>
  <w:num w:numId="45" w16cid:durableId="1146817689">
    <w:abstractNumId w:val="28"/>
  </w:num>
  <w:num w:numId="46" w16cid:durableId="402601724">
    <w:abstractNumId w:val="4"/>
  </w:num>
  <w:num w:numId="47" w16cid:durableId="327711190">
    <w:abstractNumId w:val="3"/>
  </w:num>
  <w:num w:numId="48" w16cid:durableId="1287465750">
    <w:abstractNumId w:val="44"/>
  </w:num>
  <w:num w:numId="49" w16cid:durableId="1698581403">
    <w:abstractNumId w:val="14"/>
  </w:num>
  <w:num w:numId="50" w16cid:durableId="2067994168">
    <w:abstractNumId w:val="9"/>
  </w:num>
  <w:num w:numId="51" w16cid:durableId="1873613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3"/>
    <w:rsid w:val="00001564"/>
    <w:rsid w:val="00001815"/>
    <w:rsid w:val="00003423"/>
    <w:rsid w:val="00004439"/>
    <w:rsid w:val="00004CFD"/>
    <w:rsid w:val="00014053"/>
    <w:rsid w:val="000148AA"/>
    <w:rsid w:val="00015AD7"/>
    <w:rsid w:val="00017697"/>
    <w:rsid w:val="000201AF"/>
    <w:rsid w:val="00020688"/>
    <w:rsid w:val="00020D91"/>
    <w:rsid w:val="00020EE5"/>
    <w:rsid w:val="00021B82"/>
    <w:rsid w:val="00022726"/>
    <w:rsid w:val="000244B9"/>
    <w:rsid w:val="00024B39"/>
    <w:rsid w:val="00025EBC"/>
    <w:rsid w:val="00026868"/>
    <w:rsid w:val="0003122D"/>
    <w:rsid w:val="0003231C"/>
    <w:rsid w:val="00035015"/>
    <w:rsid w:val="00037E54"/>
    <w:rsid w:val="00040284"/>
    <w:rsid w:val="00040BA1"/>
    <w:rsid w:val="000413D2"/>
    <w:rsid w:val="000444EC"/>
    <w:rsid w:val="00045787"/>
    <w:rsid w:val="000461AA"/>
    <w:rsid w:val="00050F90"/>
    <w:rsid w:val="0005344D"/>
    <w:rsid w:val="00053B7B"/>
    <w:rsid w:val="00056189"/>
    <w:rsid w:val="00056976"/>
    <w:rsid w:val="00060C7E"/>
    <w:rsid w:val="00060D97"/>
    <w:rsid w:val="00060F46"/>
    <w:rsid w:val="0006368F"/>
    <w:rsid w:val="00063F0A"/>
    <w:rsid w:val="000643C0"/>
    <w:rsid w:val="00066A91"/>
    <w:rsid w:val="000675C5"/>
    <w:rsid w:val="000718D3"/>
    <w:rsid w:val="00072550"/>
    <w:rsid w:val="000767C9"/>
    <w:rsid w:val="00077DD8"/>
    <w:rsid w:val="000803BC"/>
    <w:rsid w:val="00082B2A"/>
    <w:rsid w:val="00082DDC"/>
    <w:rsid w:val="00084942"/>
    <w:rsid w:val="00091004"/>
    <w:rsid w:val="00091150"/>
    <w:rsid w:val="000931E3"/>
    <w:rsid w:val="00094D12"/>
    <w:rsid w:val="00094DB4"/>
    <w:rsid w:val="00094DBE"/>
    <w:rsid w:val="00095307"/>
    <w:rsid w:val="000954E5"/>
    <w:rsid w:val="00095920"/>
    <w:rsid w:val="000971D6"/>
    <w:rsid w:val="00097D5C"/>
    <w:rsid w:val="000A1594"/>
    <w:rsid w:val="000A1F45"/>
    <w:rsid w:val="000A2040"/>
    <w:rsid w:val="000A3081"/>
    <w:rsid w:val="000A3F25"/>
    <w:rsid w:val="000A56CE"/>
    <w:rsid w:val="000A6810"/>
    <w:rsid w:val="000A6D20"/>
    <w:rsid w:val="000A6EF1"/>
    <w:rsid w:val="000A70AC"/>
    <w:rsid w:val="000B15ED"/>
    <w:rsid w:val="000B49DF"/>
    <w:rsid w:val="000B5465"/>
    <w:rsid w:val="000C0092"/>
    <w:rsid w:val="000C0EE8"/>
    <w:rsid w:val="000C3AAA"/>
    <w:rsid w:val="000C4064"/>
    <w:rsid w:val="000C4339"/>
    <w:rsid w:val="000C5E8C"/>
    <w:rsid w:val="000C6E88"/>
    <w:rsid w:val="000D38A9"/>
    <w:rsid w:val="000D578B"/>
    <w:rsid w:val="000D5C97"/>
    <w:rsid w:val="000D5E2F"/>
    <w:rsid w:val="000D7BD9"/>
    <w:rsid w:val="000D7E1C"/>
    <w:rsid w:val="000E10F4"/>
    <w:rsid w:val="000E15A7"/>
    <w:rsid w:val="000E1A42"/>
    <w:rsid w:val="000E205D"/>
    <w:rsid w:val="000E3E53"/>
    <w:rsid w:val="000E4947"/>
    <w:rsid w:val="000E5EE1"/>
    <w:rsid w:val="000F1587"/>
    <w:rsid w:val="000F7BE3"/>
    <w:rsid w:val="00102755"/>
    <w:rsid w:val="0010296D"/>
    <w:rsid w:val="00103999"/>
    <w:rsid w:val="00103CC3"/>
    <w:rsid w:val="001054AB"/>
    <w:rsid w:val="00106BE6"/>
    <w:rsid w:val="00107D2E"/>
    <w:rsid w:val="00110125"/>
    <w:rsid w:val="00110D88"/>
    <w:rsid w:val="001115A6"/>
    <w:rsid w:val="001131DB"/>
    <w:rsid w:val="001131F6"/>
    <w:rsid w:val="00115EDD"/>
    <w:rsid w:val="001169EF"/>
    <w:rsid w:val="00116FAB"/>
    <w:rsid w:val="001177D3"/>
    <w:rsid w:val="00117E42"/>
    <w:rsid w:val="00121A45"/>
    <w:rsid w:val="001222C3"/>
    <w:rsid w:val="0012245E"/>
    <w:rsid w:val="001226EE"/>
    <w:rsid w:val="00126BB7"/>
    <w:rsid w:val="00126DAB"/>
    <w:rsid w:val="00127518"/>
    <w:rsid w:val="0013074E"/>
    <w:rsid w:val="001329C3"/>
    <w:rsid w:val="00133407"/>
    <w:rsid w:val="0013387F"/>
    <w:rsid w:val="001355B1"/>
    <w:rsid w:val="00137EEE"/>
    <w:rsid w:val="00141333"/>
    <w:rsid w:val="00142902"/>
    <w:rsid w:val="00142AEC"/>
    <w:rsid w:val="00143689"/>
    <w:rsid w:val="00143E9A"/>
    <w:rsid w:val="001447E7"/>
    <w:rsid w:val="001450E1"/>
    <w:rsid w:val="00145D96"/>
    <w:rsid w:val="00152349"/>
    <w:rsid w:val="0015383D"/>
    <w:rsid w:val="001541F7"/>
    <w:rsid w:val="00154953"/>
    <w:rsid w:val="00155279"/>
    <w:rsid w:val="001559E8"/>
    <w:rsid w:val="00155FE9"/>
    <w:rsid w:val="001569F9"/>
    <w:rsid w:val="00157C45"/>
    <w:rsid w:val="001609A5"/>
    <w:rsid w:val="00165F50"/>
    <w:rsid w:val="00170EFB"/>
    <w:rsid w:val="00171032"/>
    <w:rsid w:val="00172552"/>
    <w:rsid w:val="00174FA5"/>
    <w:rsid w:val="00175FE4"/>
    <w:rsid w:val="001764E2"/>
    <w:rsid w:val="0018117F"/>
    <w:rsid w:val="001821B6"/>
    <w:rsid w:val="00184711"/>
    <w:rsid w:val="00184B56"/>
    <w:rsid w:val="00184F38"/>
    <w:rsid w:val="00185A12"/>
    <w:rsid w:val="001903CF"/>
    <w:rsid w:val="001923DD"/>
    <w:rsid w:val="00192CDA"/>
    <w:rsid w:val="00197D67"/>
    <w:rsid w:val="001A05F5"/>
    <w:rsid w:val="001A0819"/>
    <w:rsid w:val="001A21D8"/>
    <w:rsid w:val="001A27B1"/>
    <w:rsid w:val="001A3434"/>
    <w:rsid w:val="001A3DE0"/>
    <w:rsid w:val="001A469B"/>
    <w:rsid w:val="001A5080"/>
    <w:rsid w:val="001A65F4"/>
    <w:rsid w:val="001A7C8D"/>
    <w:rsid w:val="001A7F38"/>
    <w:rsid w:val="001B0A36"/>
    <w:rsid w:val="001B1F77"/>
    <w:rsid w:val="001B2879"/>
    <w:rsid w:val="001B2AA1"/>
    <w:rsid w:val="001B3B97"/>
    <w:rsid w:val="001B611E"/>
    <w:rsid w:val="001C0B5C"/>
    <w:rsid w:val="001C2326"/>
    <w:rsid w:val="001C2A61"/>
    <w:rsid w:val="001C5891"/>
    <w:rsid w:val="001C65DC"/>
    <w:rsid w:val="001C6C8B"/>
    <w:rsid w:val="001C7B0C"/>
    <w:rsid w:val="001D0540"/>
    <w:rsid w:val="001D0841"/>
    <w:rsid w:val="001D1DA5"/>
    <w:rsid w:val="001D1E8E"/>
    <w:rsid w:val="001D26BE"/>
    <w:rsid w:val="001D3374"/>
    <w:rsid w:val="001D52C3"/>
    <w:rsid w:val="001D5363"/>
    <w:rsid w:val="001D5617"/>
    <w:rsid w:val="001D6CC0"/>
    <w:rsid w:val="001D7995"/>
    <w:rsid w:val="001E075C"/>
    <w:rsid w:val="001E2547"/>
    <w:rsid w:val="001E30B8"/>
    <w:rsid w:val="001E32FA"/>
    <w:rsid w:val="001E4DC3"/>
    <w:rsid w:val="001E6510"/>
    <w:rsid w:val="001E7899"/>
    <w:rsid w:val="001F353C"/>
    <w:rsid w:val="001F3687"/>
    <w:rsid w:val="001F36E2"/>
    <w:rsid w:val="001F4CFD"/>
    <w:rsid w:val="001F4EB1"/>
    <w:rsid w:val="001F6705"/>
    <w:rsid w:val="001F780F"/>
    <w:rsid w:val="0020019D"/>
    <w:rsid w:val="00201647"/>
    <w:rsid w:val="002028E7"/>
    <w:rsid w:val="00203868"/>
    <w:rsid w:val="0020440D"/>
    <w:rsid w:val="00205F07"/>
    <w:rsid w:val="00207911"/>
    <w:rsid w:val="00210333"/>
    <w:rsid w:val="00211C59"/>
    <w:rsid w:val="00212CC4"/>
    <w:rsid w:val="00212E62"/>
    <w:rsid w:val="00213B69"/>
    <w:rsid w:val="002147A4"/>
    <w:rsid w:val="00215196"/>
    <w:rsid w:val="0021544F"/>
    <w:rsid w:val="002156ED"/>
    <w:rsid w:val="0021636E"/>
    <w:rsid w:val="00216D41"/>
    <w:rsid w:val="00220A2B"/>
    <w:rsid w:val="00221331"/>
    <w:rsid w:val="002228B2"/>
    <w:rsid w:val="0022527C"/>
    <w:rsid w:val="00225B86"/>
    <w:rsid w:val="0022679E"/>
    <w:rsid w:val="00227540"/>
    <w:rsid w:val="00227936"/>
    <w:rsid w:val="00230B0E"/>
    <w:rsid w:val="00230E7C"/>
    <w:rsid w:val="00231D84"/>
    <w:rsid w:val="00232201"/>
    <w:rsid w:val="00234800"/>
    <w:rsid w:val="00235196"/>
    <w:rsid w:val="00235903"/>
    <w:rsid w:val="00235F91"/>
    <w:rsid w:val="00236081"/>
    <w:rsid w:val="002361EA"/>
    <w:rsid w:val="0023644A"/>
    <w:rsid w:val="00237372"/>
    <w:rsid w:val="00237706"/>
    <w:rsid w:val="00241B08"/>
    <w:rsid w:val="00242904"/>
    <w:rsid w:val="002449C0"/>
    <w:rsid w:val="00244D1F"/>
    <w:rsid w:val="00246153"/>
    <w:rsid w:val="00247BAE"/>
    <w:rsid w:val="0025164F"/>
    <w:rsid w:val="00251FB9"/>
    <w:rsid w:val="0025342C"/>
    <w:rsid w:val="002538EB"/>
    <w:rsid w:val="002559B2"/>
    <w:rsid w:val="002603A6"/>
    <w:rsid w:val="00262891"/>
    <w:rsid w:val="002630DB"/>
    <w:rsid w:val="00263331"/>
    <w:rsid w:val="00263386"/>
    <w:rsid w:val="00265BEB"/>
    <w:rsid w:val="00265BF5"/>
    <w:rsid w:val="00266A34"/>
    <w:rsid w:val="00266B1E"/>
    <w:rsid w:val="00267F9A"/>
    <w:rsid w:val="002708AD"/>
    <w:rsid w:val="00271AF1"/>
    <w:rsid w:val="00272095"/>
    <w:rsid w:val="00272D3B"/>
    <w:rsid w:val="0027320E"/>
    <w:rsid w:val="00273CBA"/>
    <w:rsid w:val="00274F7C"/>
    <w:rsid w:val="00275BAD"/>
    <w:rsid w:val="00276365"/>
    <w:rsid w:val="002766D7"/>
    <w:rsid w:val="00281213"/>
    <w:rsid w:val="00281373"/>
    <w:rsid w:val="002824D6"/>
    <w:rsid w:val="0028282F"/>
    <w:rsid w:val="0028289A"/>
    <w:rsid w:val="00284312"/>
    <w:rsid w:val="00284E90"/>
    <w:rsid w:val="002859F8"/>
    <w:rsid w:val="002875B7"/>
    <w:rsid w:val="002877C9"/>
    <w:rsid w:val="0029006D"/>
    <w:rsid w:val="0029089C"/>
    <w:rsid w:val="00291DAA"/>
    <w:rsid w:val="00292037"/>
    <w:rsid w:val="00293387"/>
    <w:rsid w:val="00293753"/>
    <w:rsid w:val="0029657B"/>
    <w:rsid w:val="00296CBB"/>
    <w:rsid w:val="00296D38"/>
    <w:rsid w:val="00296E08"/>
    <w:rsid w:val="00297C7E"/>
    <w:rsid w:val="002A1C1D"/>
    <w:rsid w:val="002A2B2F"/>
    <w:rsid w:val="002A395B"/>
    <w:rsid w:val="002A453D"/>
    <w:rsid w:val="002A4553"/>
    <w:rsid w:val="002A4713"/>
    <w:rsid w:val="002A4EA9"/>
    <w:rsid w:val="002A602D"/>
    <w:rsid w:val="002B0CBF"/>
    <w:rsid w:val="002B2AC6"/>
    <w:rsid w:val="002B2C4D"/>
    <w:rsid w:val="002B320E"/>
    <w:rsid w:val="002B4655"/>
    <w:rsid w:val="002B4D90"/>
    <w:rsid w:val="002B7032"/>
    <w:rsid w:val="002B7110"/>
    <w:rsid w:val="002B71B7"/>
    <w:rsid w:val="002B7345"/>
    <w:rsid w:val="002B7764"/>
    <w:rsid w:val="002C0446"/>
    <w:rsid w:val="002C065A"/>
    <w:rsid w:val="002C3782"/>
    <w:rsid w:val="002C3D4F"/>
    <w:rsid w:val="002C52D4"/>
    <w:rsid w:val="002C7D41"/>
    <w:rsid w:val="002D14DD"/>
    <w:rsid w:val="002D1958"/>
    <w:rsid w:val="002D2637"/>
    <w:rsid w:val="002D3644"/>
    <w:rsid w:val="002D4546"/>
    <w:rsid w:val="002D4FBA"/>
    <w:rsid w:val="002D5BB8"/>
    <w:rsid w:val="002D5C02"/>
    <w:rsid w:val="002E2B52"/>
    <w:rsid w:val="002E58B2"/>
    <w:rsid w:val="002E69E9"/>
    <w:rsid w:val="002E76B1"/>
    <w:rsid w:val="002E7AB2"/>
    <w:rsid w:val="002F0A1F"/>
    <w:rsid w:val="002F0C9C"/>
    <w:rsid w:val="002F16A5"/>
    <w:rsid w:val="002F184D"/>
    <w:rsid w:val="002F273D"/>
    <w:rsid w:val="002F2AA2"/>
    <w:rsid w:val="002F7410"/>
    <w:rsid w:val="003001B6"/>
    <w:rsid w:val="003020BF"/>
    <w:rsid w:val="003036C1"/>
    <w:rsid w:val="00303C0E"/>
    <w:rsid w:val="00303D20"/>
    <w:rsid w:val="003040BF"/>
    <w:rsid w:val="00304CF3"/>
    <w:rsid w:val="00314AA3"/>
    <w:rsid w:val="0031596B"/>
    <w:rsid w:val="00315996"/>
    <w:rsid w:val="00316F4C"/>
    <w:rsid w:val="00317376"/>
    <w:rsid w:val="003175B6"/>
    <w:rsid w:val="00317A20"/>
    <w:rsid w:val="00320058"/>
    <w:rsid w:val="003202AE"/>
    <w:rsid w:val="003207C7"/>
    <w:rsid w:val="0032096D"/>
    <w:rsid w:val="003225E1"/>
    <w:rsid w:val="00323CE5"/>
    <w:rsid w:val="00325919"/>
    <w:rsid w:val="00325B51"/>
    <w:rsid w:val="0032644D"/>
    <w:rsid w:val="00326EEC"/>
    <w:rsid w:val="0032794D"/>
    <w:rsid w:val="003310EC"/>
    <w:rsid w:val="003314ED"/>
    <w:rsid w:val="00331836"/>
    <w:rsid w:val="00332866"/>
    <w:rsid w:val="0033365A"/>
    <w:rsid w:val="003346BB"/>
    <w:rsid w:val="00334A00"/>
    <w:rsid w:val="00334B6E"/>
    <w:rsid w:val="003366FF"/>
    <w:rsid w:val="00337FA3"/>
    <w:rsid w:val="00341FF9"/>
    <w:rsid w:val="00342BC9"/>
    <w:rsid w:val="003436F0"/>
    <w:rsid w:val="003454BB"/>
    <w:rsid w:val="00346113"/>
    <w:rsid w:val="003537D9"/>
    <w:rsid w:val="00353FF9"/>
    <w:rsid w:val="00354CD8"/>
    <w:rsid w:val="0035599B"/>
    <w:rsid w:val="00356E0A"/>
    <w:rsid w:val="00357DD1"/>
    <w:rsid w:val="003606AF"/>
    <w:rsid w:val="0036193E"/>
    <w:rsid w:val="003627CF"/>
    <w:rsid w:val="00363590"/>
    <w:rsid w:val="00365F2C"/>
    <w:rsid w:val="003664C2"/>
    <w:rsid w:val="0036670D"/>
    <w:rsid w:val="003708FC"/>
    <w:rsid w:val="00371B9E"/>
    <w:rsid w:val="00371EFE"/>
    <w:rsid w:val="00372AA7"/>
    <w:rsid w:val="0037406F"/>
    <w:rsid w:val="00374DEC"/>
    <w:rsid w:val="00376134"/>
    <w:rsid w:val="00376947"/>
    <w:rsid w:val="0037780E"/>
    <w:rsid w:val="00377AB3"/>
    <w:rsid w:val="00380252"/>
    <w:rsid w:val="00380514"/>
    <w:rsid w:val="00382717"/>
    <w:rsid w:val="003853E8"/>
    <w:rsid w:val="00387D29"/>
    <w:rsid w:val="00391119"/>
    <w:rsid w:val="00391BAE"/>
    <w:rsid w:val="00393D23"/>
    <w:rsid w:val="00394A0F"/>
    <w:rsid w:val="0039564F"/>
    <w:rsid w:val="00395B23"/>
    <w:rsid w:val="00395CB8"/>
    <w:rsid w:val="00396AB7"/>
    <w:rsid w:val="00397769"/>
    <w:rsid w:val="003A0B15"/>
    <w:rsid w:val="003A181E"/>
    <w:rsid w:val="003A3CE1"/>
    <w:rsid w:val="003A492A"/>
    <w:rsid w:val="003A4F09"/>
    <w:rsid w:val="003A7084"/>
    <w:rsid w:val="003A7A0B"/>
    <w:rsid w:val="003A7B86"/>
    <w:rsid w:val="003B1A7D"/>
    <w:rsid w:val="003B243A"/>
    <w:rsid w:val="003B286E"/>
    <w:rsid w:val="003B2D03"/>
    <w:rsid w:val="003B38C6"/>
    <w:rsid w:val="003B3E29"/>
    <w:rsid w:val="003B5036"/>
    <w:rsid w:val="003B5D7C"/>
    <w:rsid w:val="003B63C7"/>
    <w:rsid w:val="003B7F83"/>
    <w:rsid w:val="003B7FF8"/>
    <w:rsid w:val="003C231F"/>
    <w:rsid w:val="003C702D"/>
    <w:rsid w:val="003D18E7"/>
    <w:rsid w:val="003D2F94"/>
    <w:rsid w:val="003D3A29"/>
    <w:rsid w:val="003D4320"/>
    <w:rsid w:val="003D6209"/>
    <w:rsid w:val="003D6AD2"/>
    <w:rsid w:val="003D7683"/>
    <w:rsid w:val="003E026B"/>
    <w:rsid w:val="003E044B"/>
    <w:rsid w:val="003E0B6F"/>
    <w:rsid w:val="003E0E46"/>
    <w:rsid w:val="003E1C4C"/>
    <w:rsid w:val="003E2EAC"/>
    <w:rsid w:val="003E322E"/>
    <w:rsid w:val="003E343B"/>
    <w:rsid w:val="003E446B"/>
    <w:rsid w:val="003E5960"/>
    <w:rsid w:val="003E6DA1"/>
    <w:rsid w:val="003E6EF6"/>
    <w:rsid w:val="003E7521"/>
    <w:rsid w:val="003F046D"/>
    <w:rsid w:val="003F0F81"/>
    <w:rsid w:val="003F14D6"/>
    <w:rsid w:val="003F24D7"/>
    <w:rsid w:val="003F3000"/>
    <w:rsid w:val="003F3136"/>
    <w:rsid w:val="003F391F"/>
    <w:rsid w:val="003F4754"/>
    <w:rsid w:val="003F47E2"/>
    <w:rsid w:val="003F4C84"/>
    <w:rsid w:val="003F53AD"/>
    <w:rsid w:val="003F61CA"/>
    <w:rsid w:val="00400FF4"/>
    <w:rsid w:val="00403612"/>
    <w:rsid w:val="004053DF"/>
    <w:rsid w:val="00406642"/>
    <w:rsid w:val="00406702"/>
    <w:rsid w:val="00406E6C"/>
    <w:rsid w:val="004074A2"/>
    <w:rsid w:val="0040792D"/>
    <w:rsid w:val="00407E15"/>
    <w:rsid w:val="00410DF1"/>
    <w:rsid w:val="004128E4"/>
    <w:rsid w:val="00414103"/>
    <w:rsid w:val="00414F24"/>
    <w:rsid w:val="00415268"/>
    <w:rsid w:val="004162BA"/>
    <w:rsid w:val="004162DB"/>
    <w:rsid w:val="0041700C"/>
    <w:rsid w:val="0041785D"/>
    <w:rsid w:val="00421CB2"/>
    <w:rsid w:val="00424E8B"/>
    <w:rsid w:val="004262E8"/>
    <w:rsid w:val="00426E38"/>
    <w:rsid w:val="00431C36"/>
    <w:rsid w:val="00431FBE"/>
    <w:rsid w:val="00432760"/>
    <w:rsid w:val="00433A7B"/>
    <w:rsid w:val="0043494E"/>
    <w:rsid w:val="00435B83"/>
    <w:rsid w:val="00435FF6"/>
    <w:rsid w:val="00436FFA"/>
    <w:rsid w:val="00437DD1"/>
    <w:rsid w:val="00442B9B"/>
    <w:rsid w:val="00442BBD"/>
    <w:rsid w:val="0044480A"/>
    <w:rsid w:val="00445242"/>
    <w:rsid w:val="00446719"/>
    <w:rsid w:val="00453270"/>
    <w:rsid w:val="00453A45"/>
    <w:rsid w:val="00453E28"/>
    <w:rsid w:val="0045483C"/>
    <w:rsid w:val="00457240"/>
    <w:rsid w:val="00457A25"/>
    <w:rsid w:val="0046016F"/>
    <w:rsid w:val="004609EF"/>
    <w:rsid w:val="00460A6A"/>
    <w:rsid w:val="00460B8B"/>
    <w:rsid w:val="0046146E"/>
    <w:rsid w:val="00461B08"/>
    <w:rsid w:val="00463FC0"/>
    <w:rsid w:val="0046463B"/>
    <w:rsid w:val="00466474"/>
    <w:rsid w:val="00466C8C"/>
    <w:rsid w:val="0046747B"/>
    <w:rsid w:val="00467ECD"/>
    <w:rsid w:val="00470016"/>
    <w:rsid w:val="004708AF"/>
    <w:rsid w:val="004762C5"/>
    <w:rsid w:val="0047754F"/>
    <w:rsid w:val="004776C2"/>
    <w:rsid w:val="00477C9B"/>
    <w:rsid w:val="004804CB"/>
    <w:rsid w:val="00481547"/>
    <w:rsid w:val="00482AFC"/>
    <w:rsid w:val="00483315"/>
    <w:rsid w:val="00483C09"/>
    <w:rsid w:val="00484356"/>
    <w:rsid w:val="0048569F"/>
    <w:rsid w:val="0048584E"/>
    <w:rsid w:val="00485D1B"/>
    <w:rsid w:val="00485FCF"/>
    <w:rsid w:val="0049103C"/>
    <w:rsid w:val="004911C7"/>
    <w:rsid w:val="004916F6"/>
    <w:rsid w:val="00492268"/>
    <w:rsid w:val="00495CD6"/>
    <w:rsid w:val="00496083"/>
    <w:rsid w:val="004960F3"/>
    <w:rsid w:val="00496FEC"/>
    <w:rsid w:val="004A120C"/>
    <w:rsid w:val="004A1321"/>
    <w:rsid w:val="004A15E1"/>
    <w:rsid w:val="004A4CA9"/>
    <w:rsid w:val="004A4E02"/>
    <w:rsid w:val="004A513E"/>
    <w:rsid w:val="004A67EB"/>
    <w:rsid w:val="004A72CB"/>
    <w:rsid w:val="004A7AB6"/>
    <w:rsid w:val="004B6D3A"/>
    <w:rsid w:val="004B6FF7"/>
    <w:rsid w:val="004C07F7"/>
    <w:rsid w:val="004C3311"/>
    <w:rsid w:val="004C36D5"/>
    <w:rsid w:val="004C60C5"/>
    <w:rsid w:val="004C669A"/>
    <w:rsid w:val="004D0EB2"/>
    <w:rsid w:val="004D1989"/>
    <w:rsid w:val="004D247A"/>
    <w:rsid w:val="004D396B"/>
    <w:rsid w:val="004D46B2"/>
    <w:rsid w:val="004D5540"/>
    <w:rsid w:val="004D5FA0"/>
    <w:rsid w:val="004D684C"/>
    <w:rsid w:val="004D6FF0"/>
    <w:rsid w:val="004D78FE"/>
    <w:rsid w:val="004E23C1"/>
    <w:rsid w:val="004E41C2"/>
    <w:rsid w:val="004E41C9"/>
    <w:rsid w:val="004E74C8"/>
    <w:rsid w:val="004E7949"/>
    <w:rsid w:val="004E799F"/>
    <w:rsid w:val="004E79BE"/>
    <w:rsid w:val="004E7FEC"/>
    <w:rsid w:val="004F02F0"/>
    <w:rsid w:val="004F0500"/>
    <w:rsid w:val="004F0805"/>
    <w:rsid w:val="004F0C88"/>
    <w:rsid w:val="004F28C3"/>
    <w:rsid w:val="004F62F6"/>
    <w:rsid w:val="004F6812"/>
    <w:rsid w:val="00500DA0"/>
    <w:rsid w:val="005019AB"/>
    <w:rsid w:val="00501DE5"/>
    <w:rsid w:val="00502500"/>
    <w:rsid w:val="0050297E"/>
    <w:rsid w:val="00504488"/>
    <w:rsid w:val="00504ACD"/>
    <w:rsid w:val="00505B9B"/>
    <w:rsid w:val="00507369"/>
    <w:rsid w:val="00507877"/>
    <w:rsid w:val="005121EB"/>
    <w:rsid w:val="00515B56"/>
    <w:rsid w:val="00516FBE"/>
    <w:rsid w:val="00517457"/>
    <w:rsid w:val="00520D5A"/>
    <w:rsid w:val="00520DD5"/>
    <w:rsid w:val="00524B34"/>
    <w:rsid w:val="00525390"/>
    <w:rsid w:val="00527EED"/>
    <w:rsid w:val="00531DFC"/>
    <w:rsid w:val="00534304"/>
    <w:rsid w:val="00534794"/>
    <w:rsid w:val="00536641"/>
    <w:rsid w:val="00537D76"/>
    <w:rsid w:val="0054018E"/>
    <w:rsid w:val="0054139B"/>
    <w:rsid w:val="00542854"/>
    <w:rsid w:val="0054454B"/>
    <w:rsid w:val="00544633"/>
    <w:rsid w:val="00546731"/>
    <w:rsid w:val="00547B43"/>
    <w:rsid w:val="00550539"/>
    <w:rsid w:val="00550F71"/>
    <w:rsid w:val="0055294A"/>
    <w:rsid w:val="005535C9"/>
    <w:rsid w:val="00553BB2"/>
    <w:rsid w:val="00554121"/>
    <w:rsid w:val="00554FA4"/>
    <w:rsid w:val="00555128"/>
    <w:rsid w:val="00555B59"/>
    <w:rsid w:val="005576E4"/>
    <w:rsid w:val="0056146C"/>
    <w:rsid w:val="00564291"/>
    <w:rsid w:val="00565581"/>
    <w:rsid w:val="00566125"/>
    <w:rsid w:val="0056754C"/>
    <w:rsid w:val="00567E77"/>
    <w:rsid w:val="00570CAC"/>
    <w:rsid w:val="00573C97"/>
    <w:rsid w:val="00573F73"/>
    <w:rsid w:val="005744D5"/>
    <w:rsid w:val="005811C7"/>
    <w:rsid w:val="00583C78"/>
    <w:rsid w:val="005843A9"/>
    <w:rsid w:val="00585BD7"/>
    <w:rsid w:val="005860DB"/>
    <w:rsid w:val="00586E44"/>
    <w:rsid w:val="005903C0"/>
    <w:rsid w:val="00591136"/>
    <w:rsid w:val="00592796"/>
    <w:rsid w:val="00593DCB"/>
    <w:rsid w:val="00593EAE"/>
    <w:rsid w:val="00595FBB"/>
    <w:rsid w:val="005A1BF9"/>
    <w:rsid w:val="005A4F83"/>
    <w:rsid w:val="005A6238"/>
    <w:rsid w:val="005B118E"/>
    <w:rsid w:val="005B2F78"/>
    <w:rsid w:val="005B3CDA"/>
    <w:rsid w:val="005B3D16"/>
    <w:rsid w:val="005B5504"/>
    <w:rsid w:val="005B5CA3"/>
    <w:rsid w:val="005B6CEB"/>
    <w:rsid w:val="005B70E2"/>
    <w:rsid w:val="005B7C6F"/>
    <w:rsid w:val="005C281E"/>
    <w:rsid w:val="005C2A75"/>
    <w:rsid w:val="005C2B9F"/>
    <w:rsid w:val="005C2DC3"/>
    <w:rsid w:val="005C316E"/>
    <w:rsid w:val="005C34B6"/>
    <w:rsid w:val="005C6CF5"/>
    <w:rsid w:val="005C6FCF"/>
    <w:rsid w:val="005D1D77"/>
    <w:rsid w:val="005D238A"/>
    <w:rsid w:val="005D245C"/>
    <w:rsid w:val="005D2DED"/>
    <w:rsid w:val="005D3181"/>
    <w:rsid w:val="005D3537"/>
    <w:rsid w:val="005D5504"/>
    <w:rsid w:val="005D580E"/>
    <w:rsid w:val="005D6854"/>
    <w:rsid w:val="005D6D13"/>
    <w:rsid w:val="005D6FB3"/>
    <w:rsid w:val="005E06D8"/>
    <w:rsid w:val="005E34BA"/>
    <w:rsid w:val="005E40D1"/>
    <w:rsid w:val="005E6EFD"/>
    <w:rsid w:val="005E7C2F"/>
    <w:rsid w:val="005F1791"/>
    <w:rsid w:val="005F3800"/>
    <w:rsid w:val="005F3C6E"/>
    <w:rsid w:val="005F44FC"/>
    <w:rsid w:val="005F4EF7"/>
    <w:rsid w:val="005F5474"/>
    <w:rsid w:val="005F5AED"/>
    <w:rsid w:val="005F5B17"/>
    <w:rsid w:val="005F739E"/>
    <w:rsid w:val="0060024E"/>
    <w:rsid w:val="006003BA"/>
    <w:rsid w:val="0060075B"/>
    <w:rsid w:val="00600763"/>
    <w:rsid w:val="006009C5"/>
    <w:rsid w:val="006009F0"/>
    <w:rsid w:val="00600CA9"/>
    <w:rsid w:val="006022C5"/>
    <w:rsid w:val="00602B1E"/>
    <w:rsid w:val="00602E7D"/>
    <w:rsid w:val="006030A0"/>
    <w:rsid w:val="00605B7C"/>
    <w:rsid w:val="00610305"/>
    <w:rsid w:val="00611038"/>
    <w:rsid w:val="00612460"/>
    <w:rsid w:val="00613795"/>
    <w:rsid w:val="006155E8"/>
    <w:rsid w:val="00615885"/>
    <w:rsid w:val="006167AE"/>
    <w:rsid w:val="00617CCC"/>
    <w:rsid w:val="006220B5"/>
    <w:rsid w:val="00623A76"/>
    <w:rsid w:val="00624648"/>
    <w:rsid w:val="00625640"/>
    <w:rsid w:val="006303AF"/>
    <w:rsid w:val="00630F80"/>
    <w:rsid w:val="00632D6E"/>
    <w:rsid w:val="00634BB8"/>
    <w:rsid w:val="0063737E"/>
    <w:rsid w:val="0063753E"/>
    <w:rsid w:val="00637979"/>
    <w:rsid w:val="00641105"/>
    <w:rsid w:val="00642283"/>
    <w:rsid w:val="00642821"/>
    <w:rsid w:val="00643185"/>
    <w:rsid w:val="006458BA"/>
    <w:rsid w:val="0064661A"/>
    <w:rsid w:val="00647B9B"/>
    <w:rsid w:val="006515A9"/>
    <w:rsid w:val="00651AB6"/>
    <w:rsid w:val="006538A8"/>
    <w:rsid w:val="00657FC8"/>
    <w:rsid w:val="0066240C"/>
    <w:rsid w:val="006651EA"/>
    <w:rsid w:val="0067044F"/>
    <w:rsid w:val="00670B89"/>
    <w:rsid w:val="00671366"/>
    <w:rsid w:val="00671BC5"/>
    <w:rsid w:val="00672117"/>
    <w:rsid w:val="006728F8"/>
    <w:rsid w:val="006751F5"/>
    <w:rsid w:val="006769DC"/>
    <w:rsid w:val="006769DD"/>
    <w:rsid w:val="00676AF4"/>
    <w:rsid w:val="00677289"/>
    <w:rsid w:val="0068074B"/>
    <w:rsid w:val="0068457A"/>
    <w:rsid w:val="0068475E"/>
    <w:rsid w:val="0068499D"/>
    <w:rsid w:val="006861F1"/>
    <w:rsid w:val="0069067C"/>
    <w:rsid w:val="00690C6E"/>
    <w:rsid w:val="0069277C"/>
    <w:rsid w:val="006929D6"/>
    <w:rsid w:val="00695A55"/>
    <w:rsid w:val="00697135"/>
    <w:rsid w:val="006971C3"/>
    <w:rsid w:val="006972AB"/>
    <w:rsid w:val="00697421"/>
    <w:rsid w:val="00697B9B"/>
    <w:rsid w:val="00697D09"/>
    <w:rsid w:val="00697D31"/>
    <w:rsid w:val="006A0305"/>
    <w:rsid w:val="006A03CF"/>
    <w:rsid w:val="006A0523"/>
    <w:rsid w:val="006A0DAA"/>
    <w:rsid w:val="006A1030"/>
    <w:rsid w:val="006A12E6"/>
    <w:rsid w:val="006A22CB"/>
    <w:rsid w:val="006A4268"/>
    <w:rsid w:val="006A5106"/>
    <w:rsid w:val="006A52F1"/>
    <w:rsid w:val="006A6DC2"/>
    <w:rsid w:val="006A712A"/>
    <w:rsid w:val="006A7FC4"/>
    <w:rsid w:val="006A7FF2"/>
    <w:rsid w:val="006B02D7"/>
    <w:rsid w:val="006B0FDB"/>
    <w:rsid w:val="006B0FE7"/>
    <w:rsid w:val="006B308D"/>
    <w:rsid w:val="006B3C86"/>
    <w:rsid w:val="006B4691"/>
    <w:rsid w:val="006B478D"/>
    <w:rsid w:val="006B5B7E"/>
    <w:rsid w:val="006C0ADD"/>
    <w:rsid w:val="006C1E99"/>
    <w:rsid w:val="006C2EDB"/>
    <w:rsid w:val="006C3E62"/>
    <w:rsid w:val="006C3E81"/>
    <w:rsid w:val="006C6DEE"/>
    <w:rsid w:val="006D0819"/>
    <w:rsid w:val="006D0826"/>
    <w:rsid w:val="006D1B02"/>
    <w:rsid w:val="006D275F"/>
    <w:rsid w:val="006D2C06"/>
    <w:rsid w:val="006D3164"/>
    <w:rsid w:val="006D3D2A"/>
    <w:rsid w:val="006D3F15"/>
    <w:rsid w:val="006D7D58"/>
    <w:rsid w:val="006E082C"/>
    <w:rsid w:val="006E1B30"/>
    <w:rsid w:val="006E2DEC"/>
    <w:rsid w:val="006E4809"/>
    <w:rsid w:val="006E519A"/>
    <w:rsid w:val="006E5F00"/>
    <w:rsid w:val="006E6D40"/>
    <w:rsid w:val="006E7B9B"/>
    <w:rsid w:val="006E7D52"/>
    <w:rsid w:val="006F2D9B"/>
    <w:rsid w:val="006F2E42"/>
    <w:rsid w:val="006F3593"/>
    <w:rsid w:val="006F43B9"/>
    <w:rsid w:val="006F5AE3"/>
    <w:rsid w:val="006F7464"/>
    <w:rsid w:val="006F7E2D"/>
    <w:rsid w:val="00700D38"/>
    <w:rsid w:val="00700D93"/>
    <w:rsid w:val="0070119E"/>
    <w:rsid w:val="00703D55"/>
    <w:rsid w:val="007045FE"/>
    <w:rsid w:val="00705028"/>
    <w:rsid w:val="007052A9"/>
    <w:rsid w:val="007074E3"/>
    <w:rsid w:val="007103A2"/>
    <w:rsid w:val="00710EC2"/>
    <w:rsid w:val="00711040"/>
    <w:rsid w:val="00713298"/>
    <w:rsid w:val="00715260"/>
    <w:rsid w:val="007152F3"/>
    <w:rsid w:val="00715788"/>
    <w:rsid w:val="007228AF"/>
    <w:rsid w:val="00723AF2"/>
    <w:rsid w:val="00723DAA"/>
    <w:rsid w:val="00723EBE"/>
    <w:rsid w:val="00724D8A"/>
    <w:rsid w:val="007252A1"/>
    <w:rsid w:val="0072688C"/>
    <w:rsid w:val="00726D60"/>
    <w:rsid w:val="00730DB0"/>
    <w:rsid w:val="00731479"/>
    <w:rsid w:val="00731EC1"/>
    <w:rsid w:val="0073281E"/>
    <w:rsid w:val="007332ED"/>
    <w:rsid w:val="00733F54"/>
    <w:rsid w:val="007347DF"/>
    <w:rsid w:val="00734C9F"/>
    <w:rsid w:val="00735B4A"/>
    <w:rsid w:val="0074099E"/>
    <w:rsid w:val="00741175"/>
    <w:rsid w:val="007415E1"/>
    <w:rsid w:val="00741E76"/>
    <w:rsid w:val="00742A21"/>
    <w:rsid w:val="00746EF7"/>
    <w:rsid w:val="00750186"/>
    <w:rsid w:val="00751963"/>
    <w:rsid w:val="00752C1C"/>
    <w:rsid w:val="007538DB"/>
    <w:rsid w:val="00760E00"/>
    <w:rsid w:val="00760E4F"/>
    <w:rsid w:val="00761705"/>
    <w:rsid w:val="00761828"/>
    <w:rsid w:val="00762103"/>
    <w:rsid w:val="00767192"/>
    <w:rsid w:val="00771173"/>
    <w:rsid w:val="00771386"/>
    <w:rsid w:val="00771859"/>
    <w:rsid w:val="007734C0"/>
    <w:rsid w:val="00773FA1"/>
    <w:rsid w:val="00775E91"/>
    <w:rsid w:val="00780843"/>
    <w:rsid w:val="0078136B"/>
    <w:rsid w:val="00783519"/>
    <w:rsid w:val="007847CE"/>
    <w:rsid w:val="00784A47"/>
    <w:rsid w:val="007857C5"/>
    <w:rsid w:val="007868B9"/>
    <w:rsid w:val="00786EE2"/>
    <w:rsid w:val="0078770B"/>
    <w:rsid w:val="007909B1"/>
    <w:rsid w:val="00791091"/>
    <w:rsid w:val="007915F7"/>
    <w:rsid w:val="00791D26"/>
    <w:rsid w:val="007924C2"/>
    <w:rsid w:val="00793634"/>
    <w:rsid w:val="007940CF"/>
    <w:rsid w:val="007965AC"/>
    <w:rsid w:val="007A019C"/>
    <w:rsid w:val="007A03F6"/>
    <w:rsid w:val="007A4831"/>
    <w:rsid w:val="007A5A8F"/>
    <w:rsid w:val="007A679E"/>
    <w:rsid w:val="007A7768"/>
    <w:rsid w:val="007B04F6"/>
    <w:rsid w:val="007B17E2"/>
    <w:rsid w:val="007B2064"/>
    <w:rsid w:val="007B76AC"/>
    <w:rsid w:val="007B7DA1"/>
    <w:rsid w:val="007C12F9"/>
    <w:rsid w:val="007C1D99"/>
    <w:rsid w:val="007C25B6"/>
    <w:rsid w:val="007C430B"/>
    <w:rsid w:val="007C47E7"/>
    <w:rsid w:val="007C4BC5"/>
    <w:rsid w:val="007C5E57"/>
    <w:rsid w:val="007C6F44"/>
    <w:rsid w:val="007C73F9"/>
    <w:rsid w:val="007D02F7"/>
    <w:rsid w:val="007D0981"/>
    <w:rsid w:val="007D16AE"/>
    <w:rsid w:val="007D2071"/>
    <w:rsid w:val="007D2E42"/>
    <w:rsid w:val="007D3DF7"/>
    <w:rsid w:val="007D4870"/>
    <w:rsid w:val="007D48B5"/>
    <w:rsid w:val="007E109B"/>
    <w:rsid w:val="007E1695"/>
    <w:rsid w:val="007E2639"/>
    <w:rsid w:val="007E33C8"/>
    <w:rsid w:val="007E351D"/>
    <w:rsid w:val="007E5161"/>
    <w:rsid w:val="007E7A25"/>
    <w:rsid w:val="007F0DE4"/>
    <w:rsid w:val="007F14E4"/>
    <w:rsid w:val="007F46F5"/>
    <w:rsid w:val="007F4F3F"/>
    <w:rsid w:val="007F5FCB"/>
    <w:rsid w:val="00800271"/>
    <w:rsid w:val="0080294A"/>
    <w:rsid w:val="00802FF6"/>
    <w:rsid w:val="00803D62"/>
    <w:rsid w:val="008059E9"/>
    <w:rsid w:val="00805E8D"/>
    <w:rsid w:val="00806D2D"/>
    <w:rsid w:val="008071AB"/>
    <w:rsid w:val="008101BB"/>
    <w:rsid w:val="0081191D"/>
    <w:rsid w:val="00812824"/>
    <w:rsid w:val="00813348"/>
    <w:rsid w:val="00814436"/>
    <w:rsid w:val="00817361"/>
    <w:rsid w:val="008201AA"/>
    <w:rsid w:val="00820492"/>
    <w:rsid w:val="00823720"/>
    <w:rsid w:val="00824DA0"/>
    <w:rsid w:val="00826866"/>
    <w:rsid w:val="0083001E"/>
    <w:rsid w:val="00830DCA"/>
    <w:rsid w:val="00831060"/>
    <w:rsid w:val="00831B5A"/>
    <w:rsid w:val="00833529"/>
    <w:rsid w:val="00833559"/>
    <w:rsid w:val="0083377D"/>
    <w:rsid w:val="008344ED"/>
    <w:rsid w:val="00835583"/>
    <w:rsid w:val="008364E1"/>
    <w:rsid w:val="0083725A"/>
    <w:rsid w:val="008372CE"/>
    <w:rsid w:val="0084287B"/>
    <w:rsid w:val="008440BF"/>
    <w:rsid w:val="0084603F"/>
    <w:rsid w:val="008478DB"/>
    <w:rsid w:val="008500A0"/>
    <w:rsid w:val="008500D4"/>
    <w:rsid w:val="008505FA"/>
    <w:rsid w:val="00850955"/>
    <w:rsid w:val="00852DC9"/>
    <w:rsid w:val="00852F56"/>
    <w:rsid w:val="00854268"/>
    <w:rsid w:val="00854BEF"/>
    <w:rsid w:val="008567B5"/>
    <w:rsid w:val="00860024"/>
    <w:rsid w:val="00860C5E"/>
    <w:rsid w:val="00860EBF"/>
    <w:rsid w:val="008628D2"/>
    <w:rsid w:val="008650F2"/>
    <w:rsid w:val="00866332"/>
    <w:rsid w:val="00866B94"/>
    <w:rsid w:val="008704F6"/>
    <w:rsid w:val="008705F9"/>
    <w:rsid w:val="00870755"/>
    <w:rsid w:val="008713E7"/>
    <w:rsid w:val="00871F82"/>
    <w:rsid w:val="008720DF"/>
    <w:rsid w:val="00873E86"/>
    <w:rsid w:val="00874524"/>
    <w:rsid w:val="0087603C"/>
    <w:rsid w:val="0087752D"/>
    <w:rsid w:val="0088053D"/>
    <w:rsid w:val="00882269"/>
    <w:rsid w:val="008833F0"/>
    <w:rsid w:val="008834AA"/>
    <w:rsid w:val="00883C7F"/>
    <w:rsid w:val="00884FEC"/>
    <w:rsid w:val="00886EE6"/>
    <w:rsid w:val="00890AA0"/>
    <w:rsid w:val="008917DC"/>
    <w:rsid w:val="008933AA"/>
    <w:rsid w:val="00896201"/>
    <w:rsid w:val="0089773A"/>
    <w:rsid w:val="008A0BAA"/>
    <w:rsid w:val="008A1674"/>
    <w:rsid w:val="008A230A"/>
    <w:rsid w:val="008A2FD3"/>
    <w:rsid w:val="008A439F"/>
    <w:rsid w:val="008A62EB"/>
    <w:rsid w:val="008B1406"/>
    <w:rsid w:val="008B23B1"/>
    <w:rsid w:val="008B2E4D"/>
    <w:rsid w:val="008B2EB4"/>
    <w:rsid w:val="008B59D1"/>
    <w:rsid w:val="008B5B6B"/>
    <w:rsid w:val="008B608C"/>
    <w:rsid w:val="008B672E"/>
    <w:rsid w:val="008B728D"/>
    <w:rsid w:val="008C328D"/>
    <w:rsid w:val="008C4760"/>
    <w:rsid w:val="008C4F5F"/>
    <w:rsid w:val="008C59DB"/>
    <w:rsid w:val="008C6248"/>
    <w:rsid w:val="008C68EF"/>
    <w:rsid w:val="008D0569"/>
    <w:rsid w:val="008D08A4"/>
    <w:rsid w:val="008D2022"/>
    <w:rsid w:val="008D292F"/>
    <w:rsid w:val="008D3C07"/>
    <w:rsid w:val="008D4077"/>
    <w:rsid w:val="008D4E33"/>
    <w:rsid w:val="008D7A1C"/>
    <w:rsid w:val="008D7E4D"/>
    <w:rsid w:val="008E0BDD"/>
    <w:rsid w:val="008E29E6"/>
    <w:rsid w:val="008E336A"/>
    <w:rsid w:val="008E38E3"/>
    <w:rsid w:val="008E395B"/>
    <w:rsid w:val="008E478A"/>
    <w:rsid w:val="008E4CB3"/>
    <w:rsid w:val="008E5026"/>
    <w:rsid w:val="008E650B"/>
    <w:rsid w:val="008E6DFE"/>
    <w:rsid w:val="008E7F24"/>
    <w:rsid w:val="008F0819"/>
    <w:rsid w:val="008F2D42"/>
    <w:rsid w:val="008F416A"/>
    <w:rsid w:val="008F54DD"/>
    <w:rsid w:val="008F5B33"/>
    <w:rsid w:val="008F5F55"/>
    <w:rsid w:val="008F7DB8"/>
    <w:rsid w:val="00902822"/>
    <w:rsid w:val="00903644"/>
    <w:rsid w:val="00904A7E"/>
    <w:rsid w:val="00906AB2"/>
    <w:rsid w:val="009074BE"/>
    <w:rsid w:val="0091062B"/>
    <w:rsid w:val="00910CF1"/>
    <w:rsid w:val="00910FF4"/>
    <w:rsid w:val="00912295"/>
    <w:rsid w:val="00913A92"/>
    <w:rsid w:val="00915290"/>
    <w:rsid w:val="00915D03"/>
    <w:rsid w:val="00915F05"/>
    <w:rsid w:val="0091682B"/>
    <w:rsid w:val="009209DB"/>
    <w:rsid w:val="009224FF"/>
    <w:rsid w:val="009226EB"/>
    <w:rsid w:val="00922C09"/>
    <w:rsid w:val="009260D3"/>
    <w:rsid w:val="009265E8"/>
    <w:rsid w:val="009312F9"/>
    <w:rsid w:val="009314BC"/>
    <w:rsid w:val="00932E5D"/>
    <w:rsid w:val="009340DC"/>
    <w:rsid w:val="00935B92"/>
    <w:rsid w:val="00940691"/>
    <w:rsid w:val="0094218E"/>
    <w:rsid w:val="009423A5"/>
    <w:rsid w:val="00947970"/>
    <w:rsid w:val="00950010"/>
    <w:rsid w:val="00951CEE"/>
    <w:rsid w:val="00952676"/>
    <w:rsid w:val="00955C8F"/>
    <w:rsid w:val="00956249"/>
    <w:rsid w:val="00957079"/>
    <w:rsid w:val="009605A9"/>
    <w:rsid w:val="00962230"/>
    <w:rsid w:val="009634A3"/>
    <w:rsid w:val="0096416C"/>
    <w:rsid w:val="00965398"/>
    <w:rsid w:val="00966593"/>
    <w:rsid w:val="00967067"/>
    <w:rsid w:val="00967CE7"/>
    <w:rsid w:val="00971FE7"/>
    <w:rsid w:val="00972076"/>
    <w:rsid w:val="00974E7C"/>
    <w:rsid w:val="00975CB2"/>
    <w:rsid w:val="009774CE"/>
    <w:rsid w:val="009811C5"/>
    <w:rsid w:val="00981FF1"/>
    <w:rsid w:val="009830AB"/>
    <w:rsid w:val="00983C60"/>
    <w:rsid w:val="00983FF2"/>
    <w:rsid w:val="009845AA"/>
    <w:rsid w:val="00987144"/>
    <w:rsid w:val="0099107B"/>
    <w:rsid w:val="0099236C"/>
    <w:rsid w:val="00992715"/>
    <w:rsid w:val="0099359B"/>
    <w:rsid w:val="00993877"/>
    <w:rsid w:val="00994795"/>
    <w:rsid w:val="00994B62"/>
    <w:rsid w:val="00995DE7"/>
    <w:rsid w:val="00995F1B"/>
    <w:rsid w:val="00996355"/>
    <w:rsid w:val="00996AC9"/>
    <w:rsid w:val="009975E3"/>
    <w:rsid w:val="009A0C61"/>
    <w:rsid w:val="009A1E11"/>
    <w:rsid w:val="009A22B8"/>
    <w:rsid w:val="009A2A80"/>
    <w:rsid w:val="009A2D75"/>
    <w:rsid w:val="009A343A"/>
    <w:rsid w:val="009A6856"/>
    <w:rsid w:val="009A6DD3"/>
    <w:rsid w:val="009A761B"/>
    <w:rsid w:val="009A7B24"/>
    <w:rsid w:val="009B32E2"/>
    <w:rsid w:val="009B5E78"/>
    <w:rsid w:val="009B5F15"/>
    <w:rsid w:val="009C0A4A"/>
    <w:rsid w:val="009C30D0"/>
    <w:rsid w:val="009C4A7F"/>
    <w:rsid w:val="009C68F1"/>
    <w:rsid w:val="009C77F0"/>
    <w:rsid w:val="009D031B"/>
    <w:rsid w:val="009D13FA"/>
    <w:rsid w:val="009D20F1"/>
    <w:rsid w:val="009D2616"/>
    <w:rsid w:val="009D2F6D"/>
    <w:rsid w:val="009D51B3"/>
    <w:rsid w:val="009D61FD"/>
    <w:rsid w:val="009D6362"/>
    <w:rsid w:val="009D69D5"/>
    <w:rsid w:val="009D7D64"/>
    <w:rsid w:val="009E204F"/>
    <w:rsid w:val="009E46A7"/>
    <w:rsid w:val="009E50F0"/>
    <w:rsid w:val="009E628A"/>
    <w:rsid w:val="009E78B9"/>
    <w:rsid w:val="009F136E"/>
    <w:rsid w:val="009F1C16"/>
    <w:rsid w:val="009F2579"/>
    <w:rsid w:val="009F29D2"/>
    <w:rsid w:val="009F5BED"/>
    <w:rsid w:val="009F7806"/>
    <w:rsid w:val="009F7C4F"/>
    <w:rsid w:val="00A006A8"/>
    <w:rsid w:val="00A0287B"/>
    <w:rsid w:val="00A04784"/>
    <w:rsid w:val="00A06D62"/>
    <w:rsid w:val="00A10A0F"/>
    <w:rsid w:val="00A10C91"/>
    <w:rsid w:val="00A13355"/>
    <w:rsid w:val="00A1380A"/>
    <w:rsid w:val="00A155B0"/>
    <w:rsid w:val="00A165C7"/>
    <w:rsid w:val="00A1704C"/>
    <w:rsid w:val="00A17704"/>
    <w:rsid w:val="00A1792B"/>
    <w:rsid w:val="00A20F8D"/>
    <w:rsid w:val="00A218ED"/>
    <w:rsid w:val="00A23170"/>
    <w:rsid w:val="00A23226"/>
    <w:rsid w:val="00A238D9"/>
    <w:rsid w:val="00A24AFD"/>
    <w:rsid w:val="00A254C8"/>
    <w:rsid w:val="00A25F95"/>
    <w:rsid w:val="00A26114"/>
    <w:rsid w:val="00A2623E"/>
    <w:rsid w:val="00A27E1E"/>
    <w:rsid w:val="00A306C5"/>
    <w:rsid w:val="00A32E07"/>
    <w:rsid w:val="00A32F7D"/>
    <w:rsid w:val="00A332EB"/>
    <w:rsid w:val="00A3743A"/>
    <w:rsid w:val="00A37DD5"/>
    <w:rsid w:val="00A4099F"/>
    <w:rsid w:val="00A40C35"/>
    <w:rsid w:val="00A4110F"/>
    <w:rsid w:val="00A4270D"/>
    <w:rsid w:val="00A43D78"/>
    <w:rsid w:val="00A4454E"/>
    <w:rsid w:val="00A44B43"/>
    <w:rsid w:val="00A45198"/>
    <w:rsid w:val="00A46326"/>
    <w:rsid w:val="00A46E31"/>
    <w:rsid w:val="00A509C5"/>
    <w:rsid w:val="00A52B52"/>
    <w:rsid w:val="00A53BD8"/>
    <w:rsid w:val="00A550AE"/>
    <w:rsid w:val="00A649D7"/>
    <w:rsid w:val="00A657B5"/>
    <w:rsid w:val="00A67666"/>
    <w:rsid w:val="00A67EA6"/>
    <w:rsid w:val="00A714B5"/>
    <w:rsid w:val="00A75AF7"/>
    <w:rsid w:val="00A802BE"/>
    <w:rsid w:val="00A8064D"/>
    <w:rsid w:val="00A817F4"/>
    <w:rsid w:val="00A8183C"/>
    <w:rsid w:val="00A84AA4"/>
    <w:rsid w:val="00A84B32"/>
    <w:rsid w:val="00A85117"/>
    <w:rsid w:val="00A85166"/>
    <w:rsid w:val="00A858BC"/>
    <w:rsid w:val="00A85B41"/>
    <w:rsid w:val="00A8694E"/>
    <w:rsid w:val="00A87264"/>
    <w:rsid w:val="00A92D4D"/>
    <w:rsid w:val="00A952A3"/>
    <w:rsid w:val="00A95C6E"/>
    <w:rsid w:val="00A96CCA"/>
    <w:rsid w:val="00AA0FD2"/>
    <w:rsid w:val="00AA1F89"/>
    <w:rsid w:val="00AA2437"/>
    <w:rsid w:val="00AA2ECF"/>
    <w:rsid w:val="00AA2F1B"/>
    <w:rsid w:val="00AA4AC8"/>
    <w:rsid w:val="00AA4ACE"/>
    <w:rsid w:val="00AA7DB7"/>
    <w:rsid w:val="00AB0EB7"/>
    <w:rsid w:val="00AB1E03"/>
    <w:rsid w:val="00AB1EBE"/>
    <w:rsid w:val="00AB2152"/>
    <w:rsid w:val="00AB31B4"/>
    <w:rsid w:val="00AB4DB3"/>
    <w:rsid w:val="00AB5150"/>
    <w:rsid w:val="00AB7FC7"/>
    <w:rsid w:val="00AC0A7B"/>
    <w:rsid w:val="00AC0B5C"/>
    <w:rsid w:val="00AC115A"/>
    <w:rsid w:val="00AC2910"/>
    <w:rsid w:val="00AC5AD3"/>
    <w:rsid w:val="00AC6EAA"/>
    <w:rsid w:val="00AC7E5B"/>
    <w:rsid w:val="00AD00A8"/>
    <w:rsid w:val="00AD0A34"/>
    <w:rsid w:val="00AD1A85"/>
    <w:rsid w:val="00AD1F0D"/>
    <w:rsid w:val="00AD2473"/>
    <w:rsid w:val="00AD396F"/>
    <w:rsid w:val="00AD3E50"/>
    <w:rsid w:val="00AD56FE"/>
    <w:rsid w:val="00AD61B5"/>
    <w:rsid w:val="00AD716F"/>
    <w:rsid w:val="00AD7A8E"/>
    <w:rsid w:val="00AE0790"/>
    <w:rsid w:val="00AE1427"/>
    <w:rsid w:val="00AE17E0"/>
    <w:rsid w:val="00AE19AC"/>
    <w:rsid w:val="00AE20E9"/>
    <w:rsid w:val="00AE272D"/>
    <w:rsid w:val="00AE4122"/>
    <w:rsid w:val="00AE4445"/>
    <w:rsid w:val="00AE48B4"/>
    <w:rsid w:val="00AE5919"/>
    <w:rsid w:val="00AE5B68"/>
    <w:rsid w:val="00AE61A8"/>
    <w:rsid w:val="00AE78D5"/>
    <w:rsid w:val="00AF344F"/>
    <w:rsid w:val="00AF4016"/>
    <w:rsid w:val="00AF40FE"/>
    <w:rsid w:val="00AF45AF"/>
    <w:rsid w:val="00AF4CB2"/>
    <w:rsid w:val="00AF5454"/>
    <w:rsid w:val="00AF6CA4"/>
    <w:rsid w:val="00AF7704"/>
    <w:rsid w:val="00B0173C"/>
    <w:rsid w:val="00B017EE"/>
    <w:rsid w:val="00B039BD"/>
    <w:rsid w:val="00B043D7"/>
    <w:rsid w:val="00B04683"/>
    <w:rsid w:val="00B0541A"/>
    <w:rsid w:val="00B0577D"/>
    <w:rsid w:val="00B07450"/>
    <w:rsid w:val="00B078AD"/>
    <w:rsid w:val="00B10B5F"/>
    <w:rsid w:val="00B11775"/>
    <w:rsid w:val="00B118DA"/>
    <w:rsid w:val="00B129E5"/>
    <w:rsid w:val="00B13ECF"/>
    <w:rsid w:val="00B156ED"/>
    <w:rsid w:val="00B16057"/>
    <w:rsid w:val="00B1616B"/>
    <w:rsid w:val="00B16600"/>
    <w:rsid w:val="00B200E0"/>
    <w:rsid w:val="00B205C6"/>
    <w:rsid w:val="00B20ABA"/>
    <w:rsid w:val="00B215E1"/>
    <w:rsid w:val="00B21A08"/>
    <w:rsid w:val="00B229A7"/>
    <w:rsid w:val="00B23D19"/>
    <w:rsid w:val="00B24019"/>
    <w:rsid w:val="00B24349"/>
    <w:rsid w:val="00B244E0"/>
    <w:rsid w:val="00B250C1"/>
    <w:rsid w:val="00B2770A"/>
    <w:rsid w:val="00B27AB2"/>
    <w:rsid w:val="00B34C09"/>
    <w:rsid w:val="00B35594"/>
    <w:rsid w:val="00B37388"/>
    <w:rsid w:val="00B37544"/>
    <w:rsid w:val="00B402EA"/>
    <w:rsid w:val="00B4172F"/>
    <w:rsid w:val="00B42ECC"/>
    <w:rsid w:val="00B447F3"/>
    <w:rsid w:val="00B44C09"/>
    <w:rsid w:val="00B45F15"/>
    <w:rsid w:val="00B46B75"/>
    <w:rsid w:val="00B46CFC"/>
    <w:rsid w:val="00B47D4F"/>
    <w:rsid w:val="00B517EA"/>
    <w:rsid w:val="00B5405F"/>
    <w:rsid w:val="00B547E3"/>
    <w:rsid w:val="00B55EC2"/>
    <w:rsid w:val="00B56426"/>
    <w:rsid w:val="00B604D9"/>
    <w:rsid w:val="00B619B2"/>
    <w:rsid w:val="00B61C88"/>
    <w:rsid w:val="00B620D9"/>
    <w:rsid w:val="00B6245C"/>
    <w:rsid w:val="00B6354E"/>
    <w:rsid w:val="00B6384F"/>
    <w:rsid w:val="00B63BCC"/>
    <w:rsid w:val="00B64619"/>
    <w:rsid w:val="00B7148E"/>
    <w:rsid w:val="00B72881"/>
    <w:rsid w:val="00B762E1"/>
    <w:rsid w:val="00B7647C"/>
    <w:rsid w:val="00B76C24"/>
    <w:rsid w:val="00B77F93"/>
    <w:rsid w:val="00B801E4"/>
    <w:rsid w:val="00B808A1"/>
    <w:rsid w:val="00B86BE6"/>
    <w:rsid w:val="00B87306"/>
    <w:rsid w:val="00B926A1"/>
    <w:rsid w:val="00B928A9"/>
    <w:rsid w:val="00B92D5F"/>
    <w:rsid w:val="00B93D41"/>
    <w:rsid w:val="00B942E8"/>
    <w:rsid w:val="00B94D49"/>
    <w:rsid w:val="00B97D8B"/>
    <w:rsid w:val="00BA2CE9"/>
    <w:rsid w:val="00BA4EB9"/>
    <w:rsid w:val="00BA517B"/>
    <w:rsid w:val="00BA5C8D"/>
    <w:rsid w:val="00BA667B"/>
    <w:rsid w:val="00BA756C"/>
    <w:rsid w:val="00BB0065"/>
    <w:rsid w:val="00BB0BE7"/>
    <w:rsid w:val="00BB18AE"/>
    <w:rsid w:val="00BB198C"/>
    <w:rsid w:val="00BB1B19"/>
    <w:rsid w:val="00BB328E"/>
    <w:rsid w:val="00BB3E21"/>
    <w:rsid w:val="00BB5BAD"/>
    <w:rsid w:val="00BB6645"/>
    <w:rsid w:val="00BC2623"/>
    <w:rsid w:val="00BC60F3"/>
    <w:rsid w:val="00BC6ADA"/>
    <w:rsid w:val="00BC7ED0"/>
    <w:rsid w:val="00BD376E"/>
    <w:rsid w:val="00BD4977"/>
    <w:rsid w:val="00BD49F5"/>
    <w:rsid w:val="00BD4AED"/>
    <w:rsid w:val="00BD5BAA"/>
    <w:rsid w:val="00BD6B56"/>
    <w:rsid w:val="00BE19E4"/>
    <w:rsid w:val="00BE35AB"/>
    <w:rsid w:val="00BE5F94"/>
    <w:rsid w:val="00BE63BC"/>
    <w:rsid w:val="00BE63DD"/>
    <w:rsid w:val="00BEE444"/>
    <w:rsid w:val="00BF11E7"/>
    <w:rsid w:val="00BF13E6"/>
    <w:rsid w:val="00BF13FD"/>
    <w:rsid w:val="00BF184F"/>
    <w:rsid w:val="00BF45F8"/>
    <w:rsid w:val="00BF5EB2"/>
    <w:rsid w:val="00BF637C"/>
    <w:rsid w:val="00C0089B"/>
    <w:rsid w:val="00C02A72"/>
    <w:rsid w:val="00C02E30"/>
    <w:rsid w:val="00C03709"/>
    <w:rsid w:val="00C063F4"/>
    <w:rsid w:val="00C06740"/>
    <w:rsid w:val="00C06DD4"/>
    <w:rsid w:val="00C07AD6"/>
    <w:rsid w:val="00C1049E"/>
    <w:rsid w:val="00C11FD6"/>
    <w:rsid w:val="00C1208F"/>
    <w:rsid w:val="00C13CE6"/>
    <w:rsid w:val="00C14B5D"/>
    <w:rsid w:val="00C14D49"/>
    <w:rsid w:val="00C15283"/>
    <w:rsid w:val="00C15F61"/>
    <w:rsid w:val="00C16A0D"/>
    <w:rsid w:val="00C216C5"/>
    <w:rsid w:val="00C22C69"/>
    <w:rsid w:val="00C24823"/>
    <w:rsid w:val="00C249D9"/>
    <w:rsid w:val="00C25B2B"/>
    <w:rsid w:val="00C27221"/>
    <w:rsid w:val="00C320F5"/>
    <w:rsid w:val="00C334D3"/>
    <w:rsid w:val="00C349E3"/>
    <w:rsid w:val="00C35FF5"/>
    <w:rsid w:val="00C36228"/>
    <w:rsid w:val="00C37457"/>
    <w:rsid w:val="00C37AAF"/>
    <w:rsid w:val="00C4026B"/>
    <w:rsid w:val="00C4084D"/>
    <w:rsid w:val="00C42D5F"/>
    <w:rsid w:val="00C430B0"/>
    <w:rsid w:val="00C44A44"/>
    <w:rsid w:val="00C45AB5"/>
    <w:rsid w:val="00C46504"/>
    <w:rsid w:val="00C47CF7"/>
    <w:rsid w:val="00C511A0"/>
    <w:rsid w:val="00C515CE"/>
    <w:rsid w:val="00C536BF"/>
    <w:rsid w:val="00C55B00"/>
    <w:rsid w:val="00C56415"/>
    <w:rsid w:val="00C569FB"/>
    <w:rsid w:val="00C6118C"/>
    <w:rsid w:val="00C61475"/>
    <w:rsid w:val="00C619E8"/>
    <w:rsid w:val="00C6289E"/>
    <w:rsid w:val="00C62A28"/>
    <w:rsid w:val="00C63916"/>
    <w:rsid w:val="00C64A91"/>
    <w:rsid w:val="00C64BEE"/>
    <w:rsid w:val="00C667BF"/>
    <w:rsid w:val="00C73DCA"/>
    <w:rsid w:val="00C74426"/>
    <w:rsid w:val="00C74908"/>
    <w:rsid w:val="00C7574E"/>
    <w:rsid w:val="00C765A9"/>
    <w:rsid w:val="00C766A2"/>
    <w:rsid w:val="00C776B7"/>
    <w:rsid w:val="00C776D4"/>
    <w:rsid w:val="00C81A14"/>
    <w:rsid w:val="00C827A9"/>
    <w:rsid w:val="00C82FD2"/>
    <w:rsid w:val="00C842CB"/>
    <w:rsid w:val="00C86178"/>
    <w:rsid w:val="00C86578"/>
    <w:rsid w:val="00C86C4B"/>
    <w:rsid w:val="00C876CC"/>
    <w:rsid w:val="00C90655"/>
    <w:rsid w:val="00C91465"/>
    <w:rsid w:val="00C92B17"/>
    <w:rsid w:val="00C93E91"/>
    <w:rsid w:val="00C94288"/>
    <w:rsid w:val="00CA007B"/>
    <w:rsid w:val="00CA015A"/>
    <w:rsid w:val="00CA1222"/>
    <w:rsid w:val="00CA18B4"/>
    <w:rsid w:val="00CA3C01"/>
    <w:rsid w:val="00CA77EA"/>
    <w:rsid w:val="00CB1030"/>
    <w:rsid w:val="00CB15CC"/>
    <w:rsid w:val="00CB37AA"/>
    <w:rsid w:val="00CB4771"/>
    <w:rsid w:val="00CB5928"/>
    <w:rsid w:val="00CB5C3F"/>
    <w:rsid w:val="00CB635D"/>
    <w:rsid w:val="00CB69E4"/>
    <w:rsid w:val="00CB772F"/>
    <w:rsid w:val="00CC18BC"/>
    <w:rsid w:val="00CC212A"/>
    <w:rsid w:val="00CC42D8"/>
    <w:rsid w:val="00CC5A62"/>
    <w:rsid w:val="00CD2FB4"/>
    <w:rsid w:val="00CD3DD3"/>
    <w:rsid w:val="00CD3EBB"/>
    <w:rsid w:val="00CD4D95"/>
    <w:rsid w:val="00CD5818"/>
    <w:rsid w:val="00CD5A24"/>
    <w:rsid w:val="00CD6D39"/>
    <w:rsid w:val="00CD724A"/>
    <w:rsid w:val="00CE04FF"/>
    <w:rsid w:val="00CE09F7"/>
    <w:rsid w:val="00CE0A4D"/>
    <w:rsid w:val="00CE1224"/>
    <w:rsid w:val="00CE6547"/>
    <w:rsid w:val="00CE7D5F"/>
    <w:rsid w:val="00CF0647"/>
    <w:rsid w:val="00CF2097"/>
    <w:rsid w:val="00CF2DA4"/>
    <w:rsid w:val="00CF512A"/>
    <w:rsid w:val="00CF5CCC"/>
    <w:rsid w:val="00CF66FF"/>
    <w:rsid w:val="00CF78EB"/>
    <w:rsid w:val="00CF7CAE"/>
    <w:rsid w:val="00D000E3"/>
    <w:rsid w:val="00D00A60"/>
    <w:rsid w:val="00D01232"/>
    <w:rsid w:val="00D01951"/>
    <w:rsid w:val="00D02CC4"/>
    <w:rsid w:val="00D034DA"/>
    <w:rsid w:val="00D0538C"/>
    <w:rsid w:val="00D07A4B"/>
    <w:rsid w:val="00D07B2D"/>
    <w:rsid w:val="00D1021F"/>
    <w:rsid w:val="00D107EE"/>
    <w:rsid w:val="00D10F3D"/>
    <w:rsid w:val="00D11B18"/>
    <w:rsid w:val="00D122C4"/>
    <w:rsid w:val="00D14682"/>
    <w:rsid w:val="00D174A6"/>
    <w:rsid w:val="00D211A2"/>
    <w:rsid w:val="00D21E5B"/>
    <w:rsid w:val="00D21F82"/>
    <w:rsid w:val="00D22A2D"/>
    <w:rsid w:val="00D22A6D"/>
    <w:rsid w:val="00D24009"/>
    <w:rsid w:val="00D24E51"/>
    <w:rsid w:val="00D24F3C"/>
    <w:rsid w:val="00D267F4"/>
    <w:rsid w:val="00D26924"/>
    <w:rsid w:val="00D26C76"/>
    <w:rsid w:val="00D26FB0"/>
    <w:rsid w:val="00D27205"/>
    <w:rsid w:val="00D27350"/>
    <w:rsid w:val="00D3001F"/>
    <w:rsid w:val="00D301C8"/>
    <w:rsid w:val="00D30800"/>
    <w:rsid w:val="00D30951"/>
    <w:rsid w:val="00D3445F"/>
    <w:rsid w:val="00D3515D"/>
    <w:rsid w:val="00D35305"/>
    <w:rsid w:val="00D35F27"/>
    <w:rsid w:val="00D36373"/>
    <w:rsid w:val="00D3689B"/>
    <w:rsid w:val="00D42F49"/>
    <w:rsid w:val="00D44BE4"/>
    <w:rsid w:val="00D451AE"/>
    <w:rsid w:val="00D453DD"/>
    <w:rsid w:val="00D4552C"/>
    <w:rsid w:val="00D46627"/>
    <w:rsid w:val="00D46F61"/>
    <w:rsid w:val="00D546F0"/>
    <w:rsid w:val="00D55B51"/>
    <w:rsid w:val="00D565A1"/>
    <w:rsid w:val="00D5719D"/>
    <w:rsid w:val="00D576F2"/>
    <w:rsid w:val="00D601E9"/>
    <w:rsid w:val="00D62E3C"/>
    <w:rsid w:val="00D6490B"/>
    <w:rsid w:val="00D67844"/>
    <w:rsid w:val="00D704DA"/>
    <w:rsid w:val="00D71048"/>
    <w:rsid w:val="00D75B1F"/>
    <w:rsid w:val="00D76DC2"/>
    <w:rsid w:val="00D77C5C"/>
    <w:rsid w:val="00D80402"/>
    <w:rsid w:val="00D81437"/>
    <w:rsid w:val="00D83BA9"/>
    <w:rsid w:val="00D8408D"/>
    <w:rsid w:val="00D84701"/>
    <w:rsid w:val="00D86478"/>
    <w:rsid w:val="00D874E9"/>
    <w:rsid w:val="00D917CD"/>
    <w:rsid w:val="00D925EE"/>
    <w:rsid w:val="00D94B6C"/>
    <w:rsid w:val="00D94DA1"/>
    <w:rsid w:val="00D95286"/>
    <w:rsid w:val="00D954A6"/>
    <w:rsid w:val="00D95F15"/>
    <w:rsid w:val="00D979A6"/>
    <w:rsid w:val="00D97FBD"/>
    <w:rsid w:val="00DA1F94"/>
    <w:rsid w:val="00DA236F"/>
    <w:rsid w:val="00DA3305"/>
    <w:rsid w:val="00DA3DCA"/>
    <w:rsid w:val="00DA3E02"/>
    <w:rsid w:val="00DA42FC"/>
    <w:rsid w:val="00DA65EF"/>
    <w:rsid w:val="00DA7D8E"/>
    <w:rsid w:val="00DB01C5"/>
    <w:rsid w:val="00DB10F8"/>
    <w:rsid w:val="00DB1794"/>
    <w:rsid w:val="00DB1B0B"/>
    <w:rsid w:val="00DB20A4"/>
    <w:rsid w:val="00DB3CD6"/>
    <w:rsid w:val="00DB3D06"/>
    <w:rsid w:val="00DB3DA0"/>
    <w:rsid w:val="00DB4803"/>
    <w:rsid w:val="00DB5271"/>
    <w:rsid w:val="00DB5309"/>
    <w:rsid w:val="00DC1972"/>
    <w:rsid w:val="00DC1DA7"/>
    <w:rsid w:val="00DC2340"/>
    <w:rsid w:val="00DC3109"/>
    <w:rsid w:val="00DC35B1"/>
    <w:rsid w:val="00DD047E"/>
    <w:rsid w:val="00DD0EA7"/>
    <w:rsid w:val="00DD1B33"/>
    <w:rsid w:val="00DD20A1"/>
    <w:rsid w:val="00DD21D8"/>
    <w:rsid w:val="00DD28BC"/>
    <w:rsid w:val="00DD3296"/>
    <w:rsid w:val="00DD3B1D"/>
    <w:rsid w:val="00DD4DD0"/>
    <w:rsid w:val="00DD594A"/>
    <w:rsid w:val="00DD5E61"/>
    <w:rsid w:val="00DD5E6F"/>
    <w:rsid w:val="00DD6EAF"/>
    <w:rsid w:val="00DD7E89"/>
    <w:rsid w:val="00DE180F"/>
    <w:rsid w:val="00DE29E6"/>
    <w:rsid w:val="00DE2FE1"/>
    <w:rsid w:val="00DE30AF"/>
    <w:rsid w:val="00DE31CA"/>
    <w:rsid w:val="00DE335E"/>
    <w:rsid w:val="00DE53A4"/>
    <w:rsid w:val="00DE590F"/>
    <w:rsid w:val="00DE5EAC"/>
    <w:rsid w:val="00DE5F30"/>
    <w:rsid w:val="00DF06D8"/>
    <w:rsid w:val="00DF09D3"/>
    <w:rsid w:val="00DF1D36"/>
    <w:rsid w:val="00DF31A8"/>
    <w:rsid w:val="00DF48D9"/>
    <w:rsid w:val="00DF5A6E"/>
    <w:rsid w:val="00DF67B7"/>
    <w:rsid w:val="00E033A7"/>
    <w:rsid w:val="00E04133"/>
    <w:rsid w:val="00E046BC"/>
    <w:rsid w:val="00E06852"/>
    <w:rsid w:val="00E06E91"/>
    <w:rsid w:val="00E07F63"/>
    <w:rsid w:val="00E15AD4"/>
    <w:rsid w:val="00E175EE"/>
    <w:rsid w:val="00E17DF0"/>
    <w:rsid w:val="00E209A6"/>
    <w:rsid w:val="00E21944"/>
    <w:rsid w:val="00E2281F"/>
    <w:rsid w:val="00E23358"/>
    <w:rsid w:val="00E2464E"/>
    <w:rsid w:val="00E24CBB"/>
    <w:rsid w:val="00E263BD"/>
    <w:rsid w:val="00E2717A"/>
    <w:rsid w:val="00E34442"/>
    <w:rsid w:val="00E34843"/>
    <w:rsid w:val="00E36129"/>
    <w:rsid w:val="00E363A8"/>
    <w:rsid w:val="00E40D88"/>
    <w:rsid w:val="00E422E8"/>
    <w:rsid w:val="00E434DD"/>
    <w:rsid w:val="00E44AED"/>
    <w:rsid w:val="00E464AB"/>
    <w:rsid w:val="00E46AFC"/>
    <w:rsid w:val="00E470E7"/>
    <w:rsid w:val="00E509E2"/>
    <w:rsid w:val="00E53314"/>
    <w:rsid w:val="00E54588"/>
    <w:rsid w:val="00E60C5E"/>
    <w:rsid w:val="00E62B3B"/>
    <w:rsid w:val="00E638FA"/>
    <w:rsid w:val="00E64B30"/>
    <w:rsid w:val="00E65E85"/>
    <w:rsid w:val="00E67A22"/>
    <w:rsid w:val="00E71595"/>
    <w:rsid w:val="00E717C0"/>
    <w:rsid w:val="00E71B49"/>
    <w:rsid w:val="00E731FD"/>
    <w:rsid w:val="00E73AA6"/>
    <w:rsid w:val="00E73FF4"/>
    <w:rsid w:val="00E745CE"/>
    <w:rsid w:val="00E764BE"/>
    <w:rsid w:val="00E76569"/>
    <w:rsid w:val="00E7685C"/>
    <w:rsid w:val="00E808EC"/>
    <w:rsid w:val="00E8237B"/>
    <w:rsid w:val="00E8276B"/>
    <w:rsid w:val="00E831A6"/>
    <w:rsid w:val="00E83764"/>
    <w:rsid w:val="00E843DA"/>
    <w:rsid w:val="00E8453D"/>
    <w:rsid w:val="00E8494D"/>
    <w:rsid w:val="00E85195"/>
    <w:rsid w:val="00E916D0"/>
    <w:rsid w:val="00E936D6"/>
    <w:rsid w:val="00E9403B"/>
    <w:rsid w:val="00E94384"/>
    <w:rsid w:val="00E949C9"/>
    <w:rsid w:val="00E950EC"/>
    <w:rsid w:val="00E96F24"/>
    <w:rsid w:val="00E97433"/>
    <w:rsid w:val="00EA0190"/>
    <w:rsid w:val="00EA1300"/>
    <w:rsid w:val="00EA1474"/>
    <w:rsid w:val="00EA26D1"/>
    <w:rsid w:val="00EA3847"/>
    <w:rsid w:val="00EB2ACF"/>
    <w:rsid w:val="00EB2C33"/>
    <w:rsid w:val="00EB3A58"/>
    <w:rsid w:val="00EB3E75"/>
    <w:rsid w:val="00EB3FFE"/>
    <w:rsid w:val="00EB5435"/>
    <w:rsid w:val="00EB55C6"/>
    <w:rsid w:val="00EB5C80"/>
    <w:rsid w:val="00EB6F15"/>
    <w:rsid w:val="00EB707C"/>
    <w:rsid w:val="00EB74D5"/>
    <w:rsid w:val="00EC2923"/>
    <w:rsid w:val="00EC32E4"/>
    <w:rsid w:val="00EC414F"/>
    <w:rsid w:val="00EC6C56"/>
    <w:rsid w:val="00EC798F"/>
    <w:rsid w:val="00EC7F8B"/>
    <w:rsid w:val="00ED0399"/>
    <w:rsid w:val="00ED06F6"/>
    <w:rsid w:val="00ED2BEF"/>
    <w:rsid w:val="00ED35CD"/>
    <w:rsid w:val="00ED4E7E"/>
    <w:rsid w:val="00ED713A"/>
    <w:rsid w:val="00EE01C0"/>
    <w:rsid w:val="00EE037A"/>
    <w:rsid w:val="00EE2E72"/>
    <w:rsid w:val="00EE3355"/>
    <w:rsid w:val="00EE74D0"/>
    <w:rsid w:val="00EF0AB1"/>
    <w:rsid w:val="00EF1075"/>
    <w:rsid w:val="00EF1D3E"/>
    <w:rsid w:val="00EF24A6"/>
    <w:rsid w:val="00EF4941"/>
    <w:rsid w:val="00EF5706"/>
    <w:rsid w:val="00EF5E00"/>
    <w:rsid w:val="00EF61E0"/>
    <w:rsid w:val="00EF7F5E"/>
    <w:rsid w:val="00F006B8"/>
    <w:rsid w:val="00F00765"/>
    <w:rsid w:val="00F00987"/>
    <w:rsid w:val="00F00D32"/>
    <w:rsid w:val="00F00DB6"/>
    <w:rsid w:val="00F022E0"/>
    <w:rsid w:val="00F024BB"/>
    <w:rsid w:val="00F0462C"/>
    <w:rsid w:val="00F04ADF"/>
    <w:rsid w:val="00F06B37"/>
    <w:rsid w:val="00F07418"/>
    <w:rsid w:val="00F12676"/>
    <w:rsid w:val="00F13D5E"/>
    <w:rsid w:val="00F1458D"/>
    <w:rsid w:val="00F145D4"/>
    <w:rsid w:val="00F14E05"/>
    <w:rsid w:val="00F164BC"/>
    <w:rsid w:val="00F17D5B"/>
    <w:rsid w:val="00F2091E"/>
    <w:rsid w:val="00F212C6"/>
    <w:rsid w:val="00F2138F"/>
    <w:rsid w:val="00F227D3"/>
    <w:rsid w:val="00F22A1F"/>
    <w:rsid w:val="00F22E21"/>
    <w:rsid w:val="00F2391A"/>
    <w:rsid w:val="00F248A9"/>
    <w:rsid w:val="00F302FD"/>
    <w:rsid w:val="00F30621"/>
    <w:rsid w:val="00F32315"/>
    <w:rsid w:val="00F3271B"/>
    <w:rsid w:val="00F329C5"/>
    <w:rsid w:val="00F33A18"/>
    <w:rsid w:val="00F33BFE"/>
    <w:rsid w:val="00F34937"/>
    <w:rsid w:val="00F40C0D"/>
    <w:rsid w:val="00F42D19"/>
    <w:rsid w:val="00F45C30"/>
    <w:rsid w:val="00F45E12"/>
    <w:rsid w:val="00F50DF8"/>
    <w:rsid w:val="00F52342"/>
    <w:rsid w:val="00F52B0A"/>
    <w:rsid w:val="00F52CD5"/>
    <w:rsid w:val="00F560AA"/>
    <w:rsid w:val="00F5753B"/>
    <w:rsid w:val="00F62B2B"/>
    <w:rsid w:val="00F63020"/>
    <w:rsid w:val="00F637D0"/>
    <w:rsid w:val="00F63DE1"/>
    <w:rsid w:val="00F642DB"/>
    <w:rsid w:val="00F66852"/>
    <w:rsid w:val="00F66E61"/>
    <w:rsid w:val="00F675BB"/>
    <w:rsid w:val="00F678CB"/>
    <w:rsid w:val="00F67C50"/>
    <w:rsid w:val="00F70F39"/>
    <w:rsid w:val="00F713E1"/>
    <w:rsid w:val="00F71525"/>
    <w:rsid w:val="00F73592"/>
    <w:rsid w:val="00F74DD7"/>
    <w:rsid w:val="00F75F92"/>
    <w:rsid w:val="00F765C8"/>
    <w:rsid w:val="00F80934"/>
    <w:rsid w:val="00F833DA"/>
    <w:rsid w:val="00F83C80"/>
    <w:rsid w:val="00F84276"/>
    <w:rsid w:val="00F85011"/>
    <w:rsid w:val="00F85354"/>
    <w:rsid w:val="00F90FC0"/>
    <w:rsid w:val="00F92C18"/>
    <w:rsid w:val="00F930CD"/>
    <w:rsid w:val="00F934A5"/>
    <w:rsid w:val="00F96B9E"/>
    <w:rsid w:val="00F97BF6"/>
    <w:rsid w:val="00FA0CD3"/>
    <w:rsid w:val="00FA103F"/>
    <w:rsid w:val="00FA1985"/>
    <w:rsid w:val="00FA3542"/>
    <w:rsid w:val="00FA363C"/>
    <w:rsid w:val="00FA540B"/>
    <w:rsid w:val="00FA5BB6"/>
    <w:rsid w:val="00FA737B"/>
    <w:rsid w:val="00FA777B"/>
    <w:rsid w:val="00FB084B"/>
    <w:rsid w:val="00FB1573"/>
    <w:rsid w:val="00FB19F9"/>
    <w:rsid w:val="00FB3112"/>
    <w:rsid w:val="00FB3FAF"/>
    <w:rsid w:val="00FB457F"/>
    <w:rsid w:val="00FB4BA9"/>
    <w:rsid w:val="00FB4C06"/>
    <w:rsid w:val="00FB582D"/>
    <w:rsid w:val="00FB692F"/>
    <w:rsid w:val="00FC2C2E"/>
    <w:rsid w:val="00FC459F"/>
    <w:rsid w:val="00FC56CB"/>
    <w:rsid w:val="00FC65FD"/>
    <w:rsid w:val="00FC6F01"/>
    <w:rsid w:val="00FC71F6"/>
    <w:rsid w:val="00FD1E7B"/>
    <w:rsid w:val="00FD29D3"/>
    <w:rsid w:val="00FD481F"/>
    <w:rsid w:val="00FD51B7"/>
    <w:rsid w:val="00FD6D92"/>
    <w:rsid w:val="00FD7540"/>
    <w:rsid w:val="00FE022A"/>
    <w:rsid w:val="00FE28FE"/>
    <w:rsid w:val="00FE3BD6"/>
    <w:rsid w:val="00FE3DC1"/>
    <w:rsid w:val="00FE47D6"/>
    <w:rsid w:val="00FE4AB1"/>
    <w:rsid w:val="00FE5852"/>
    <w:rsid w:val="00FE63C1"/>
    <w:rsid w:val="00FE63EF"/>
    <w:rsid w:val="00FE6E75"/>
    <w:rsid w:val="00FF0AD2"/>
    <w:rsid w:val="00FF2FAD"/>
    <w:rsid w:val="00FF7F9F"/>
    <w:rsid w:val="01165DEC"/>
    <w:rsid w:val="0134DD4C"/>
    <w:rsid w:val="0149D64D"/>
    <w:rsid w:val="0237A919"/>
    <w:rsid w:val="03150BA6"/>
    <w:rsid w:val="0338216B"/>
    <w:rsid w:val="037B8F7F"/>
    <w:rsid w:val="0460F6A4"/>
    <w:rsid w:val="04DC5F7A"/>
    <w:rsid w:val="06A2866F"/>
    <w:rsid w:val="06CEF33D"/>
    <w:rsid w:val="07160C2A"/>
    <w:rsid w:val="07E5DE0E"/>
    <w:rsid w:val="0853E702"/>
    <w:rsid w:val="08952DE7"/>
    <w:rsid w:val="0A8FB66F"/>
    <w:rsid w:val="0CB62952"/>
    <w:rsid w:val="0D6D3294"/>
    <w:rsid w:val="0E6208EE"/>
    <w:rsid w:val="0E63F468"/>
    <w:rsid w:val="10762DCE"/>
    <w:rsid w:val="1199E892"/>
    <w:rsid w:val="1281B6AB"/>
    <w:rsid w:val="13064368"/>
    <w:rsid w:val="1323EE03"/>
    <w:rsid w:val="141D870C"/>
    <w:rsid w:val="142EDBE5"/>
    <w:rsid w:val="143AFCCC"/>
    <w:rsid w:val="144A75D6"/>
    <w:rsid w:val="14620BF4"/>
    <w:rsid w:val="1506C19B"/>
    <w:rsid w:val="1659C768"/>
    <w:rsid w:val="16788216"/>
    <w:rsid w:val="180F2189"/>
    <w:rsid w:val="1848B6AF"/>
    <w:rsid w:val="1878E58F"/>
    <w:rsid w:val="199314AA"/>
    <w:rsid w:val="19FC8015"/>
    <w:rsid w:val="1ACF2D25"/>
    <w:rsid w:val="1C1C1A15"/>
    <w:rsid w:val="1E7A8881"/>
    <w:rsid w:val="1EF3C17A"/>
    <w:rsid w:val="1F619F32"/>
    <w:rsid w:val="1FA936DA"/>
    <w:rsid w:val="213F6694"/>
    <w:rsid w:val="21AD3337"/>
    <w:rsid w:val="223859DA"/>
    <w:rsid w:val="22BEBCBB"/>
    <w:rsid w:val="233CFAB5"/>
    <w:rsid w:val="23A5A584"/>
    <w:rsid w:val="24D63011"/>
    <w:rsid w:val="24F8825B"/>
    <w:rsid w:val="26BE69AF"/>
    <w:rsid w:val="280DD427"/>
    <w:rsid w:val="2810302F"/>
    <w:rsid w:val="2885B897"/>
    <w:rsid w:val="28BDCF1B"/>
    <w:rsid w:val="29159544"/>
    <w:rsid w:val="29319C6F"/>
    <w:rsid w:val="2A3D4381"/>
    <w:rsid w:val="2AC98C9B"/>
    <w:rsid w:val="2B5718E7"/>
    <w:rsid w:val="2BBE4BAD"/>
    <w:rsid w:val="2C33C2C1"/>
    <w:rsid w:val="2C3FEF20"/>
    <w:rsid w:val="2C986D9B"/>
    <w:rsid w:val="2CC8F987"/>
    <w:rsid w:val="2CD163D3"/>
    <w:rsid w:val="2DF394DD"/>
    <w:rsid w:val="2E413B32"/>
    <w:rsid w:val="2EA91F77"/>
    <w:rsid w:val="2EF90CF3"/>
    <w:rsid w:val="2F38D6D4"/>
    <w:rsid w:val="2F921170"/>
    <w:rsid w:val="2FB368BF"/>
    <w:rsid w:val="30124077"/>
    <w:rsid w:val="306DA086"/>
    <w:rsid w:val="315608E9"/>
    <w:rsid w:val="31FB57F8"/>
    <w:rsid w:val="3221DC8D"/>
    <w:rsid w:val="332FE238"/>
    <w:rsid w:val="33BF8237"/>
    <w:rsid w:val="33C6D229"/>
    <w:rsid w:val="34C053F4"/>
    <w:rsid w:val="36A29968"/>
    <w:rsid w:val="36F569A5"/>
    <w:rsid w:val="37382284"/>
    <w:rsid w:val="37551247"/>
    <w:rsid w:val="383E69C9"/>
    <w:rsid w:val="3A1D917F"/>
    <w:rsid w:val="3A9B9101"/>
    <w:rsid w:val="3B638639"/>
    <w:rsid w:val="3C370FE3"/>
    <w:rsid w:val="3D75EFE8"/>
    <w:rsid w:val="3DE487FC"/>
    <w:rsid w:val="40505EC7"/>
    <w:rsid w:val="40799176"/>
    <w:rsid w:val="40E2CC30"/>
    <w:rsid w:val="421EA031"/>
    <w:rsid w:val="4236148B"/>
    <w:rsid w:val="42A792A0"/>
    <w:rsid w:val="436F1A3B"/>
    <w:rsid w:val="446428E7"/>
    <w:rsid w:val="44F14022"/>
    <w:rsid w:val="45462DB7"/>
    <w:rsid w:val="467271DA"/>
    <w:rsid w:val="468ACB37"/>
    <w:rsid w:val="46D60A18"/>
    <w:rsid w:val="46F21154"/>
    <w:rsid w:val="478417B7"/>
    <w:rsid w:val="4841F662"/>
    <w:rsid w:val="48E0590C"/>
    <w:rsid w:val="492ED74C"/>
    <w:rsid w:val="4ACD7675"/>
    <w:rsid w:val="4B56E702"/>
    <w:rsid w:val="4C05E003"/>
    <w:rsid w:val="4D76748A"/>
    <w:rsid w:val="4D86179D"/>
    <w:rsid w:val="4E197A6F"/>
    <w:rsid w:val="4EA4F3E1"/>
    <w:rsid w:val="4EA62435"/>
    <w:rsid w:val="5176E82F"/>
    <w:rsid w:val="519B8310"/>
    <w:rsid w:val="529260FF"/>
    <w:rsid w:val="5348F737"/>
    <w:rsid w:val="5383F2E9"/>
    <w:rsid w:val="55CA01C1"/>
    <w:rsid w:val="5646FF53"/>
    <w:rsid w:val="589EEDE0"/>
    <w:rsid w:val="58F91808"/>
    <w:rsid w:val="5AA4EBA2"/>
    <w:rsid w:val="5AB53A7B"/>
    <w:rsid w:val="5BB2935F"/>
    <w:rsid w:val="5CB78A6A"/>
    <w:rsid w:val="5CCF6934"/>
    <w:rsid w:val="5E1D9C37"/>
    <w:rsid w:val="5E5CFD86"/>
    <w:rsid w:val="5EADC3AA"/>
    <w:rsid w:val="5F1B3489"/>
    <w:rsid w:val="6117FD89"/>
    <w:rsid w:val="6248277A"/>
    <w:rsid w:val="62C0818A"/>
    <w:rsid w:val="634FF542"/>
    <w:rsid w:val="656A2D47"/>
    <w:rsid w:val="6584B1A4"/>
    <w:rsid w:val="66BCCF29"/>
    <w:rsid w:val="672C294C"/>
    <w:rsid w:val="6752A319"/>
    <w:rsid w:val="67C407EA"/>
    <w:rsid w:val="68A0432F"/>
    <w:rsid w:val="691FB3D3"/>
    <w:rsid w:val="691FE9C3"/>
    <w:rsid w:val="6A9716B1"/>
    <w:rsid w:val="6ACB936F"/>
    <w:rsid w:val="6C3D7F90"/>
    <w:rsid w:val="6CB136FD"/>
    <w:rsid w:val="6E702288"/>
    <w:rsid w:val="6F76AACD"/>
    <w:rsid w:val="7142C279"/>
    <w:rsid w:val="71A7C34A"/>
    <w:rsid w:val="722E97E6"/>
    <w:rsid w:val="734393AB"/>
    <w:rsid w:val="74902BFB"/>
    <w:rsid w:val="75ED168B"/>
    <w:rsid w:val="76115F58"/>
    <w:rsid w:val="776EF760"/>
    <w:rsid w:val="7927178A"/>
    <w:rsid w:val="798F1B19"/>
    <w:rsid w:val="79FDBB9E"/>
    <w:rsid w:val="7AA69822"/>
    <w:rsid w:val="7AE9A4BF"/>
    <w:rsid w:val="7BCF7ACD"/>
    <w:rsid w:val="7C04080A"/>
    <w:rsid w:val="7D75B12E"/>
    <w:rsid w:val="7EAF0893"/>
    <w:rsid w:val="7F58662E"/>
    <w:rsid w:val="7F6CC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B8E6"/>
  <w15:docId w15:val="{238343DD-CDC3-426A-A7E8-50FAD4A7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76"/>
      <w:ind w:left="220"/>
      <w:outlineLvl w:val="1"/>
    </w:pPr>
    <w:rPr>
      <w:sz w:val="28"/>
      <w:szCs w:val="28"/>
    </w:rPr>
  </w:style>
  <w:style w:type="paragraph" w:styleId="Heading3">
    <w:name w:val="heading 3"/>
    <w:basedOn w:val="Normal"/>
    <w:uiPriority w:val="9"/>
    <w:unhideWhenUsed/>
    <w:qFormat/>
    <w:pPr>
      <w:spacing w:line="279" w:lineRule="exact"/>
      <w:ind w:left="220"/>
      <w:outlineLvl w:val="2"/>
    </w:pPr>
    <w:rPr>
      <w:sz w:val="25"/>
      <w:szCs w:val="25"/>
    </w:rPr>
  </w:style>
  <w:style w:type="paragraph" w:styleId="Heading4">
    <w:name w:val="heading 4"/>
    <w:basedOn w:val="Normal"/>
    <w:uiPriority w:val="9"/>
    <w:unhideWhenUsed/>
    <w:qFormat/>
    <w:pPr>
      <w:spacing w:line="269" w:lineRule="exact"/>
      <w:ind w:left="220"/>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20"/>
    </w:pPr>
  </w:style>
  <w:style w:type="paragraph" w:styleId="BodyText">
    <w:name w:val="Body Text"/>
    <w:basedOn w:val="Normal"/>
    <w:link w:val="BodyTextChar"/>
    <w:uiPriority w:val="1"/>
    <w:qFormat/>
    <w:rPr>
      <w:szCs w:val="24"/>
    </w:rPr>
  </w:style>
  <w:style w:type="paragraph" w:styleId="ListParagraph">
    <w:name w:val="List Paragraph"/>
    <w:basedOn w:val="Normal"/>
    <w:link w:val="ListParagraphChar"/>
    <w:uiPriority w:val="34"/>
    <w:qFormat/>
    <w:pPr>
      <w:ind w:left="94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DE2FE1"/>
    <w:rPr>
      <w:rFonts w:ascii="Garamond" w:eastAsia="Garamond" w:hAnsi="Garamond" w:cs="Garamond"/>
      <w:lang w:bidi="en-US"/>
    </w:rPr>
  </w:style>
  <w:style w:type="paragraph" w:styleId="FootnoteText">
    <w:name w:val="footnote text"/>
    <w:basedOn w:val="Normal"/>
    <w:link w:val="FootnoteTextChar"/>
    <w:uiPriority w:val="99"/>
    <w:unhideWhenUsed/>
    <w:rsid w:val="00C249D9"/>
    <w:rPr>
      <w:sz w:val="20"/>
    </w:rPr>
  </w:style>
  <w:style w:type="character" w:customStyle="1" w:styleId="FootnoteTextChar">
    <w:name w:val="Footnote Text Char"/>
    <w:basedOn w:val="DefaultParagraphFont"/>
    <w:link w:val="FootnoteText"/>
    <w:uiPriority w:val="99"/>
    <w:rsid w:val="00C249D9"/>
    <w:rPr>
      <w:rFonts w:ascii="Garamond" w:eastAsia="Garamond" w:hAnsi="Garamond" w:cs="Garamond"/>
      <w:sz w:val="20"/>
      <w:szCs w:val="20"/>
      <w:lang w:bidi="en-US"/>
    </w:rPr>
  </w:style>
  <w:style w:type="character" w:styleId="FootnoteReference">
    <w:name w:val="footnote reference"/>
    <w:basedOn w:val="DefaultParagraphFont"/>
    <w:uiPriority w:val="99"/>
    <w:unhideWhenUsed/>
    <w:rsid w:val="00C249D9"/>
    <w:rPr>
      <w:vertAlign w:val="superscript"/>
    </w:rPr>
  </w:style>
  <w:style w:type="character" w:styleId="Hyperlink">
    <w:name w:val="Hyperlink"/>
    <w:basedOn w:val="DefaultParagraphFont"/>
    <w:uiPriority w:val="99"/>
    <w:unhideWhenUsed/>
    <w:rsid w:val="0088053D"/>
    <w:rPr>
      <w:color w:val="0000FF" w:themeColor="hyperlink"/>
      <w:u w:val="single"/>
    </w:rPr>
  </w:style>
  <w:style w:type="character" w:styleId="UnresolvedMention">
    <w:name w:val="Unresolved Mention"/>
    <w:basedOn w:val="DefaultParagraphFont"/>
    <w:uiPriority w:val="99"/>
    <w:semiHidden/>
    <w:unhideWhenUsed/>
    <w:rsid w:val="0088053D"/>
    <w:rPr>
      <w:color w:val="605E5C"/>
      <w:shd w:val="clear" w:color="auto" w:fill="E1DFDD"/>
    </w:rPr>
  </w:style>
  <w:style w:type="table" w:styleId="TableGrid">
    <w:name w:val="Table Grid"/>
    <w:basedOn w:val="TableNormal"/>
    <w:uiPriority w:val="39"/>
    <w:rsid w:val="00D3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32"/>
    <w:rPr>
      <w:sz w:val="16"/>
      <w:szCs w:val="16"/>
    </w:rPr>
  </w:style>
  <w:style w:type="paragraph" w:styleId="CommentText">
    <w:name w:val="annotation text"/>
    <w:basedOn w:val="Normal"/>
    <w:link w:val="CommentTextChar"/>
    <w:uiPriority w:val="99"/>
    <w:unhideWhenUsed/>
    <w:rsid w:val="00866332"/>
    <w:rPr>
      <w:sz w:val="20"/>
    </w:rPr>
  </w:style>
  <w:style w:type="character" w:customStyle="1" w:styleId="CommentTextChar">
    <w:name w:val="Comment Text Char"/>
    <w:basedOn w:val="DefaultParagraphFont"/>
    <w:link w:val="CommentText"/>
    <w:uiPriority w:val="99"/>
    <w:rsid w:val="0086633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66332"/>
    <w:rPr>
      <w:b/>
      <w:bCs/>
    </w:rPr>
  </w:style>
  <w:style w:type="character" w:customStyle="1" w:styleId="CommentSubjectChar">
    <w:name w:val="Comment Subject Char"/>
    <w:basedOn w:val="CommentTextChar"/>
    <w:link w:val="CommentSubject"/>
    <w:uiPriority w:val="99"/>
    <w:semiHidden/>
    <w:rsid w:val="0086633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86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32"/>
    <w:rPr>
      <w:rFonts w:ascii="Segoe UI" w:eastAsia="Garamond" w:hAnsi="Segoe UI" w:cs="Segoe UI"/>
      <w:sz w:val="18"/>
      <w:szCs w:val="18"/>
      <w:lang w:bidi="en-US"/>
    </w:rPr>
  </w:style>
  <w:style w:type="paragraph" w:styleId="Header">
    <w:name w:val="header"/>
    <w:basedOn w:val="Normal"/>
    <w:link w:val="HeaderChar"/>
    <w:uiPriority w:val="99"/>
    <w:unhideWhenUsed/>
    <w:rsid w:val="00AB0EB7"/>
    <w:pPr>
      <w:tabs>
        <w:tab w:val="center" w:pos="4680"/>
        <w:tab w:val="right" w:pos="9360"/>
      </w:tabs>
    </w:pPr>
  </w:style>
  <w:style w:type="character" w:customStyle="1" w:styleId="HeaderChar">
    <w:name w:val="Header Char"/>
    <w:basedOn w:val="DefaultParagraphFont"/>
    <w:link w:val="Header"/>
    <w:uiPriority w:val="99"/>
    <w:rsid w:val="00AB0EB7"/>
    <w:rPr>
      <w:rFonts w:ascii="Garamond" w:eastAsia="Garamond" w:hAnsi="Garamond" w:cs="Garamond"/>
      <w:lang w:bidi="en-US"/>
    </w:rPr>
  </w:style>
  <w:style w:type="paragraph" w:styleId="Footer">
    <w:name w:val="footer"/>
    <w:basedOn w:val="Normal"/>
    <w:link w:val="FooterChar"/>
    <w:uiPriority w:val="99"/>
    <w:unhideWhenUsed/>
    <w:rsid w:val="00AB0EB7"/>
    <w:pPr>
      <w:tabs>
        <w:tab w:val="center" w:pos="4680"/>
        <w:tab w:val="right" w:pos="9360"/>
      </w:tabs>
    </w:pPr>
  </w:style>
  <w:style w:type="character" w:customStyle="1" w:styleId="FooterChar">
    <w:name w:val="Footer Char"/>
    <w:basedOn w:val="DefaultParagraphFont"/>
    <w:link w:val="Footer"/>
    <w:uiPriority w:val="99"/>
    <w:rsid w:val="00AB0EB7"/>
    <w:rPr>
      <w:rFonts w:ascii="Garamond" w:eastAsia="Garamond" w:hAnsi="Garamond" w:cs="Garamond"/>
      <w:lang w:bidi="en-US"/>
    </w:rPr>
  </w:style>
  <w:style w:type="paragraph" w:styleId="EndnoteText">
    <w:name w:val="endnote text"/>
    <w:basedOn w:val="Normal"/>
    <w:link w:val="EndnoteTextChar"/>
    <w:uiPriority w:val="99"/>
    <w:semiHidden/>
    <w:unhideWhenUsed/>
    <w:rsid w:val="00690C6E"/>
    <w:rPr>
      <w:sz w:val="20"/>
    </w:rPr>
  </w:style>
  <w:style w:type="character" w:customStyle="1" w:styleId="EndnoteTextChar">
    <w:name w:val="Endnote Text Char"/>
    <w:basedOn w:val="DefaultParagraphFont"/>
    <w:link w:val="EndnoteText"/>
    <w:uiPriority w:val="99"/>
    <w:semiHidden/>
    <w:rsid w:val="00690C6E"/>
    <w:rPr>
      <w:rFonts w:ascii="Garamond" w:eastAsia="Garamond" w:hAnsi="Garamond" w:cs="Garamond"/>
      <w:sz w:val="20"/>
      <w:szCs w:val="20"/>
      <w:lang w:bidi="en-US"/>
    </w:rPr>
  </w:style>
  <w:style w:type="character" w:styleId="EndnoteReference">
    <w:name w:val="endnote reference"/>
    <w:basedOn w:val="DefaultParagraphFont"/>
    <w:uiPriority w:val="99"/>
    <w:semiHidden/>
    <w:unhideWhenUsed/>
    <w:rsid w:val="00690C6E"/>
    <w:rPr>
      <w:vertAlign w:val="superscript"/>
    </w:rPr>
  </w:style>
  <w:style w:type="paragraph" w:styleId="TOCHeading">
    <w:name w:val="TOC Heading"/>
    <w:basedOn w:val="Heading1"/>
    <w:next w:val="Normal"/>
    <w:uiPriority w:val="39"/>
    <w:unhideWhenUsed/>
    <w:qFormat/>
    <w:rsid w:val="008650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50F2"/>
    <w:pPr>
      <w:spacing w:after="100"/>
      <w:ind w:left="220"/>
    </w:pPr>
  </w:style>
  <w:style w:type="paragraph" w:styleId="TOC3">
    <w:name w:val="toc 3"/>
    <w:basedOn w:val="Normal"/>
    <w:next w:val="Normal"/>
    <w:autoRedefine/>
    <w:uiPriority w:val="39"/>
    <w:unhideWhenUsed/>
    <w:rsid w:val="008650F2"/>
    <w:pPr>
      <w:spacing w:after="100"/>
      <w:ind w:left="440"/>
    </w:pPr>
  </w:style>
  <w:style w:type="character" w:customStyle="1" w:styleId="BodyTextChar">
    <w:name w:val="Body Text Char"/>
    <w:basedOn w:val="DefaultParagraphFont"/>
    <w:link w:val="BodyText"/>
    <w:uiPriority w:val="1"/>
    <w:rsid w:val="00B129E5"/>
    <w:rPr>
      <w:rFonts w:ascii="Garamond" w:eastAsia="Garamond" w:hAnsi="Garamond" w:cs="Garamond"/>
      <w:sz w:val="24"/>
      <w:szCs w:val="24"/>
      <w:lang w:bidi="en-US"/>
    </w:rPr>
  </w:style>
  <w:style w:type="paragraph" w:customStyle="1" w:styleId="paragraph">
    <w:name w:val="paragraph"/>
    <w:basedOn w:val="Normal"/>
    <w:rsid w:val="00F92C1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F92C18"/>
  </w:style>
  <w:style w:type="character" w:customStyle="1" w:styleId="normaltextrun">
    <w:name w:val="normaltextrun"/>
    <w:basedOn w:val="DefaultParagraphFont"/>
    <w:rsid w:val="00F92C18"/>
  </w:style>
  <w:style w:type="paragraph" w:styleId="Revision">
    <w:name w:val="Revision"/>
    <w:hidden/>
    <w:uiPriority w:val="99"/>
    <w:semiHidden/>
    <w:rsid w:val="00915F05"/>
    <w:pPr>
      <w:widowControl/>
      <w:autoSpaceDE/>
      <w:autoSpaceDN/>
    </w:pPr>
  </w:style>
  <w:style w:type="character" w:styleId="FollowedHyperlink">
    <w:name w:val="FollowedHyperlink"/>
    <w:basedOn w:val="DefaultParagraphFont"/>
    <w:uiPriority w:val="99"/>
    <w:semiHidden/>
    <w:unhideWhenUsed/>
    <w:rsid w:val="0013387F"/>
    <w:rPr>
      <w:color w:val="800080" w:themeColor="followedHyperlink"/>
      <w:u w:val="single"/>
    </w:rPr>
  </w:style>
  <w:style w:type="character" w:customStyle="1" w:styleId="ListParagraphChar">
    <w:name w:val="List Paragraph Char"/>
    <w:basedOn w:val="DefaultParagraphFont"/>
    <w:link w:val="ListParagraph"/>
    <w:uiPriority w:val="34"/>
    <w:rsid w:val="00B2770A"/>
  </w:style>
  <w:style w:type="paragraph" w:customStyle="1" w:styleId="Default">
    <w:name w:val="Default"/>
    <w:rsid w:val="00B2770A"/>
    <w:pPr>
      <w:widowControl/>
      <w:adjustRightInd w:val="0"/>
    </w:pPr>
    <w:rPr>
      <w:rFonts w:ascii="Arial" w:eastAsia="Times New Roman" w:hAnsi="Arial" w:cs="Arial"/>
      <w:color w:val="000000"/>
      <w:szCs w:val="24"/>
    </w:rPr>
  </w:style>
  <w:style w:type="character" w:customStyle="1" w:styleId="cf01">
    <w:name w:val="cf01"/>
    <w:basedOn w:val="DefaultParagraphFont"/>
    <w:rsid w:val="003A181E"/>
    <w:rPr>
      <w:rFonts w:ascii="Segoe UI" w:hAnsi="Segoe UI" w:cs="Segoe UI" w:hint="default"/>
      <w:sz w:val="18"/>
      <w:szCs w:val="18"/>
    </w:rPr>
  </w:style>
  <w:style w:type="character" w:customStyle="1" w:styleId="findhit">
    <w:name w:val="findhit"/>
    <w:basedOn w:val="DefaultParagraphFont"/>
    <w:rsid w:val="003D7683"/>
  </w:style>
  <w:style w:type="paragraph" w:customStyle="1" w:styleId="pf0">
    <w:name w:val="pf0"/>
    <w:basedOn w:val="Normal"/>
    <w:rsid w:val="00CD6D39"/>
    <w:pPr>
      <w:widowControl/>
      <w:autoSpaceDE/>
      <w:autoSpaceDN/>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9101">
      <w:bodyDiv w:val="1"/>
      <w:marLeft w:val="0"/>
      <w:marRight w:val="0"/>
      <w:marTop w:val="0"/>
      <w:marBottom w:val="0"/>
      <w:divBdr>
        <w:top w:val="none" w:sz="0" w:space="0" w:color="auto"/>
        <w:left w:val="none" w:sz="0" w:space="0" w:color="auto"/>
        <w:bottom w:val="none" w:sz="0" w:space="0" w:color="auto"/>
        <w:right w:val="none" w:sz="0" w:space="0" w:color="auto"/>
      </w:divBdr>
    </w:div>
    <w:div w:id="303314932">
      <w:bodyDiv w:val="1"/>
      <w:marLeft w:val="0"/>
      <w:marRight w:val="0"/>
      <w:marTop w:val="0"/>
      <w:marBottom w:val="0"/>
      <w:divBdr>
        <w:top w:val="none" w:sz="0" w:space="0" w:color="auto"/>
        <w:left w:val="none" w:sz="0" w:space="0" w:color="auto"/>
        <w:bottom w:val="none" w:sz="0" w:space="0" w:color="auto"/>
        <w:right w:val="none" w:sz="0" w:space="0" w:color="auto"/>
      </w:divBdr>
    </w:div>
    <w:div w:id="574975146">
      <w:bodyDiv w:val="1"/>
      <w:marLeft w:val="0"/>
      <w:marRight w:val="0"/>
      <w:marTop w:val="0"/>
      <w:marBottom w:val="0"/>
      <w:divBdr>
        <w:top w:val="none" w:sz="0" w:space="0" w:color="auto"/>
        <w:left w:val="none" w:sz="0" w:space="0" w:color="auto"/>
        <w:bottom w:val="none" w:sz="0" w:space="0" w:color="auto"/>
        <w:right w:val="none" w:sz="0" w:space="0" w:color="auto"/>
      </w:divBdr>
    </w:div>
    <w:div w:id="839851681">
      <w:bodyDiv w:val="1"/>
      <w:marLeft w:val="0"/>
      <w:marRight w:val="0"/>
      <w:marTop w:val="0"/>
      <w:marBottom w:val="0"/>
      <w:divBdr>
        <w:top w:val="none" w:sz="0" w:space="0" w:color="auto"/>
        <w:left w:val="none" w:sz="0" w:space="0" w:color="auto"/>
        <w:bottom w:val="none" w:sz="0" w:space="0" w:color="auto"/>
        <w:right w:val="none" w:sz="0" w:space="0" w:color="auto"/>
      </w:divBdr>
    </w:div>
    <w:div w:id="937711357">
      <w:bodyDiv w:val="1"/>
      <w:marLeft w:val="0"/>
      <w:marRight w:val="0"/>
      <w:marTop w:val="0"/>
      <w:marBottom w:val="0"/>
      <w:divBdr>
        <w:top w:val="none" w:sz="0" w:space="0" w:color="auto"/>
        <w:left w:val="none" w:sz="0" w:space="0" w:color="auto"/>
        <w:bottom w:val="none" w:sz="0" w:space="0" w:color="auto"/>
        <w:right w:val="none" w:sz="0" w:space="0" w:color="auto"/>
      </w:divBdr>
    </w:div>
    <w:div w:id="1626080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urldefense.com/v3/__https:/www.ncbi.nlm.nih.gov/pubmed/37121490__;!!AIv8Mrc!-G3ugjQxCqSSXL_GNZquxow3oH2v4kmeUVGtFLRTPf8E5bXF4n3NSqMw-waF2yl8KJZxIw1fgX0X0-T49jk$" TargetMode="External"/><Relationship Id="rId26" Type="http://schemas.openxmlformats.org/officeDocument/2006/relationships/hyperlink" Target="https://urldefense.com/v3/__http:/www.aaos.org/drfcpg__;!!AIv8Mrc!-G3ugjQxCqSSXL_GNZquxow3oH2v4kmeUVGtFLRTPf8E5bXF4n3NSqMw-waF2yl8KJZxIw1fgX0Xr56Qvd0$" TargetMode="External"/><Relationship Id="rId39" Type="http://schemas.microsoft.com/office/2020/10/relationships/intelligence" Target="intelligence2.xml"/><Relationship Id="rId21" Type="http://schemas.openxmlformats.org/officeDocument/2006/relationships/hyperlink" Target="https://urldefense.com/v3/__https:/doi.org/10.1177/19417381231156378__;!!AIv8Mrc!-G3ugjQxCqSSXL_GNZquxow3oH2v4kmeUVGtFLRTPf8E5bXF4n3NSqMw-waF2yl8KJZxIw1fgX0XM9VdB4Y$"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rldefense.com/v3/__https:/www.ncbi.nlm.nih.gov/pubmed/37121490__;!!AIv8Mrc!-G3ugjQxCqSSXL_GNZquxow3oH2v4kmeUVGtFLRTPf8E5bXF4n3NSqMw-waF2yl8KJZxIw1fgX0X0-T49jk$" TargetMode="External"/><Relationship Id="rId25" Type="http://schemas.openxmlformats.org/officeDocument/2006/relationships/hyperlink" Target="https://www.orthoguidelines.org/guideline-detail?id=1599&amp;tab=all_guidelines"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ONCHI@Mass.gov" TargetMode="External"/><Relationship Id="rId20" Type="http://schemas.openxmlformats.org/officeDocument/2006/relationships/hyperlink" Target="https://urldefense.com/v3/__https:/journals.sagepub.com/doi/10.1177/19417381231156378*con2__;Iw!!AIv8Mrc!-G3ugjQxCqSSXL_GNZquxow3oH2v4kmeUVGtFLRTPf8E5bXF4n3NSqMw-waF2yl8KJZxIw1fgX0XE-eeMIk$" TargetMode="External"/><Relationship Id="rId29" Type="http://schemas.openxmlformats.org/officeDocument/2006/relationships/hyperlink" Target="https://pubmed.ncbi.nlm.nih.gov/335871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urldefense.com/v3/__https:/doi.org/10.1016/j.asmr.2023.100806__;!!AIv8Mrc!-G3ugjQxCqSSXL_GNZquxow3oH2v4kmeUVGtFLRTPf8E5bXF4n3NSqMw-waF2yl8KJZxIw1fgX0X3LakI5c$" TargetMode="External"/><Relationship Id="rId32" Type="http://schemas.openxmlformats.org/officeDocument/2006/relationships/hyperlink" Target="https://bmcmusculoskeletdisord.biomedcentral.com/articles/10.1186/1471-2474-12-22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ongrants@hria.org" TargetMode="External"/><Relationship Id="rId23" Type="http://schemas.openxmlformats.org/officeDocument/2006/relationships/hyperlink" Target="https://urldefense.com/v3/__https:/doi.org/10.1016/j.asmr.2023.100806__;!!AIv8Mrc!-G3ugjQxCqSSXL_GNZquxow3oH2v4kmeUVGtFLRTPf8E5bXF4n3NSqMw-waF2yl8KJZxIw1fgX0X3LakI5c$" TargetMode="External"/><Relationship Id="rId28" Type="http://schemas.openxmlformats.org/officeDocument/2006/relationships/hyperlink" Target="https://pubmed.ncbi.nlm.nih.gov/33587170/"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urldefense.com/v3/__https:/journals.sagepub.com/doi/10.1177/19417381231156378*con1__;Iw!!AIv8Mrc!-G3ugjQxCqSSXL_GNZquxow3oH2v4kmeUVGtFLRTPf8E5bXF4n3NSqMw-waF2yl8KJZxIw1fgX0XWaIz_HU$" TargetMode="External"/><Relationship Id="rId31" Type="http://schemas.openxmlformats.org/officeDocument/2006/relationships/hyperlink" Target="https://doi.org/10.1016/j.arth.2023.04.0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ONCHI@Mass.gov%20" TargetMode="External"/><Relationship Id="rId22" Type="http://schemas.openxmlformats.org/officeDocument/2006/relationships/hyperlink" Target="https://urldefense.com/v3/__https:/doi.org/10.1177/19417381231156378__;!!AIv8Mrc!-G3ugjQxCqSSXL_GNZquxow3oH2v4kmeUVGtFLRTPf8E5bXF4n3NSqMw-waF2yl8KJZxIw1fgX0XM9VdB4Y$" TargetMode="External"/><Relationship Id="rId27" Type="http://schemas.openxmlformats.org/officeDocument/2006/relationships/hyperlink" Target="https://www.orthoguidelines.org/guideline-detail?id=1599&amp;tab=all_guidelines" TargetMode="External"/><Relationship Id="rId30" Type="http://schemas.openxmlformats.org/officeDocument/2006/relationships/hyperlink" Target="https://doi.org/10.1016/j.arth.2023.04.012"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13" Type="http://schemas.openxmlformats.org/officeDocument/2006/relationships/hyperlink" Target="https://www.americashealthrankings.org/explore/annual/measure/Obesity/state/MA" TargetMode="External"/><Relationship Id="rId18" Type="http://schemas.openxmlformats.org/officeDocument/2006/relationships/hyperlink" Target="https://www.aaos.org/contentassets/1cd7f41417ec4dd4b5c4c48532183b96/1184-the-impact-of-obesity-on-bone-and-joint-health1.pdf" TargetMode="External"/><Relationship Id="rId26" Type="http://schemas.openxmlformats.org/officeDocument/2006/relationships/hyperlink" Target="https://www.ncbi.nlm.nih.gov/pmc/articles/PMC4703913/pdf/or-2015-4-6177.pdf" TargetMode="External"/><Relationship Id="rId39" Type="http://schemas.openxmlformats.org/officeDocument/2006/relationships/hyperlink" Target="https://www.ascassociation.org/advancingsurgicalcare/reducinghealthcarecosts/costsavings" TargetMode="External"/><Relationship Id="rId21" Type="http://schemas.openxmlformats.org/officeDocument/2006/relationships/hyperlink" Target="https://www.cfaortho.com/media/news/2017/06/the-benefits-of-outpatient-surgical-centers" TargetMode="External"/><Relationship Id="rId34" Type="http://schemas.openxmlformats.org/officeDocument/2006/relationships/hyperlink" Target="https://www.healthsystemtracker.org/chart-collection/cost-affect-access-care/" TargetMode="External"/><Relationship Id="rId42" Type="http://schemas.openxmlformats.org/officeDocument/2006/relationships/hyperlink" Target="https://www.ascassociation.org/advancingsurgicalcare/reducinghealthcarecosts/costsavings" TargetMode="External"/><Relationship Id="rId47" Type="http://schemas.openxmlformats.org/officeDocument/2006/relationships/hyperlink" Target="https://www.cfaortho.com/media/news/2017/06/the-benefits-of-outpatient-surgical-centers;" TargetMode="External"/><Relationship Id="rId50" Type="http://schemas.openxmlformats.org/officeDocument/2006/relationships/hyperlink" Target="https://www.odtmag.com/issues/2017-03-01/view_columns/the-abcs-of-asc-cost-savings/" TargetMode="External"/><Relationship Id="rId7" Type="http://schemas.openxmlformats.org/officeDocument/2006/relationships/hyperlink" Target="https://www.cdc.gov/arthritis/basics/risk-factors.htm" TargetMode="External"/><Relationship Id="rId2" Type="http://schemas.openxmlformats.org/officeDocument/2006/relationships/hyperlink" Target="https://www.census.gov/quickfacts/fact/table/plymouthcountymassachusetts/PST045223" TargetMode="External"/><Relationship Id="rId16" Type="http://schemas.openxmlformats.org/officeDocument/2006/relationships/hyperlink" Target="https://www.aaos.org/contentassets/1cd7f41417ec4dd4b5c4c48532183b96/1184-the-impact-of-obesity-on-bone-and-joint-health1.pdf" TargetMode="External"/><Relationship Id="rId29" Type="http://schemas.openxmlformats.org/officeDocument/2006/relationships/hyperlink" Target="https://www.advancingsurgicalcare.com/reducinghealthcarecosts/costsavings/reducing-medicare-costs." TargetMode="External"/><Relationship Id="rId11" Type="http://schemas.openxmlformats.org/officeDocument/2006/relationships/hyperlink" Target="https://www.mass.gov/service-details/massachusetts-obesity-statistics" TargetMode="External"/><Relationship Id="rId24" Type="http://schemas.openxmlformats.org/officeDocument/2006/relationships/hyperlink" Target="https://www.odtmag.com/issues/2017-03-01/view_columns/the-abcs-of-asc-cost-savings/" TargetMode="External"/><Relationship Id="rId32" Type="http://schemas.openxmlformats.org/officeDocument/2006/relationships/hyperlink" Target="https://www.medicare.gov/procedure-price-lookup/" TargetMode="External"/><Relationship Id="rId37" Type="http://schemas.openxmlformats.org/officeDocument/2006/relationships/hyperlink" Target="https://www.healthcaredive.com/news/convenience-more-important-to-patients-than-quality-of-care-survey-finds/545365/" TargetMode="External"/><Relationship Id="rId40" Type="http://schemas.openxmlformats.org/officeDocument/2006/relationships/hyperlink" Target="https://www.ascassociation.org/advancingsurgicalcare/reducinghealthcarecosts/costsavings" TargetMode="External"/><Relationship Id="rId45" Type="http://schemas.openxmlformats.org/officeDocument/2006/relationships/hyperlink" Target="https://www.beckersasc.com/orthopedics-tjr/ascs-projected-to-take-68-of-orthopedic-surgeries-by-mid-decade-5-insights.html" TargetMode="External"/><Relationship Id="rId5" Type="http://schemas.openxmlformats.org/officeDocument/2006/relationships/hyperlink" Target="https://www.reliasmedia.com/articles/140663-latest-asc-data-highlight-ambulatory-surgical-trends" TargetMode="External"/><Relationship Id="rId15" Type="http://schemas.openxmlformats.org/officeDocument/2006/relationships/hyperlink" Target="https://www.aaos.org/contentassets/1cd7f41417ec4dd4b5c4c48532183b96/1184-the-impact-of-obesity-on-bone-and-joint-health1.pdf" TargetMode="External"/><Relationship Id="rId23" Type="http://schemas.openxmlformats.org/officeDocument/2006/relationships/hyperlink" Target="https://www.odtmag.com/issues/2017-03-01/view_columns/the-abcs-of-asc-cost-savings/" TargetMode="External"/><Relationship Id="rId28" Type="http://schemas.openxmlformats.org/officeDocument/2006/relationships/hyperlink" Target="https://www.healthaffairs.org/doi/pdf/10.1377/hlthaff.2013.1266" TargetMode="External"/><Relationship Id="rId36" Type="http://schemas.openxmlformats.org/officeDocument/2006/relationships/hyperlink" Target="https://www.healthsystemtracker.org/chart-collection/cost-affect-access-care/" TargetMode="External"/><Relationship Id="rId49" Type="http://schemas.openxmlformats.org/officeDocument/2006/relationships/hyperlink" Target="https://www.odtmag.com/issues/2017-03-01/view_columns/the-abcs-of-asc-cost-savings/" TargetMode="External"/><Relationship Id="rId10" Type="http://schemas.openxmlformats.org/officeDocument/2006/relationships/hyperlink" Target="https://www.ncbi.nlm.nih.gov/pmc/articles/PMC6059375/" TargetMode="External"/><Relationship Id="rId19" Type="http://schemas.openxmlformats.org/officeDocument/2006/relationships/hyperlink" Target="https://www.ncbi.nlm.nih.gov/pmc/articles/PMC3597305/" TargetMode="External"/><Relationship Id="rId31" Type="http://schemas.openxmlformats.org/officeDocument/2006/relationships/hyperlink" Target="https://www.medicare.gov/procedure-price-lookup/" TargetMode="External"/><Relationship Id="rId44" Type="http://schemas.openxmlformats.org/officeDocument/2006/relationships/hyperlink" Target="https://www.advancingsurgicalcare.com/reducinghealthcarecosts/costsavings/reducing-medicare-costs" TargetMode="External"/><Relationship Id="rId52" Type="http://schemas.openxmlformats.org/officeDocument/2006/relationships/hyperlink" Target="https://www.mass.gov/info-details/hpc-datapoints-issue-26" TargetMode="External"/><Relationship Id="rId4" Type="http://schemas.openxmlformats.org/officeDocument/2006/relationships/hyperlink" Target="https://www.census.gov/quickfacts/fact/table/plymouthcountymassachusetts/PST045223" TargetMode="External"/><Relationship Id="rId9" Type="http://schemas.openxmlformats.org/officeDocument/2006/relationships/hyperlink" Target="https://www.ncbi.nlm.nih.gov/pmc/articles/PMC6059375/" TargetMode="External"/><Relationship Id="rId14" Type="http://schemas.openxmlformats.org/officeDocument/2006/relationships/hyperlink" Target="https://www.americashealthrankings.org/explore/annual/measure/Obesity/state/MA" TargetMode="External"/><Relationship Id="rId22" Type="http://schemas.openxmlformats.org/officeDocument/2006/relationships/hyperlink" Target="https://www.cfaortho.com/media/news/2017/06/the-benefits-of-outpatient-surgical-centers" TargetMode="External"/><Relationship Id="rId27" Type="http://schemas.openxmlformats.org/officeDocument/2006/relationships/hyperlink" Target="https://www.healthaffairs.org/doi/pdf/10.1377/hlthaff.2013.1266" TargetMode="External"/><Relationship Id="rId30" Type="http://schemas.openxmlformats.org/officeDocument/2006/relationships/hyperlink" Target="https://www.advancingsurgicalcare.com/reducinghealthcarecosts/costsavings/reducing-medicare-costs" TargetMode="External"/><Relationship Id="rId35" Type="http://schemas.openxmlformats.org/officeDocument/2006/relationships/hyperlink" Target="https://www.healthsystemtracker.org/chart-collection/cost-affect-access-care/" TargetMode="External"/><Relationship Id="rId43" Type="http://schemas.openxmlformats.org/officeDocument/2006/relationships/hyperlink" Target="https://www.advancingsurgicalcare.com/reducinghealthcarecosts/costsavings/reducing-medicare-costs." TargetMode="External"/><Relationship Id="rId48" Type="http://schemas.openxmlformats.org/officeDocument/2006/relationships/hyperlink" Target="https://www.cfaortho.com/media/news/2017/06/the-benefits-of-outpatient-surgical-centers" TargetMode="External"/><Relationship Id="rId8" Type="http://schemas.openxmlformats.org/officeDocument/2006/relationships/hyperlink" Target="https://www.cdc.gov/arthritis/basics/risk-factors.htm" TargetMode="External"/><Relationship Id="rId51" Type="http://schemas.openxmlformats.org/officeDocument/2006/relationships/hyperlink" Target="https://www.mass.gov/info-details/hpc-datapoints-issue-26" TargetMode="External"/><Relationship Id="rId3" Type="http://schemas.openxmlformats.org/officeDocument/2006/relationships/hyperlink" Target="https://www.census.gov/quickfacts/fact/table/plymouthcountymassachusetts/PST045223." TargetMode="External"/><Relationship Id="rId12" Type="http://schemas.openxmlformats.org/officeDocument/2006/relationships/hyperlink" Target="https://www.mass.gov/service-details/massachusetts-obesity-statistics" TargetMode="External"/><Relationship Id="rId17" Type="http://schemas.openxmlformats.org/officeDocument/2006/relationships/hyperlink" Target="https://www.aaos.org/contentassets/1cd7f41417ec4dd4b5c4c48532183b96/1184-the-impact-of-obesity-on-bone-and-joint-health1.pdf" TargetMode="External"/><Relationship Id="rId25" Type="http://schemas.openxmlformats.org/officeDocument/2006/relationships/hyperlink" Target="https://www.ncbi.nlm.nih.gov/pmc/articles/PMC4703913/pdf/or-2015-4-6177.pdf" TargetMode="External"/><Relationship Id="rId33" Type="http://schemas.openxmlformats.org/officeDocument/2006/relationships/hyperlink" Target="https://www.healthsystemtracker.org/chart-collection/cost-affect-access-care/" TargetMode="External"/><Relationship Id="rId38" Type="http://schemas.openxmlformats.org/officeDocument/2006/relationships/hyperlink" Target="https://www.healthcaredive.com/news/convenience-more-important-to-patients-than-quality-of-care-survey-finds/545365/" TargetMode="External"/><Relationship Id="rId46" Type="http://schemas.openxmlformats.org/officeDocument/2006/relationships/hyperlink" Target="https://www.beckersasc.com/orthopedics-tjr/ascs-projected-to-take-68-of-orthopedic-surgeries-by-mid-decade-5-insights.html" TargetMode="External"/><Relationship Id="rId20" Type="http://schemas.openxmlformats.org/officeDocument/2006/relationships/hyperlink" Target="https://www.ncbi.nlm.nih.gov/pmc/articles/PMC3597305/" TargetMode="External"/><Relationship Id="rId41" Type="http://schemas.openxmlformats.org/officeDocument/2006/relationships/hyperlink" Target="https://www.ascassociation.org/advancingsurgicalcare/reducinghealthcarecosts/costsavings" TargetMode="External"/><Relationship Id="rId1" Type="http://schemas.openxmlformats.org/officeDocument/2006/relationships/hyperlink" Target="https://www.census.gov/quickfacts/fact/table/plymouthcountymassachusetts/PST045223." TargetMode="External"/><Relationship Id="rId6" Type="http://schemas.openxmlformats.org/officeDocument/2006/relationships/hyperlink" Target="https://www.reliasmedia.com/articles/140663-latest-asc-data-highlight-ambulatory-surgical-trend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community-engagement-guidelines-for-community-health-planning-pdf/download" TargetMode="External"/><Relationship Id="rId2" Type="http://schemas.openxmlformats.org/officeDocument/2006/relationships/hyperlink" Target="https://www.mass.gov/service-details/the-hpc-accountable-care-organization-aco-certification-program" TargetMode="External"/><Relationship Id="rId1" Type="http://schemas.openxmlformats.org/officeDocument/2006/relationships/hyperlink" Target="https://www.mass.gov/service-details/the-hpc-accountable-care-organization-aco-certification-program" TargetMode="External"/><Relationship Id="rId6" Type="http://schemas.openxmlformats.org/officeDocument/2006/relationships/hyperlink" Target="https://www.mass.gov/files/documents/2018/12/31/jud-lib-105cmr100.pdf" TargetMode="External"/><Relationship Id="rId5" Type="http://schemas.openxmlformats.org/officeDocument/2006/relationships/hyperlink" Target="https://www.mass.gov/files/documents/2018/12/31/jud-lib-105cmr100.pdf" TargetMode="External"/><Relationship Id="rId4" Type="http://schemas.openxmlformats.org/officeDocument/2006/relationships/hyperlink" Target="https://www.mass.gov/doc/community-engagement-guidelines-for-community-health-planning-pd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6AA6-D2FF-4393-B423-05AF53D3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30</Pages>
  <Words>10585</Words>
  <Characters>60335</Characters>
  <Application>Microsoft Office Word</Application>
  <DocSecurity>0</DocSecurity>
  <Lines>502</Lines>
  <Paragraphs>141</Paragraphs>
  <ScaleCrop>false</ScaleCrop>
  <Company/>
  <LinksUpToDate>false</LinksUpToDate>
  <CharactersWithSpaces>70779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Emerson Endoscopy Staff Report</dc:title>
  <dc:subject/>
  <dc:creator>Lynn</dc:creator>
  <cp:keywords/>
  <cp:lastModifiedBy>Marks, Brett (DPH)</cp:lastModifiedBy>
  <cp:revision>42</cp:revision>
  <cp:lastPrinted>2023-02-06T17:40:00Z</cp:lastPrinted>
  <dcterms:created xsi:type="dcterms:W3CDTF">2024-06-11T16:43:00Z</dcterms:created>
  <dcterms:modified xsi:type="dcterms:W3CDTF">2024-06-21T16:00:00Z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ies>
</file>