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862" w:type="pct"/>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PAM Cubed, LLC&#10;Applicant Address  909 Sumner Street, Stoughton, MA 02072&#10;Filing Date November 19, 2021&#10;Type of DoN Application Transfer of Ownership&#10;Total Value $7,500,000.00&#10;Project Number PAM-21111018-TO&#10;Ten Taxpayer Groups (TTG) No&#10;Community Health Initiative (CHI)  Exempt from Factor 6&#10;Staff Recommendation Approval with Conditions&#10;Public Health Council February 9, 2022&#10;Project Summary and Regulatory Review&#10;PAM Cubed, LLC and its subsidiaries (“PAM”), the Applicant, proposes to become the owner of Curahealth Stoughton, LLC, a long-term acute care hospital (LTCH) located in Stoughton, Massachusetts (the Hospital). In an agreement between PAM and Nautic Partners VII-A, L.P. and its subsidiaries, which include the Applicant and the Hospital, (collectively, the “Seller”), PAM will acquire 100% of the equity in the Applicant. Thereafter, the Hospital will be an indirect subsidiary of PAM. PAM and its affiliated entities are part of a national network that owns and operates LTCHs throughout the United States (collectively, PAM Health). &#10;&#10;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A DoN Application for a Transfer of Ownership is subject to factors 1, 2, 3, and 4 of the DoN regulation. This staff report addresses each of the four factors set forth in the regulation.&#10;&#10;The Department did not receive any written comments on this application nor were any Ten Taxpayer Groups formed.&#10;"/>
      </w:tblPr>
      <w:tblGrid>
        <w:gridCol w:w="4139"/>
        <w:gridCol w:w="4953"/>
      </w:tblGrid>
      <w:tr w:rsidR="008C0709" w:rsidRPr="0016671D" w14:paraId="5E2173C9" w14:textId="77777777" w:rsidTr="3655DEAD">
        <w:trPr>
          <w:trHeight w:val="686"/>
          <w:tblHeader/>
        </w:trPr>
        <w:tc>
          <w:tcPr>
            <w:tcW w:w="5000" w:type="pct"/>
            <w:gridSpan w:val="2"/>
            <w:shd w:val="clear" w:color="auto" w:fill="D7F9FD"/>
            <w:vAlign w:val="center"/>
          </w:tcPr>
          <w:p w14:paraId="1B8C4D3E" w14:textId="5C14D6E9" w:rsidR="008C0709" w:rsidRPr="0016671D" w:rsidRDefault="00B02CF4" w:rsidP="00076C25">
            <w:pPr>
              <w:pStyle w:val="NoSpacing"/>
              <w:ind w:right="540"/>
              <w:contextualSpacing/>
              <w:jc w:val="center"/>
              <w:rPr>
                <w:b/>
              </w:rPr>
            </w:pPr>
            <w:r>
              <w:rPr>
                <w:b/>
              </w:rPr>
              <w:t>S</w:t>
            </w:r>
            <w:r w:rsidR="008C0709" w:rsidRPr="0016671D">
              <w:rPr>
                <w:b/>
              </w:rPr>
              <w:t>TAFF REPORT TO THE PUBLIC HEALTH COUNCIL</w:t>
            </w:r>
          </w:p>
          <w:p w14:paraId="707BF2E0" w14:textId="77777777" w:rsidR="008C0709" w:rsidRPr="0016671D" w:rsidRDefault="008C0709" w:rsidP="00076C25">
            <w:pPr>
              <w:pStyle w:val="Header"/>
              <w:ind w:right="540"/>
              <w:contextualSpacing/>
              <w:jc w:val="center"/>
              <w:rPr>
                <w:rFonts w:cstheme="minorHAnsi"/>
                <w:b/>
                <w:sz w:val="24"/>
                <w:szCs w:val="24"/>
              </w:rPr>
            </w:pPr>
            <w:r w:rsidRPr="0016671D">
              <w:rPr>
                <w:rFonts w:cstheme="minorHAnsi"/>
                <w:b/>
                <w:sz w:val="24"/>
                <w:szCs w:val="24"/>
              </w:rPr>
              <w:t>FOR A DETERMINATION OF NEED</w:t>
            </w:r>
          </w:p>
        </w:tc>
      </w:tr>
      <w:tr w:rsidR="004313D9" w:rsidRPr="0016671D" w14:paraId="37A21A4B" w14:textId="77777777" w:rsidTr="3655DEAD">
        <w:trPr>
          <w:trHeight w:val="368"/>
        </w:trPr>
        <w:tc>
          <w:tcPr>
            <w:tcW w:w="2276" w:type="pct"/>
            <w:shd w:val="clear" w:color="auto" w:fill="auto"/>
            <w:vAlign w:val="center"/>
          </w:tcPr>
          <w:p w14:paraId="4463BBF6" w14:textId="77777777" w:rsidR="004313D9" w:rsidRPr="0016671D" w:rsidRDefault="004313D9" w:rsidP="004313D9">
            <w:pPr>
              <w:ind w:right="540"/>
              <w:contextualSpacing/>
            </w:pPr>
            <w:r w:rsidRPr="0016671D">
              <w:t xml:space="preserve">Applicant Name </w:t>
            </w:r>
          </w:p>
        </w:tc>
        <w:tc>
          <w:tcPr>
            <w:tcW w:w="2724" w:type="pct"/>
            <w:shd w:val="clear" w:color="auto" w:fill="auto"/>
            <w:vAlign w:val="center"/>
          </w:tcPr>
          <w:p w14:paraId="412EB352" w14:textId="54AC6DF6" w:rsidR="004313D9" w:rsidRPr="002738AD" w:rsidRDefault="0016671D" w:rsidP="004313D9">
            <w:pPr>
              <w:ind w:right="540"/>
              <w:contextualSpacing/>
            </w:pPr>
            <w:r w:rsidRPr="002738AD">
              <w:t>The Children’s Medical Center Corporation</w:t>
            </w:r>
          </w:p>
        </w:tc>
      </w:tr>
      <w:tr w:rsidR="004313D9" w:rsidRPr="0016671D" w14:paraId="7D5C8C8A" w14:textId="77777777" w:rsidTr="3655DEAD">
        <w:trPr>
          <w:trHeight w:val="306"/>
        </w:trPr>
        <w:tc>
          <w:tcPr>
            <w:tcW w:w="2276" w:type="pct"/>
            <w:shd w:val="clear" w:color="auto" w:fill="auto"/>
            <w:vAlign w:val="center"/>
          </w:tcPr>
          <w:p w14:paraId="60D7905A" w14:textId="77777777" w:rsidR="004313D9" w:rsidRPr="0016671D" w:rsidRDefault="004313D9" w:rsidP="004313D9">
            <w:pPr>
              <w:ind w:right="540"/>
              <w:contextualSpacing/>
            </w:pPr>
            <w:r w:rsidRPr="0016671D">
              <w:t xml:space="preserve">Applicant Address </w:t>
            </w:r>
          </w:p>
        </w:tc>
        <w:tc>
          <w:tcPr>
            <w:tcW w:w="2724" w:type="pct"/>
            <w:shd w:val="clear" w:color="auto" w:fill="auto"/>
            <w:vAlign w:val="center"/>
          </w:tcPr>
          <w:p w14:paraId="48C9B61F" w14:textId="6F2A70A8" w:rsidR="004313D9" w:rsidRPr="002738AD" w:rsidRDefault="0016671D" w:rsidP="00440274">
            <w:pPr>
              <w:ind w:right="-20"/>
              <w:contextualSpacing/>
              <w:rPr>
                <w:lang w:val="fr-FR"/>
              </w:rPr>
            </w:pPr>
            <w:r w:rsidRPr="002738AD">
              <w:rPr>
                <w:lang w:val="fr-FR"/>
              </w:rPr>
              <w:t>300 Longwood Avenue, Boston, MA 02115</w:t>
            </w:r>
          </w:p>
        </w:tc>
      </w:tr>
      <w:tr w:rsidR="004313D9" w:rsidRPr="0016671D" w14:paraId="7F48402A" w14:textId="77777777" w:rsidTr="3655DEAD">
        <w:trPr>
          <w:trHeight w:val="323"/>
        </w:trPr>
        <w:tc>
          <w:tcPr>
            <w:tcW w:w="2276" w:type="pct"/>
            <w:shd w:val="clear" w:color="auto" w:fill="auto"/>
            <w:vAlign w:val="center"/>
          </w:tcPr>
          <w:p w14:paraId="62887CB2" w14:textId="77777777" w:rsidR="004313D9" w:rsidRPr="0016671D" w:rsidRDefault="004313D9" w:rsidP="004313D9">
            <w:pPr>
              <w:ind w:right="540"/>
              <w:contextualSpacing/>
            </w:pPr>
            <w:r w:rsidRPr="0016671D">
              <w:t>Filing Date</w:t>
            </w:r>
          </w:p>
        </w:tc>
        <w:tc>
          <w:tcPr>
            <w:tcW w:w="2724" w:type="pct"/>
            <w:shd w:val="clear" w:color="auto" w:fill="auto"/>
            <w:vAlign w:val="center"/>
          </w:tcPr>
          <w:p w14:paraId="2924AE87" w14:textId="58412F2D" w:rsidR="004313D9" w:rsidRPr="002738AD" w:rsidRDefault="00E23014" w:rsidP="004313D9">
            <w:pPr>
              <w:ind w:right="540"/>
              <w:contextualSpacing/>
            </w:pPr>
            <w:r>
              <w:t>October 13, 2023</w:t>
            </w:r>
          </w:p>
        </w:tc>
      </w:tr>
      <w:tr w:rsidR="004313D9" w:rsidRPr="0016671D" w14:paraId="45BF54E4" w14:textId="77777777" w:rsidTr="3655DEAD">
        <w:trPr>
          <w:trHeight w:val="300"/>
        </w:trPr>
        <w:tc>
          <w:tcPr>
            <w:tcW w:w="2276" w:type="pct"/>
            <w:shd w:val="clear" w:color="auto" w:fill="auto"/>
            <w:vAlign w:val="center"/>
          </w:tcPr>
          <w:p w14:paraId="11D28445" w14:textId="77777777" w:rsidR="004313D9" w:rsidRPr="0016671D" w:rsidRDefault="004313D9" w:rsidP="004313D9">
            <w:pPr>
              <w:ind w:right="540"/>
              <w:contextualSpacing/>
            </w:pPr>
            <w:r w:rsidRPr="0016671D">
              <w:t>Type of DoN Application</w:t>
            </w:r>
          </w:p>
        </w:tc>
        <w:tc>
          <w:tcPr>
            <w:tcW w:w="2724" w:type="pct"/>
            <w:shd w:val="clear" w:color="auto" w:fill="auto"/>
            <w:vAlign w:val="center"/>
          </w:tcPr>
          <w:p w14:paraId="54290C07" w14:textId="754F4EDB" w:rsidR="004313D9" w:rsidRPr="002738AD" w:rsidRDefault="00A44DDE" w:rsidP="004313D9">
            <w:pPr>
              <w:ind w:right="540"/>
              <w:contextualSpacing/>
            </w:pPr>
            <w:r w:rsidRPr="002738AD">
              <w:t>Substantial Capital Expenditure</w:t>
            </w:r>
          </w:p>
        </w:tc>
      </w:tr>
      <w:tr w:rsidR="004313D9" w:rsidRPr="0016671D" w14:paraId="1C2D799A" w14:textId="77777777" w:rsidTr="3655DEAD">
        <w:trPr>
          <w:trHeight w:val="300"/>
        </w:trPr>
        <w:tc>
          <w:tcPr>
            <w:tcW w:w="2276" w:type="pct"/>
            <w:shd w:val="clear" w:color="auto" w:fill="auto"/>
            <w:vAlign w:val="center"/>
          </w:tcPr>
          <w:p w14:paraId="58287B54" w14:textId="77777777" w:rsidR="004313D9" w:rsidRPr="0016671D" w:rsidRDefault="004313D9" w:rsidP="004313D9">
            <w:pPr>
              <w:ind w:right="540"/>
              <w:contextualSpacing/>
            </w:pPr>
            <w:r w:rsidRPr="0016671D">
              <w:t>Total Value</w:t>
            </w:r>
          </w:p>
        </w:tc>
        <w:tc>
          <w:tcPr>
            <w:tcW w:w="2724" w:type="pct"/>
            <w:shd w:val="clear" w:color="auto" w:fill="auto"/>
            <w:vAlign w:val="center"/>
          </w:tcPr>
          <w:p w14:paraId="241030D1" w14:textId="77809599" w:rsidR="004313D9" w:rsidRPr="002738AD" w:rsidRDefault="002738AD" w:rsidP="004313D9">
            <w:pPr>
              <w:ind w:right="540"/>
              <w:contextualSpacing/>
            </w:pPr>
            <w:r w:rsidRPr="002738AD">
              <w:t>$481,371,000.00</w:t>
            </w:r>
          </w:p>
        </w:tc>
      </w:tr>
      <w:tr w:rsidR="004313D9" w:rsidRPr="0016671D" w14:paraId="375F89F8" w14:textId="77777777" w:rsidTr="3655DEAD">
        <w:trPr>
          <w:trHeight w:val="300"/>
        </w:trPr>
        <w:tc>
          <w:tcPr>
            <w:tcW w:w="2276" w:type="pct"/>
            <w:shd w:val="clear" w:color="auto" w:fill="auto"/>
            <w:vAlign w:val="center"/>
          </w:tcPr>
          <w:p w14:paraId="179EBADA" w14:textId="77777777" w:rsidR="004313D9" w:rsidRPr="0016671D" w:rsidRDefault="004313D9" w:rsidP="004313D9">
            <w:pPr>
              <w:ind w:right="540"/>
              <w:contextualSpacing/>
            </w:pPr>
            <w:r w:rsidRPr="0016671D">
              <w:t>Project Number</w:t>
            </w:r>
          </w:p>
        </w:tc>
        <w:tc>
          <w:tcPr>
            <w:tcW w:w="2724" w:type="pct"/>
            <w:shd w:val="clear" w:color="auto" w:fill="auto"/>
            <w:vAlign w:val="center"/>
          </w:tcPr>
          <w:p w14:paraId="3F72EF9F" w14:textId="0D99CC70" w:rsidR="004313D9" w:rsidRPr="002738AD" w:rsidRDefault="00A44DDE" w:rsidP="004313D9">
            <w:pPr>
              <w:ind w:right="540"/>
              <w:contextualSpacing/>
            </w:pPr>
            <w:r w:rsidRPr="002738AD">
              <w:rPr>
                <w:color w:val="000000" w:themeColor="text1"/>
              </w:rPr>
              <w:t>BCH-23082514-HE</w:t>
            </w:r>
          </w:p>
        </w:tc>
      </w:tr>
      <w:tr w:rsidR="004313D9" w:rsidRPr="0016671D" w14:paraId="5AB437F4" w14:textId="77777777" w:rsidTr="3655DEAD">
        <w:trPr>
          <w:trHeight w:val="300"/>
        </w:trPr>
        <w:tc>
          <w:tcPr>
            <w:tcW w:w="2276" w:type="pct"/>
            <w:shd w:val="clear" w:color="auto" w:fill="auto"/>
            <w:vAlign w:val="center"/>
          </w:tcPr>
          <w:p w14:paraId="673CB573" w14:textId="77777777" w:rsidR="004313D9" w:rsidRPr="0016671D" w:rsidRDefault="004313D9" w:rsidP="004313D9">
            <w:pPr>
              <w:ind w:right="540"/>
              <w:contextualSpacing/>
            </w:pPr>
            <w:r w:rsidRPr="0016671D">
              <w:t>Ten Taxpayer Groups (TTG)</w:t>
            </w:r>
          </w:p>
        </w:tc>
        <w:tc>
          <w:tcPr>
            <w:tcW w:w="2724" w:type="pct"/>
            <w:shd w:val="clear" w:color="auto" w:fill="auto"/>
            <w:vAlign w:val="center"/>
          </w:tcPr>
          <w:p w14:paraId="1F09EC20" w14:textId="485AA5AB" w:rsidR="004313D9" w:rsidRPr="002738AD" w:rsidRDefault="00C947E2" w:rsidP="004313D9">
            <w:pPr>
              <w:ind w:right="540"/>
              <w:contextualSpacing/>
            </w:pPr>
            <w:r>
              <w:t xml:space="preserve">Three </w:t>
            </w:r>
          </w:p>
        </w:tc>
      </w:tr>
      <w:tr w:rsidR="004313D9" w:rsidRPr="0016671D" w14:paraId="4DC78A97" w14:textId="77777777" w:rsidTr="3655DEAD">
        <w:trPr>
          <w:trHeight w:val="300"/>
        </w:trPr>
        <w:tc>
          <w:tcPr>
            <w:tcW w:w="2276" w:type="pct"/>
            <w:shd w:val="clear" w:color="auto" w:fill="auto"/>
            <w:vAlign w:val="center"/>
          </w:tcPr>
          <w:p w14:paraId="4ED36B8C" w14:textId="77777777" w:rsidR="004313D9" w:rsidRPr="0016671D" w:rsidRDefault="004313D9" w:rsidP="004313D9">
            <w:pPr>
              <w:ind w:right="540"/>
              <w:contextualSpacing/>
            </w:pPr>
            <w:r w:rsidRPr="0016671D">
              <w:t>Community Health Initiative (CHI)</w:t>
            </w:r>
            <w:r w:rsidRPr="0016671D" w:rsidDel="00FB532E">
              <w:t xml:space="preserve"> </w:t>
            </w:r>
          </w:p>
        </w:tc>
        <w:tc>
          <w:tcPr>
            <w:tcW w:w="2724" w:type="pct"/>
            <w:shd w:val="clear" w:color="auto" w:fill="auto"/>
            <w:vAlign w:val="center"/>
          </w:tcPr>
          <w:p w14:paraId="1FD1C6E2" w14:textId="50493B0B" w:rsidR="004313D9" w:rsidRPr="002738AD" w:rsidRDefault="002738AD" w:rsidP="004313D9">
            <w:pPr>
              <w:ind w:right="540"/>
              <w:contextualSpacing/>
            </w:pPr>
            <w:r w:rsidRPr="002738AD">
              <w:t>$24,068,550.00</w:t>
            </w:r>
          </w:p>
        </w:tc>
      </w:tr>
      <w:tr w:rsidR="004313D9" w:rsidRPr="0016671D" w14:paraId="328C674C" w14:textId="77777777" w:rsidTr="3655DEAD">
        <w:trPr>
          <w:trHeight w:val="300"/>
        </w:trPr>
        <w:tc>
          <w:tcPr>
            <w:tcW w:w="2276" w:type="pct"/>
            <w:shd w:val="clear" w:color="auto" w:fill="auto"/>
            <w:vAlign w:val="center"/>
          </w:tcPr>
          <w:p w14:paraId="7B1CAF6C" w14:textId="77777777" w:rsidR="004313D9" w:rsidRPr="0016671D" w:rsidRDefault="004313D9" w:rsidP="004313D9">
            <w:pPr>
              <w:ind w:right="540"/>
              <w:contextualSpacing/>
            </w:pPr>
            <w:r w:rsidRPr="0016671D">
              <w:t>Staff Recommendation</w:t>
            </w:r>
          </w:p>
        </w:tc>
        <w:tc>
          <w:tcPr>
            <w:tcW w:w="2724" w:type="pct"/>
            <w:shd w:val="clear" w:color="auto" w:fill="auto"/>
            <w:vAlign w:val="center"/>
          </w:tcPr>
          <w:p w14:paraId="1682CA02" w14:textId="05C80EF8" w:rsidR="004313D9" w:rsidRPr="002738AD" w:rsidRDefault="002738AD" w:rsidP="004313D9">
            <w:pPr>
              <w:ind w:right="540"/>
              <w:contextualSpacing/>
            </w:pPr>
            <w:r w:rsidRPr="002738AD">
              <w:t>Approval</w:t>
            </w:r>
          </w:p>
        </w:tc>
      </w:tr>
      <w:tr w:rsidR="004313D9" w:rsidRPr="0016671D" w14:paraId="40C51467" w14:textId="77777777" w:rsidTr="3655DEAD">
        <w:trPr>
          <w:trHeight w:val="300"/>
        </w:trPr>
        <w:tc>
          <w:tcPr>
            <w:tcW w:w="2276" w:type="pct"/>
            <w:shd w:val="clear" w:color="auto" w:fill="auto"/>
            <w:vAlign w:val="center"/>
          </w:tcPr>
          <w:p w14:paraId="4F63ADC5" w14:textId="50D08DEE" w:rsidR="004313D9" w:rsidRPr="0016671D" w:rsidRDefault="00C40991" w:rsidP="004313D9">
            <w:pPr>
              <w:ind w:right="540"/>
              <w:contextualSpacing/>
            </w:pPr>
            <w:r w:rsidRPr="0016671D">
              <w:t>Public Health Council</w:t>
            </w:r>
          </w:p>
        </w:tc>
        <w:tc>
          <w:tcPr>
            <w:tcW w:w="2724" w:type="pct"/>
            <w:shd w:val="clear" w:color="auto" w:fill="auto"/>
            <w:vAlign w:val="center"/>
          </w:tcPr>
          <w:p w14:paraId="3E0E2C44" w14:textId="70F77AA6" w:rsidR="004313D9" w:rsidRPr="002738AD" w:rsidRDefault="0015239E" w:rsidP="004313D9">
            <w:pPr>
              <w:ind w:right="540"/>
              <w:contextualSpacing/>
            </w:pPr>
            <w:r>
              <w:t>March</w:t>
            </w:r>
            <w:r w:rsidR="00504364">
              <w:t xml:space="preserve"> 1</w:t>
            </w:r>
            <w:r>
              <w:t>3</w:t>
            </w:r>
            <w:r w:rsidR="00504364">
              <w:t>, 2024</w:t>
            </w:r>
          </w:p>
        </w:tc>
      </w:tr>
      <w:tr w:rsidR="00D113E6" w:rsidRPr="0016671D" w14:paraId="5B8B03D1" w14:textId="77777777" w:rsidTr="3655DEAD">
        <w:trPr>
          <w:trHeight w:val="300"/>
        </w:trPr>
        <w:tc>
          <w:tcPr>
            <w:tcW w:w="5000" w:type="pct"/>
            <w:gridSpan w:val="2"/>
            <w:shd w:val="clear" w:color="auto" w:fill="auto"/>
            <w:vAlign w:val="center"/>
          </w:tcPr>
          <w:p w14:paraId="115595BA" w14:textId="77777777" w:rsidR="00D113E6" w:rsidRPr="0016671D" w:rsidRDefault="00D113E6" w:rsidP="00D113E6">
            <w:pPr>
              <w:spacing w:before="240" w:after="200"/>
              <w:ind w:left="108" w:right="70"/>
              <w:jc w:val="center"/>
              <w:rPr>
                <w:rFonts w:eastAsia="Calibri"/>
                <w:b/>
              </w:rPr>
            </w:pPr>
            <w:r w:rsidRPr="0016671D">
              <w:rPr>
                <w:rFonts w:eastAsia="Calibri"/>
                <w:b/>
                <w:u w:val="single"/>
              </w:rPr>
              <w:t>Project Summary and Regulatory Review</w:t>
            </w:r>
          </w:p>
          <w:p w14:paraId="1B5DC19C" w14:textId="774E0D5F" w:rsidR="00D113E6" w:rsidRPr="008178D6" w:rsidRDefault="00D113E6" w:rsidP="00D113E6">
            <w:pPr>
              <w:ind w:left="160" w:right="70" w:hanging="20"/>
            </w:pPr>
            <w:r w:rsidRPr="00A74BA2">
              <w:t>The Children’s Medical Center Corporation (</w:t>
            </w:r>
            <w:r w:rsidR="00F152FD">
              <w:t>“</w:t>
            </w:r>
            <w:r w:rsidRPr="00A74BA2">
              <w:t>CMCC</w:t>
            </w:r>
            <w:r w:rsidR="00F152FD">
              <w:t>”</w:t>
            </w:r>
            <w:r w:rsidRPr="00A74BA2">
              <w:t xml:space="preserve"> or </w:t>
            </w:r>
            <w:bookmarkStart w:id="0" w:name="_9kR3WTr26648GOE0xrjco8"/>
            <w:r w:rsidR="00F152FD">
              <w:t>“</w:t>
            </w:r>
            <w:r w:rsidRPr="00A74BA2">
              <w:t>Applicant</w:t>
            </w:r>
            <w:bookmarkEnd w:id="0"/>
            <w:r w:rsidR="00F152FD">
              <w:t>”</w:t>
            </w:r>
            <w:r w:rsidRPr="00A74BA2">
              <w:t xml:space="preserve">), the sole corporate member of The Children’s Hospital Corporation, submits this Application for approval of a </w:t>
            </w:r>
            <w:r w:rsidR="00F152FD" w:rsidRPr="00A74BA2">
              <w:t xml:space="preserve">Proposed Project </w:t>
            </w:r>
            <w:r w:rsidRPr="00A74BA2">
              <w:t>at Franciscan Hospital for Children</w:t>
            </w:r>
            <w:r>
              <w:t>, Inc.</w:t>
            </w:r>
            <w:r w:rsidRPr="00A74BA2">
              <w:t xml:space="preserve"> (“Franciscan”) </w:t>
            </w:r>
            <w:r>
              <w:t>located at 30 Warren Street, Brighton, MA</w:t>
            </w:r>
            <w:r w:rsidR="00F152FD">
              <w:t>,</w:t>
            </w:r>
            <w:r>
              <w:t xml:space="preserve"> </w:t>
            </w:r>
            <w:r w:rsidRPr="00A74BA2">
              <w:t xml:space="preserve">that </w:t>
            </w:r>
            <w:r w:rsidR="00F152FD">
              <w:t>in</w:t>
            </w:r>
            <w:r w:rsidRPr="00A74BA2">
              <w:t xml:space="preserve">cludes </w:t>
            </w:r>
            <w:r>
              <w:t xml:space="preserve">1) </w:t>
            </w:r>
            <w:r w:rsidR="00F152FD">
              <w:t xml:space="preserve">construction of a replacement facility to </w:t>
            </w:r>
            <w:r w:rsidR="00176911">
              <w:t>enable an improvement in</w:t>
            </w:r>
            <w:r w:rsidRPr="00A74BA2">
              <w:t xml:space="preserve"> the delivery of mental health services and post-acute rehabilitation</w:t>
            </w:r>
            <w:r>
              <w:t xml:space="preserve"> </w:t>
            </w:r>
            <w:r w:rsidR="00176911">
              <w:t xml:space="preserve">services that includes </w:t>
            </w:r>
            <w:r>
              <w:t>replace</w:t>
            </w:r>
            <w:r w:rsidR="00F152FD">
              <w:t>ment of</w:t>
            </w:r>
            <w:r>
              <w:t xml:space="preserve"> 112</w:t>
            </w:r>
            <w:r w:rsidR="00F152FD">
              <w:t xml:space="preserve"> licensed beds</w:t>
            </w:r>
            <w:r w:rsidR="00176911">
              <w:t xml:space="preserve"> and the</w:t>
            </w:r>
            <w:r w:rsidR="00F152FD">
              <w:t xml:space="preserve"> addition of</w:t>
            </w:r>
            <w:r>
              <w:t xml:space="preserve"> 4 new licensed beds</w:t>
            </w:r>
            <w:r w:rsidRPr="00A74BA2">
              <w:t xml:space="preserve">; </w:t>
            </w:r>
            <w:r w:rsidR="00F152FD" w:rsidRPr="00F152FD">
              <w:t>2) consolidat</w:t>
            </w:r>
            <w:r w:rsidR="00F152FD">
              <w:t>ion</w:t>
            </w:r>
            <w:r w:rsidR="00F152FD" w:rsidRPr="00F152FD">
              <w:t xml:space="preserve"> </w:t>
            </w:r>
            <w:r w:rsidR="00CE546B">
              <w:t xml:space="preserve">of </w:t>
            </w:r>
            <w:r w:rsidR="00F152FD" w:rsidRPr="00F152FD">
              <w:t xml:space="preserve">mental health services including relocating 12 </w:t>
            </w:r>
            <w:r w:rsidR="00F152FD">
              <w:t xml:space="preserve">operational </w:t>
            </w:r>
            <w:r w:rsidR="00F152FD" w:rsidRPr="00F152FD">
              <w:t>psychiatric beds</w:t>
            </w:r>
            <w:r w:rsidR="00CE546B">
              <w:t xml:space="preserve"> </w:t>
            </w:r>
            <w:r w:rsidR="00CE546B" w:rsidRPr="00CE546B">
              <w:t>and an approved but not yet implemented partial hospitalization</w:t>
            </w:r>
            <w:r w:rsidR="00CE546B">
              <w:t xml:space="preserve"> program</w:t>
            </w:r>
            <w:r w:rsidR="00F152FD" w:rsidRPr="00F152FD">
              <w:t xml:space="preserve"> from </w:t>
            </w:r>
            <w:r w:rsidR="000211D3" w:rsidRPr="000211D3">
              <w:t xml:space="preserve">The Children’s Hospital Corporation </w:t>
            </w:r>
            <w:r w:rsidR="000211D3">
              <w:t>(d/b/a/</w:t>
            </w:r>
            <w:r w:rsidR="00F152FD" w:rsidRPr="00F152FD">
              <w:t>Boston Children’s Hospital, Inc.</w:t>
            </w:r>
            <w:r w:rsidR="000211D3">
              <w:t xml:space="preserve">, </w:t>
            </w:r>
            <w:r w:rsidR="00F152FD" w:rsidRPr="00F152FD">
              <w:t>“BCH”) in Waltham</w:t>
            </w:r>
            <w:r w:rsidR="00CE546B">
              <w:t>;</w:t>
            </w:r>
            <w:r w:rsidR="00F152FD">
              <w:t xml:space="preserve"> </w:t>
            </w:r>
            <w:r w:rsidR="00F152FD" w:rsidRPr="00F152FD">
              <w:t xml:space="preserve"> </w:t>
            </w:r>
            <w:r w:rsidR="00F152FD">
              <w:t>3</w:t>
            </w:r>
            <w:r w:rsidRPr="00A74BA2">
              <w:t xml:space="preserve">) renovate ambulatory dental surgical suite </w:t>
            </w:r>
            <w:r>
              <w:t xml:space="preserve">and add </w:t>
            </w:r>
            <w:r w:rsidRPr="00A74BA2">
              <w:t>a fourth operating room</w:t>
            </w:r>
            <w:r w:rsidR="00CE546B">
              <w:t>.</w:t>
            </w:r>
            <w:r w:rsidRPr="00A74BA2">
              <w:t xml:space="preserve"> </w:t>
            </w:r>
            <w:r>
              <w:t xml:space="preserve">The Maximum Capital Expenditure is </w:t>
            </w:r>
            <w:r w:rsidRPr="002738AD">
              <w:t>$481,371,000</w:t>
            </w:r>
            <w:r>
              <w:t xml:space="preserve">; the Community Health Initiative commitment is </w:t>
            </w:r>
            <w:r w:rsidRPr="002738AD">
              <w:t>$24,068,550</w:t>
            </w:r>
            <w:r>
              <w:t>.</w:t>
            </w:r>
          </w:p>
          <w:p w14:paraId="76D94A9F" w14:textId="77777777" w:rsidR="00D113E6" w:rsidRPr="00A74BA2" w:rsidRDefault="00D113E6" w:rsidP="00D113E6">
            <w:pPr>
              <w:ind w:right="70"/>
            </w:pPr>
          </w:p>
          <w:p w14:paraId="0DFF775D" w14:textId="5DDBC84D" w:rsidR="00D113E6" w:rsidRDefault="00D113E6" w:rsidP="00D113E6">
            <w:pPr>
              <w:ind w:left="108" w:right="70"/>
              <w:rPr>
                <w:rFonts w:eastAsia="Calibri"/>
              </w:rPr>
            </w:pPr>
            <w:r w:rsidRPr="00A74BA2">
              <w:rPr>
                <w:rFonts w:eastAsia="Calibri"/>
              </w:rPr>
              <w:t>This Determination of Need (DoN) Application falls within the definition of substantial capital expenditure, which is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This staff report addresses each of the six factors set forth in the regulation.</w:t>
            </w:r>
            <w:r w:rsidR="00CE546B">
              <w:rPr>
                <w:rFonts w:eastAsia="Calibri"/>
              </w:rPr>
              <w:t xml:space="preserve"> </w:t>
            </w:r>
          </w:p>
          <w:p w14:paraId="53897644" w14:textId="20C3D9C9" w:rsidR="00D113E6" w:rsidRPr="00D113E6" w:rsidRDefault="00D113E6" w:rsidP="00D113E6">
            <w:pPr>
              <w:ind w:left="108" w:right="70"/>
              <w:rPr>
                <w:rFonts w:eastAsia="Calibri"/>
              </w:rPr>
            </w:pPr>
          </w:p>
        </w:tc>
      </w:tr>
    </w:tbl>
    <w:p w14:paraId="0E8E8B60" w14:textId="7590AA91" w:rsidR="00486F29" w:rsidRDefault="00486F29" w:rsidP="00FC26AB">
      <w:pPr>
        <w:pStyle w:val="Heading2"/>
      </w:pPr>
    </w:p>
    <w:p w14:paraId="49EC7263" w14:textId="77777777" w:rsidR="00486F29" w:rsidRDefault="00486F29">
      <w:pPr>
        <w:spacing w:after="200" w:line="276" w:lineRule="auto"/>
        <w:rPr>
          <w:rFonts w:asciiTheme="majorHAnsi" w:eastAsiaTheme="majorEastAsia" w:hAnsiTheme="majorHAnsi" w:cstheme="majorBidi"/>
          <w:b/>
          <w:bCs/>
          <w:color w:val="6076B4" w:themeColor="accent1"/>
          <w:sz w:val="26"/>
          <w:szCs w:val="26"/>
        </w:rPr>
      </w:pPr>
      <w:r>
        <w:br w:type="page"/>
      </w:r>
    </w:p>
    <w:p w14:paraId="3157A547" w14:textId="77777777" w:rsidR="00486F29" w:rsidRPr="00486F29" w:rsidRDefault="00486F29" w:rsidP="00486F29"/>
    <w:p w14:paraId="13429CFF" w14:textId="77777777" w:rsidR="003A6B26" w:rsidRDefault="003A6B26"/>
    <w:p w14:paraId="74E2210E" w14:textId="01493154" w:rsidR="00A13015" w:rsidRDefault="00A13015" w:rsidP="00A13015">
      <w:pPr>
        <w:pStyle w:val="TOC1"/>
        <w:rPr>
          <w:rFonts w:asciiTheme="minorHAnsi" w:eastAsiaTheme="minorEastAsia" w:hAnsiTheme="minorHAnsi" w:cstheme="minorBidi"/>
          <w:kern w:val="2"/>
          <w:sz w:val="22"/>
          <w14:ligatures w14:val="standardContextual"/>
        </w:rPr>
      </w:pPr>
      <w:r>
        <w:rPr>
          <w:rFonts w:ascii="Garamond" w:hAnsi="Garamond"/>
          <w:sz w:val="22"/>
        </w:rPr>
        <w:fldChar w:fldCharType="begin"/>
      </w:r>
      <w:r>
        <w:rPr>
          <w:rFonts w:ascii="Garamond" w:hAnsi="Garamond"/>
          <w:sz w:val="22"/>
        </w:rPr>
        <w:instrText xml:space="preserve"> TOC \o "1-3" \h \z \u </w:instrText>
      </w:r>
      <w:r>
        <w:rPr>
          <w:rFonts w:ascii="Garamond" w:hAnsi="Garamond"/>
          <w:sz w:val="22"/>
        </w:rPr>
        <w:fldChar w:fldCharType="separate"/>
      </w:r>
      <w:hyperlink w:anchor="_Toc158218019" w:history="1">
        <w:r w:rsidRPr="00E701E1">
          <w:rPr>
            <w:rStyle w:val="Hyperlink"/>
          </w:rPr>
          <w:t>Patient Panel</w:t>
        </w:r>
        <w:r>
          <w:rPr>
            <w:webHidden/>
          </w:rPr>
          <w:tab/>
        </w:r>
        <w:r>
          <w:rPr>
            <w:webHidden/>
          </w:rPr>
          <w:fldChar w:fldCharType="begin"/>
        </w:r>
        <w:r>
          <w:rPr>
            <w:webHidden/>
          </w:rPr>
          <w:instrText xml:space="preserve"> PAGEREF _Toc158218019 \h </w:instrText>
        </w:r>
        <w:r>
          <w:rPr>
            <w:webHidden/>
          </w:rPr>
        </w:r>
        <w:r>
          <w:rPr>
            <w:webHidden/>
          </w:rPr>
          <w:fldChar w:fldCharType="separate"/>
        </w:r>
        <w:r>
          <w:rPr>
            <w:webHidden/>
          </w:rPr>
          <w:t>5</w:t>
        </w:r>
        <w:r>
          <w:rPr>
            <w:webHidden/>
          </w:rPr>
          <w:fldChar w:fldCharType="end"/>
        </w:r>
      </w:hyperlink>
    </w:p>
    <w:p w14:paraId="221AFC24" w14:textId="1FD14FF1" w:rsidR="00A13015" w:rsidRDefault="00000000" w:rsidP="00A13015">
      <w:pPr>
        <w:pStyle w:val="TOC1"/>
        <w:rPr>
          <w:rFonts w:asciiTheme="minorHAnsi" w:eastAsiaTheme="minorEastAsia" w:hAnsiTheme="minorHAnsi" w:cstheme="minorBidi"/>
          <w:kern w:val="2"/>
          <w:sz w:val="22"/>
          <w14:ligatures w14:val="standardContextual"/>
        </w:rPr>
      </w:pPr>
      <w:hyperlink w:anchor="_Toc158218020" w:history="1">
        <w:r w:rsidR="00A13015" w:rsidRPr="00E701E1">
          <w:rPr>
            <w:rStyle w:val="Hyperlink"/>
            <w:rFonts w:eastAsia="Calibri" w:cstheme="minorHAnsi"/>
          </w:rPr>
          <w:t>Factor 1a: Patient Panel Need</w:t>
        </w:r>
        <w:r w:rsidR="00A13015">
          <w:rPr>
            <w:webHidden/>
          </w:rPr>
          <w:tab/>
        </w:r>
        <w:r w:rsidR="00A13015">
          <w:rPr>
            <w:webHidden/>
          </w:rPr>
          <w:fldChar w:fldCharType="begin"/>
        </w:r>
        <w:r w:rsidR="00A13015">
          <w:rPr>
            <w:webHidden/>
          </w:rPr>
          <w:instrText xml:space="preserve"> PAGEREF _Toc158218020 \h </w:instrText>
        </w:r>
        <w:r w:rsidR="00A13015">
          <w:rPr>
            <w:webHidden/>
          </w:rPr>
        </w:r>
        <w:r w:rsidR="00A13015">
          <w:rPr>
            <w:webHidden/>
          </w:rPr>
          <w:fldChar w:fldCharType="separate"/>
        </w:r>
        <w:r w:rsidR="00A13015">
          <w:rPr>
            <w:webHidden/>
          </w:rPr>
          <w:t>8</w:t>
        </w:r>
        <w:r w:rsidR="00A13015">
          <w:rPr>
            <w:webHidden/>
          </w:rPr>
          <w:fldChar w:fldCharType="end"/>
        </w:r>
      </w:hyperlink>
    </w:p>
    <w:p w14:paraId="0047B3D8" w14:textId="3334DDC7" w:rsidR="00A13015" w:rsidRDefault="00000000" w:rsidP="001D23E0">
      <w:pPr>
        <w:pStyle w:val="TOC2"/>
        <w:rPr>
          <w:rFonts w:eastAsiaTheme="minorEastAsia"/>
          <w:color w:val="auto"/>
          <w:kern w:val="2"/>
          <w14:ligatures w14:val="standardContextual"/>
        </w:rPr>
      </w:pPr>
      <w:hyperlink w:anchor="_Toc158218021" w:history="1">
        <w:r w:rsidR="00A13015" w:rsidRPr="00E701E1">
          <w:rPr>
            <w:rStyle w:val="Hyperlink"/>
          </w:rPr>
          <w:t>Factor 1: b) Public health value, improved health outcomes and quality of life; assurances of health equity</w:t>
        </w:r>
        <w:r w:rsidR="00A13015">
          <w:rPr>
            <w:webHidden/>
          </w:rPr>
          <w:tab/>
        </w:r>
        <w:r w:rsidR="00A13015">
          <w:rPr>
            <w:webHidden/>
          </w:rPr>
          <w:fldChar w:fldCharType="begin"/>
        </w:r>
        <w:r w:rsidR="00A13015">
          <w:rPr>
            <w:webHidden/>
          </w:rPr>
          <w:instrText xml:space="preserve"> PAGEREF _Toc158218021 \h </w:instrText>
        </w:r>
        <w:r w:rsidR="00A13015">
          <w:rPr>
            <w:webHidden/>
          </w:rPr>
        </w:r>
        <w:r w:rsidR="00A13015">
          <w:rPr>
            <w:webHidden/>
          </w:rPr>
          <w:fldChar w:fldCharType="separate"/>
        </w:r>
        <w:r w:rsidR="00A13015">
          <w:rPr>
            <w:webHidden/>
          </w:rPr>
          <w:t>19</w:t>
        </w:r>
        <w:r w:rsidR="00A13015">
          <w:rPr>
            <w:webHidden/>
          </w:rPr>
          <w:fldChar w:fldCharType="end"/>
        </w:r>
      </w:hyperlink>
    </w:p>
    <w:p w14:paraId="59CB12E0" w14:textId="62044F78" w:rsidR="00A13015" w:rsidRDefault="00000000" w:rsidP="00A13015">
      <w:pPr>
        <w:pStyle w:val="TOC1"/>
        <w:rPr>
          <w:rFonts w:asciiTheme="minorHAnsi" w:eastAsiaTheme="minorEastAsia" w:hAnsiTheme="minorHAnsi" w:cstheme="minorBidi"/>
          <w:kern w:val="2"/>
          <w:sz w:val="22"/>
          <w14:ligatures w14:val="standardContextual"/>
        </w:rPr>
      </w:pPr>
      <w:hyperlink w:anchor="_Toc158218022" w:history="1">
        <w:r w:rsidR="00A13015" w:rsidRPr="00E701E1">
          <w:rPr>
            <w:rStyle w:val="Hyperlink"/>
            <w:rFonts w:cstheme="minorHAnsi"/>
          </w:rPr>
          <w:t>Factor 1: c) Efficiency, Continuity of Care, Coordination of Care</w:t>
        </w:r>
        <w:r w:rsidR="00A13015">
          <w:rPr>
            <w:webHidden/>
          </w:rPr>
          <w:tab/>
        </w:r>
        <w:r w:rsidR="00A13015">
          <w:rPr>
            <w:webHidden/>
          </w:rPr>
          <w:fldChar w:fldCharType="begin"/>
        </w:r>
        <w:r w:rsidR="00A13015">
          <w:rPr>
            <w:webHidden/>
          </w:rPr>
          <w:instrText xml:space="preserve"> PAGEREF _Toc158218022 \h </w:instrText>
        </w:r>
        <w:r w:rsidR="00A13015">
          <w:rPr>
            <w:webHidden/>
          </w:rPr>
        </w:r>
        <w:r w:rsidR="00A13015">
          <w:rPr>
            <w:webHidden/>
          </w:rPr>
          <w:fldChar w:fldCharType="separate"/>
        </w:r>
        <w:r w:rsidR="00A13015">
          <w:rPr>
            <w:webHidden/>
          </w:rPr>
          <w:t>21</w:t>
        </w:r>
        <w:r w:rsidR="00A13015">
          <w:rPr>
            <w:webHidden/>
          </w:rPr>
          <w:fldChar w:fldCharType="end"/>
        </w:r>
      </w:hyperlink>
    </w:p>
    <w:p w14:paraId="5E9FF810" w14:textId="4F3F7069" w:rsidR="00A13015" w:rsidRDefault="00000000" w:rsidP="00A13015">
      <w:pPr>
        <w:pStyle w:val="TOC1"/>
        <w:rPr>
          <w:rFonts w:asciiTheme="minorHAnsi" w:eastAsiaTheme="minorEastAsia" w:hAnsiTheme="minorHAnsi" w:cstheme="minorBidi"/>
          <w:kern w:val="2"/>
          <w:sz w:val="22"/>
          <w14:ligatures w14:val="standardContextual"/>
        </w:rPr>
      </w:pPr>
      <w:hyperlink w:anchor="_Toc158218023" w:history="1">
        <w:r w:rsidR="00A13015" w:rsidRPr="00E701E1">
          <w:rPr>
            <w:rStyle w:val="Hyperlink"/>
            <w:rFonts w:cstheme="minorHAnsi"/>
          </w:rPr>
          <w:t>Factor 1: d) Consultation</w:t>
        </w:r>
        <w:r w:rsidR="00A13015">
          <w:rPr>
            <w:webHidden/>
          </w:rPr>
          <w:tab/>
        </w:r>
        <w:r w:rsidR="00A13015">
          <w:rPr>
            <w:webHidden/>
          </w:rPr>
          <w:fldChar w:fldCharType="begin"/>
        </w:r>
        <w:r w:rsidR="00A13015">
          <w:rPr>
            <w:webHidden/>
          </w:rPr>
          <w:instrText xml:space="preserve"> PAGEREF _Toc158218023 \h </w:instrText>
        </w:r>
        <w:r w:rsidR="00A13015">
          <w:rPr>
            <w:webHidden/>
          </w:rPr>
        </w:r>
        <w:r w:rsidR="00A13015">
          <w:rPr>
            <w:webHidden/>
          </w:rPr>
          <w:fldChar w:fldCharType="separate"/>
        </w:r>
        <w:r w:rsidR="00A13015">
          <w:rPr>
            <w:webHidden/>
          </w:rPr>
          <w:t>22</w:t>
        </w:r>
        <w:r w:rsidR="00A13015">
          <w:rPr>
            <w:webHidden/>
          </w:rPr>
          <w:fldChar w:fldCharType="end"/>
        </w:r>
      </w:hyperlink>
    </w:p>
    <w:p w14:paraId="39FC5A20" w14:textId="2B8BF592" w:rsidR="00A13015" w:rsidRDefault="00000000" w:rsidP="00A13015">
      <w:pPr>
        <w:pStyle w:val="TOC1"/>
        <w:rPr>
          <w:rFonts w:asciiTheme="minorHAnsi" w:eastAsiaTheme="minorEastAsia" w:hAnsiTheme="minorHAnsi" w:cstheme="minorBidi"/>
          <w:kern w:val="2"/>
          <w:sz w:val="22"/>
          <w14:ligatures w14:val="standardContextual"/>
        </w:rPr>
      </w:pPr>
      <w:hyperlink w:anchor="_Toc158218024" w:history="1">
        <w:r w:rsidR="00A13015" w:rsidRPr="00E701E1">
          <w:rPr>
            <w:rStyle w:val="Hyperlink"/>
            <w:rFonts w:cstheme="minorHAnsi"/>
          </w:rPr>
          <w:t>Factor 1: e) Evidence of Sound Community Engagement through the Patient Panel</w:t>
        </w:r>
        <w:r w:rsidR="00A13015">
          <w:rPr>
            <w:webHidden/>
          </w:rPr>
          <w:tab/>
        </w:r>
        <w:r w:rsidR="00A13015">
          <w:rPr>
            <w:webHidden/>
          </w:rPr>
          <w:fldChar w:fldCharType="begin"/>
        </w:r>
        <w:r w:rsidR="00A13015">
          <w:rPr>
            <w:webHidden/>
          </w:rPr>
          <w:instrText xml:space="preserve"> PAGEREF _Toc158218024 \h </w:instrText>
        </w:r>
        <w:r w:rsidR="00A13015">
          <w:rPr>
            <w:webHidden/>
          </w:rPr>
        </w:r>
        <w:r w:rsidR="00A13015">
          <w:rPr>
            <w:webHidden/>
          </w:rPr>
          <w:fldChar w:fldCharType="separate"/>
        </w:r>
        <w:r w:rsidR="00A13015">
          <w:rPr>
            <w:webHidden/>
          </w:rPr>
          <w:t>22</w:t>
        </w:r>
        <w:r w:rsidR="00A13015">
          <w:rPr>
            <w:webHidden/>
          </w:rPr>
          <w:fldChar w:fldCharType="end"/>
        </w:r>
      </w:hyperlink>
    </w:p>
    <w:p w14:paraId="211A4F13" w14:textId="5AB991A0" w:rsidR="00A13015" w:rsidRDefault="00000000" w:rsidP="00A13015">
      <w:pPr>
        <w:pStyle w:val="TOC1"/>
        <w:rPr>
          <w:rFonts w:asciiTheme="minorHAnsi" w:eastAsiaTheme="minorEastAsia" w:hAnsiTheme="minorHAnsi" w:cstheme="minorBidi"/>
          <w:kern w:val="2"/>
          <w:sz w:val="22"/>
          <w14:ligatures w14:val="standardContextual"/>
        </w:rPr>
      </w:pPr>
      <w:hyperlink w:anchor="_Toc158218025" w:history="1">
        <w:r w:rsidR="00A13015" w:rsidRPr="00E701E1">
          <w:rPr>
            <w:rStyle w:val="Hyperlink"/>
          </w:rPr>
          <w:t>Factor 1: f) Competition on Price, Total Medical Expenses (TME), Costs and Other Measures of Health Care Spending</w:t>
        </w:r>
        <w:r w:rsidR="00A13015">
          <w:rPr>
            <w:webHidden/>
          </w:rPr>
          <w:tab/>
        </w:r>
        <w:r w:rsidR="00A13015">
          <w:rPr>
            <w:webHidden/>
          </w:rPr>
          <w:fldChar w:fldCharType="begin"/>
        </w:r>
        <w:r w:rsidR="00A13015">
          <w:rPr>
            <w:webHidden/>
          </w:rPr>
          <w:instrText xml:space="preserve"> PAGEREF _Toc158218025 \h </w:instrText>
        </w:r>
        <w:r w:rsidR="00A13015">
          <w:rPr>
            <w:webHidden/>
          </w:rPr>
        </w:r>
        <w:r w:rsidR="00A13015">
          <w:rPr>
            <w:webHidden/>
          </w:rPr>
          <w:fldChar w:fldCharType="separate"/>
        </w:r>
        <w:r w:rsidR="00A13015">
          <w:rPr>
            <w:webHidden/>
          </w:rPr>
          <w:t>24</w:t>
        </w:r>
        <w:r w:rsidR="00A13015">
          <w:rPr>
            <w:webHidden/>
          </w:rPr>
          <w:fldChar w:fldCharType="end"/>
        </w:r>
      </w:hyperlink>
    </w:p>
    <w:p w14:paraId="09585064" w14:textId="6520331E" w:rsidR="00A13015" w:rsidRPr="001D23E0" w:rsidRDefault="00000000" w:rsidP="001D23E0">
      <w:pPr>
        <w:pStyle w:val="TOC2"/>
        <w:rPr>
          <w:rFonts w:eastAsiaTheme="minorEastAsia"/>
          <w:color w:val="auto"/>
          <w:kern w:val="2"/>
          <w14:ligatures w14:val="standardContextual"/>
        </w:rPr>
      </w:pPr>
      <w:hyperlink w:anchor="_Toc158218026" w:history="1">
        <w:r w:rsidR="00A13015" w:rsidRPr="001D23E0">
          <w:rPr>
            <w:rStyle w:val="Hyperlink"/>
          </w:rPr>
          <w:t>FACTOR 1 Summary Analysis</w:t>
        </w:r>
        <w:r w:rsidR="00A13015" w:rsidRPr="001D23E0">
          <w:rPr>
            <w:webHidden/>
          </w:rPr>
          <w:tab/>
        </w:r>
        <w:r w:rsidR="00A13015" w:rsidRPr="001D23E0">
          <w:rPr>
            <w:webHidden/>
          </w:rPr>
          <w:fldChar w:fldCharType="begin"/>
        </w:r>
        <w:r w:rsidR="00A13015" w:rsidRPr="001D23E0">
          <w:rPr>
            <w:webHidden/>
          </w:rPr>
          <w:instrText xml:space="preserve"> PAGEREF _Toc158218026 \h </w:instrText>
        </w:r>
        <w:r w:rsidR="00A13015" w:rsidRPr="001D23E0">
          <w:rPr>
            <w:webHidden/>
          </w:rPr>
        </w:r>
        <w:r w:rsidR="00A13015" w:rsidRPr="001D23E0">
          <w:rPr>
            <w:webHidden/>
          </w:rPr>
          <w:fldChar w:fldCharType="separate"/>
        </w:r>
        <w:r w:rsidR="00A13015" w:rsidRPr="001D23E0">
          <w:rPr>
            <w:webHidden/>
          </w:rPr>
          <w:t>25</w:t>
        </w:r>
        <w:r w:rsidR="00A13015" w:rsidRPr="001D23E0">
          <w:rPr>
            <w:webHidden/>
          </w:rPr>
          <w:fldChar w:fldCharType="end"/>
        </w:r>
      </w:hyperlink>
    </w:p>
    <w:p w14:paraId="1C10C08E" w14:textId="65239ACB" w:rsidR="00A13015" w:rsidRDefault="00000000" w:rsidP="00A13015">
      <w:pPr>
        <w:pStyle w:val="TOC1"/>
        <w:rPr>
          <w:rFonts w:asciiTheme="minorHAnsi" w:eastAsiaTheme="minorEastAsia" w:hAnsiTheme="minorHAnsi" w:cstheme="minorBidi"/>
          <w:kern w:val="2"/>
          <w:sz w:val="22"/>
          <w14:ligatures w14:val="standardContextual"/>
        </w:rPr>
      </w:pPr>
      <w:hyperlink w:anchor="_Toc158218027" w:history="1">
        <w:r w:rsidR="00A13015" w:rsidRPr="00E701E1">
          <w:rPr>
            <w:rStyle w:val="Hyperlink"/>
            <w:rFonts w:cstheme="minorHAnsi"/>
          </w:rPr>
          <w:t>Factor 2: Cost Containment, Improved Public Health Outcomes and Delivery System Transformation</w:t>
        </w:r>
        <w:r w:rsidR="00A13015">
          <w:rPr>
            <w:webHidden/>
          </w:rPr>
          <w:tab/>
        </w:r>
        <w:r w:rsidR="00A13015">
          <w:rPr>
            <w:webHidden/>
          </w:rPr>
          <w:fldChar w:fldCharType="begin"/>
        </w:r>
        <w:r w:rsidR="00A13015">
          <w:rPr>
            <w:webHidden/>
          </w:rPr>
          <w:instrText xml:space="preserve"> PAGEREF _Toc158218027 \h </w:instrText>
        </w:r>
        <w:r w:rsidR="00A13015">
          <w:rPr>
            <w:webHidden/>
          </w:rPr>
        </w:r>
        <w:r w:rsidR="00A13015">
          <w:rPr>
            <w:webHidden/>
          </w:rPr>
          <w:fldChar w:fldCharType="separate"/>
        </w:r>
        <w:r w:rsidR="00A13015">
          <w:rPr>
            <w:webHidden/>
          </w:rPr>
          <w:t>25</w:t>
        </w:r>
        <w:r w:rsidR="00A13015">
          <w:rPr>
            <w:webHidden/>
          </w:rPr>
          <w:fldChar w:fldCharType="end"/>
        </w:r>
      </w:hyperlink>
    </w:p>
    <w:p w14:paraId="49B7D237" w14:textId="7E448230" w:rsidR="00A13015" w:rsidRDefault="00000000" w:rsidP="00A13015">
      <w:pPr>
        <w:pStyle w:val="TOC1"/>
        <w:rPr>
          <w:rFonts w:asciiTheme="minorHAnsi" w:eastAsiaTheme="minorEastAsia" w:hAnsiTheme="minorHAnsi" w:cstheme="minorBidi"/>
          <w:kern w:val="2"/>
          <w:sz w:val="22"/>
          <w14:ligatures w14:val="standardContextual"/>
        </w:rPr>
      </w:pPr>
      <w:hyperlink w:anchor="_Toc158218028" w:history="1">
        <w:r w:rsidR="00A13015" w:rsidRPr="00E701E1">
          <w:rPr>
            <w:rStyle w:val="Hyperlink"/>
            <w:rFonts w:cstheme="minorHAnsi"/>
          </w:rPr>
          <w:t>Factor 3: Relevant Licensure/Oversight Compliance</w:t>
        </w:r>
        <w:r w:rsidR="00A13015">
          <w:rPr>
            <w:webHidden/>
          </w:rPr>
          <w:tab/>
        </w:r>
        <w:r w:rsidR="00A13015">
          <w:rPr>
            <w:webHidden/>
          </w:rPr>
          <w:fldChar w:fldCharType="begin"/>
        </w:r>
        <w:r w:rsidR="00A13015">
          <w:rPr>
            <w:webHidden/>
          </w:rPr>
          <w:instrText xml:space="preserve"> PAGEREF _Toc158218028 \h </w:instrText>
        </w:r>
        <w:r w:rsidR="00A13015">
          <w:rPr>
            <w:webHidden/>
          </w:rPr>
        </w:r>
        <w:r w:rsidR="00A13015">
          <w:rPr>
            <w:webHidden/>
          </w:rPr>
          <w:fldChar w:fldCharType="separate"/>
        </w:r>
        <w:r w:rsidR="00A13015">
          <w:rPr>
            <w:webHidden/>
          </w:rPr>
          <w:t>28</w:t>
        </w:r>
        <w:r w:rsidR="00A13015">
          <w:rPr>
            <w:webHidden/>
          </w:rPr>
          <w:fldChar w:fldCharType="end"/>
        </w:r>
      </w:hyperlink>
    </w:p>
    <w:p w14:paraId="2C085E86" w14:textId="090A3855" w:rsidR="00A13015" w:rsidRDefault="00000000" w:rsidP="00A13015">
      <w:pPr>
        <w:pStyle w:val="TOC1"/>
        <w:rPr>
          <w:rFonts w:asciiTheme="minorHAnsi" w:eastAsiaTheme="minorEastAsia" w:hAnsiTheme="minorHAnsi" w:cstheme="minorBidi"/>
          <w:kern w:val="2"/>
          <w:sz w:val="22"/>
          <w14:ligatures w14:val="standardContextual"/>
        </w:rPr>
      </w:pPr>
      <w:hyperlink w:anchor="_Toc158218029" w:history="1">
        <w:r w:rsidR="00A13015" w:rsidRPr="00E701E1">
          <w:rPr>
            <w:rStyle w:val="Hyperlink"/>
            <w:rFonts w:cstheme="minorHAnsi"/>
          </w:rPr>
          <w:t>Factor 4: Demonstration of Sufficient Funds Independent CPA Analysis</w:t>
        </w:r>
        <w:r w:rsidR="00A13015">
          <w:rPr>
            <w:webHidden/>
          </w:rPr>
          <w:tab/>
        </w:r>
        <w:r w:rsidR="00A13015">
          <w:rPr>
            <w:webHidden/>
          </w:rPr>
          <w:fldChar w:fldCharType="begin"/>
        </w:r>
        <w:r w:rsidR="00A13015">
          <w:rPr>
            <w:webHidden/>
          </w:rPr>
          <w:instrText xml:space="preserve"> PAGEREF _Toc158218029 \h </w:instrText>
        </w:r>
        <w:r w:rsidR="00A13015">
          <w:rPr>
            <w:webHidden/>
          </w:rPr>
        </w:r>
        <w:r w:rsidR="00A13015">
          <w:rPr>
            <w:webHidden/>
          </w:rPr>
          <w:fldChar w:fldCharType="separate"/>
        </w:r>
        <w:r w:rsidR="00A13015">
          <w:rPr>
            <w:webHidden/>
          </w:rPr>
          <w:t>28</w:t>
        </w:r>
        <w:r w:rsidR="00A13015">
          <w:rPr>
            <w:webHidden/>
          </w:rPr>
          <w:fldChar w:fldCharType="end"/>
        </w:r>
      </w:hyperlink>
    </w:p>
    <w:p w14:paraId="581F0CA6" w14:textId="21BC86B9" w:rsidR="00A13015" w:rsidRDefault="00000000" w:rsidP="00A13015">
      <w:pPr>
        <w:pStyle w:val="TOC1"/>
        <w:rPr>
          <w:rFonts w:asciiTheme="minorHAnsi" w:eastAsiaTheme="minorEastAsia" w:hAnsiTheme="minorHAnsi" w:cstheme="minorBidi"/>
          <w:kern w:val="2"/>
          <w:sz w:val="22"/>
          <w14:ligatures w14:val="standardContextual"/>
        </w:rPr>
      </w:pPr>
      <w:hyperlink w:anchor="_Toc158218030" w:history="1">
        <w:r w:rsidR="00A13015" w:rsidRPr="00E701E1">
          <w:rPr>
            <w:rStyle w:val="Hyperlink"/>
          </w:rPr>
          <w:t>Factor 5: Assessment of the Proposed Project’s Relative Merit</w:t>
        </w:r>
        <w:r w:rsidR="00A13015">
          <w:rPr>
            <w:webHidden/>
          </w:rPr>
          <w:tab/>
        </w:r>
        <w:r w:rsidR="00A13015">
          <w:rPr>
            <w:webHidden/>
          </w:rPr>
          <w:fldChar w:fldCharType="begin"/>
        </w:r>
        <w:r w:rsidR="00A13015">
          <w:rPr>
            <w:webHidden/>
          </w:rPr>
          <w:instrText xml:space="preserve"> PAGEREF _Toc158218030 \h </w:instrText>
        </w:r>
        <w:r w:rsidR="00A13015">
          <w:rPr>
            <w:webHidden/>
          </w:rPr>
        </w:r>
        <w:r w:rsidR="00A13015">
          <w:rPr>
            <w:webHidden/>
          </w:rPr>
          <w:fldChar w:fldCharType="separate"/>
        </w:r>
        <w:r w:rsidR="00A13015">
          <w:rPr>
            <w:webHidden/>
          </w:rPr>
          <w:t>31</w:t>
        </w:r>
        <w:r w:rsidR="00A13015">
          <w:rPr>
            <w:webHidden/>
          </w:rPr>
          <w:fldChar w:fldCharType="end"/>
        </w:r>
      </w:hyperlink>
    </w:p>
    <w:p w14:paraId="3A353191" w14:textId="5D495745" w:rsidR="00A13015" w:rsidRDefault="00000000" w:rsidP="00A13015">
      <w:pPr>
        <w:pStyle w:val="TOC1"/>
        <w:rPr>
          <w:rFonts w:asciiTheme="minorHAnsi" w:eastAsiaTheme="minorEastAsia" w:hAnsiTheme="minorHAnsi" w:cstheme="minorBidi"/>
          <w:kern w:val="2"/>
          <w:sz w:val="22"/>
          <w14:ligatures w14:val="standardContextual"/>
        </w:rPr>
      </w:pPr>
      <w:hyperlink w:anchor="_Toc158218031" w:history="1">
        <w:r w:rsidR="00A13015" w:rsidRPr="00E701E1">
          <w:rPr>
            <w:rStyle w:val="Hyperlink"/>
            <w:rFonts w:eastAsia="Times New Roman" w:cstheme="minorHAnsi"/>
          </w:rPr>
          <w:t>Factor 6: Fulfillment of DPH Community-based Health Initiatives Guideline</w:t>
        </w:r>
        <w:r w:rsidR="00A13015">
          <w:rPr>
            <w:webHidden/>
          </w:rPr>
          <w:tab/>
        </w:r>
        <w:r w:rsidR="00A13015">
          <w:rPr>
            <w:webHidden/>
          </w:rPr>
          <w:fldChar w:fldCharType="begin"/>
        </w:r>
        <w:r w:rsidR="00A13015">
          <w:rPr>
            <w:webHidden/>
          </w:rPr>
          <w:instrText xml:space="preserve"> PAGEREF _Toc158218031 \h </w:instrText>
        </w:r>
        <w:r w:rsidR="00A13015">
          <w:rPr>
            <w:webHidden/>
          </w:rPr>
        </w:r>
        <w:r w:rsidR="00A13015">
          <w:rPr>
            <w:webHidden/>
          </w:rPr>
          <w:fldChar w:fldCharType="separate"/>
        </w:r>
        <w:r w:rsidR="00A13015">
          <w:rPr>
            <w:webHidden/>
          </w:rPr>
          <w:t>32</w:t>
        </w:r>
        <w:r w:rsidR="00A13015">
          <w:rPr>
            <w:webHidden/>
          </w:rPr>
          <w:fldChar w:fldCharType="end"/>
        </w:r>
      </w:hyperlink>
    </w:p>
    <w:p w14:paraId="25BB6BC8" w14:textId="0A0F74EC" w:rsidR="00A13015" w:rsidRDefault="00000000" w:rsidP="00A13015">
      <w:pPr>
        <w:pStyle w:val="TOC1"/>
        <w:rPr>
          <w:rFonts w:asciiTheme="minorHAnsi" w:eastAsiaTheme="minorEastAsia" w:hAnsiTheme="minorHAnsi" w:cstheme="minorBidi"/>
          <w:kern w:val="2"/>
          <w:sz w:val="22"/>
          <w14:ligatures w14:val="standardContextual"/>
        </w:rPr>
      </w:pPr>
      <w:hyperlink w:anchor="_Toc158218032" w:history="1">
        <w:r w:rsidR="00A13015" w:rsidRPr="00E701E1">
          <w:rPr>
            <w:rStyle w:val="Hyperlink"/>
            <w:rFonts w:cstheme="minorHAnsi"/>
          </w:rPr>
          <w:t>Ten Tax-Payer and Public Comments on the Application</w:t>
        </w:r>
        <w:r w:rsidR="00A13015">
          <w:rPr>
            <w:webHidden/>
          </w:rPr>
          <w:tab/>
        </w:r>
        <w:r w:rsidR="00A13015">
          <w:rPr>
            <w:webHidden/>
          </w:rPr>
          <w:fldChar w:fldCharType="begin"/>
        </w:r>
        <w:r w:rsidR="00A13015">
          <w:rPr>
            <w:webHidden/>
          </w:rPr>
          <w:instrText xml:space="preserve"> PAGEREF _Toc158218032 \h </w:instrText>
        </w:r>
        <w:r w:rsidR="00A13015">
          <w:rPr>
            <w:webHidden/>
          </w:rPr>
        </w:r>
        <w:r w:rsidR="00A13015">
          <w:rPr>
            <w:webHidden/>
          </w:rPr>
          <w:fldChar w:fldCharType="separate"/>
        </w:r>
        <w:r w:rsidR="00A13015">
          <w:rPr>
            <w:webHidden/>
          </w:rPr>
          <w:t>33</w:t>
        </w:r>
        <w:r w:rsidR="00A13015">
          <w:rPr>
            <w:webHidden/>
          </w:rPr>
          <w:fldChar w:fldCharType="end"/>
        </w:r>
      </w:hyperlink>
    </w:p>
    <w:p w14:paraId="2222A4E9" w14:textId="5B7A5F9B" w:rsidR="00A13015" w:rsidRDefault="00000000" w:rsidP="00A13015">
      <w:pPr>
        <w:pStyle w:val="TOC1"/>
        <w:rPr>
          <w:rFonts w:asciiTheme="minorHAnsi" w:eastAsiaTheme="minorEastAsia" w:hAnsiTheme="minorHAnsi" w:cstheme="minorBidi"/>
          <w:kern w:val="2"/>
          <w:sz w:val="22"/>
          <w14:ligatures w14:val="standardContextual"/>
        </w:rPr>
      </w:pPr>
      <w:hyperlink w:anchor="_Toc158218033" w:history="1">
        <w:r w:rsidR="00A13015" w:rsidRPr="00E701E1">
          <w:rPr>
            <w:rStyle w:val="Hyperlink"/>
            <w:rFonts w:cstheme="minorHAnsi"/>
          </w:rPr>
          <w:t>Findings and Recommendations</w:t>
        </w:r>
        <w:r w:rsidR="00A13015">
          <w:rPr>
            <w:webHidden/>
          </w:rPr>
          <w:tab/>
        </w:r>
        <w:r w:rsidR="00A13015">
          <w:rPr>
            <w:webHidden/>
          </w:rPr>
          <w:fldChar w:fldCharType="begin"/>
        </w:r>
        <w:r w:rsidR="00A13015">
          <w:rPr>
            <w:webHidden/>
          </w:rPr>
          <w:instrText xml:space="preserve"> PAGEREF _Toc158218033 \h </w:instrText>
        </w:r>
        <w:r w:rsidR="00A13015">
          <w:rPr>
            <w:webHidden/>
          </w:rPr>
        </w:r>
        <w:r w:rsidR="00A13015">
          <w:rPr>
            <w:webHidden/>
          </w:rPr>
          <w:fldChar w:fldCharType="separate"/>
        </w:r>
        <w:r w:rsidR="00A13015">
          <w:rPr>
            <w:webHidden/>
          </w:rPr>
          <w:t>34</w:t>
        </w:r>
        <w:r w:rsidR="00A13015">
          <w:rPr>
            <w:webHidden/>
          </w:rPr>
          <w:fldChar w:fldCharType="end"/>
        </w:r>
      </w:hyperlink>
    </w:p>
    <w:p w14:paraId="261D3C8A" w14:textId="5C021918" w:rsidR="00A13015" w:rsidRDefault="00000000" w:rsidP="00A13015">
      <w:pPr>
        <w:pStyle w:val="TOC1"/>
        <w:rPr>
          <w:rFonts w:asciiTheme="minorHAnsi" w:eastAsiaTheme="minorEastAsia" w:hAnsiTheme="minorHAnsi" w:cstheme="minorBidi"/>
          <w:kern w:val="2"/>
          <w:sz w:val="22"/>
          <w14:ligatures w14:val="standardContextual"/>
        </w:rPr>
      </w:pPr>
      <w:hyperlink w:anchor="_Toc158218034" w:history="1">
        <w:r w:rsidR="00A13015" w:rsidRPr="00E701E1">
          <w:rPr>
            <w:rStyle w:val="Hyperlink"/>
            <w:rFonts w:cs="Calibri"/>
          </w:rPr>
          <w:t>Conditions</w:t>
        </w:r>
        <w:r w:rsidR="00A13015">
          <w:rPr>
            <w:webHidden/>
          </w:rPr>
          <w:tab/>
        </w:r>
        <w:r w:rsidR="00A13015">
          <w:rPr>
            <w:webHidden/>
          </w:rPr>
          <w:fldChar w:fldCharType="begin"/>
        </w:r>
        <w:r w:rsidR="00A13015">
          <w:rPr>
            <w:webHidden/>
          </w:rPr>
          <w:instrText xml:space="preserve"> PAGEREF _Toc158218034 \h </w:instrText>
        </w:r>
        <w:r w:rsidR="00A13015">
          <w:rPr>
            <w:webHidden/>
          </w:rPr>
        </w:r>
        <w:r w:rsidR="00A13015">
          <w:rPr>
            <w:webHidden/>
          </w:rPr>
          <w:fldChar w:fldCharType="separate"/>
        </w:r>
        <w:r w:rsidR="00A13015">
          <w:rPr>
            <w:webHidden/>
          </w:rPr>
          <w:t>35</w:t>
        </w:r>
        <w:r w:rsidR="00A13015">
          <w:rPr>
            <w:webHidden/>
          </w:rPr>
          <w:fldChar w:fldCharType="end"/>
        </w:r>
      </w:hyperlink>
    </w:p>
    <w:p w14:paraId="4AA82EF5" w14:textId="23744243" w:rsidR="00A13015" w:rsidRDefault="00000000" w:rsidP="00A13015">
      <w:pPr>
        <w:pStyle w:val="TOC1"/>
        <w:rPr>
          <w:rFonts w:asciiTheme="minorHAnsi" w:eastAsiaTheme="minorEastAsia" w:hAnsiTheme="minorHAnsi" w:cstheme="minorBidi"/>
          <w:kern w:val="2"/>
          <w:sz w:val="22"/>
          <w14:ligatures w14:val="standardContextual"/>
        </w:rPr>
      </w:pPr>
      <w:hyperlink w:anchor="_Toc158218035" w:history="1">
        <w:r w:rsidR="00A13015" w:rsidRPr="00E701E1">
          <w:rPr>
            <w:rStyle w:val="Hyperlink"/>
            <w:rFonts w:cstheme="minorHAnsi"/>
          </w:rPr>
          <w:t>Appendix 1</w:t>
        </w:r>
        <w:r w:rsidR="00A13015">
          <w:rPr>
            <w:webHidden/>
          </w:rPr>
          <w:tab/>
        </w:r>
        <w:r w:rsidR="00A13015">
          <w:rPr>
            <w:webHidden/>
          </w:rPr>
          <w:fldChar w:fldCharType="begin"/>
        </w:r>
        <w:r w:rsidR="00A13015">
          <w:rPr>
            <w:webHidden/>
          </w:rPr>
          <w:instrText xml:space="preserve"> PAGEREF _Toc158218035 \h </w:instrText>
        </w:r>
        <w:r w:rsidR="00A13015">
          <w:rPr>
            <w:webHidden/>
          </w:rPr>
        </w:r>
        <w:r w:rsidR="00A13015">
          <w:rPr>
            <w:webHidden/>
          </w:rPr>
          <w:fldChar w:fldCharType="separate"/>
        </w:r>
        <w:r w:rsidR="00A13015">
          <w:rPr>
            <w:webHidden/>
          </w:rPr>
          <w:t>35</w:t>
        </w:r>
        <w:r w:rsidR="00A13015">
          <w:rPr>
            <w:webHidden/>
          </w:rPr>
          <w:fldChar w:fldCharType="end"/>
        </w:r>
      </w:hyperlink>
    </w:p>
    <w:p w14:paraId="7FC25410" w14:textId="311E4904" w:rsidR="00486F29" w:rsidRDefault="00A13015" w:rsidP="00486F29">
      <w:r>
        <w:rPr>
          <w:rFonts w:ascii="Garamond" w:eastAsiaTheme="majorEastAsia" w:hAnsi="Garamond" w:cstheme="majorBidi"/>
          <w:noProof/>
          <w:sz w:val="22"/>
          <w:szCs w:val="22"/>
        </w:rPr>
        <w:fldChar w:fldCharType="end"/>
      </w:r>
    </w:p>
    <w:p w14:paraId="3A859690" w14:textId="77777777" w:rsidR="003A6B26" w:rsidRDefault="003A6B26"/>
    <w:p w14:paraId="0F0AEB89" w14:textId="77777777" w:rsidR="003A6B26" w:rsidRDefault="003A6B26"/>
    <w:p w14:paraId="4A22DCFD" w14:textId="77777777" w:rsidR="003A6B26" w:rsidRDefault="003A6B26"/>
    <w:p w14:paraId="1BA7A6CE" w14:textId="77777777" w:rsidR="003A6B26" w:rsidRDefault="003A6B26"/>
    <w:p w14:paraId="47AB7007" w14:textId="77777777" w:rsidR="003A6B26" w:rsidRDefault="003A6B26"/>
    <w:p w14:paraId="66F2FB22" w14:textId="77777777" w:rsidR="003A6B26" w:rsidRDefault="003A6B26"/>
    <w:p w14:paraId="538C1D0B" w14:textId="16F598C8" w:rsidR="00D113E6" w:rsidRDefault="00D113E6">
      <w:r>
        <w:br w:type="page"/>
      </w:r>
    </w:p>
    <w:p w14:paraId="5E0BC33E" w14:textId="5DDF45F3" w:rsidR="0089038F" w:rsidRPr="002E75BB" w:rsidRDefault="006B4303" w:rsidP="001600D5">
      <w:pPr>
        <w:spacing w:after="200"/>
        <w:rPr>
          <w:b/>
          <w:bCs/>
          <w:color w:val="234170" w:themeColor="text2" w:themeShade="BF"/>
          <w:sz w:val="28"/>
          <w:szCs w:val="28"/>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r w:rsidRPr="002E75BB">
        <w:rPr>
          <w:b/>
          <w:bCs/>
          <w:color w:val="234170" w:themeColor="text2" w:themeShade="BF"/>
          <w:sz w:val="28"/>
          <w:szCs w:val="28"/>
        </w:rPr>
        <w:lastRenderedPageBreak/>
        <w:t>B</w:t>
      </w:r>
      <w:r w:rsidR="00234964" w:rsidRPr="002E75BB">
        <w:rPr>
          <w:b/>
          <w:bCs/>
          <w:color w:val="234170" w:themeColor="text2" w:themeShade="BF"/>
          <w:sz w:val="28"/>
          <w:szCs w:val="28"/>
        </w:rPr>
        <w:t>ackground</w:t>
      </w:r>
      <w:bookmarkEnd w:id="1"/>
      <w:bookmarkEnd w:id="2"/>
      <w:bookmarkEnd w:id="3"/>
      <w:bookmarkEnd w:id="4"/>
      <w:bookmarkEnd w:id="5"/>
      <w:bookmarkEnd w:id="6"/>
      <w:bookmarkEnd w:id="7"/>
      <w:bookmarkEnd w:id="8"/>
      <w:bookmarkEnd w:id="9"/>
      <w:bookmarkEnd w:id="10"/>
      <w:bookmarkEnd w:id="11"/>
      <w:bookmarkEnd w:id="12"/>
      <w:bookmarkEnd w:id="13"/>
      <w:r w:rsidR="008A5727" w:rsidRPr="002E75BB">
        <w:rPr>
          <w:b/>
          <w:bCs/>
          <w:color w:val="234170" w:themeColor="text2" w:themeShade="BF"/>
          <w:sz w:val="28"/>
          <w:szCs w:val="28"/>
        </w:rPr>
        <w:t xml:space="preserve"> </w:t>
      </w:r>
      <w:r w:rsidRPr="002E75BB">
        <w:rPr>
          <w:b/>
          <w:bCs/>
          <w:color w:val="234170" w:themeColor="text2" w:themeShade="BF"/>
          <w:sz w:val="28"/>
          <w:szCs w:val="28"/>
        </w:rPr>
        <w:t>and Application Overview</w:t>
      </w:r>
      <w:bookmarkStart w:id="14" w:name="_Toc17474921"/>
    </w:p>
    <w:p w14:paraId="40E1C784" w14:textId="535684C1" w:rsidR="00232C0D" w:rsidRPr="00EF3D6F" w:rsidRDefault="00232C0D" w:rsidP="001600D5">
      <w:pPr>
        <w:rPr>
          <w:rFonts w:ascii="Calibri" w:hAnsi="Calibri" w:cs="Calibri"/>
        </w:rPr>
      </w:pPr>
      <w:r w:rsidRPr="6380A8AC">
        <w:rPr>
          <w:rFonts w:ascii="Calibri" w:hAnsi="Calibri" w:cs="Calibri"/>
        </w:rPr>
        <w:t>On August 22, 2022, the Department approved DoN #20121712- for an institutional affiliation categorized as a Transfer of Ownership, whereby The Children’s Medical Center Corporation (“CMCC” or the “Applicant”), became the sole corporate member of Franciscan Hospital for Children</w:t>
      </w:r>
      <w:r w:rsidR="000443FD" w:rsidRPr="6380A8AC">
        <w:rPr>
          <w:rFonts w:ascii="Calibri" w:hAnsi="Calibri" w:cs="Calibri"/>
        </w:rPr>
        <w:t xml:space="preserve">, Inc. </w:t>
      </w:r>
      <w:r w:rsidRPr="6380A8AC">
        <w:rPr>
          <w:rFonts w:ascii="Calibri" w:hAnsi="Calibri" w:cs="Calibri"/>
        </w:rPr>
        <w:t>(“</w:t>
      </w:r>
      <w:r w:rsidR="000443FD" w:rsidRPr="6380A8AC">
        <w:rPr>
          <w:rFonts w:ascii="Calibri" w:hAnsi="Calibri" w:cs="Calibri"/>
        </w:rPr>
        <w:t>Franciscan</w:t>
      </w:r>
      <w:r w:rsidRPr="6380A8AC">
        <w:rPr>
          <w:rFonts w:ascii="Calibri" w:hAnsi="Calibri" w:cs="Calibri"/>
        </w:rPr>
        <w:t>”). The affiliation formally closed on July 1, 2023, after obtaining final approval from the Vatican.</w:t>
      </w:r>
      <w:r w:rsidR="00886DD2" w:rsidRPr="6380A8AC">
        <w:rPr>
          <w:rFonts w:ascii="Calibri" w:hAnsi="Calibri" w:cs="Calibri"/>
        </w:rPr>
        <w:t xml:space="preserve"> The Proposed Project, described herein is designed to operationalize the vision</w:t>
      </w:r>
      <w:r w:rsidRPr="6380A8AC">
        <w:rPr>
          <w:rStyle w:val="FootnoteReference"/>
          <w:rFonts w:ascii="Calibri" w:hAnsi="Calibri" w:cs="Calibri"/>
        </w:rPr>
        <w:footnoteReference w:id="2"/>
      </w:r>
      <w:r w:rsidR="3BE96F1B" w:rsidRPr="6380A8AC">
        <w:rPr>
          <w:rFonts w:ascii="Calibri" w:hAnsi="Calibri" w:cs="Calibri"/>
        </w:rPr>
        <w:t xml:space="preserve"> </w:t>
      </w:r>
      <w:r w:rsidR="00886DD2" w:rsidRPr="6380A8AC">
        <w:rPr>
          <w:rFonts w:ascii="Calibri" w:hAnsi="Calibri" w:cs="Calibri"/>
        </w:rPr>
        <w:t xml:space="preserve">described in the Transfer of Ownership DoN Application. </w:t>
      </w:r>
    </w:p>
    <w:p w14:paraId="49F12DF2" w14:textId="77777777" w:rsidR="00232C0D" w:rsidRPr="00EF3D6F" w:rsidRDefault="00232C0D" w:rsidP="001600D5">
      <w:pPr>
        <w:rPr>
          <w:rFonts w:ascii="Calibri" w:hAnsi="Calibri" w:cs="Calibri"/>
        </w:rPr>
      </w:pPr>
    </w:p>
    <w:p w14:paraId="50A6B436" w14:textId="0F5D0090" w:rsidR="00AE2145" w:rsidRPr="00EF3D6F" w:rsidRDefault="000211D3" w:rsidP="001600D5">
      <w:pPr>
        <w:tabs>
          <w:tab w:val="left" w:pos="10080"/>
        </w:tabs>
      </w:pPr>
      <w:r w:rsidRPr="000211D3">
        <w:rPr>
          <w:b/>
          <w:bCs/>
        </w:rPr>
        <w:t xml:space="preserve">The Children’s Hospital Corporation </w:t>
      </w:r>
      <w:r w:rsidR="007838F8">
        <w:t>d/b/a Boston Children’s Hospital (</w:t>
      </w:r>
      <w:r w:rsidR="005F4A7C">
        <w:t>“</w:t>
      </w:r>
      <w:r w:rsidR="007838F8">
        <w:t>BCH</w:t>
      </w:r>
      <w:r w:rsidR="005F4A7C">
        <w:t>”</w:t>
      </w:r>
      <w:r w:rsidR="007838F8">
        <w:t>)</w:t>
      </w:r>
      <w:r w:rsidR="001A5624">
        <w:t xml:space="preserve"> </w:t>
      </w:r>
      <w:r w:rsidR="00C65077">
        <w:t xml:space="preserve">is </w:t>
      </w:r>
      <w:r w:rsidR="00AE2145">
        <w:t>comprise</w:t>
      </w:r>
      <w:r w:rsidR="00C65077">
        <w:t xml:space="preserve">d </w:t>
      </w:r>
      <w:r w:rsidR="7BBF2B81">
        <w:t xml:space="preserve">of </w:t>
      </w:r>
      <w:r w:rsidR="00C65077">
        <w:t xml:space="preserve">485 licensed </w:t>
      </w:r>
      <w:r w:rsidR="397115E7">
        <w:t xml:space="preserve">acute pediatric </w:t>
      </w:r>
      <w:r w:rsidR="00074E5D">
        <w:t xml:space="preserve">beds, </w:t>
      </w:r>
      <w:r w:rsidR="2831816D">
        <w:t xml:space="preserve">a level 1 pediatric trauma center, </w:t>
      </w:r>
      <w:r w:rsidR="00074E5D">
        <w:t>a</w:t>
      </w:r>
      <w:r w:rsidR="00AE2145">
        <w:t xml:space="preserve"> network of </w:t>
      </w:r>
      <w:r w:rsidR="00074E5D">
        <w:t>pediatricians</w:t>
      </w:r>
      <w:r w:rsidR="00AE2145">
        <w:t>, that includes primary care, through Children’s Hospital Primary Care Center and the Pediatric Physician’s Organization at Children’s (</w:t>
      </w:r>
      <w:r w:rsidR="005F4A7C">
        <w:t>“</w:t>
      </w:r>
      <w:r w:rsidR="00AE2145">
        <w:t>PPOC</w:t>
      </w:r>
      <w:r w:rsidR="005F4A7C">
        <w:t>”</w:t>
      </w:r>
      <w:r w:rsidR="00AE2145">
        <w:t xml:space="preserve">). </w:t>
      </w:r>
      <w:r w:rsidR="005F4A7C">
        <w:t xml:space="preserve">As described in more detail below, </w:t>
      </w:r>
      <w:r w:rsidR="00CE0E60">
        <w:t xml:space="preserve">BCH </w:t>
      </w:r>
      <w:r w:rsidR="007838F8">
        <w:t xml:space="preserve">provides </w:t>
      </w:r>
      <w:r w:rsidR="00AE2145">
        <w:t xml:space="preserve">pediatric </w:t>
      </w:r>
      <w:r w:rsidR="00060C17">
        <w:t xml:space="preserve">mental </w:t>
      </w:r>
      <w:r w:rsidR="00AE2145">
        <w:t>health for children</w:t>
      </w:r>
      <w:r w:rsidR="00C65077">
        <w:t xml:space="preserve"> </w:t>
      </w:r>
      <w:r w:rsidR="005F4A7C">
        <w:t>along the continuum of care.</w:t>
      </w:r>
      <w:r w:rsidR="00AE2145">
        <w:t xml:space="preserve"> </w:t>
      </w:r>
    </w:p>
    <w:p w14:paraId="0EAAFC88" w14:textId="77777777" w:rsidR="00AE2145" w:rsidRPr="00EF3D6F" w:rsidRDefault="00AE2145" w:rsidP="001600D5">
      <w:pPr>
        <w:tabs>
          <w:tab w:val="left" w:pos="10080"/>
        </w:tabs>
        <w:rPr>
          <w:b/>
          <w:bCs/>
        </w:rPr>
      </w:pPr>
    </w:p>
    <w:p w14:paraId="4A836C11" w14:textId="72D7E1CA" w:rsidR="00322E72" w:rsidRPr="00EB34B4" w:rsidRDefault="00252144" w:rsidP="001600D5">
      <w:pPr>
        <w:tabs>
          <w:tab w:val="left" w:pos="10080"/>
        </w:tabs>
      </w:pPr>
      <w:r w:rsidRPr="00EF3D6F">
        <w:rPr>
          <w:b/>
          <w:bCs/>
        </w:rPr>
        <w:t>Franciscan Hospital for Children</w:t>
      </w:r>
      <w:r w:rsidRPr="00EF3D6F">
        <w:t xml:space="preserve"> was</w:t>
      </w:r>
      <w:r w:rsidR="00CE4434" w:rsidRPr="00EF3D6F">
        <w:t xml:space="preserve"> founded in 1949</w:t>
      </w:r>
      <w:r w:rsidR="00232C0D" w:rsidRPr="00EF3D6F">
        <w:t xml:space="preserve"> and </w:t>
      </w:r>
      <w:r w:rsidR="00585DEB" w:rsidRPr="00EF3D6F">
        <w:t xml:space="preserve">is the only </w:t>
      </w:r>
      <w:r w:rsidR="004B02B6" w:rsidRPr="00EF3D6F">
        <w:t xml:space="preserve">licensed </w:t>
      </w:r>
      <w:r w:rsidR="00585DEB" w:rsidRPr="00EF3D6F">
        <w:t>pediatric chronic disease and rehabilitation hospital</w:t>
      </w:r>
      <w:r w:rsidR="004B02B6" w:rsidRPr="00EF3D6F">
        <w:rPr>
          <w:rStyle w:val="FootnoteReference"/>
        </w:rPr>
        <w:footnoteReference w:id="3"/>
      </w:r>
      <w:r w:rsidR="00585DEB" w:rsidRPr="00EF3D6F">
        <w:t xml:space="preserve"> in Massachusetts</w:t>
      </w:r>
      <w:r w:rsidR="1841B04F" w:rsidRPr="00EF3D6F">
        <w:t xml:space="preserve"> with 112 licensed beds of which approximately 80 are staffed and operational</w:t>
      </w:r>
      <w:r w:rsidR="000E10E9">
        <w:t xml:space="preserve">, </w:t>
      </w:r>
      <w:r w:rsidR="198BD7D9" w:rsidRPr="00EF3D6F">
        <w:t>which is addressed</w:t>
      </w:r>
      <w:r w:rsidR="66044E8C" w:rsidRPr="00EF3D6F">
        <w:t xml:space="preserve"> further in this Proposed Project</w:t>
      </w:r>
      <w:r w:rsidR="00CE0E60">
        <w:t xml:space="preserve">. </w:t>
      </w:r>
      <w:r w:rsidR="005566C5">
        <w:t xml:space="preserve">It is a </w:t>
      </w:r>
      <w:r w:rsidR="00E650C6" w:rsidRPr="00EF3D6F">
        <w:t>recognized pediatric service provider</w:t>
      </w:r>
      <w:r w:rsidR="00271E98" w:rsidRPr="00EF3D6F">
        <w:t xml:space="preserve"> with the</w:t>
      </w:r>
      <w:r w:rsidR="00E650C6" w:rsidRPr="00EF3D6F">
        <w:t xml:space="preserve"> specialized </w:t>
      </w:r>
      <w:r w:rsidR="00585DEB" w:rsidRPr="00EF3D6F">
        <w:t xml:space="preserve">ability </w:t>
      </w:r>
      <w:r w:rsidR="00E650C6" w:rsidRPr="00EF3D6F">
        <w:t>to care for (</w:t>
      </w:r>
      <w:proofErr w:type="spellStart"/>
      <w:r w:rsidR="00E650C6" w:rsidRPr="00EF3D6F">
        <w:t>i</w:t>
      </w:r>
      <w:proofErr w:type="spellEnd"/>
      <w:r w:rsidR="00E650C6" w:rsidRPr="00EF3D6F">
        <w:t>) medically complex children</w:t>
      </w:r>
      <w:r w:rsidR="00AA539C">
        <w:t>,</w:t>
      </w:r>
      <w:r w:rsidR="00271E98" w:rsidRPr="00EF3D6F">
        <w:rPr>
          <w:vertAlign w:val="superscript"/>
        </w:rPr>
        <w:footnoteReference w:id="4"/>
      </w:r>
      <w:r w:rsidR="00E650C6" w:rsidRPr="00EF3D6F">
        <w:t xml:space="preserve"> including newborn babies on ventilators, (ii) children with </w:t>
      </w:r>
      <w:r w:rsidR="00A01150" w:rsidRPr="00EF3D6F">
        <w:t>mental</w:t>
      </w:r>
      <w:r w:rsidR="000F1E36" w:rsidRPr="00EF3D6F">
        <w:t xml:space="preserve"> health</w:t>
      </w:r>
      <w:r w:rsidR="00E650C6" w:rsidRPr="00EF3D6F">
        <w:t xml:space="preserve"> conditions requiring </w:t>
      </w:r>
      <w:r w:rsidR="00271E98" w:rsidRPr="00EF3D6F">
        <w:t>i</w:t>
      </w:r>
      <w:r w:rsidR="00E650C6" w:rsidRPr="00EF3D6F">
        <w:t>npatient services, short-term residential, school-based</w:t>
      </w:r>
      <w:r w:rsidR="00CE0E60">
        <w:t xml:space="preserve">, </w:t>
      </w:r>
      <w:r w:rsidR="00E650C6" w:rsidRPr="00EF3D6F">
        <w:t>ambulatory and/or community-based services, (iii) children who need specialized dental services, including dental surgeries under general anesthesia, and (iv) children with specialized educational needs due to their physical and/or cognitive condition</w:t>
      </w:r>
      <w:r w:rsidR="00CE0E60">
        <w:t>,</w:t>
      </w:r>
      <w:r w:rsidR="00CE0E60" w:rsidRPr="00CE0E60">
        <w:t xml:space="preserve"> including the Kennedy Day School</w:t>
      </w:r>
      <w:r w:rsidR="4C4452A0">
        <w:t>.</w:t>
      </w:r>
      <w:r w:rsidR="00CE0E60" w:rsidRPr="00CE0E60">
        <w:rPr>
          <w:vertAlign w:val="superscript"/>
        </w:rPr>
        <w:footnoteReference w:id="5"/>
      </w:r>
      <w:r w:rsidR="00CE0E60">
        <w:t xml:space="preserve"> </w:t>
      </w:r>
      <w:r w:rsidR="00232C0D" w:rsidRPr="00EF3D6F">
        <w:t xml:space="preserve">Patients are referred to Franciscan from acute care hospitals, emergency departments, mobile crisis teams, school systems, and other providers in Massachusetts and New England. </w:t>
      </w:r>
    </w:p>
    <w:p w14:paraId="774B1FB4" w14:textId="77777777" w:rsidR="00A94FD5" w:rsidRPr="00D523F2" w:rsidRDefault="00A94FD5" w:rsidP="001600D5">
      <w:pPr>
        <w:rPr>
          <w:rFonts w:ascii="Calibri" w:eastAsia="Calibri" w:hAnsi="Calibri" w:cs="Calibri"/>
          <w:lang w:val="en"/>
        </w:rPr>
      </w:pPr>
    </w:p>
    <w:p w14:paraId="605A869C" w14:textId="408A2953" w:rsidR="005D44AC" w:rsidRDefault="00A94FD5" w:rsidP="001600D5">
      <w:pPr>
        <w:tabs>
          <w:tab w:val="left" w:pos="10080"/>
        </w:tabs>
        <w:rPr>
          <w:b/>
          <w:bCs/>
        </w:rPr>
      </w:pPr>
      <w:r w:rsidRPr="00A94FD5">
        <w:rPr>
          <w:b/>
          <w:bCs/>
        </w:rPr>
        <w:t>The Proposed Project</w:t>
      </w:r>
    </w:p>
    <w:p w14:paraId="180CC7CA" w14:textId="77777777" w:rsidR="00CF658A" w:rsidRPr="00A94FD5" w:rsidRDefault="00CF658A" w:rsidP="001600D5">
      <w:pPr>
        <w:tabs>
          <w:tab w:val="left" w:pos="10080"/>
        </w:tabs>
        <w:rPr>
          <w:b/>
          <w:bCs/>
        </w:rPr>
      </w:pPr>
    </w:p>
    <w:p w14:paraId="6339EF9A" w14:textId="26851D44" w:rsidR="0057786D" w:rsidRDefault="004D2682" w:rsidP="001600D5">
      <w:pPr>
        <w:tabs>
          <w:tab w:val="left" w:pos="10080"/>
        </w:tabs>
      </w:pPr>
      <w:r w:rsidRPr="00EF3D6F">
        <w:t>T</w:t>
      </w:r>
      <w:r w:rsidR="007C3819" w:rsidRPr="00EF3D6F">
        <w:t>he Applicant</w:t>
      </w:r>
      <w:r w:rsidRPr="00EF3D6F">
        <w:t xml:space="preserve"> stat</w:t>
      </w:r>
      <w:r w:rsidR="005D44AC" w:rsidRPr="00EF3D6F">
        <w:t xml:space="preserve">es that </w:t>
      </w:r>
      <w:r w:rsidR="00886DD2">
        <w:t xml:space="preserve">the </w:t>
      </w:r>
      <w:r w:rsidR="00FD155F">
        <w:t xml:space="preserve">with the approval of </w:t>
      </w:r>
      <w:r w:rsidR="00B21A63">
        <w:t xml:space="preserve">the </w:t>
      </w:r>
      <w:r w:rsidR="009E2858">
        <w:t>previous</w:t>
      </w:r>
      <w:r w:rsidR="00DB7861">
        <w:t xml:space="preserve"> </w:t>
      </w:r>
      <w:r w:rsidR="00886DD2">
        <w:t>Transfer of Ownership</w:t>
      </w:r>
      <w:r w:rsidR="00B21A63">
        <w:t>,</w:t>
      </w:r>
      <w:r w:rsidR="00886DD2">
        <w:t xml:space="preserve"> </w:t>
      </w:r>
      <w:r w:rsidR="004A4740">
        <w:t>Franciscan</w:t>
      </w:r>
      <w:r w:rsidR="00B21A63">
        <w:t xml:space="preserve"> is able</w:t>
      </w:r>
      <w:r w:rsidR="004A4740">
        <w:t xml:space="preserve"> to </w:t>
      </w:r>
      <w:r w:rsidR="00F2518C">
        <w:t xml:space="preserve">address </w:t>
      </w:r>
      <w:r w:rsidR="000E10E9">
        <w:t>identified needs</w:t>
      </w:r>
      <w:r w:rsidR="008902C5">
        <w:t xml:space="preserve"> such as </w:t>
      </w:r>
      <w:r w:rsidR="00E1423B" w:rsidRPr="00EF3D6F">
        <w:t>(1) enhanc</w:t>
      </w:r>
      <w:r w:rsidR="7A692E00">
        <w:t xml:space="preserve">ing </w:t>
      </w:r>
      <w:r w:rsidR="00E1423B" w:rsidRPr="00EF3D6F">
        <w:t xml:space="preserve">services </w:t>
      </w:r>
      <w:r w:rsidR="005D44AC" w:rsidRPr="00EF3D6F">
        <w:t xml:space="preserve">needed </w:t>
      </w:r>
      <w:r w:rsidR="00E1423B" w:rsidRPr="00EF3D6F">
        <w:t>by</w:t>
      </w:r>
      <w:r w:rsidR="003C25EF">
        <w:t xml:space="preserve"> current</w:t>
      </w:r>
      <w:r w:rsidR="00E1423B" w:rsidRPr="00EF3D6F">
        <w:t xml:space="preserve"> patients and families, (2)</w:t>
      </w:r>
      <w:r w:rsidR="00886DD2">
        <w:t xml:space="preserve"> expand</w:t>
      </w:r>
      <w:r w:rsidR="62FBD38F">
        <w:t>ing</w:t>
      </w:r>
      <w:r w:rsidR="00886DD2" w:rsidRPr="00886DD2">
        <w:t xml:space="preserve"> services to reach more underserved children and adolescents</w:t>
      </w:r>
      <w:r w:rsidR="00E1423B" w:rsidRPr="00EF3D6F">
        <w:t xml:space="preserve">, </w:t>
      </w:r>
      <w:r w:rsidR="46C82126">
        <w:t xml:space="preserve">and </w:t>
      </w:r>
      <w:r w:rsidR="004F4DBF">
        <w:t xml:space="preserve">(3) </w:t>
      </w:r>
      <w:r w:rsidR="00886DD2">
        <w:t>maintain</w:t>
      </w:r>
      <w:r w:rsidR="4A15E6AC">
        <w:t>ing</w:t>
      </w:r>
      <w:r w:rsidR="00886DD2">
        <w:t xml:space="preserve"> and </w:t>
      </w:r>
      <w:r w:rsidR="00886DD2" w:rsidRPr="00886DD2">
        <w:t>updat</w:t>
      </w:r>
      <w:r w:rsidR="072200BE">
        <w:t>ing</w:t>
      </w:r>
      <w:r w:rsidR="00886DD2" w:rsidRPr="00886DD2">
        <w:t xml:space="preserve"> its aging and inefficient physical plant</w:t>
      </w:r>
      <w:r w:rsidR="00C25636">
        <w:t>.</w:t>
      </w:r>
      <w:r w:rsidR="008A7EBE" w:rsidRPr="00EF3D6F">
        <w:t xml:space="preserve"> </w:t>
      </w:r>
      <w:r w:rsidR="00EF476D">
        <w:t>As a result</w:t>
      </w:r>
      <w:r w:rsidR="00E347B4">
        <w:t xml:space="preserve"> </w:t>
      </w:r>
      <w:r w:rsidR="00F506C8">
        <w:t xml:space="preserve">of </w:t>
      </w:r>
      <w:r w:rsidR="00E347B4">
        <w:t>issues related to the aging plant</w:t>
      </w:r>
      <w:r w:rsidR="00EF476D">
        <w:t xml:space="preserve">, </w:t>
      </w:r>
      <w:r w:rsidR="00CF658A">
        <w:t>Franciscan</w:t>
      </w:r>
      <w:r w:rsidR="00C86373">
        <w:t xml:space="preserve"> is currently operating only </w:t>
      </w:r>
      <w:r w:rsidR="00CF658A">
        <w:t>~</w:t>
      </w:r>
      <w:r w:rsidR="00C86373">
        <w:t xml:space="preserve">80 </w:t>
      </w:r>
      <w:r w:rsidR="00CF658A">
        <w:t xml:space="preserve">(~71%) </w:t>
      </w:r>
      <w:r w:rsidR="00C86373">
        <w:t>of its 112</w:t>
      </w:r>
      <w:r w:rsidR="00CF658A">
        <w:t xml:space="preserve"> </w:t>
      </w:r>
      <w:r w:rsidR="00C86373">
        <w:t>licensed beds</w:t>
      </w:r>
      <w:r w:rsidR="00CF658A">
        <w:t>.</w:t>
      </w:r>
      <w:r w:rsidR="00CD168F">
        <w:t xml:space="preserve"> With the implementation of the Proposed Project, all of the currently licensed beds will become operational and 4 additional beds will be added. </w:t>
      </w:r>
      <w:r w:rsidR="0057786D" w:rsidRPr="00E749D9">
        <w:t>T</w:t>
      </w:r>
      <w:r w:rsidR="00B5352A">
        <w:t xml:space="preserve">able 1 </w:t>
      </w:r>
      <w:r w:rsidR="0057786D" w:rsidRPr="00E749D9">
        <w:t xml:space="preserve">depicts the current </w:t>
      </w:r>
      <w:r w:rsidR="0057786D" w:rsidRPr="00E749D9">
        <w:lastRenderedPageBreak/>
        <w:t xml:space="preserve">status of licensed beds, those that are operational, and the </w:t>
      </w:r>
      <w:r w:rsidR="00E749D9">
        <w:t xml:space="preserve">Proposed Project’s </w:t>
      </w:r>
      <w:r w:rsidR="00E749D9" w:rsidRPr="00E749D9">
        <w:t>final complement of licensed beds</w:t>
      </w:r>
      <w:r w:rsidR="00E749D9">
        <w:t>. The rationale for the changes in the configuration of beds is discussed further under Patient Panel Need</w:t>
      </w:r>
      <w:r w:rsidR="006427F8">
        <w:t>,</w:t>
      </w:r>
      <w:r w:rsidR="00E749D9">
        <w:t xml:space="preserve"> Factor 1(a).</w:t>
      </w:r>
    </w:p>
    <w:p w14:paraId="176EF4C0" w14:textId="77777777" w:rsidR="00AA69CB" w:rsidRDefault="00AA69CB" w:rsidP="001600D5">
      <w:pPr>
        <w:tabs>
          <w:tab w:val="left" w:pos="10080"/>
        </w:tabs>
      </w:pPr>
    </w:p>
    <w:p w14:paraId="7C69B6BB" w14:textId="331BE736" w:rsidR="00AA69CB" w:rsidRPr="00AA69CB" w:rsidRDefault="00AA69CB" w:rsidP="00AA69CB">
      <w:pPr>
        <w:tabs>
          <w:tab w:val="left" w:pos="10080"/>
        </w:tabs>
        <w:jc w:val="center"/>
        <w:rPr>
          <w:b/>
          <w:bCs/>
        </w:rPr>
      </w:pPr>
      <w:r w:rsidRPr="00AA69CB">
        <w:rPr>
          <w:b/>
          <w:bCs/>
        </w:rPr>
        <w:t>Table 1: Current and Planned Bed Complement Following Project Completion</w:t>
      </w:r>
    </w:p>
    <w:p w14:paraId="71879592" w14:textId="073BC8B6" w:rsidR="00E749D9" w:rsidRDefault="00E749D9" w:rsidP="00EF3D6F">
      <w:pPr>
        <w:tabs>
          <w:tab w:val="left" w:pos="10080"/>
        </w:tabs>
        <w:rPr>
          <w:b/>
          <w:bCs/>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165"/>
        <w:gridCol w:w="1440"/>
        <w:gridCol w:w="3420"/>
      </w:tblGrid>
      <w:tr w:rsidR="00E749D9" w:rsidRPr="00E749D9" w14:paraId="15497414" w14:textId="77777777" w:rsidTr="00A50AE4">
        <w:trPr>
          <w:cantSplit/>
          <w:trHeight w:val="349"/>
          <w:tblHeader/>
          <w:jc w:val="center"/>
        </w:trPr>
        <w:tc>
          <w:tcPr>
            <w:tcW w:w="3060" w:type="dxa"/>
            <w:shd w:val="clear" w:color="auto" w:fill="E1FFFF"/>
            <w:tcMar>
              <w:top w:w="0" w:type="dxa"/>
              <w:left w:w="108" w:type="dxa"/>
              <w:bottom w:w="0" w:type="dxa"/>
              <w:right w:w="108" w:type="dxa"/>
            </w:tcMar>
            <w:vAlign w:val="center"/>
            <w:hideMark/>
          </w:tcPr>
          <w:p w14:paraId="34D2A37E" w14:textId="0F509CDC" w:rsidR="00E749D9" w:rsidRPr="00E749D9" w:rsidRDefault="00E749D9" w:rsidP="00E749D9">
            <w:pPr>
              <w:tabs>
                <w:tab w:val="left" w:pos="10080"/>
              </w:tabs>
              <w:rPr>
                <w:b/>
                <w:bCs/>
              </w:rPr>
            </w:pPr>
            <w:r>
              <w:rPr>
                <w:b/>
                <w:bCs/>
              </w:rPr>
              <w:t xml:space="preserve">    </w:t>
            </w:r>
            <w:r w:rsidR="00A94FD5">
              <w:rPr>
                <w:b/>
                <w:bCs/>
              </w:rPr>
              <w:t>Classification of Beds</w:t>
            </w:r>
            <w:r>
              <w:rPr>
                <w:b/>
                <w:bCs/>
              </w:rPr>
              <w:t xml:space="preserve">                         </w:t>
            </w:r>
          </w:p>
        </w:tc>
        <w:tc>
          <w:tcPr>
            <w:tcW w:w="1165" w:type="dxa"/>
            <w:shd w:val="clear" w:color="auto" w:fill="E1FFFF"/>
            <w:tcMar>
              <w:top w:w="0" w:type="dxa"/>
              <w:left w:w="108" w:type="dxa"/>
              <w:bottom w:w="0" w:type="dxa"/>
              <w:right w:w="108" w:type="dxa"/>
            </w:tcMar>
            <w:vAlign w:val="center"/>
            <w:hideMark/>
          </w:tcPr>
          <w:p w14:paraId="0FD6E80D" w14:textId="77777777" w:rsidR="00E749D9" w:rsidRPr="00E749D9" w:rsidRDefault="00E749D9" w:rsidP="006427F8">
            <w:pPr>
              <w:tabs>
                <w:tab w:val="left" w:pos="10080"/>
              </w:tabs>
              <w:jc w:val="center"/>
              <w:rPr>
                <w:b/>
                <w:bCs/>
              </w:rPr>
            </w:pPr>
            <w:r w:rsidRPr="00E749D9">
              <w:rPr>
                <w:b/>
                <w:bCs/>
              </w:rPr>
              <w:t>Currently Licensed</w:t>
            </w:r>
          </w:p>
        </w:tc>
        <w:tc>
          <w:tcPr>
            <w:tcW w:w="1440" w:type="dxa"/>
            <w:shd w:val="clear" w:color="auto" w:fill="E1FFFF"/>
            <w:tcMar>
              <w:top w:w="0" w:type="dxa"/>
              <w:left w:w="108" w:type="dxa"/>
              <w:bottom w:w="0" w:type="dxa"/>
              <w:right w:w="108" w:type="dxa"/>
            </w:tcMar>
            <w:vAlign w:val="center"/>
            <w:hideMark/>
          </w:tcPr>
          <w:p w14:paraId="4290F4F1" w14:textId="77777777" w:rsidR="00E749D9" w:rsidRPr="00E749D9" w:rsidRDefault="00E749D9" w:rsidP="006427F8">
            <w:pPr>
              <w:tabs>
                <w:tab w:val="left" w:pos="10080"/>
              </w:tabs>
              <w:jc w:val="center"/>
              <w:rPr>
                <w:b/>
                <w:bCs/>
              </w:rPr>
            </w:pPr>
            <w:r w:rsidRPr="00E749D9">
              <w:rPr>
                <w:b/>
                <w:bCs/>
              </w:rPr>
              <w:t>Currently Operational</w:t>
            </w:r>
          </w:p>
        </w:tc>
        <w:tc>
          <w:tcPr>
            <w:tcW w:w="3420" w:type="dxa"/>
            <w:shd w:val="clear" w:color="auto" w:fill="E1FFFF"/>
            <w:tcMar>
              <w:top w:w="0" w:type="dxa"/>
              <w:left w:w="108" w:type="dxa"/>
              <w:bottom w:w="0" w:type="dxa"/>
              <w:right w:w="108" w:type="dxa"/>
            </w:tcMar>
            <w:vAlign w:val="center"/>
            <w:hideMark/>
          </w:tcPr>
          <w:p w14:paraId="4E11A08F" w14:textId="22FE773D" w:rsidR="00E749D9" w:rsidRPr="00E749D9" w:rsidRDefault="006427F8" w:rsidP="006427F8">
            <w:pPr>
              <w:tabs>
                <w:tab w:val="left" w:pos="10080"/>
              </w:tabs>
              <w:jc w:val="center"/>
              <w:rPr>
                <w:b/>
                <w:bCs/>
              </w:rPr>
            </w:pPr>
            <w:r>
              <w:rPr>
                <w:b/>
                <w:bCs/>
              </w:rPr>
              <w:t xml:space="preserve">Final Licensed Bed Complement </w:t>
            </w:r>
            <w:r w:rsidR="00A94FD5">
              <w:rPr>
                <w:b/>
                <w:bCs/>
              </w:rPr>
              <w:t xml:space="preserve">upon </w:t>
            </w:r>
            <w:r>
              <w:rPr>
                <w:b/>
                <w:bCs/>
              </w:rPr>
              <w:t xml:space="preserve">Proposed </w:t>
            </w:r>
            <w:r w:rsidR="00E749D9" w:rsidRPr="00E749D9">
              <w:rPr>
                <w:b/>
                <w:bCs/>
              </w:rPr>
              <w:t>Project</w:t>
            </w:r>
            <w:r w:rsidR="00A94FD5">
              <w:rPr>
                <w:b/>
                <w:bCs/>
              </w:rPr>
              <w:t>’s Completion</w:t>
            </w:r>
          </w:p>
        </w:tc>
      </w:tr>
      <w:tr w:rsidR="00E749D9" w:rsidRPr="00E749D9" w14:paraId="68189FB1" w14:textId="77777777" w:rsidTr="00A50AE4">
        <w:trPr>
          <w:cantSplit/>
          <w:trHeight w:val="290"/>
          <w:jc w:val="center"/>
        </w:trPr>
        <w:tc>
          <w:tcPr>
            <w:tcW w:w="3060" w:type="dxa"/>
            <w:noWrap/>
            <w:tcMar>
              <w:top w:w="0" w:type="dxa"/>
              <w:left w:w="108" w:type="dxa"/>
              <w:bottom w:w="0" w:type="dxa"/>
              <w:right w:w="108" w:type="dxa"/>
            </w:tcMar>
            <w:vAlign w:val="center"/>
            <w:hideMark/>
          </w:tcPr>
          <w:p w14:paraId="218F644E" w14:textId="77777777" w:rsidR="00E749D9" w:rsidRPr="00E749D9" w:rsidRDefault="00E749D9" w:rsidP="00E749D9">
            <w:pPr>
              <w:tabs>
                <w:tab w:val="left" w:pos="10080"/>
              </w:tabs>
              <w:rPr>
                <w:b/>
                <w:bCs/>
              </w:rPr>
            </w:pPr>
            <w:r w:rsidRPr="00E749D9">
              <w:rPr>
                <w:b/>
                <w:bCs/>
              </w:rPr>
              <w:t xml:space="preserve">Medical Rehabilitation (L </w:t>
            </w:r>
            <w:proofErr w:type="spellStart"/>
            <w:r w:rsidRPr="00E749D9">
              <w:rPr>
                <w:b/>
                <w:bCs/>
              </w:rPr>
              <w:t>ll</w:t>
            </w:r>
            <w:proofErr w:type="spellEnd"/>
            <w:r w:rsidRPr="00E749D9">
              <w:rPr>
                <w:b/>
                <w:bCs/>
              </w:rPr>
              <w:t>)</w:t>
            </w:r>
          </w:p>
        </w:tc>
        <w:tc>
          <w:tcPr>
            <w:tcW w:w="1165" w:type="dxa"/>
            <w:noWrap/>
            <w:tcMar>
              <w:top w:w="0" w:type="dxa"/>
              <w:left w:w="108" w:type="dxa"/>
              <w:bottom w:w="0" w:type="dxa"/>
              <w:right w:w="108" w:type="dxa"/>
            </w:tcMar>
            <w:vAlign w:val="center"/>
            <w:hideMark/>
          </w:tcPr>
          <w:p w14:paraId="1507CE5E" w14:textId="77777777" w:rsidR="00E749D9" w:rsidRPr="00E749D9" w:rsidRDefault="00E749D9" w:rsidP="006427F8">
            <w:pPr>
              <w:tabs>
                <w:tab w:val="left" w:pos="10080"/>
              </w:tabs>
              <w:jc w:val="center"/>
            </w:pPr>
            <w:r w:rsidRPr="00E749D9">
              <w:t>80</w:t>
            </w:r>
          </w:p>
        </w:tc>
        <w:tc>
          <w:tcPr>
            <w:tcW w:w="1440" w:type="dxa"/>
            <w:noWrap/>
            <w:tcMar>
              <w:top w:w="0" w:type="dxa"/>
              <w:left w:w="108" w:type="dxa"/>
              <w:bottom w:w="0" w:type="dxa"/>
              <w:right w:w="108" w:type="dxa"/>
            </w:tcMar>
            <w:vAlign w:val="center"/>
            <w:hideMark/>
          </w:tcPr>
          <w:p w14:paraId="6784B14E" w14:textId="77777777" w:rsidR="00E749D9" w:rsidRPr="00E749D9" w:rsidRDefault="00E749D9" w:rsidP="006427F8">
            <w:pPr>
              <w:tabs>
                <w:tab w:val="left" w:pos="10080"/>
              </w:tabs>
              <w:jc w:val="center"/>
            </w:pPr>
            <w:r w:rsidRPr="00E749D9">
              <w:t>48</w:t>
            </w:r>
          </w:p>
        </w:tc>
        <w:tc>
          <w:tcPr>
            <w:tcW w:w="3420" w:type="dxa"/>
            <w:noWrap/>
            <w:tcMar>
              <w:top w:w="0" w:type="dxa"/>
              <w:left w:w="108" w:type="dxa"/>
              <w:bottom w:w="0" w:type="dxa"/>
              <w:right w:w="108" w:type="dxa"/>
            </w:tcMar>
            <w:vAlign w:val="center"/>
            <w:hideMark/>
          </w:tcPr>
          <w:p w14:paraId="6892F046" w14:textId="77777777" w:rsidR="00E749D9" w:rsidRPr="00E749D9" w:rsidRDefault="00E749D9" w:rsidP="006427F8">
            <w:pPr>
              <w:tabs>
                <w:tab w:val="left" w:pos="10080"/>
              </w:tabs>
              <w:jc w:val="center"/>
            </w:pPr>
            <w:r w:rsidRPr="00E749D9">
              <w:t>60</w:t>
            </w:r>
          </w:p>
        </w:tc>
      </w:tr>
      <w:tr w:rsidR="00E749D9" w:rsidRPr="00E749D9" w14:paraId="67870F75" w14:textId="77777777" w:rsidTr="00A50AE4">
        <w:trPr>
          <w:cantSplit/>
          <w:trHeight w:val="290"/>
          <w:jc w:val="center"/>
        </w:trPr>
        <w:tc>
          <w:tcPr>
            <w:tcW w:w="3060" w:type="dxa"/>
            <w:noWrap/>
            <w:tcMar>
              <w:top w:w="0" w:type="dxa"/>
              <w:left w:w="108" w:type="dxa"/>
              <w:bottom w:w="0" w:type="dxa"/>
              <w:right w:w="108" w:type="dxa"/>
            </w:tcMar>
            <w:vAlign w:val="center"/>
            <w:hideMark/>
          </w:tcPr>
          <w:p w14:paraId="13B34995" w14:textId="1C36DAF1" w:rsidR="00E749D9" w:rsidRPr="00E749D9" w:rsidRDefault="28D3F0D0" w:rsidP="00E749D9">
            <w:pPr>
              <w:tabs>
                <w:tab w:val="left" w:pos="10080"/>
              </w:tabs>
              <w:rPr>
                <w:b/>
                <w:bCs/>
              </w:rPr>
            </w:pPr>
            <w:r w:rsidRPr="6F28A89E">
              <w:rPr>
                <w:b/>
                <w:bCs/>
              </w:rPr>
              <w:t>Mental</w:t>
            </w:r>
            <w:r w:rsidR="001C6597">
              <w:rPr>
                <w:b/>
                <w:bCs/>
              </w:rPr>
              <w:t xml:space="preserve"> </w:t>
            </w:r>
            <w:r w:rsidR="00E749D9" w:rsidRPr="00E749D9">
              <w:rPr>
                <w:b/>
                <w:bCs/>
              </w:rPr>
              <w:t>Health</w:t>
            </w:r>
          </w:p>
        </w:tc>
        <w:tc>
          <w:tcPr>
            <w:tcW w:w="1165" w:type="dxa"/>
            <w:noWrap/>
            <w:tcMar>
              <w:top w:w="0" w:type="dxa"/>
              <w:left w:w="108" w:type="dxa"/>
              <w:bottom w:w="0" w:type="dxa"/>
              <w:right w:w="108" w:type="dxa"/>
            </w:tcMar>
            <w:vAlign w:val="center"/>
            <w:hideMark/>
          </w:tcPr>
          <w:p w14:paraId="601A8B67" w14:textId="77777777" w:rsidR="00E749D9" w:rsidRPr="00E749D9" w:rsidRDefault="00E749D9" w:rsidP="006427F8">
            <w:pPr>
              <w:tabs>
                <w:tab w:val="left" w:pos="10080"/>
              </w:tabs>
              <w:jc w:val="center"/>
            </w:pPr>
            <w:r w:rsidRPr="00E749D9">
              <w:t>32</w:t>
            </w:r>
          </w:p>
        </w:tc>
        <w:tc>
          <w:tcPr>
            <w:tcW w:w="1440" w:type="dxa"/>
            <w:noWrap/>
            <w:tcMar>
              <w:top w:w="0" w:type="dxa"/>
              <w:left w:w="108" w:type="dxa"/>
              <w:bottom w:w="0" w:type="dxa"/>
              <w:right w:w="108" w:type="dxa"/>
            </w:tcMar>
            <w:vAlign w:val="center"/>
            <w:hideMark/>
          </w:tcPr>
          <w:p w14:paraId="7562EA0C" w14:textId="77777777" w:rsidR="00E749D9" w:rsidRPr="00E749D9" w:rsidRDefault="00E749D9" w:rsidP="006427F8">
            <w:pPr>
              <w:tabs>
                <w:tab w:val="left" w:pos="10080"/>
              </w:tabs>
              <w:jc w:val="center"/>
            </w:pPr>
            <w:r w:rsidRPr="00E749D9">
              <w:t>32</w:t>
            </w:r>
          </w:p>
        </w:tc>
        <w:tc>
          <w:tcPr>
            <w:tcW w:w="3420" w:type="dxa"/>
            <w:noWrap/>
            <w:tcMar>
              <w:top w:w="0" w:type="dxa"/>
              <w:left w:w="108" w:type="dxa"/>
              <w:bottom w:w="0" w:type="dxa"/>
              <w:right w:w="108" w:type="dxa"/>
            </w:tcMar>
            <w:vAlign w:val="center"/>
            <w:hideMark/>
          </w:tcPr>
          <w:p w14:paraId="6EB9C352" w14:textId="77777777" w:rsidR="00E749D9" w:rsidRPr="00E749D9" w:rsidRDefault="00E749D9" w:rsidP="006427F8">
            <w:pPr>
              <w:tabs>
                <w:tab w:val="left" w:pos="10080"/>
              </w:tabs>
              <w:jc w:val="center"/>
            </w:pPr>
            <w:r w:rsidRPr="00E749D9">
              <w:t>56</w:t>
            </w:r>
          </w:p>
        </w:tc>
      </w:tr>
      <w:tr w:rsidR="00E749D9" w:rsidRPr="00E749D9" w14:paraId="357BB791" w14:textId="77777777" w:rsidTr="00A50AE4">
        <w:trPr>
          <w:cantSplit/>
          <w:trHeight w:val="290"/>
          <w:jc w:val="center"/>
        </w:trPr>
        <w:tc>
          <w:tcPr>
            <w:tcW w:w="3060" w:type="dxa"/>
            <w:noWrap/>
            <w:tcMar>
              <w:top w:w="0" w:type="dxa"/>
              <w:left w:w="108" w:type="dxa"/>
              <w:bottom w:w="0" w:type="dxa"/>
              <w:right w:w="108" w:type="dxa"/>
            </w:tcMar>
            <w:vAlign w:val="center"/>
            <w:hideMark/>
          </w:tcPr>
          <w:p w14:paraId="4368E048" w14:textId="1CB6F913" w:rsidR="00E749D9" w:rsidRPr="00E749D9" w:rsidRDefault="00E749D9" w:rsidP="00E749D9">
            <w:pPr>
              <w:tabs>
                <w:tab w:val="left" w:pos="10080"/>
              </w:tabs>
              <w:rPr>
                <w:b/>
                <w:bCs/>
              </w:rPr>
            </w:pPr>
            <w:r>
              <w:rPr>
                <w:b/>
                <w:bCs/>
              </w:rPr>
              <w:t>Total</w:t>
            </w:r>
          </w:p>
        </w:tc>
        <w:tc>
          <w:tcPr>
            <w:tcW w:w="1165" w:type="dxa"/>
            <w:noWrap/>
            <w:tcMar>
              <w:top w:w="0" w:type="dxa"/>
              <w:left w:w="108" w:type="dxa"/>
              <w:bottom w:w="0" w:type="dxa"/>
              <w:right w:w="108" w:type="dxa"/>
            </w:tcMar>
            <w:vAlign w:val="center"/>
            <w:hideMark/>
          </w:tcPr>
          <w:p w14:paraId="29710FC3" w14:textId="77777777" w:rsidR="00E749D9" w:rsidRPr="00E749D9" w:rsidRDefault="00E749D9" w:rsidP="006427F8">
            <w:pPr>
              <w:tabs>
                <w:tab w:val="left" w:pos="10080"/>
              </w:tabs>
              <w:jc w:val="center"/>
            </w:pPr>
            <w:r w:rsidRPr="00E749D9">
              <w:t>112</w:t>
            </w:r>
          </w:p>
        </w:tc>
        <w:tc>
          <w:tcPr>
            <w:tcW w:w="1440" w:type="dxa"/>
            <w:noWrap/>
            <w:tcMar>
              <w:top w:w="0" w:type="dxa"/>
              <w:left w:w="108" w:type="dxa"/>
              <w:bottom w:w="0" w:type="dxa"/>
              <w:right w:w="108" w:type="dxa"/>
            </w:tcMar>
            <w:vAlign w:val="center"/>
            <w:hideMark/>
          </w:tcPr>
          <w:p w14:paraId="71766B00" w14:textId="77777777" w:rsidR="00E749D9" w:rsidRPr="00E749D9" w:rsidRDefault="00E749D9" w:rsidP="006427F8">
            <w:pPr>
              <w:tabs>
                <w:tab w:val="left" w:pos="10080"/>
              </w:tabs>
              <w:jc w:val="center"/>
            </w:pPr>
            <w:r w:rsidRPr="00E749D9">
              <w:t>80</w:t>
            </w:r>
          </w:p>
        </w:tc>
        <w:tc>
          <w:tcPr>
            <w:tcW w:w="3420" w:type="dxa"/>
            <w:noWrap/>
            <w:tcMar>
              <w:top w:w="0" w:type="dxa"/>
              <w:left w:w="108" w:type="dxa"/>
              <w:bottom w:w="0" w:type="dxa"/>
              <w:right w:w="108" w:type="dxa"/>
            </w:tcMar>
            <w:vAlign w:val="center"/>
            <w:hideMark/>
          </w:tcPr>
          <w:p w14:paraId="66F3E3EC" w14:textId="77777777" w:rsidR="00E749D9" w:rsidRPr="00E749D9" w:rsidRDefault="00E749D9" w:rsidP="006427F8">
            <w:pPr>
              <w:tabs>
                <w:tab w:val="left" w:pos="10080"/>
              </w:tabs>
              <w:jc w:val="center"/>
            </w:pPr>
            <w:r w:rsidRPr="00E749D9">
              <w:t>116</w:t>
            </w:r>
          </w:p>
        </w:tc>
      </w:tr>
    </w:tbl>
    <w:p w14:paraId="7098D17E" w14:textId="77777777" w:rsidR="00E749D9" w:rsidRDefault="00E749D9" w:rsidP="00EF3D6F">
      <w:pPr>
        <w:tabs>
          <w:tab w:val="left" w:pos="10080"/>
        </w:tabs>
        <w:rPr>
          <w:b/>
          <w:bCs/>
        </w:rPr>
      </w:pPr>
    </w:p>
    <w:p w14:paraId="278DBB5E" w14:textId="1FF44D3A" w:rsidR="002C6C92" w:rsidRPr="00E347B4" w:rsidRDefault="00564891" w:rsidP="00E347B4">
      <w:pPr>
        <w:tabs>
          <w:tab w:val="left" w:pos="10080"/>
        </w:tabs>
      </w:pPr>
      <w:r w:rsidRPr="00E347B4">
        <w:t>T</w:t>
      </w:r>
      <w:r w:rsidR="002C6C92" w:rsidRPr="00E347B4">
        <w:t>he Proposed Project</w:t>
      </w:r>
      <w:r w:rsidRPr="00E347B4">
        <w:t xml:space="preserve"> includes the following</w:t>
      </w:r>
      <w:r w:rsidR="002C6C92" w:rsidRPr="00E347B4">
        <w:t>:</w:t>
      </w:r>
    </w:p>
    <w:p w14:paraId="0359BD33" w14:textId="77777777" w:rsidR="002C6C92" w:rsidRPr="00E347B4" w:rsidRDefault="002C6C92" w:rsidP="00E347B4">
      <w:pPr>
        <w:tabs>
          <w:tab w:val="left" w:pos="10080"/>
        </w:tabs>
      </w:pPr>
    </w:p>
    <w:p w14:paraId="45244311" w14:textId="59E0EDF0" w:rsidR="00AA625A" w:rsidRPr="00A87311" w:rsidRDefault="008751B6" w:rsidP="001600D5">
      <w:pPr>
        <w:pStyle w:val="ListParagraph"/>
        <w:numPr>
          <w:ilvl w:val="0"/>
          <w:numId w:val="5"/>
        </w:numPr>
        <w:tabs>
          <w:tab w:val="left" w:pos="10080"/>
        </w:tabs>
        <w:spacing w:after="0" w:line="240" w:lineRule="auto"/>
        <w:rPr>
          <w:rFonts w:cstheme="minorHAnsi"/>
          <w:sz w:val="24"/>
          <w:szCs w:val="24"/>
        </w:rPr>
      </w:pPr>
      <w:r w:rsidRPr="00E347B4">
        <w:rPr>
          <w:rFonts w:cstheme="minorHAnsi"/>
          <w:b/>
          <w:bCs/>
          <w:sz w:val="24"/>
          <w:szCs w:val="24"/>
        </w:rPr>
        <w:t xml:space="preserve">Construction of a </w:t>
      </w:r>
      <w:r w:rsidR="00564891" w:rsidRPr="00E347B4">
        <w:rPr>
          <w:rFonts w:cstheme="minorHAnsi"/>
          <w:b/>
          <w:bCs/>
          <w:sz w:val="24"/>
          <w:szCs w:val="24"/>
        </w:rPr>
        <w:t>New</w:t>
      </w:r>
      <w:r w:rsidR="005F34EB" w:rsidRPr="00E347B4">
        <w:rPr>
          <w:rFonts w:cstheme="minorHAnsi"/>
          <w:b/>
          <w:bCs/>
          <w:sz w:val="24"/>
          <w:szCs w:val="24"/>
        </w:rPr>
        <w:t xml:space="preserve"> </w:t>
      </w:r>
      <w:r w:rsidR="003A6B26">
        <w:rPr>
          <w:rFonts w:cstheme="minorHAnsi"/>
          <w:b/>
          <w:bCs/>
          <w:sz w:val="24"/>
          <w:szCs w:val="24"/>
        </w:rPr>
        <w:t xml:space="preserve">Replacement Facility </w:t>
      </w:r>
      <w:r w:rsidR="00176815" w:rsidRPr="00E347B4">
        <w:rPr>
          <w:rFonts w:cstheme="minorHAnsi"/>
          <w:sz w:val="24"/>
          <w:szCs w:val="24"/>
        </w:rPr>
        <w:t>of ~</w:t>
      </w:r>
      <w:r w:rsidR="00093CF6" w:rsidRPr="00E347B4">
        <w:rPr>
          <w:rFonts w:cstheme="minorHAnsi"/>
          <w:sz w:val="24"/>
          <w:szCs w:val="24"/>
        </w:rPr>
        <w:t xml:space="preserve"> 27</w:t>
      </w:r>
      <w:r w:rsidRPr="00E347B4">
        <w:rPr>
          <w:rFonts w:cstheme="minorHAnsi"/>
          <w:sz w:val="24"/>
          <w:szCs w:val="24"/>
        </w:rPr>
        <w:t>9</w:t>
      </w:r>
      <w:r w:rsidR="00093CF6" w:rsidRPr="00E347B4">
        <w:rPr>
          <w:rFonts w:cstheme="minorHAnsi"/>
          <w:sz w:val="24"/>
          <w:szCs w:val="24"/>
        </w:rPr>
        <w:t xml:space="preserve">,000 gross square </w:t>
      </w:r>
      <w:r w:rsidR="004B4899" w:rsidRPr="00E347B4">
        <w:rPr>
          <w:rFonts w:cstheme="minorHAnsi"/>
          <w:sz w:val="24"/>
          <w:szCs w:val="24"/>
        </w:rPr>
        <w:t>feet (</w:t>
      </w:r>
      <w:r w:rsidR="00093CF6" w:rsidRPr="00E347B4">
        <w:rPr>
          <w:rFonts w:cstheme="minorHAnsi"/>
          <w:sz w:val="24"/>
          <w:szCs w:val="24"/>
        </w:rPr>
        <w:t>“GSF”)</w:t>
      </w:r>
      <w:r w:rsidR="00D329F3" w:rsidRPr="00E347B4">
        <w:rPr>
          <w:rFonts w:cstheme="minorHAnsi"/>
          <w:sz w:val="24"/>
          <w:szCs w:val="24"/>
        </w:rPr>
        <w:t>,</w:t>
      </w:r>
      <w:r w:rsidR="00093CF6" w:rsidRPr="00E347B4">
        <w:rPr>
          <w:rFonts w:cstheme="minorHAnsi"/>
          <w:sz w:val="24"/>
          <w:szCs w:val="24"/>
        </w:rPr>
        <w:t xml:space="preserve"> </w:t>
      </w:r>
      <w:r w:rsidR="002C6C92" w:rsidRPr="00E347B4">
        <w:rPr>
          <w:rFonts w:cstheme="minorHAnsi"/>
          <w:sz w:val="24"/>
          <w:szCs w:val="24"/>
        </w:rPr>
        <w:t>to include</w:t>
      </w:r>
      <w:r w:rsidR="00AA625A" w:rsidRPr="00E347B4">
        <w:rPr>
          <w:rFonts w:cstheme="minorHAnsi"/>
          <w:sz w:val="24"/>
          <w:szCs w:val="24"/>
        </w:rPr>
        <w:t>:</w:t>
      </w:r>
    </w:p>
    <w:p w14:paraId="23C51B5C" w14:textId="4D41ABA0" w:rsidR="0037445E" w:rsidRPr="00E347B4" w:rsidRDefault="002C6C92" w:rsidP="001600D5">
      <w:pPr>
        <w:pStyle w:val="ListParagraph"/>
        <w:numPr>
          <w:ilvl w:val="0"/>
          <w:numId w:val="4"/>
        </w:numPr>
        <w:tabs>
          <w:tab w:val="left" w:pos="10080"/>
        </w:tabs>
        <w:spacing w:after="0" w:line="240" w:lineRule="auto"/>
        <w:rPr>
          <w:rFonts w:cstheme="minorHAnsi"/>
          <w:sz w:val="24"/>
          <w:szCs w:val="24"/>
        </w:rPr>
      </w:pPr>
      <w:r w:rsidRPr="00E347B4">
        <w:rPr>
          <w:rFonts w:cstheme="minorHAnsi"/>
          <w:sz w:val="24"/>
          <w:szCs w:val="24"/>
        </w:rPr>
        <w:t xml:space="preserve">116 licensed beds </w:t>
      </w:r>
      <w:r w:rsidR="00564891" w:rsidRPr="00E347B4">
        <w:rPr>
          <w:rFonts w:cstheme="minorHAnsi"/>
          <w:sz w:val="24"/>
          <w:szCs w:val="24"/>
        </w:rPr>
        <w:t xml:space="preserve">(4 net </w:t>
      </w:r>
      <w:proofErr w:type="gramStart"/>
      <w:r w:rsidR="00564891" w:rsidRPr="00E347B4">
        <w:rPr>
          <w:rFonts w:cstheme="minorHAnsi"/>
          <w:sz w:val="24"/>
          <w:szCs w:val="24"/>
        </w:rPr>
        <w:t>new</w:t>
      </w:r>
      <w:proofErr w:type="gramEnd"/>
      <w:r w:rsidR="0057786D" w:rsidRPr="00E347B4">
        <w:rPr>
          <w:rFonts w:cstheme="minorHAnsi"/>
          <w:sz w:val="24"/>
          <w:szCs w:val="24"/>
        </w:rPr>
        <w:t xml:space="preserve">; currently 80 beds are </w:t>
      </w:r>
      <w:r w:rsidR="006427F8" w:rsidRPr="00E347B4">
        <w:rPr>
          <w:rFonts w:cstheme="minorHAnsi"/>
          <w:sz w:val="24"/>
          <w:szCs w:val="24"/>
        </w:rPr>
        <w:t xml:space="preserve">in </w:t>
      </w:r>
      <w:r w:rsidR="0057786D" w:rsidRPr="00E347B4">
        <w:rPr>
          <w:rFonts w:cstheme="minorHAnsi"/>
          <w:sz w:val="24"/>
          <w:szCs w:val="24"/>
        </w:rPr>
        <w:t>operation</w:t>
      </w:r>
      <w:r w:rsidR="00564891" w:rsidRPr="00E347B4">
        <w:rPr>
          <w:rFonts w:cstheme="minorHAnsi"/>
          <w:sz w:val="24"/>
          <w:szCs w:val="24"/>
        </w:rPr>
        <w:t>)</w:t>
      </w:r>
      <w:r w:rsidR="003A6B26">
        <w:rPr>
          <w:rFonts w:cstheme="minorHAnsi"/>
          <w:sz w:val="24"/>
          <w:szCs w:val="24"/>
        </w:rPr>
        <w:t xml:space="preserve"> with all private </w:t>
      </w:r>
      <w:r w:rsidR="000E10E9">
        <w:rPr>
          <w:rFonts w:cstheme="minorHAnsi"/>
          <w:sz w:val="24"/>
          <w:szCs w:val="24"/>
        </w:rPr>
        <w:t>rooms.</w:t>
      </w:r>
      <w:r w:rsidR="00564891" w:rsidRPr="00E347B4">
        <w:rPr>
          <w:rFonts w:cstheme="minorHAnsi"/>
          <w:sz w:val="24"/>
          <w:szCs w:val="24"/>
        </w:rPr>
        <w:t xml:space="preserve"> </w:t>
      </w:r>
    </w:p>
    <w:p w14:paraId="5ABBDDD4" w14:textId="5212AD02" w:rsidR="002C6C92" w:rsidRPr="00E347B4" w:rsidRDefault="002C6C92" w:rsidP="001600D5">
      <w:pPr>
        <w:numPr>
          <w:ilvl w:val="1"/>
          <w:numId w:val="4"/>
        </w:numPr>
        <w:tabs>
          <w:tab w:val="left" w:pos="10080"/>
        </w:tabs>
        <w:ind w:left="1080" w:hanging="270"/>
      </w:pPr>
      <w:r w:rsidRPr="00E347B4">
        <w:t>60 pediatric medical and rehabilitative beds</w:t>
      </w:r>
      <w:r w:rsidR="00EF0C13" w:rsidRPr="00E347B4">
        <w:t xml:space="preserve"> (</w:t>
      </w:r>
      <w:r w:rsidR="006427F8" w:rsidRPr="00E347B4">
        <w:t xml:space="preserve">currently </w:t>
      </w:r>
      <w:r w:rsidR="00EF0C13" w:rsidRPr="00E347B4">
        <w:t xml:space="preserve">48 </w:t>
      </w:r>
      <w:r w:rsidR="00C12CCC" w:rsidRPr="00E347B4">
        <w:t xml:space="preserve">beds </w:t>
      </w:r>
      <w:r w:rsidR="004B4899" w:rsidRPr="00E347B4">
        <w:t xml:space="preserve">are </w:t>
      </w:r>
      <w:r w:rsidR="006427F8" w:rsidRPr="00E347B4">
        <w:t xml:space="preserve">in </w:t>
      </w:r>
      <w:r w:rsidR="00EF0C13" w:rsidRPr="00E347B4">
        <w:t>operation)</w:t>
      </w:r>
      <w:r w:rsidR="0057786D" w:rsidRPr="00E347B4">
        <w:t>,</w:t>
      </w:r>
    </w:p>
    <w:p w14:paraId="7439F317" w14:textId="7747E96D" w:rsidR="002C6C92" w:rsidRPr="00E347B4" w:rsidRDefault="001C6597" w:rsidP="001600D5">
      <w:pPr>
        <w:numPr>
          <w:ilvl w:val="1"/>
          <w:numId w:val="4"/>
        </w:numPr>
        <w:tabs>
          <w:tab w:val="left" w:pos="10080"/>
        </w:tabs>
        <w:ind w:left="1080" w:hanging="270"/>
      </w:pPr>
      <w:r w:rsidRPr="00E347B4">
        <w:t xml:space="preserve">56 pediatric </w:t>
      </w:r>
      <w:r w:rsidR="000E10E9">
        <w:t xml:space="preserve">mental </w:t>
      </w:r>
      <w:r w:rsidRPr="00E347B4">
        <w:t>health beds</w:t>
      </w:r>
      <w:r w:rsidR="00DF33DA" w:rsidRPr="00E347B4">
        <w:t xml:space="preserve"> (</w:t>
      </w:r>
      <w:r w:rsidRPr="00E347B4">
        <w:t xml:space="preserve">currently </w:t>
      </w:r>
      <w:r w:rsidR="00DF33DA" w:rsidRPr="00E347B4">
        <w:t xml:space="preserve">32 </w:t>
      </w:r>
      <w:r w:rsidR="004B4899" w:rsidRPr="00E347B4">
        <w:t xml:space="preserve">beds are </w:t>
      </w:r>
      <w:r w:rsidR="00B21A63">
        <w:t>licensed,</w:t>
      </w:r>
      <w:r w:rsidR="0032050F">
        <w:t xml:space="preserve"> and</w:t>
      </w:r>
      <w:r w:rsidR="004B4899" w:rsidRPr="00E347B4">
        <w:t xml:space="preserve"> </w:t>
      </w:r>
      <w:r w:rsidR="00B309B8">
        <w:t xml:space="preserve">all are </w:t>
      </w:r>
      <w:r w:rsidR="00DF33DA" w:rsidRPr="00E347B4">
        <w:t>in operation)</w:t>
      </w:r>
      <w:r w:rsidR="003A6B26">
        <w:t xml:space="preserve"> to include:</w:t>
      </w:r>
    </w:p>
    <w:p w14:paraId="787C815A" w14:textId="5B7B51E1" w:rsidR="001C6597" w:rsidRPr="00E347B4" w:rsidRDefault="001C6597" w:rsidP="001600D5">
      <w:pPr>
        <w:numPr>
          <w:ilvl w:val="2"/>
          <w:numId w:val="4"/>
        </w:numPr>
        <w:tabs>
          <w:tab w:val="left" w:pos="10080"/>
        </w:tabs>
      </w:pPr>
      <w:r w:rsidRPr="00E347B4">
        <w:t>48 pediatric mental health beds</w:t>
      </w:r>
    </w:p>
    <w:p w14:paraId="6E2FBAD4" w14:textId="2624221B" w:rsidR="002C6C92" w:rsidRPr="00E347B4" w:rsidRDefault="002C6C92" w:rsidP="001600D5">
      <w:pPr>
        <w:numPr>
          <w:ilvl w:val="2"/>
          <w:numId w:val="4"/>
        </w:numPr>
        <w:tabs>
          <w:tab w:val="left" w:pos="10080"/>
        </w:tabs>
      </w:pPr>
      <w:r w:rsidRPr="00E347B4">
        <w:t xml:space="preserve">8 pediatric </w:t>
      </w:r>
      <w:r w:rsidR="009919CD" w:rsidRPr="009919CD">
        <w:t xml:space="preserve">Intellectual Disability Disorders </w:t>
      </w:r>
      <w:r w:rsidR="009919CD">
        <w:t>(</w:t>
      </w:r>
      <w:r w:rsidR="009919CD" w:rsidRPr="009919CD">
        <w:t>“IDD”)</w:t>
      </w:r>
      <w:r w:rsidR="009919CD">
        <w:t xml:space="preserve"> </w:t>
      </w:r>
      <w:r w:rsidR="008437BA" w:rsidRPr="00E347B4">
        <w:t xml:space="preserve">Autism/Neurodevelopmental disability beds </w:t>
      </w:r>
      <w:r w:rsidR="000F6C04" w:rsidRPr="00E347B4">
        <w:t>(</w:t>
      </w:r>
      <w:r w:rsidR="004B4899" w:rsidRPr="00E347B4">
        <w:t xml:space="preserve">a new program, </w:t>
      </w:r>
      <w:r w:rsidR="000F6C04" w:rsidRPr="00E347B4">
        <w:t>no</w:t>
      </w:r>
      <w:r w:rsidR="004B4899" w:rsidRPr="00E347B4">
        <w:t xml:space="preserve"> beds</w:t>
      </w:r>
      <w:r w:rsidR="000F6C04" w:rsidRPr="00E347B4">
        <w:t xml:space="preserve"> currently)</w:t>
      </w:r>
    </w:p>
    <w:p w14:paraId="1627C622" w14:textId="76F778F0" w:rsidR="002D1171" w:rsidRPr="00E347B4" w:rsidRDefault="002D1171" w:rsidP="001600D5">
      <w:pPr>
        <w:numPr>
          <w:ilvl w:val="0"/>
          <w:numId w:val="4"/>
        </w:numPr>
        <w:tabs>
          <w:tab w:val="left" w:pos="10080"/>
        </w:tabs>
      </w:pPr>
      <w:r w:rsidRPr="00E347B4">
        <w:t xml:space="preserve">a partial hospitalization program for patients with mental health and/or medical conditions </w:t>
      </w:r>
    </w:p>
    <w:p w14:paraId="6952C054" w14:textId="7FB77D4D" w:rsidR="002D1171" w:rsidRPr="00E347B4" w:rsidRDefault="002D1171" w:rsidP="001600D5">
      <w:pPr>
        <w:numPr>
          <w:ilvl w:val="0"/>
          <w:numId w:val="4"/>
        </w:numPr>
        <w:tabs>
          <w:tab w:val="left" w:pos="10080"/>
        </w:tabs>
      </w:pPr>
      <w:r w:rsidRPr="00E347B4">
        <w:t xml:space="preserve">a partial hospitalization program for patients with </w:t>
      </w:r>
      <w:r w:rsidR="009919CD">
        <w:t>IDD</w:t>
      </w:r>
      <w:r w:rsidR="00DF653C" w:rsidRPr="00E347B4">
        <w:t xml:space="preserve"> (autism/neurodevelopmental)</w:t>
      </w:r>
      <w:r w:rsidRPr="00E347B4">
        <w:t xml:space="preserve"> </w:t>
      </w:r>
    </w:p>
    <w:p w14:paraId="3CCF90F3" w14:textId="18C75DFF" w:rsidR="002D1171" w:rsidRPr="00E347B4" w:rsidRDefault="002D1171" w:rsidP="001600D5">
      <w:pPr>
        <w:pStyle w:val="ListParagraph"/>
        <w:numPr>
          <w:ilvl w:val="0"/>
          <w:numId w:val="4"/>
        </w:numPr>
        <w:tabs>
          <w:tab w:val="left" w:pos="10080"/>
        </w:tabs>
        <w:spacing w:after="0" w:line="240" w:lineRule="auto"/>
        <w:rPr>
          <w:rFonts w:cstheme="minorHAnsi"/>
          <w:sz w:val="24"/>
          <w:szCs w:val="24"/>
        </w:rPr>
      </w:pPr>
      <w:r w:rsidRPr="00E347B4">
        <w:rPr>
          <w:rFonts w:cstheme="minorHAnsi"/>
          <w:sz w:val="24"/>
          <w:szCs w:val="24"/>
        </w:rPr>
        <w:t xml:space="preserve">an intensive outpatient </w:t>
      </w:r>
      <w:proofErr w:type="gramStart"/>
      <w:r w:rsidRPr="00E347B4">
        <w:rPr>
          <w:rFonts w:cstheme="minorHAnsi"/>
          <w:sz w:val="24"/>
          <w:szCs w:val="24"/>
        </w:rPr>
        <w:t>program</w:t>
      </w:r>
      <w:proofErr w:type="gramEnd"/>
    </w:p>
    <w:p w14:paraId="2C188401" w14:textId="200AB95C" w:rsidR="002C6C92" w:rsidRDefault="00DF653C" w:rsidP="001600D5">
      <w:pPr>
        <w:pStyle w:val="ListParagraph"/>
        <w:numPr>
          <w:ilvl w:val="0"/>
          <w:numId w:val="4"/>
        </w:numPr>
        <w:spacing w:after="0" w:line="240" w:lineRule="auto"/>
        <w:rPr>
          <w:rFonts w:cstheme="minorHAnsi"/>
          <w:sz w:val="24"/>
          <w:szCs w:val="24"/>
        </w:rPr>
      </w:pPr>
      <w:r w:rsidRPr="00E347B4">
        <w:rPr>
          <w:rFonts w:cstheme="minorHAnsi"/>
          <w:sz w:val="24"/>
          <w:szCs w:val="24"/>
        </w:rPr>
        <w:t>a therapy pool and physical therapy/occupational therapy space;</w:t>
      </w:r>
    </w:p>
    <w:p w14:paraId="264929F8" w14:textId="77777777" w:rsidR="001600D5" w:rsidRPr="0039215D" w:rsidRDefault="001600D5" w:rsidP="001600D5">
      <w:pPr>
        <w:pStyle w:val="ListParagraph"/>
        <w:spacing w:after="0" w:line="240" w:lineRule="auto"/>
        <w:rPr>
          <w:rFonts w:cstheme="minorHAnsi"/>
          <w:sz w:val="24"/>
          <w:szCs w:val="24"/>
        </w:rPr>
      </w:pPr>
    </w:p>
    <w:p w14:paraId="00A04368" w14:textId="1E5CF204" w:rsidR="0039215D" w:rsidRPr="00E347B4" w:rsidRDefault="007E2533" w:rsidP="001600D5">
      <w:pPr>
        <w:numPr>
          <w:ilvl w:val="0"/>
          <w:numId w:val="5"/>
        </w:numPr>
        <w:tabs>
          <w:tab w:val="left" w:pos="10080"/>
        </w:tabs>
      </w:pPr>
      <w:r w:rsidRPr="21299BCB">
        <w:rPr>
          <w:b/>
          <w:bCs/>
        </w:rPr>
        <w:t>Consolidat</w:t>
      </w:r>
      <w:r w:rsidR="00155291">
        <w:rPr>
          <w:b/>
          <w:bCs/>
        </w:rPr>
        <w:t>ion</w:t>
      </w:r>
      <w:r w:rsidR="00FD4B9B">
        <w:rPr>
          <w:b/>
          <w:bCs/>
        </w:rPr>
        <w:t xml:space="preserve"> of</w:t>
      </w:r>
      <w:r w:rsidR="005C752F" w:rsidRPr="21299BCB">
        <w:rPr>
          <w:b/>
          <w:bCs/>
        </w:rPr>
        <w:t xml:space="preserve"> </w:t>
      </w:r>
      <w:r w:rsidR="006C46E0" w:rsidRPr="21299BCB">
        <w:rPr>
          <w:b/>
          <w:bCs/>
        </w:rPr>
        <w:t xml:space="preserve">Most </w:t>
      </w:r>
      <w:r w:rsidR="000E10E9">
        <w:rPr>
          <w:b/>
          <w:bCs/>
        </w:rPr>
        <w:t>Mental</w:t>
      </w:r>
      <w:r w:rsidR="006C46E0" w:rsidRPr="21299BCB">
        <w:rPr>
          <w:b/>
          <w:bCs/>
        </w:rPr>
        <w:t xml:space="preserve"> </w:t>
      </w:r>
      <w:r w:rsidR="000E10E9">
        <w:rPr>
          <w:b/>
          <w:bCs/>
        </w:rPr>
        <w:t>H</w:t>
      </w:r>
      <w:r w:rsidR="006C46E0" w:rsidRPr="21299BCB">
        <w:rPr>
          <w:b/>
          <w:bCs/>
        </w:rPr>
        <w:t>ealth Services</w:t>
      </w:r>
      <w:r w:rsidR="00A1733B">
        <w:t xml:space="preserve"> </w:t>
      </w:r>
      <w:proofErr w:type="gramStart"/>
      <w:r w:rsidR="00FD4B9B">
        <w:t>T</w:t>
      </w:r>
      <w:r w:rsidR="00A1733B">
        <w:t>he</w:t>
      </w:r>
      <w:proofErr w:type="gramEnd"/>
      <w:r w:rsidR="00A1733B">
        <w:t xml:space="preserve"> Applicant seeks to </w:t>
      </w:r>
      <w:r w:rsidR="00E14FA9">
        <w:t xml:space="preserve">relocate </w:t>
      </w:r>
      <w:r w:rsidR="68DDE1B9">
        <w:t>two</w:t>
      </w:r>
      <w:r w:rsidR="00A0226B">
        <w:t xml:space="preserve"> </w:t>
      </w:r>
      <w:r w:rsidR="00AC7FE5">
        <w:t>mental health</w:t>
      </w:r>
      <w:r w:rsidR="00CF0F2B">
        <w:t xml:space="preserve"> </w:t>
      </w:r>
      <w:r w:rsidR="00093CAA">
        <w:t>services from BCH Waltham to Franciscan</w:t>
      </w:r>
      <w:r w:rsidR="00BF14C6">
        <w:t xml:space="preserve">. </w:t>
      </w:r>
      <w:r w:rsidR="00F61ACF">
        <w:t xml:space="preserve">Specifically: </w:t>
      </w:r>
    </w:p>
    <w:p w14:paraId="184F5ABB" w14:textId="084DB623" w:rsidR="009D2E3B" w:rsidRPr="00E347B4" w:rsidRDefault="001F2EEE" w:rsidP="001600D5">
      <w:pPr>
        <w:numPr>
          <w:ilvl w:val="0"/>
          <w:numId w:val="17"/>
        </w:numPr>
        <w:tabs>
          <w:tab w:val="left" w:pos="10080"/>
        </w:tabs>
        <w:ind w:left="720"/>
      </w:pPr>
      <w:r w:rsidRPr="00E347B4">
        <w:t xml:space="preserve">A </w:t>
      </w:r>
      <w:r w:rsidR="009F0D16" w:rsidRPr="00E347B4">
        <w:t>12</w:t>
      </w:r>
      <w:r w:rsidRPr="00E347B4">
        <w:t>-bed</w:t>
      </w:r>
      <w:r w:rsidR="009F0D16" w:rsidRPr="00E347B4">
        <w:t xml:space="preserve"> inpatient psychiatric </w:t>
      </w:r>
      <w:r w:rsidRPr="00E347B4">
        <w:t>unit</w:t>
      </w:r>
      <w:r w:rsidR="009F0D16" w:rsidRPr="00E347B4">
        <w:t xml:space="preserve"> </w:t>
      </w:r>
      <w:r w:rsidR="00470B39" w:rsidRPr="00E347B4">
        <w:t>at the BCH</w:t>
      </w:r>
      <w:r w:rsidR="00CD0882">
        <w:t xml:space="preserve"> </w:t>
      </w:r>
      <w:r w:rsidR="00470B39" w:rsidRPr="00E347B4">
        <w:t>Waltham campus</w:t>
      </w:r>
      <w:r w:rsidR="00BE49E4">
        <w:t>,</w:t>
      </w:r>
      <w:r w:rsidR="009C7F00" w:rsidRPr="00E347B4">
        <w:t xml:space="preserve"> </w:t>
      </w:r>
      <w:r w:rsidR="009F0D16" w:rsidRPr="00E347B4">
        <w:t xml:space="preserve">approved </w:t>
      </w:r>
      <w:r w:rsidR="00BE49E4">
        <w:t xml:space="preserve">by the Department </w:t>
      </w:r>
      <w:r w:rsidR="00DC37CA" w:rsidRPr="00E347B4">
        <w:t xml:space="preserve">as an emergency request </w:t>
      </w:r>
      <w:r w:rsidR="00470B39" w:rsidRPr="00E347B4">
        <w:t xml:space="preserve">during the COVID 19 </w:t>
      </w:r>
      <w:r w:rsidR="00DC37CA" w:rsidRPr="00E347B4">
        <w:t>Pandemic</w:t>
      </w:r>
      <w:r w:rsidRPr="00E347B4">
        <w:t xml:space="preserve"> </w:t>
      </w:r>
      <w:r w:rsidR="006C46E0" w:rsidRPr="00E347B4">
        <w:t>(</w:t>
      </w:r>
      <w:r w:rsidRPr="00E347B4">
        <w:t>Janu</w:t>
      </w:r>
      <w:r w:rsidR="000B797E" w:rsidRPr="00E347B4">
        <w:t>ary 2021</w:t>
      </w:r>
      <w:r w:rsidR="006C46E0" w:rsidRPr="00E347B4">
        <w:t>)</w:t>
      </w:r>
      <w:r w:rsidR="009D2E3B" w:rsidRPr="00E347B4">
        <w:t>.</w:t>
      </w:r>
      <w:r w:rsidR="009D2E3B" w:rsidRPr="00E347B4">
        <w:rPr>
          <w:rStyle w:val="FootnoteReference"/>
        </w:rPr>
        <w:footnoteReference w:id="6"/>
      </w:r>
      <w:r w:rsidR="000B797E" w:rsidRPr="00E347B4">
        <w:t xml:space="preserve"> </w:t>
      </w:r>
    </w:p>
    <w:p w14:paraId="7A834086" w14:textId="299B6B2E" w:rsidR="009D2E3B" w:rsidRPr="00E347B4" w:rsidRDefault="00EE7195" w:rsidP="001600D5">
      <w:pPr>
        <w:numPr>
          <w:ilvl w:val="0"/>
          <w:numId w:val="17"/>
        </w:numPr>
        <w:tabs>
          <w:tab w:val="left" w:pos="10080"/>
        </w:tabs>
        <w:ind w:left="720"/>
      </w:pPr>
      <w:r w:rsidRPr="00E347B4">
        <w:t>A partial hospitalization program</w:t>
      </w:r>
      <w:r w:rsidR="008A0208">
        <w:t>,</w:t>
      </w:r>
      <w:r w:rsidRPr="00E347B4">
        <w:t xml:space="preserve"> approved </w:t>
      </w:r>
      <w:r w:rsidR="008A0208">
        <w:t>by the Department</w:t>
      </w:r>
      <w:r w:rsidRPr="00E347B4">
        <w:t xml:space="preserve"> </w:t>
      </w:r>
      <w:r w:rsidR="006C46E0" w:rsidRPr="00E347B4">
        <w:t>as part of a Substantial C</w:t>
      </w:r>
      <w:r w:rsidR="005C41B8" w:rsidRPr="00E347B4">
        <w:t xml:space="preserve">apital </w:t>
      </w:r>
      <w:r w:rsidR="006C46E0" w:rsidRPr="00E347B4">
        <w:t>E</w:t>
      </w:r>
      <w:r w:rsidR="005C41B8" w:rsidRPr="00E347B4">
        <w:t>xpenditure DoN BCH #21071411-HE</w:t>
      </w:r>
      <w:r w:rsidR="00791545">
        <w:t xml:space="preserve"> (December 2022)</w:t>
      </w:r>
      <w:r w:rsidR="005C41B8" w:rsidRPr="00E347B4">
        <w:t>.</w:t>
      </w:r>
      <w:r w:rsidR="00FE200B" w:rsidRPr="00E347B4">
        <w:rPr>
          <w:rStyle w:val="FootnoteReference"/>
        </w:rPr>
        <w:footnoteReference w:id="7"/>
      </w:r>
      <w:r w:rsidR="005C41B8" w:rsidRPr="00E347B4">
        <w:t xml:space="preserve"> </w:t>
      </w:r>
    </w:p>
    <w:p w14:paraId="24092305" w14:textId="77777777" w:rsidR="00AA69CB" w:rsidRPr="00E347B4" w:rsidRDefault="00AA69CB" w:rsidP="001600D5">
      <w:pPr>
        <w:tabs>
          <w:tab w:val="left" w:pos="10080"/>
        </w:tabs>
      </w:pPr>
    </w:p>
    <w:p w14:paraId="438CF135" w14:textId="32C02C46" w:rsidR="002C6C92" w:rsidRPr="00E347B4" w:rsidRDefault="00AB1D61" w:rsidP="001600D5">
      <w:pPr>
        <w:tabs>
          <w:tab w:val="left" w:pos="10080"/>
        </w:tabs>
        <w:ind w:left="360"/>
      </w:pPr>
      <w:r w:rsidRPr="00E347B4">
        <w:lastRenderedPageBreak/>
        <w:t xml:space="preserve">The </w:t>
      </w:r>
      <w:r w:rsidR="002C6C92" w:rsidRPr="00E347B4">
        <w:t xml:space="preserve">Applicant </w:t>
      </w:r>
      <w:r w:rsidR="00A14DF5" w:rsidRPr="00E347B4">
        <w:t xml:space="preserve">states </w:t>
      </w:r>
      <w:r w:rsidR="001C6597" w:rsidRPr="00E347B4">
        <w:t xml:space="preserve">the “co-localization of the full continuum of care and integration of the providers” across both Franciscan and BCH </w:t>
      </w:r>
      <w:r w:rsidR="00A14DF5" w:rsidRPr="00E347B4">
        <w:t>will improve</w:t>
      </w:r>
      <w:r w:rsidR="00A87311">
        <w:t xml:space="preserve"> access and quality of care</w:t>
      </w:r>
      <w:r w:rsidR="002C6C92" w:rsidRPr="00E347B4">
        <w:t xml:space="preserve"> for </w:t>
      </w:r>
      <w:r w:rsidR="00CD0882">
        <w:t>children</w:t>
      </w:r>
      <w:r w:rsidR="002C6C92" w:rsidRPr="00E347B4">
        <w:t xml:space="preserve"> with mental illness</w:t>
      </w:r>
      <w:r w:rsidR="00A87311">
        <w:t>.</w:t>
      </w:r>
    </w:p>
    <w:p w14:paraId="0C6CBE41" w14:textId="77777777" w:rsidR="00AA69CB" w:rsidRPr="00E347B4" w:rsidRDefault="00AA69CB" w:rsidP="001600D5">
      <w:pPr>
        <w:numPr>
          <w:ilvl w:val="0"/>
          <w:numId w:val="17"/>
        </w:numPr>
        <w:tabs>
          <w:tab w:val="left" w:pos="10080"/>
        </w:tabs>
      </w:pPr>
      <w:r w:rsidRPr="00E347B4">
        <w:rPr>
          <w:b/>
          <w:bCs/>
        </w:rPr>
        <w:t>Renovation of the Ambulatory Surgery Suite and Addition of One (1) operating room</w:t>
      </w:r>
      <w:r w:rsidRPr="00E347B4">
        <w:t xml:space="preserve"> (“OR”) within the existing facility, for a total of 4 ORs, to expand access for children with specialized medical and mental health conditions who require dental and other minor ambulatory surgical procedures. </w:t>
      </w:r>
    </w:p>
    <w:p w14:paraId="57A15733" w14:textId="77777777" w:rsidR="00C12CCC" w:rsidRPr="00E347B4" w:rsidRDefault="00C12CCC" w:rsidP="001600D5">
      <w:pPr>
        <w:tabs>
          <w:tab w:val="left" w:pos="10080"/>
        </w:tabs>
      </w:pPr>
    </w:p>
    <w:p w14:paraId="24B6BD30" w14:textId="34FE2A40" w:rsidR="00CF658A" w:rsidRPr="00E347B4" w:rsidRDefault="00C12CCC" w:rsidP="001600D5">
      <w:pPr>
        <w:tabs>
          <w:tab w:val="left" w:pos="10080"/>
        </w:tabs>
        <w:rPr>
          <w:iCs/>
        </w:rPr>
      </w:pPr>
      <w:r w:rsidRPr="00E347B4">
        <w:t>As a result</w:t>
      </w:r>
      <w:r w:rsidR="001C6597" w:rsidRPr="00E347B4">
        <w:t xml:space="preserve"> of the </w:t>
      </w:r>
      <w:r w:rsidR="00D97757" w:rsidRPr="00E347B4">
        <w:t xml:space="preserve">improvements </w:t>
      </w:r>
      <w:r w:rsidR="00CD0882">
        <w:t xml:space="preserve">of </w:t>
      </w:r>
      <w:r w:rsidR="00D97757" w:rsidRPr="00E347B4">
        <w:t>the Proposed Project,</w:t>
      </w:r>
      <w:r w:rsidR="001600D5">
        <w:t xml:space="preserve"> the Applicant states </w:t>
      </w:r>
      <w:r w:rsidRPr="00E347B4">
        <w:t xml:space="preserve">the new and renovated facility will enable Franciscan to deliver what </w:t>
      </w:r>
      <w:r w:rsidR="001600D5">
        <w:t xml:space="preserve">it </w:t>
      </w:r>
      <w:r w:rsidRPr="00E347B4">
        <w:t xml:space="preserve">refers to as a “modern suite of medical and rehabilitative services” to the pediatric population with complex medical and </w:t>
      </w:r>
      <w:r w:rsidR="000E10E9">
        <w:t xml:space="preserve">mental </w:t>
      </w:r>
      <w:r w:rsidRPr="00E347B4">
        <w:t>health needs</w:t>
      </w:r>
      <w:r w:rsidR="00CD0882">
        <w:t>, including dental surgeries</w:t>
      </w:r>
      <w:r w:rsidRPr="00E347B4">
        <w:t>.</w:t>
      </w:r>
      <w:r w:rsidR="00CF658A" w:rsidRPr="00E347B4">
        <w:t xml:space="preserve"> </w:t>
      </w:r>
      <w:r w:rsidR="6D5F432D" w:rsidRPr="00E347B4">
        <w:t xml:space="preserve">Per the applicant, </w:t>
      </w:r>
      <w:r w:rsidR="00CF658A" w:rsidRPr="00E347B4">
        <w:t xml:space="preserve">Franciscan will be better positioned to support the </w:t>
      </w:r>
      <w:r w:rsidR="00DC37CA" w:rsidRPr="00E347B4">
        <w:t>Commonwealth</w:t>
      </w:r>
      <w:r w:rsidR="00CF658A" w:rsidRPr="00E347B4">
        <w:t xml:space="preserve"> in the development and implementation of Massachusetts’s </w:t>
      </w:r>
      <w:r w:rsidR="00CF658A" w:rsidRPr="00060C17">
        <w:rPr>
          <w:i/>
          <w:iCs/>
        </w:rPr>
        <w:t>Roadmap for Behavioral Health Reform</w:t>
      </w:r>
      <w:r w:rsidR="00CF658A" w:rsidRPr="00E347B4">
        <w:t xml:space="preserve">: </w:t>
      </w:r>
      <w:r w:rsidR="00CF658A" w:rsidRPr="6380A8AC">
        <w:rPr>
          <w:i/>
          <w:iCs/>
        </w:rPr>
        <w:t>Ensuring the right treatment when and where people need it</w:t>
      </w:r>
      <w:r w:rsidR="00060C17" w:rsidRPr="00E347B4">
        <w:rPr>
          <w:vertAlign w:val="superscript"/>
        </w:rPr>
        <w:endnoteReference w:id="2"/>
      </w:r>
      <w:r w:rsidR="00060C17" w:rsidRPr="6380A8AC">
        <w:rPr>
          <w:i/>
          <w:iCs/>
        </w:rPr>
        <w:t xml:space="preserve"> </w:t>
      </w:r>
      <w:r w:rsidR="00CF658A" w:rsidRPr="6380A8AC">
        <w:t xml:space="preserve">through consolidations, the expansion of needed </w:t>
      </w:r>
      <w:r w:rsidR="00A87311" w:rsidRPr="6380A8AC">
        <w:t>program</w:t>
      </w:r>
      <w:r w:rsidR="00CF658A" w:rsidRPr="6380A8AC">
        <w:t xml:space="preserve">s and efficiencies gained. </w:t>
      </w:r>
    </w:p>
    <w:p w14:paraId="43F9654A" w14:textId="77777777" w:rsidR="00C12CCC" w:rsidRPr="00E347B4" w:rsidRDefault="00C12CCC" w:rsidP="001600D5">
      <w:pPr>
        <w:tabs>
          <w:tab w:val="left" w:pos="10080"/>
        </w:tabs>
      </w:pPr>
    </w:p>
    <w:p w14:paraId="63859FEF" w14:textId="2E8B7018" w:rsidR="00AB45D3" w:rsidRPr="00E347B4" w:rsidRDefault="002C6C92" w:rsidP="001600D5">
      <w:pPr>
        <w:tabs>
          <w:tab w:val="left" w:pos="10080"/>
        </w:tabs>
        <w:rPr>
          <w:rFonts w:ascii="Garamond" w:hAnsi="Garamond"/>
        </w:rPr>
      </w:pPr>
      <w:r w:rsidRPr="00E347B4">
        <w:t xml:space="preserve">The </w:t>
      </w:r>
      <w:r w:rsidR="001600D5" w:rsidRPr="00E347B4">
        <w:t xml:space="preserve">Proposed Project </w:t>
      </w:r>
      <w:r w:rsidRPr="00E347B4">
        <w:t xml:space="preserve">will be designed using sustainability and energy conservation principles, with a target </w:t>
      </w:r>
      <w:r w:rsidR="002B59D2" w:rsidRPr="00E347B4">
        <w:t xml:space="preserve">of </w:t>
      </w:r>
      <w:proofErr w:type="gramStart"/>
      <w:r w:rsidR="002B59D2" w:rsidRPr="00E347B4">
        <w:t>Gold</w:t>
      </w:r>
      <w:proofErr w:type="gramEnd"/>
      <w:r w:rsidR="002B59D2" w:rsidRPr="00E347B4">
        <w:t xml:space="preserve"> </w:t>
      </w:r>
      <w:r w:rsidR="00C4400C" w:rsidRPr="00E347B4">
        <w:t>level certification</w:t>
      </w:r>
      <w:r w:rsidR="002B59D2" w:rsidRPr="00E347B4">
        <w:t xml:space="preserve"> by </w:t>
      </w:r>
      <w:r w:rsidRPr="00E347B4">
        <w:t>U.S. Green Building Council (USGBC) Leadership in Energy and Environmental Design (LEED).</w:t>
      </w:r>
      <w:r w:rsidR="00AB1D61" w:rsidRPr="00E347B4">
        <w:t xml:space="preserve"> </w:t>
      </w:r>
      <w:r w:rsidRPr="00E347B4">
        <w:t xml:space="preserve">The </w:t>
      </w:r>
      <w:r w:rsidR="0039215D">
        <w:t>m</w:t>
      </w:r>
      <w:r w:rsidRPr="00E347B4">
        <w:t>aximum capital expenditure</w:t>
      </w:r>
      <w:r w:rsidR="0039215D">
        <w:t xml:space="preserve"> (MCE)</w:t>
      </w:r>
      <w:r w:rsidRPr="00E347B4">
        <w:t xml:space="preserve"> for the Proposed Project is estimated to be $481,371,00</w:t>
      </w:r>
      <w:r w:rsidR="0039215D">
        <w:t>0</w:t>
      </w:r>
      <w:r w:rsidR="000716DE" w:rsidRPr="00E347B4">
        <w:t>.</w:t>
      </w:r>
    </w:p>
    <w:p w14:paraId="0AA04078" w14:textId="64F28059" w:rsidR="0060259B" w:rsidRDefault="00CE4434" w:rsidP="00844B13">
      <w:pPr>
        <w:pStyle w:val="Heading1"/>
      </w:pPr>
      <w:bookmarkStart w:id="15" w:name="_Toc157428826"/>
      <w:bookmarkStart w:id="16" w:name="_Toc158218019"/>
      <w:bookmarkStart w:id="17" w:name="_Toc17151135"/>
      <w:bookmarkStart w:id="18" w:name="_Toc17731308"/>
      <w:bookmarkStart w:id="19" w:name="_Toc18420176"/>
      <w:bookmarkStart w:id="20" w:name="_Toc18922397"/>
      <w:bookmarkStart w:id="21" w:name="_Toc27567690"/>
      <w:bookmarkStart w:id="22" w:name="_Toc17151137"/>
      <w:r w:rsidRPr="6380A8AC">
        <w:rPr>
          <w:rFonts w:asciiTheme="minorHAnsi" w:hAnsiTheme="minorHAnsi" w:cstheme="minorBidi"/>
        </w:rPr>
        <w:t>Pa</w:t>
      </w:r>
      <w:r w:rsidR="0060259B" w:rsidRPr="6380A8AC">
        <w:rPr>
          <w:rFonts w:asciiTheme="minorHAnsi" w:hAnsiTheme="minorHAnsi" w:cstheme="minorBidi"/>
        </w:rPr>
        <w:t>tient Panel</w:t>
      </w:r>
      <w:r w:rsidR="0060259B" w:rsidRPr="00EF6E86">
        <w:rPr>
          <w:vertAlign w:val="superscript"/>
        </w:rPr>
        <w:footnoteReference w:id="8"/>
      </w:r>
      <w:bookmarkEnd w:id="15"/>
      <w:bookmarkEnd w:id="16"/>
    </w:p>
    <w:p w14:paraId="0550202D" w14:textId="49FC9A41" w:rsidR="00460CA7" w:rsidRPr="00AF6B9B" w:rsidRDefault="007220B0" w:rsidP="00E347B4">
      <w:pPr>
        <w:spacing w:before="240"/>
      </w:pPr>
      <w:r w:rsidRPr="00AF6B9B">
        <w:t xml:space="preserve">With </w:t>
      </w:r>
      <w:r w:rsidR="00E42792">
        <w:t xml:space="preserve">the </w:t>
      </w:r>
      <w:r w:rsidR="004D2682" w:rsidRPr="00AF6B9B">
        <w:t xml:space="preserve">recent </w:t>
      </w:r>
      <w:r w:rsidR="00C47F2B" w:rsidRPr="00AF6B9B">
        <w:t xml:space="preserve">Affiliation of </w:t>
      </w:r>
      <w:r w:rsidR="004A1F24">
        <w:t>Franciscan and BCH</w:t>
      </w:r>
      <w:r w:rsidR="00CD0882">
        <w:t>,</w:t>
      </w:r>
      <w:r w:rsidR="004D2682" w:rsidRPr="00AF6B9B">
        <w:t xml:space="preserve"> </w:t>
      </w:r>
      <w:r w:rsidR="00432534" w:rsidRPr="00AF6B9B">
        <w:t>the two entities</w:t>
      </w:r>
      <w:r w:rsidR="00432534">
        <w:t>’</w:t>
      </w:r>
      <w:r w:rsidR="00E42792">
        <w:t xml:space="preserve"> </w:t>
      </w:r>
      <w:r w:rsidR="00C47F2B" w:rsidRPr="00AF6B9B">
        <w:t>Patient Panel</w:t>
      </w:r>
      <w:r w:rsidR="00E42792">
        <w:t>s</w:t>
      </w:r>
      <w:r w:rsidR="0006424E" w:rsidRPr="00AF6B9B">
        <w:t xml:space="preserve"> </w:t>
      </w:r>
      <w:r w:rsidR="00C4400C" w:rsidRPr="00AF6B9B">
        <w:t>ha</w:t>
      </w:r>
      <w:r w:rsidR="00E42792">
        <w:t>ve</w:t>
      </w:r>
      <w:r w:rsidR="00C4400C" w:rsidRPr="00AF6B9B">
        <w:t xml:space="preserve"> not been consolidated</w:t>
      </w:r>
      <w:r w:rsidR="00432534">
        <w:t>,</w:t>
      </w:r>
      <w:r w:rsidR="00C4400C" w:rsidRPr="00AF6B9B">
        <w:t xml:space="preserve"> </w:t>
      </w:r>
      <w:r w:rsidR="00432534">
        <w:t>as</w:t>
      </w:r>
      <w:r w:rsidR="00432534" w:rsidRPr="00AF6B9B">
        <w:t xml:space="preserve"> </w:t>
      </w:r>
      <w:r w:rsidR="00AA7307" w:rsidRPr="00AF6B9B">
        <w:t>t</w:t>
      </w:r>
      <w:r w:rsidRPr="00AF6B9B">
        <w:t xml:space="preserve">he </w:t>
      </w:r>
      <w:r w:rsidR="00CF658A">
        <w:t xml:space="preserve">IT </w:t>
      </w:r>
      <w:r w:rsidRPr="00AF6B9B">
        <w:t xml:space="preserve">systems utilized and </w:t>
      </w:r>
      <w:r w:rsidR="00CF658A">
        <w:t xml:space="preserve">types of </w:t>
      </w:r>
      <w:r w:rsidRPr="00AF6B9B">
        <w:t xml:space="preserve">data that each </w:t>
      </w:r>
      <w:proofErr w:type="gramStart"/>
      <w:r w:rsidRPr="00AF6B9B">
        <w:t>collects</w:t>
      </w:r>
      <w:proofErr w:type="gramEnd"/>
      <w:r w:rsidRPr="00AF6B9B">
        <w:t xml:space="preserve"> </w:t>
      </w:r>
      <w:r w:rsidR="34E49F95">
        <w:t xml:space="preserve">are </w:t>
      </w:r>
      <w:r w:rsidRPr="00AF6B9B">
        <w:t>different</w:t>
      </w:r>
      <w:r w:rsidR="00C47F2B" w:rsidRPr="00AF6B9B">
        <w:t xml:space="preserve">. </w:t>
      </w:r>
      <w:r w:rsidR="002E6361">
        <w:t>Both</w:t>
      </w:r>
      <w:r w:rsidR="00E42792" w:rsidRPr="00E42792">
        <w:t xml:space="preserve"> Franciscan and BCH serve pediatric mental health patients and children with medically complex needs</w:t>
      </w:r>
      <w:r w:rsidR="002E6361">
        <w:t xml:space="preserve"> and </w:t>
      </w:r>
      <w:r w:rsidR="0017662A">
        <w:t>serve many of the same patients; however,</w:t>
      </w:r>
      <w:r w:rsidR="00E42792" w:rsidRPr="00E42792">
        <w:t xml:space="preserve"> the health care services they provide are delivered at distinctive points of the care continuum</w:t>
      </w:r>
      <w:r w:rsidR="00FE57E8">
        <w:t xml:space="preserve"> and </w:t>
      </w:r>
      <w:r w:rsidR="00DB01FA">
        <w:t>the crossover of patients among the t</w:t>
      </w:r>
      <w:r w:rsidR="005226CB">
        <w:t xml:space="preserve">wo hospitals </w:t>
      </w:r>
      <w:r w:rsidR="005F277E">
        <w:t>is unknown</w:t>
      </w:r>
      <w:r w:rsidR="00B6712F">
        <w:t>. The</w:t>
      </w:r>
      <w:r w:rsidR="005F277E">
        <w:t xml:space="preserve"> </w:t>
      </w:r>
      <w:r w:rsidR="00FE57E8">
        <w:t xml:space="preserve">data needs </w:t>
      </w:r>
      <w:r w:rsidR="00B6712F">
        <w:t>of each hospital</w:t>
      </w:r>
      <w:r w:rsidR="00FE57E8">
        <w:t xml:space="preserve"> </w:t>
      </w:r>
      <w:proofErr w:type="gramStart"/>
      <w:r w:rsidR="00FE57E8">
        <w:t>differ</w:t>
      </w:r>
      <w:proofErr w:type="gramEnd"/>
      <w:r w:rsidR="00B6712F">
        <w:t xml:space="preserve"> and staff notes that the numbers cannot be added together</w:t>
      </w:r>
      <w:r w:rsidR="00FE57E8">
        <w:t>.</w:t>
      </w:r>
      <w:r w:rsidR="00CF6A65">
        <w:t xml:space="preserve"> </w:t>
      </w:r>
      <w:r w:rsidRPr="00AF6B9B">
        <w:t>S</w:t>
      </w:r>
      <w:r w:rsidR="00813C3D" w:rsidRPr="00AF6B9B">
        <w:t xml:space="preserve">taff </w:t>
      </w:r>
      <w:r w:rsidRPr="00AF6B9B">
        <w:t xml:space="preserve">finds </w:t>
      </w:r>
      <w:r w:rsidR="00813C3D" w:rsidRPr="00AF6B9B">
        <w:t xml:space="preserve">that separate reporting is acceptable </w:t>
      </w:r>
      <w:r w:rsidR="00E42792">
        <w:t>for this Application</w:t>
      </w:r>
      <w:r w:rsidR="00813C3D" w:rsidRPr="00AF6B9B">
        <w:t>.</w:t>
      </w:r>
      <w:r w:rsidR="00AF6B9B">
        <w:t xml:space="preserve"> </w:t>
      </w:r>
      <w:r w:rsidR="008B77BD" w:rsidRPr="008B77BD">
        <w:t>(</w:t>
      </w:r>
      <w:r w:rsidR="008B77BD">
        <w:t>S</w:t>
      </w:r>
      <w:r w:rsidR="008B77BD" w:rsidRPr="008B77BD">
        <w:t xml:space="preserve">ee Table </w:t>
      </w:r>
      <w:r w:rsidR="00B5352A">
        <w:t>2</w:t>
      </w:r>
      <w:r w:rsidR="008B77BD" w:rsidRPr="008B77BD">
        <w:t>)</w:t>
      </w:r>
      <w:r w:rsidR="008B77BD">
        <w:t xml:space="preserve"> </w:t>
      </w:r>
    </w:p>
    <w:p w14:paraId="1B925C85" w14:textId="71C76EF2" w:rsidR="00D53BE5" w:rsidRPr="00AF6B9B" w:rsidRDefault="00D53BE5" w:rsidP="00685C18"/>
    <w:p w14:paraId="4E54C1AB" w14:textId="202FA4FD" w:rsidR="007265F0" w:rsidRPr="008E157F" w:rsidRDefault="007265F0" w:rsidP="00825271">
      <w:pPr>
        <w:jc w:val="center"/>
        <w:rPr>
          <w:b/>
          <w:bCs/>
        </w:rPr>
      </w:pPr>
      <w:bookmarkStart w:id="23" w:name="_Hlk151730381"/>
      <w:r w:rsidRPr="008E157F">
        <w:rPr>
          <w:b/>
          <w:bCs/>
        </w:rPr>
        <w:t xml:space="preserve">Table </w:t>
      </w:r>
      <w:r w:rsidR="00B5352A">
        <w:rPr>
          <w:b/>
          <w:bCs/>
        </w:rPr>
        <w:t>2</w:t>
      </w:r>
      <w:r w:rsidR="00914391">
        <w:rPr>
          <w:b/>
          <w:bCs/>
        </w:rPr>
        <w:t>:</w:t>
      </w:r>
      <w:r w:rsidRPr="008E157F">
        <w:rPr>
          <w:b/>
          <w:bCs/>
        </w:rPr>
        <w:t xml:space="preserve"> Overview of Patient Panel</w:t>
      </w:r>
      <w:r w:rsidR="00844B13" w:rsidRPr="008E157F">
        <w:rPr>
          <w:b/>
          <w:bCs/>
        </w:rPr>
        <w:t>s-</w:t>
      </w:r>
      <w:r w:rsidRPr="008E157F">
        <w:rPr>
          <w:b/>
          <w:bCs/>
        </w:rPr>
        <w:t xml:space="preserve"> FY18-FY2</w:t>
      </w:r>
      <w:r w:rsidR="00596257">
        <w:rPr>
          <w:b/>
          <w:bCs/>
        </w:rPr>
        <w:t>2</w:t>
      </w:r>
    </w:p>
    <w:p w14:paraId="5B6115BF" w14:textId="77777777" w:rsidR="00844B13" w:rsidRPr="00844B13" w:rsidRDefault="00844B13" w:rsidP="00825271"/>
    <w:tbl>
      <w:tblPr>
        <w:tblW w:w="8405" w:type="dxa"/>
        <w:jc w:val="center"/>
        <w:tblLook w:val="04A0" w:firstRow="1" w:lastRow="0" w:firstColumn="1" w:lastColumn="0" w:noHBand="0" w:noVBand="1"/>
      </w:tblPr>
      <w:tblGrid>
        <w:gridCol w:w="2085"/>
        <w:gridCol w:w="1245"/>
        <w:gridCol w:w="1350"/>
        <w:gridCol w:w="1260"/>
        <w:gridCol w:w="1260"/>
        <w:gridCol w:w="1205"/>
      </w:tblGrid>
      <w:tr w:rsidR="00A97DE6" w:rsidRPr="00A97DE6" w14:paraId="2E5D2534" w14:textId="77777777" w:rsidTr="6F80FCDD">
        <w:trPr>
          <w:cantSplit/>
          <w:trHeight w:val="310"/>
          <w:tblHeader/>
          <w:jc w:val="center"/>
        </w:trPr>
        <w:tc>
          <w:tcPr>
            <w:tcW w:w="2085" w:type="dxa"/>
            <w:tcBorders>
              <w:top w:val="single" w:sz="4" w:space="0" w:color="auto"/>
              <w:left w:val="single" w:sz="4" w:space="0" w:color="auto"/>
              <w:bottom w:val="single" w:sz="4" w:space="0" w:color="auto"/>
              <w:right w:val="single" w:sz="4" w:space="0" w:color="auto"/>
            </w:tcBorders>
            <w:shd w:val="clear" w:color="auto" w:fill="E1FFFF"/>
            <w:noWrap/>
            <w:hideMark/>
          </w:tcPr>
          <w:p w14:paraId="2C4998A8" w14:textId="77777777" w:rsidR="00A97DE6" w:rsidRPr="00A97DE6" w:rsidRDefault="00A97DE6" w:rsidP="00A97DE6">
            <w:pPr>
              <w:rPr>
                <w:rFonts w:ascii="Calibri" w:hAnsi="Calibri" w:cs="Calibri"/>
                <w:b/>
                <w:bCs/>
              </w:rPr>
            </w:pPr>
            <w:r w:rsidRPr="00A97DE6">
              <w:rPr>
                <w:rFonts w:ascii="Calibri" w:hAnsi="Calibri" w:cs="Calibri"/>
                <w:b/>
                <w:bCs/>
              </w:rPr>
              <w:t>Year</w:t>
            </w:r>
          </w:p>
        </w:tc>
        <w:tc>
          <w:tcPr>
            <w:tcW w:w="1245" w:type="dxa"/>
            <w:tcBorders>
              <w:top w:val="single" w:sz="4" w:space="0" w:color="auto"/>
              <w:left w:val="nil"/>
              <w:bottom w:val="single" w:sz="4" w:space="0" w:color="auto"/>
              <w:right w:val="single" w:sz="4" w:space="0" w:color="auto"/>
            </w:tcBorders>
            <w:shd w:val="clear" w:color="auto" w:fill="E1FFFF"/>
            <w:noWrap/>
            <w:hideMark/>
          </w:tcPr>
          <w:p w14:paraId="1E723176" w14:textId="77777777" w:rsidR="00A97DE6" w:rsidRPr="00A97DE6" w:rsidRDefault="00A97DE6" w:rsidP="00A97DE6">
            <w:pPr>
              <w:jc w:val="center"/>
              <w:rPr>
                <w:rFonts w:ascii="Calibri" w:hAnsi="Calibri" w:cs="Calibri"/>
                <w:b/>
                <w:bCs/>
              </w:rPr>
            </w:pPr>
            <w:r w:rsidRPr="00A97DE6">
              <w:rPr>
                <w:rFonts w:ascii="Calibri" w:hAnsi="Calibri" w:cs="Calibri"/>
                <w:b/>
                <w:bCs/>
              </w:rPr>
              <w:t>FY18</w:t>
            </w:r>
          </w:p>
        </w:tc>
        <w:tc>
          <w:tcPr>
            <w:tcW w:w="1350" w:type="dxa"/>
            <w:tcBorders>
              <w:top w:val="single" w:sz="4" w:space="0" w:color="auto"/>
              <w:left w:val="nil"/>
              <w:bottom w:val="single" w:sz="4" w:space="0" w:color="auto"/>
              <w:right w:val="single" w:sz="4" w:space="0" w:color="auto"/>
            </w:tcBorders>
            <w:shd w:val="clear" w:color="auto" w:fill="E1FFFF"/>
            <w:noWrap/>
            <w:hideMark/>
          </w:tcPr>
          <w:p w14:paraId="1DE039D6" w14:textId="77777777" w:rsidR="00A97DE6" w:rsidRPr="00A97DE6" w:rsidRDefault="00A97DE6" w:rsidP="00A97DE6">
            <w:pPr>
              <w:jc w:val="center"/>
              <w:rPr>
                <w:rFonts w:ascii="Calibri" w:hAnsi="Calibri" w:cs="Calibri"/>
                <w:b/>
                <w:bCs/>
              </w:rPr>
            </w:pPr>
            <w:r w:rsidRPr="00A97DE6">
              <w:rPr>
                <w:rFonts w:ascii="Calibri" w:hAnsi="Calibri" w:cs="Calibri"/>
                <w:b/>
                <w:bCs/>
              </w:rPr>
              <w:t>FY19</w:t>
            </w:r>
          </w:p>
        </w:tc>
        <w:tc>
          <w:tcPr>
            <w:tcW w:w="1260" w:type="dxa"/>
            <w:tcBorders>
              <w:top w:val="single" w:sz="4" w:space="0" w:color="auto"/>
              <w:left w:val="nil"/>
              <w:bottom w:val="single" w:sz="4" w:space="0" w:color="auto"/>
              <w:right w:val="single" w:sz="4" w:space="0" w:color="auto"/>
            </w:tcBorders>
            <w:shd w:val="clear" w:color="auto" w:fill="E1FFFF"/>
            <w:noWrap/>
            <w:hideMark/>
          </w:tcPr>
          <w:p w14:paraId="3E178289" w14:textId="77777777" w:rsidR="00A97DE6" w:rsidRPr="00A97DE6" w:rsidRDefault="00A97DE6" w:rsidP="00A97DE6">
            <w:pPr>
              <w:jc w:val="center"/>
              <w:rPr>
                <w:rFonts w:ascii="Calibri" w:hAnsi="Calibri" w:cs="Calibri"/>
                <w:b/>
                <w:bCs/>
              </w:rPr>
            </w:pPr>
            <w:r w:rsidRPr="00A97DE6">
              <w:rPr>
                <w:rFonts w:ascii="Calibri" w:hAnsi="Calibri" w:cs="Calibri"/>
                <w:b/>
                <w:bCs/>
              </w:rPr>
              <w:t>FY20</w:t>
            </w:r>
          </w:p>
        </w:tc>
        <w:tc>
          <w:tcPr>
            <w:tcW w:w="1260" w:type="dxa"/>
            <w:tcBorders>
              <w:top w:val="single" w:sz="4" w:space="0" w:color="auto"/>
              <w:left w:val="nil"/>
              <w:bottom w:val="single" w:sz="4" w:space="0" w:color="auto"/>
              <w:right w:val="single" w:sz="4" w:space="0" w:color="auto"/>
            </w:tcBorders>
            <w:shd w:val="clear" w:color="auto" w:fill="E1FFFF"/>
            <w:noWrap/>
            <w:hideMark/>
          </w:tcPr>
          <w:p w14:paraId="26F799AA" w14:textId="77777777" w:rsidR="00A97DE6" w:rsidRPr="00A97DE6" w:rsidRDefault="00A97DE6" w:rsidP="00A97DE6">
            <w:pPr>
              <w:jc w:val="center"/>
              <w:rPr>
                <w:rFonts w:ascii="Calibri" w:hAnsi="Calibri" w:cs="Calibri"/>
                <w:b/>
                <w:bCs/>
              </w:rPr>
            </w:pPr>
            <w:r w:rsidRPr="00A97DE6">
              <w:rPr>
                <w:rFonts w:ascii="Calibri" w:hAnsi="Calibri" w:cs="Calibri"/>
                <w:b/>
                <w:bCs/>
              </w:rPr>
              <w:t>FY21</w:t>
            </w:r>
          </w:p>
        </w:tc>
        <w:tc>
          <w:tcPr>
            <w:tcW w:w="1205" w:type="dxa"/>
            <w:tcBorders>
              <w:top w:val="single" w:sz="4" w:space="0" w:color="auto"/>
              <w:left w:val="nil"/>
              <w:bottom w:val="single" w:sz="4" w:space="0" w:color="auto"/>
              <w:right w:val="single" w:sz="4" w:space="0" w:color="auto"/>
            </w:tcBorders>
            <w:shd w:val="clear" w:color="auto" w:fill="E1FFFF"/>
          </w:tcPr>
          <w:p w14:paraId="03CEC4B6" w14:textId="77777777" w:rsidR="00A97DE6" w:rsidRPr="00A97DE6" w:rsidRDefault="00A97DE6" w:rsidP="00A97DE6">
            <w:pPr>
              <w:jc w:val="center"/>
              <w:rPr>
                <w:rFonts w:ascii="Calibri" w:hAnsi="Calibri" w:cs="Calibri"/>
                <w:b/>
                <w:bCs/>
              </w:rPr>
            </w:pPr>
            <w:r w:rsidRPr="00A97DE6">
              <w:rPr>
                <w:rFonts w:ascii="Calibri" w:hAnsi="Calibri" w:cs="Calibri"/>
                <w:b/>
                <w:bCs/>
              </w:rPr>
              <w:t>FY 22</w:t>
            </w:r>
          </w:p>
        </w:tc>
      </w:tr>
      <w:tr w:rsidR="00A97DE6" w:rsidRPr="00A97DE6" w14:paraId="35CB2B7D" w14:textId="77777777" w:rsidTr="6F80FCDD">
        <w:trPr>
          <w:cantSplit/>
          <w:trHeight w:val="368"/>
          <w:tblHeader/>
          <w:jc w:val="center"/>
        </w:trPr>
        <w:tc>
          <w:tcPr>
            <w:tcW w:w="2085" w:type="dxa"/>
            <w:tcBorders>
              <w:top w:val="nil"/>
              <w:left w:val="single" w:sz="4" w:space="0" w:color="auto"/>
              <w:bottom w:val="single" w:sz="4" w:space="0" w:color="auto"/>
              <w:right w:val="single" w:sz="4" w:space="0" w:color="auto"/>
            </w:tcBorders>
            <w:shd w:val="clear" w:color="auto" w:fill="E1FFFF"/>
            <w:noWrap/>
            <w:hideMark/>
          </w:tcPr>
          <w:p w14:paraId="46690060" w14:textId="77777777" w:rsidR="00A97DE6" w:rsidRPr="00A97DE6" w:rsidRDefault="00A97DE6" w:rsidP="00A97DE6">
            <w:pPr>
              <w:rPr>
                <w:rFonts w:ascii="Calibri" w:hAnsi="Calibri" w:cs="Calibri"/>
                <w:b/>
                <w:bCs/>
                <w:color w:val="000000"/>
              </w:rPr>
            </w:pPr>
            <w:r w:rsidRPr="00A97DE6">
              <w:rPr>
                <w:rFonts w:ascii="Calibri" w:hAnsi="Calibri" w:cs="Calibri"/>
                <w:b/>
                <w:bCs/>
                <w:color w:val="000000"/>
              </w:rPr>
              <w:t>Unique Patients</w:t>
            </w:r>
          </w:p>
        </w:tc>
        <w:tc>
          <w:tcPr>
            <w:tcW w:w="1245" w:type="dxa"/>
            <w:tcBorders>
              <w:top w:val="nil"/>
              <w:left w:val="nil"/>
              <w:bottom w:val="single" w:sz="4" w:space="0" w:color="auto"/>
              <w:right w:val="single" w:sz="4" w:space="0" w:color="auto"/>
            </w:tcBorders>
            <w:shd w:val="clear" w:color="auto" w:fill="E1FFFF"/>
            <w:noWrap/>
            <w:hideMark/>
          </w:tcPr>
          <w:p w14:paraId="45403D77" w14:textId="77777777" w:rsidR="00A97DE6" w:rsidRPr="00A97DE6" w:rsidRDefault="00A97DE6" w:rsidP="00A97DE6">
            <w:pPr>
              <w:jc w:val="center"/>
              <w:rPr>
                <w:rFonts w:ascii="Calibri" w:hAnsi="Calibri" w:cs="Calibri"/>
                <w:b/>
                <w:bCs/>
              </w:rPr>
            </w:pPr>
            <w:r w:rsidRPr="00A97DE6">
              <w:rPr>
                <w:rFonts w:ascii="Calibri" w:hAnsi="Calibri" w:cs="Calibri"/>
                <w:b/>
                <w:bCs/>
              </w:rPr>
              <w:t>Count</w:t>
            </w:r>
          </w:p>
        </w:tc>
        <w:tc>
          <w:tcPr>
            <w:tcW w:w="1350" w:type="dxa"/>
            <w:tcBorders>
              <w:top w:val="nil"/>
              <w:left w:val="nil"/>
              <w:bottom w:val="single" w:sz="4" w:space="0" w:color="auto"/>
              <w:right w:val="single" w:sz="4" w:space="0" w:color="auto"/>
            </w:tcBorders>
            <w:shd w:val="clear" w:color="auto" w:fill="E1FFFF"/>
            <w:noWrap/>
            <w:hideMark/>
          </w:tcPr>
          <w:p w14:paraId="4C82C8DC" w14:textId="77777777" w:rsidR="00A97DE6" w:rsidRPr="00A97DE6" w:rsidRDefault="00A97DE6" w:rsidP="00A97DE6">
            <w:pPr>
              <w:jc w:val="center"/>
              <w:rPr>
                <w:rFonts w:ascii="Calibri" w:hAnsi="Calibri" w:cs="Calibri"/>
                <w:b/>
                <w:bCs/>
              </w:rPr>
            </w:pPr>
            <w:r w:rsidRPr="00A97DE6">
              <w:rPr>
                <w:rFonts w:ascii="Calibri" w:hAnsi="Calibri" w:cs="Calibri"/>
                <w:b/>
                <w:bCs/>
              </w:rPr>
              <w:t>Count</w:t>
            </w:r>
          </w:p>
        </w:tc>
        <w:tc>
          <w:tcPr>
            <w:tcW w:w="1260" w:type="dxa"/>
            <w:tcBorders>
              <w:top w:val="nil"/>
              <w:left w:val="nil"/>
              <w:bottom w:val="single" w:sz="4" w:space="0" w:color="auto"/>
              <w:right w:val="single" w:sz="4" w:space="0" w:color="auto"/>
            </w:tcBorders>
            <w:shd w:val="clear" w:color="auto" w:fill="E1FFFF"/>
            <w:noWrap/>
            <w:hideMark/>
          </w:tcPr>
          <w:p w14:paraId="50607677" w14:textId="77777777" w:rsidR="00A97DE6" w:rsidRPr="00A97DE6" w:rsidRDefault="00A97DE6" w:rsidP="00A97DE6">
            <w:pPr>
              <w:jc w:val="center"/>
              <w:rPr>
                <w:rFonts w:ascii="Calibri" w:hAnsi="Calibri" w:cs="Calibri"/>
                <w:b/>
                <w:bCs/>
              </w:rPr>
            </w:pPr>
            <w:r w:rsidRPr="00A97DE6">
              <w:rPr>
                <w:rFonts w:ascii="Calibri" w:hAnsi="Calibri" w:cs="Calibri"/>
                <w:b/>
                <w:bCs/>
              </w:rPr>
              <w:t>Count</w:t>
            </w:r>
          </w:p>
        </w:tc>
        <w:tc>
          <w:tcPr>
            <w:tcW w:w="1260" w:type="dxa"/>
            <w:tcBorders>
              <w:top w:val="nil"/>
              <w:left w:val="nil"/>
              <w:bottom w:val="single" w:sz="4" w:space="0" w:color="auto"/>
              <w:right w:val="single" w:sz="4" w:space="0" w:color="auto"/>
            </w:tcBorders>
            <w:shd w:val="clear" w:color="auto" w:fill="E1FFFF"/>
            <w:noWrap/>
            <w:hideMark/>
          </w:tcPr>
          <w:p w14:paraId="1FAD8534" w14:textId="77777777" w:rsidR="00A97DE6" w:rsidRPr="00A97DE6" w:rsidRDefault="00A97DE6" w:rsidP="00A97DE6">
            <w:pPr>
              <w:jc w:val="center"/>
              <w:rPr>
                <w:rFonts w:ascii="Calibri" w:hAnsi="Calibri" w:cs="Calibri"/>
                <w:b/>
                <w:bCs/>
              </w:rPr>
            </w:pPr>
            <w:r w:rsidRPr="00A97DE6">
              <w:rPr>
                <w:rFonts w:ascii="Calibri" w:hAnsi="Calibri" w:cs="Calibri"/>
                <w:b/>
                <w:bCs/>
              </w:rPr>
              <w:t>Count</w:t>
            </w:r>
          </w:p>
        </w:tc>
        <w:tc>
          <w:tcPr>
            <w:tcW w:w="1205" w:type="dxa"/>
            <w:tcBorders>
              <w:top w:val="nil"/>
              <w:left w:val="nil"/>
              <w:bottom w:val="single" w:sz="4" w:space="0" w:color="auto"/>
              <w:right w:val="single" w:sz="4" w:space="0" w:color="auto"/>
            </w:tcBorders>
            <w:shd w:val="clear" w:color="auto" w:fill="E1FFFF"/>
          </w:tcPr>
          <w:p w14:paraId="5EDBEACA" w14:textId="77777777" w:rsidR="00A97DE6" w:rsidRPr="00A97DE6" w:rsidRDefault="00A97DE6" w:rsidP="00A97DE6">
            <w:pPr>
              <w:jc w:val="center"/>
              <w:rPr>
                <w:rFonts w:ascii="Calibri" w:hAnsi="Calibri" w:cs="Calibri"/>
                <w:b/>
                <w:bCs/>
              </w:rPr>
            </w:pPr>
            <w:r w:rsidRPr="00A97DE6">
              <w:rPr>
                <w:rFonts w:ascii="Calibri" w:hAnsi="Calibri" w:cs="Calibri"/>
                <w:b/>
                <w:bCs/>
              </w:rPr>
              <w:t>Count</w:t>
            </w:r>
          </w:p>
        </w:tc>
      </w:tr>
      <w:tr w:rsidR="00A97DE6" w:rsidRPr="00A97DE6" w14:paraId="5F0A58BF" w14:textId="77777777" w:rsidTr="6F80FCDD">
        <w:trPr>
          <w:cantSplit/>
          <w:trHeight w:val="310"/>
          <w:jc w:val="center"/>
        </w:trPr>
        <w:tc>
          <w:tcPr>
            <w:tcW w:w="2085" w:type="dxa"/>
            <w:tcBorders>
              <w:top w:val="nil"/>
              <w:left w:val="single" w:sz="4" w:space="0" w:color="auto"/>
              <w:bottom w:val="single" w:sz="4" w:space="0" w:color="auto"/>
              <w:right w:val="single" w:sz="4" w:space="0" w:color="auto"/>
            </w:tcBorders>
            <w:shd w:val="clear" w:color="auto" w:fill="E5FFFF"/>
            <w:noWrap/>
            <w:hideMark/>
          </w:tcPr>
          <w:p w14:paraId="4E5027A9" w14:textId="36C56B31" w:rsidR="00A97DE6" w:rsidRPr="00A97DE6" w:rsidRDefault="00CF6A65" w:rsidP="00A97DE6">
            <w:pPr>
              <w:rPr>
                <w:rFonts w:ascii="Calibri" w:hAnsi="Calibri" w:cs="Calibri"/>
                <w:color w:val="000000"/>
              </w:rPr>
            </w:pPr>
            <w:r>
              <w:rPr>
                <w:rFonts w:ascii="Calibri" w:hAnsi="Calibri" w:cs="Calibri"/>
                <w:color w:val="000000" w:themeColor="text1"/>
              </w:rPr>
              <w:t>BCH</w:t>
            </w:r>
          </w:p>
        </w:tc>
        <w:tc>
          <w:tcPr>
            <w:tcW w:w="1245" w:type="dxa"/>
            <w:tcBorders>
              <w:top w:val="nil"/>
              <w:left w:val="nil"/>
              <w:bottom w:val="single" w:sz="4" w:space="0" w:color="auto"/>
              <w:right w:val="single" w:sz="4" w:space="0" w:color="auto"/>
            </w:tcBorders>
            <w:shd w:val="clear" w:color="auto" w:fill="auto"/>
            <w:noWrap/>
            <w:hideMark/>
          </w:tcPr>
          <w:p w14:paraId="740E62A5" w14:textId="77777777" w:rsidR="00A97DE6" w:rsidRPr="00A97DE6" w:rsidRDefault="00A97DE6" w:rsidP="00A97DE6">
            <w:pPr>
              <w:jc w:val="center"/>
              <w:rPr>
                <w:rFonts w:ascii="Calibri" w:hAnsi="Calibri" w:cs="Calibri"/>
                <w:color w:val="000000"/>
              </w:rPr>
            </w:pPr>
            <w:r w:rsidRPr="00A97DE6">
              <w:rPr>
                <w:rFonts w:ascii="Calibri" w:hAnsi="Calibri" w:cs="Calibri"/>
                <w:color w:val="000000"/>
              </w:rPr>
              <w:t>219,857</w:t>
            </w:r>
          </w:p>
        </w:tc>
        <w:tc>
          <w:tcPr>
            <w:tcW w:w="1350" w:type="dxa"/>
            <w:tcBorders>
              <w:top w:val="nil"/>
              <w:left w:val="nil"/>
              <w:bottom w:val="single" w:sz="4" w:space="0" w:color="auto"/>
              <w:right w:val="single" w:sz="4" w:space="0" w:color="auto"/>
            </w:tcBorders>
            <w:shd w:val="clear" w:color="auto" w:fill="auto"/>
            <w:noWrap/>
            <w:hideMark/>
          </w:tcPr>
          <w:p w14:paraId="66EB557E" w14:textId="77777777" w:rsidR="00A97DE6" w:rsidRPr="00A97DE6" w:rsidRDefault="00A97DE6" w:rsidP="00A97DE6">
            <w:pPr>
              <w:jc w:val="center"/>
              <w:rPr>
                <w:rFonts w:ascii="Calibri" w:hAnsi="Calibri" w:cs="Calibri"/>
                <w:color w:val="000000"/>
              </w:rPr>
            </w:pPr>
            <w:r w:rsidRPr="00A97DE6">
              <w:rPr>
                <w:rFonts w:ascii="Calibri" w:hAnsi="Calibri" w:cs="Calibri"/>
                <w:color w:val="000000"/>
              </w:rPr>
              <w:t>229,342</w:t>
            </w:r>
          </w:p>
        </w:tc>
        <w:tc>
          <w:tcPr>
            <w:tcW w:w="1260" w:type="dxa"/>
            <w:tcBorders>
              <w:top w:val="nil"/>
              <w:left w:val="nil"/>
              <w:bottom w:val="single" w:sz="4" w:space="0" w:color="auto"/>
              <w:right w:val="single" w:sz="4" w:space="0" w:color="auto"/>
            </w:tcBorders>
            <w:shd w:val="clear" w:color="auto" w:fill="auto"/>
            <w:noWrap/>
            <w:hideMark/>
          </w:tcPr>
          <w:p w14:paraId="6D3B9EDC" w14:textId="77777777" w:rsidR="00A97DE6" w:rsidRPr="00A97DE6" w:rsidRDefault="00A97DE6" w:rsidP="00A97DE6">
            <w:pPr>
              <w:jc w:val="center"/>
              <w:rPr>
                <w:rFonts w:ascii="Calibri" w:hAnsi="Calibri" w:cs="Calibri"/>
                <w:color w:val="000000"/>
              </w:rPr>
            </w:pPr>
            <w:r w:rsidRPr="00A97DE6">
              <w:rPr>
                <w:rFonts w:ascii="Calibri" w:hAnsi="Calibri" w:cs="Calibri"/>
                <w:color w:val="000000"/>
              </w:rPr>
              <w:t>209,610</w:t>
            </w:r>
          </w:p>
        </w:tc>
        <w:tc>
          <w:tcPr>
            <w:tcW w:w="1260" w:type="dxa"/>
            <w:tcBorders>
              <w:top w:val="nil"/>
              <w:left w:val="nil"/>
              <w:bottom w:val="single" w:sz="4" w:space="0" w:color="auto"/>
              <w:right w:val="single" w:sz="4" w:space="0" w:color="auto"/>
            </w:tcBorders>
            <w:shd w:val="clear" w:color="auto" w:fill="auto"/>
            <w:noWrap/>
            <w:hideMark/>
          </w:tcPr>
          <w:p w14:paraId="234A40D4" w14:textId="77777777" w:rsidR="00A97DE6" w:rsidRPr="00A97DE6" w:rsidRDefault="00A97DE6" w:rsidP="00A97DE6">
            <w:pPr>
              <w:jc w:val="center"/>
              <w:rPr>
                <w:rFonts w:ascii="Calibri" w:hAnsi="Calibri" w:cs="Calibri"/>
                <w:color w:val="000000"/>
              </w:rPr>
            </w:pPr>
            <w:r w:rsidRPr="00A97DE6">
              <w:rPr>
                <w:rFonts w:ascii="Calibri" w:hAnsi="Calibri" w:cs="Calibri"/>
                <w:color w:val="000000"/>
              </w:rPr>
              <w:t>251,058</w:t>
            </w:r>
          </w:p>
        </w:tc>
        <w:tc>
          <w:tcPr>
            <w:tcW w:w="1205" w:type="dxa"/>
            <w:tcBorders>
              <w:top w:val="nil"/>
              <w:left w:val="nil"/>
              <w:bottom w:val="single" w:sz="4" w:space="0" w:color="auto"/>
              <w:right w:val="single" w:sz="4" w:space="0" w:color="auto"/>
            </w:tcBorders>
            <w:shd w:val="clear" w:color="auto" w:fill="auto"/>
          </w:tcPr>
          <w:p w14:paraId="72A5D5DC" w14:textId="77777777" w:rsidR="00A97DE6" w:rsidRPr="00A97DE6" w:rsidRDefault="00A97DE6" w:rsidP="00A97DE6">
            <w:pPr>
              <w:jc w:val="center"/>
              <w:rPr>
                <w:rFonts w:ascii="Calibri" w:hAnsi="Calibri" w:cs="Calibri"/>
                <w:color w:val="000000"/>
              </w:rPr>
            </w:pPr>
            <w:r w:rsidRPr="00A97DE6">
              <w:rPr>
                <w:rFonts w:ascii="Calibri" w:hAnsi="Calibri" w:cs="Calibri"/>
                <w:color w:val="000000"/>
              </w:rPr>
              <w:t>269,617</w:t>
            </w:r>
          </w:p>
        </w:tc>
      </w:tr>
      <w:bookmarkEnd w:id="23"/>
      <w:tr w:rsidR="00A97DE6" w:rsidRPr="00A97DE6" w14:paraId="06285C99" w14:textId="77777777" w:rsidTr="6F80FCDD">
        <w:trPr>
          <w:cantSplit/>
          <w:trHeight w:val="310"/>
          <w:jc w:val="center"/>
        </w:trPr>
        <w:tc>
          <w:tcPr>
            <w:tcW w:w="2085" w:type="dxa"/>
            <w:tcBorders>
              <w:top w:val="nil"/>
              <w:left w:val="single" w:sz="4" w:space="0" w:color="auto"/>
              <w:bottom w:val="single" w:sz="4" w:space="0" w:color="auto"/>
              <w:right w:val="single" w:sz="4" w:space="0" w:color="auto"/>
            </w:tcBorders>
            <w:shd w:val="clear" w:color="auto" w:fill="EBFFFF"/>
            <w:hideMark/>
          </w:tcPr>
          <w:p w14:paraId="2AFB9318" w14:textId="77777777" w:rsidR="00A97DE6" w:rsidRPr="00A97DE6" w:rsidRDefault="00A97DE6" w:rsidP="00A97DE6">
            <w:pPr>
              <w:rPr>
                <w:rFonts w:ascii="Calibri" w:hAnsi="Calibri" w:cs="Calibri"/>
              </w:rPr>
            </w:pPr>
            <w:r w:rsidRPr="00A97DE6">
              <w:rPr>
                <w:rFonts w:ascii="Calibri" w:hAnsi="Calibri" w:cs="Calibri"/>
              </w:rPr>
              <w:t>Franciscan</w:t>
            </w:r>
          </w:p>
        </w:tc>
        <w:tc>
          <w:tcPr>
            <w:tcW w:w="1245" w:type="dxa"/>
            <w:tcBorders>
              <w:top w:val="nil"/>
              <w:left w:val="nil"/>
              <w:bottom w:val="single" w:sz="4" w:space="0" w:color="auto"/>
              <w:right w:val="single" w:sz="4" w:space="0" w:color="auto"/>
            </w:tcBorders>
            <w:shd w:val="clear" w:color="auto" w:fill="auto"/>
            <w:hideMark/>
          </w:tcPr>
          <w:p w14:paraId="1046D54A" w14:textId="77777777" w:rsidR="00A97DE6" w:rsidRPr="00A97DE6" w:rsidRDefault="00A97DE6" w:rsidP="00A97DE6">
            <w:pPr>
              <w:jc w:val="center"/>
              <w:rPr>
                <w:rFonts w:ascii="Calibri" w:hAnsi="Calibri" w:cs="Calibri"/>
              </w:rPr>
            </w:pPr>
            <w:r w:rsidRPr="00A97DE6">
              <w:rPr>
                <w:rFonts w:ascii="Calibri" w:hAnsi="Calibri" w:cs="Calibri"/>
              </w:rPr>
              <w:t>7,026</w:t>
            </w:r>
          </w:p>
        </w:tc>
        <w:tc>
          <w:tcPr>
            <w:tcW w:w="1350" w:type="dxa"/>
            <w:tcBorders>
              <w:top w:val="nil"/>
              <w:left w:val="nil"/>
              <w:bottom w:val="single" w:sz="4" w:space="0" w:color="auto"/>
              <w:right w:val="single" w:sz="4" w:space="0" w:color="auto"/>
            </w:tcBorders>
            <w:shd w:val="clear" w:color="auto" w:fill="auto"/>
            <w:hideMark/>
          </w:tcPr>
          <w:p w14:paraId="08713BFF" w14:textId="77777777" w:rsidR="00A97DE6" w:rsidRPr="00A97DE6" w:rsidRDefault="00A97DE6" w:rsidP="00A97DE6">
            <w:pPr>
              <w:jc w:val="center"/>
              <w:rPr>
                <w:rFonts w:ascii="Calibri" w:hAnsi="Calibri" w:cs="Calibri"/>
              </w:rPr>
            </w:pPr>
            <w:r w:rsidRPr="00A97DE6">
              <w:rPr>
                <w:rFonts w:ascii="Calibri" w:hAnsi="Calibri" w:cs="Calibri"/>
              </w:rPr>
              <w:t>7,059</w:t>
            </w:r>
          </w:p>
        </w:tc>
        <w:tc>
          <w:tcPr>
            <w:tcW w:w="1260" w:type="dxa"/>
            <w:tcBorders>
              <w:top w:val="nil"/>
              <w:left w:val="nil"/>
              <w:bottom w:val="single" w:sz="4" w:space="0" w:color="auto"/>
              <w:right w:val="single" w:sz="4" w:space="0" w:color="auto"/>
            </w:tcBorders>
            <w:shd w:val="clear" w:color="auto" w:fill="auto"/>
            <w:hideMark/>
          </w:tcPr>
          <w:p w14:paraId="7B175D61" w14:textId="77777777" w:rsidR="00A97DE6" w:rsidRPr="00A97DE6" w:rsidRDefault="00A97DE6" w:rsidP="00A97DE6">
            <w:pPr>
              <w:jc w:val="center"/>
              <w:rPr>
                <w:rFonts w:ascii="Calibri" w:hAnsi="Calibri" w:cs="Calibri"/>
              </w:rPr>
            </w:pPr>
            <w:r w:rsidRPr="00A97DE6">
              <w:rPr>
                <w:rFonts w:ascii="Calibri" w:hAnsi="Calibri" w:cs="Calibri"/>
              </w:rPr>
              <w:t>4,076</w:t>
            </w:r>
          </w:p>
        </w:tc>
        <w:tc>
          <w:tcPr>
            <w:tcW w:w="1260" w:type="dxa"/>
            <w:tcBorders>
              <w:top w:val="nil"/>
              <w:left w:val="nil"/>
              <w:bottom w:val="single" w:sz="4" w:space="0" w:color="auto"/>
              <w:right w:val="single" w:sz="4" w:space="0" w:color="auto"/>
            </w:tcBorders>
            <w:shd w:val="clear" w:color="auto" w:fill="auto"/>
            <w:hideMark/>
          </w:tcPr>
          <w:p w14:paraId="4A6657D6" w14:textId="77777777" w:rsidR="00A97DE6" w:rsidRPr="00A97DE6" w:rsidRDefault="00A97DE6" w:rsidP="00A97DE6">
            <w:pPr>
              <w:jc w:val="center"/>
              <w:rPr>
                <w:rFonts w:ascii="Calibri" w:hAnsi="Calibri" w:cs="Calibri"/>
              </w:rPr>
            </w:pPr>
            <w:r w:rsidRPr="00A97DE6">
              <w:rPr>
                <w:rFonts w:ascii="Calibri" w:hAnsi="Calibri" w:cs="Calibri"/>
              </w:rPr>
              <w:t>4,369</w:t>
            </w:r>
          </w:p>
        </w:tc>
        <w:tc>
          <w:tcPr>
            <w:tcW w:w="1205" w:type="dxa"/>
            <w:tcBorders>
              <w:top w:val="nil"/>
              <w:left w:val="nil"/>
              <w:bottom w:val="single" w:sz="4" w:space="0" w:color="auto"/>
              <w:right w:val="single" w:sz="4" w:space="0" w:color="auto"/>
            </w:tcBorders>
            <w:shd w:val="clear" w:color="auto" w:fill="auto"/>
          </w:tcPr>
          <w:p w14:paraId="5344817C" w14:textId="77777777" w:rsidR="00A97DE6" w:rsidRPr="00A97DE6" w:rsidRDefault="00A97DE6" w:rsidP="00A97DE6">
            <w:pPr>
              <w:jc w:val="center"/>
              <w:rPr>
                <w:rFonts w:ascii="Calibri" w:hAnsi="Calibri" w:cs="Calibri"/>
              </w:rPr>
            </w:pPr>
            <w:r w:rsidRPr="00A97DE6">
              <w:rPr>
                <w:rFonts w:ascii="Calibri" w:hAnsi="Calibri" w:cs="Calibri"/>
              </w:rPr>
              <w:t>4,213</w:t>
            </w:r>
          </w:p>
        </w:tc>
      </w:tr>
    </w:tbl>
    <w:p w14:paraId="51BAE027" w14:textId="2529AE73" w:rsidR="007265F0" w:rsidRDefault="007265F0" w:rsidP="00AB45F3">
      <w:pPr>
        <w:rPr>
          <w:rFonts w:ascii="Garamond" w:hAnsi="Garamond"/>
        </w:rPr>
      </w:pPr>
    </w:p>
    <w:p w14:paraId="1E20430F" w14:textId="032F1E61" w:rsidR="00460CA7" w:rsidRPr="00460CA7" w:rsidRDefault="7FDAE17D" w:rsidP="00460CA7">
      <w:pPr>
        <w:spacing w:before="240"/>
      </w:pPr>
      <w:r w:rsidRPr="00460CA7">
        <w:t>The number of patients utilizing the services of</w:t>
      </w:r>
      <w:r w:rsidR="006E7042">
        <w:t xml:space="preserve"> </w:t>
      </w:r>
      <w:r w:rsidR="00CF6A65">
        <w:t>BCH</w:t>
      </w:r>
      <w:r w:rsidR="3CDFAE09">
        <w:t xml:space="preserve"> </w:t>
      </w:r>
      <w:r w:rsidRPr="00460CA7">
        <w:t xml:space="preserve">has increased over the past five years by 49,760 unique patients, </w:t>
      </w:r>
      <w:bookmarkStart w:id="24" w:name="_9kR3WTr6GC45Fn"/>
      <w:r w:rsidRPr="00460CA7">
        <w:t xml:space="preserve">or </w:t>
      </w:r>
      <w:bookmarkEnd w:id="24"/>
      <w:r w:rsidRPr="00460CA7">
        <w:t>a 5.2% annual compounded growth rate. Franciscan’s</w:t>
      </w:r>
      <w:r w:rsidR="4C43E14E">
        <w:t xml:space="preserve"> </w:t>
      </w:r>
      <w:r w:rsidR="14EFDE2C">
        <w:t xml:space="preserve">number of unique </w:t>
      </w:r>
      <w:r w:rsidRPr="00460CA7">
        <w:t>patient</w:t>
      </w:r>
      <w:r w:rsidR="4C43E14E">
        <w:t>s</w:t>
      </w:r>
      <w:r>
        <w:t xml:space="preserve"> served</w:t>
      </w:r>
      <w:r w:rsidRPr="00460CA7">
        <w:t xml:space="preserve"> has decreased over the past four years by 2,813</w:t>
      </w:r>
      <w:bookmarkStart w:id="25" w:name="_Hlk93576618"/>
      <w:r w:rsidR="14EFDE2C">
        <w:t xml:space="preserve">; </w:t>
      </w:r>
      <w:r w:rsidR="4D2C4EBD">
        <w:t xml:space="preserve">it </w:t>
      </w:r>
      <w:r w:rsidRPr="00460CA7">
        <w:t>attributes the decline to (1) the closure of Franciscan’s Pediatric Primary Care Clinic in September of 2019 due to falling demand and inadequate reimbursement,</w:t>
      </w:r>
      <w:r w:rsidR="00460CA7" w:rsidRPr="00460CA7">
        <w:rPr>
          <w:vertAlign w:val="superscript"/>
        </w:rPr>
        <w:footnoteReference w:id="9"/>
      </w:r>
      <w:r w:rsidRPr="00460CA7">
        <w:t xml:space="preserve"> and (2) reductions in </w:t>
      </w:r>
      <w:r w:rsidR="14EFDE2C">
        <w:t xml:space="preserve">demand for </w:t>
      </w:r>
      <w:r w:rsidRPr="00460CA7">
        <w:t>certain services during 2020 through 2022 due to the effects of the COVID-19 pandemic</w:t>
      </w:r>
      <w:bookmarkEnd w:id="25"/>
      <w:r w:rsidR="14EFDE2C">
        <w:t xml:space="preserve">. </w:t>
      </w:r>
    </w:p>
    <w:p w14:paraId="48EADEAD" w14:textId="77777777" w:rsidR="00460CA7" w:rsidRDefault="00460CA7" w:rsidP="009437D3">
      <w:pPr>
        <w:pStyle w:val="RBNBasicNoSpace"/>
      </w:pPr>
    </w:p>
    <w:p w14:paraId="19522680" w14:textId="2AF40E54" w:rsidR="00905BB3" w:rsidRDefault="1B6FA5DA" w:rsidP="009437D3">
      <w:pPr>
        <w:pStyle w:val="RBNBasicNoSpace"/>
      </w:pPr>
      <w:r w:rsidRPr="00C30630">
        <w:t xml:space="preserve">The </w:t>
      </w:r>
      <w:r>
        <w:t xml:space="preserve">Applicant provided </w:t>
      </w:r>
      <w:r w:rsidR="3AF7CD83">
        <w:t>five</w:t>
      </w:r>
      <w:r>
        <w:t xml:space="preserve"> years of demographic</w:t>
      </w:r>
      <w:r w:rsidRPr="00C30630">
        <w:t xml:space="preserve"> </w:t>
      </w:r>
      <w:r>
        <w:t xml:space="preserve">information for the </w:t>
      </w:r>
      <w:r w:rsidR="554CB6EB">
        <w:t xml:space="preserve">fiscal </w:t>
      </w:r>
      <w:r>
        <w:t>years 2018-2</w:t>
      </w:r>
      <w:r w:rsidR="3AF7CD83">
        <w:t>2</w:t>
      </w:r>
      <w:r>
        <w:t xml:space="preserve"> for both parties, </w:t>
      </w:r>
      <w:r w:rsidR="00CF6A65">
        <w:t>BCH</w:t>
      </w:r>
      <w:r w:rsidRPr="00C30630">
        <w:t xml:space="preserve"> and </w:t>
      </w:r>
      <w:r w:rsidR="0228D1E5">
        <w:t>Franciscan</w:t>
      </w:r>
      <w:r w:rsidRPr="00C30630">
        <w:t>.</w:t>
      </w:r>
      <w:r w:rsidRPr="00C30630">
        <w:rPr>
          <w:rStyle w:val="FootnoteReference"/>
        </w:rPr>
        <w:t xml:space="preserve"> </w:t>
      </w:r>
      <w:r w:rsidR="066A2DC6" w:rsidRPr="00B5352A">
        <w:t>Table</w:t>
      </w:r>
      <w:r w:rsidR="29EF0CC9">
        <w:t xml:space="preserve"> 3</w:t>
      </w:r>
      <w:r w:rsidR="066A2DC6" w:rsidRPr="00167D81">
        <w:t xml:space="preserve"> provides </w:t>
      </w:r>
      <w:r w:rsidR="2848299F">
        <w:t xml:space="preserve">a demographic profile </w:t>
      </w:r>
      <w:r w:rsidR="4B43A7F1" w:rsidRPr="00167D81">
        <w:t xml:space="preserve">on </w:t>
      </w:r>
      <w:r w:rsidR="2848299F">
        <w:t xml:space="preserve">each </w:t>
      </w:r>
      <w:r w:rsidR="554CB6EB">
        <w:t>p</w:t>
      </w:r>
      <w:r w:rsidR="6105DE57">
        <w:t>arties’</w:t>
      </w:r>
      <w:r w:rsidR="4B43A7F1" w:rsidRPr="00167D81">
        <w:t xml:space="preserve"> </w:t>
      </w:r>
      <w:r w:rsidR="2848299F">
        <w:t xml:space="preserve">patients </w:t>
      </w:r>
      <w:r w:rsidR="066A2DC6" w:rsidRPr="00167D81">
        <w:t xml:space="preserve">for the most recent </w:t>
      </w:r>
      <w:r w:rsidR="7FDAE17D">
        <w:t xml:space="preserve">two </w:t>
      </w:r>
      <w:r w:rsidR="066A2DC6" w:rsidRPr="00167D81">
        <w:t>year</w:t>
      </w:r>
      <w:r w:rsidR="7FDAE17D">
        <w:t xml:space="preserve">s </w:t>
      </w:r>
      <w:r w:rsidR="066A2DC6" w:rsidRPr="00167D81">
        <w:t>of data provided</w:t>
      </w:r>
      <w:r w:rsidR="6105DE57">
        <w:t>, FY 20</w:t>
      </w:r>
      <w:r w:rsidR="7FDAE17D">
        <w:t>21 and 20</w:t>
      </w:r>
      <w:r w:rsidR="6105DE57">
        <w:t>2</w:t>
      </w:r>
      <w:r w:rsidR="2A913DE3">
        <w:t>2</w:t>
      </w:r>
      <w:r w:rsidR="20F35EE3">
        <w:t>.</w:t>
      </w:r>
      <w:r w:rsidR="2DE6DC4B">
        <w:t xml:space="preserve"> </w:t>
      </w:r>
      <w:r w:rsidR="00055F68" w:rsidRPr="00055F68">
        <w:rPr>
          <w:vertAlign w:val="superscript"/>
        </w:rPr>
        <w:footnoteReference w:id="10"/>
      </w:r>
      <w:r w:rsidR="0CD18E3B" w:rsidRPr="006E7042">
        <w:rPr>
          <w:vertAlign w:val="superscript"/>
        </w:rPr>
        <w:t>,</w:t>
      </w:r>
      <w:r w:rsidR="006E7042">
        <w:rPr>
          <w:vertAlign w:val="superscript"/>
        </w:rPr>
        <w:t xml:space="preserve"> </w:t>
      </w:r>
      <w:r w:rsidR="00055F68" w:rsidRPr="00055F68">
        <w:rPr>
          <w:vertAlign w:val="superscript"/>
        </w:rPr>
        <w:footnoteReference w:id="11"/>
      </w:r>
    </w:p>
    <w:p w14:paraId="65134BFE" w14:textId="23E2FDC0" w:rsidR="00942B73" w:rsidRDefault="00942B73" w:rsidP="00942B73">
      <w:pPr>
        <w:autoSpaceDE w:val="0"/>
        <w:autoSpaceDN w:val="0"/>
        <w:adjustRightInd w:val="0"/>
      </w:pPr>
    </w:p>
    <w:p w14:paraId="786874A5" w14:textId="109D28E3" w:rsidR="00942B73" w:rsidRDefault="1B6FA5DA" w:rsidP="00825271">
      <w:pPr>
        <w:jc w:val="center"/>
        <w:rPr>
          <w:b/>
          <w:bCs/>
        </w:rPr>
      </w:pPr>
      <w:bookmarkStart w:id="26" w:name="_Hlk151730467"/>
      <w:bookmarkStart w:id="27" w:name="_Hlk151730528"/>
      <w:r w:rsidRPr="6F80FCDD">
        <w:rPr>
          <w:b/>
          <w:bCs/>
        </w:rPr>
        <w:t>Table</w:t>
      </w:r>
      <w:r w:rsidR="3729CC64" w:rsidRPr="6F80FCDD">
        <w:rPr>
          <w:b/>
          <w:bCs/>
        </w:rPr>
        <w:t xml:space="preserve"> </w:t>
      </w:r>
      <w:r w:rsidR="29EF0CC9" w:rsidRPr="6F80FCDD">
        <w:rPr>
          <w:b/>
          <w:bCs/>
        </w:rPr>
        <w:t>3</w:t>
      </w:r>
      <w:r w:rsidRPr="6F80FCDD">
        <w:rPr>
          <w:b/>
          <w:bCs/>
        </w:rPr>
        <w:t>:</w:t>
      </w:r>
      <w:r w:rsidR="7646CA97" w:rsidRPr="6F80FCDD">
        <w:rPr>
          <w:b/>
          <w:bCs/>
        </w:rPr>
        <w:t xml:space="preserve"> </w:t>
      </w:r>
      <w:r w:rsidR="553C312A" w:rsidRPr="6F80FCDD">
        <w:rPr>
          <w:b/>
          <w:bCs/>
        </w:rPr>
        <w:t xml:space="preserve">Demographic Profile </w:t>
      </w:r>
      <w:r w:rsidRPr="6F80FCDD">
        <w:rPr>
          <w:b/>
          <w:bCs/>
        </w:rPr>
        <w:t xml:space="preserve">of </w:t>
      </w:r>
      <w:r w:rsidR="00CF6A65">
        <w:rPr>
          <w:b/>
          <w:bCs/>
        </w:rPr>
        <w:t>BCH</w:t>
      </w:r>
      <w:r w:rsidRPr="6F80FCDD">
        <w:rPr>
          <w:b/>
          <w:bCs/>
        </w:rPr>
        <w:t xml:space="preserve"> and </w:t>
      </w:r>
      <w:r w:rsidR="0228D1E5" w:rsidRPr="6F80FCDD">
        <w:rPr>
          <w:b/>
          <w:bCs/>
        </w:rPr>
        <w:t>Franciscan</w:t>
      </w:r>
      <w:r w:rsidRPr="6F80FCDD">
        <w:rPr>
          <w:b/>
          <w:bCs/>
        </w:rPr>
        <w:t xml:space="preserve"> Patients- FY</w:t>
      </w:r>
      <w:r w:rsidR="253B5B35" w:rsidRPr="6F80FCDD">
        <w:rPr>
          <w:b/>
          <w:bCs/>
        </w:rPr>
        <w:t>21-</w:t>
      </w:r>
      <w:r w:rsidRPr="6F80FCDD">
        <w:rPr>
          <w:b/>
          <w:bCs/>
        </w:rPr>
        <w:t>2</w:t>
      </w:r>
      <w:r w:rsidR="7646CA97" w:rsidRPr="6F80FCDD">
        <w:rPr>
          <w:b/>
          <w:bCs/>
        </w:rPr>
        <w:t>2</w:t>
      </w:r>
    </w:p>
    <w:p w14:paraId="01634287" w14:textId="2C89B5FE" w:rsidR="00E92504" w:rsidRPr="008E157F" w:rsidRDefault="00E92504" w:rsidP="00825271">
      <w:pPr>
        <w:jc w:val="center"/>
        <w:rPr>
          <w:b/>
          <w:bCs/>
        </w:rPr>
      </w:pPr>
    </w:p>
    <w:tbl>
      <w:tblPr>
        <w:tblW w:w="7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080"/>
        <w:gridCol w:w="1170"/>
        <w:gridCol w:w="1269"/>
        <w:gridCol w:w="1269"/>
      </w:tblGrid>
      <w:tr w:rsidR="00A50AE4" w:rsidRPr="000E4BF2" w14:paraId="4A6FBBAC" w14:textId="77777777" w:rsidTr="00A50AE4">
        <w:trPr>
          <w:cantSplit/>
          <w:trHeight w:val="420"/>
          <w:tblHeader/>
          <w:jc w:val="center"/>
        </w:trPr>
        <w:tc>
          <w:tcPr>
            <w:tcW w:w="3055" w:type="dxa"/>
            <w:shd w:val="clear" w:color="auto" w:fill="auto"/>
            <w:vAlign w:val="center"/>
            <w:hideMark/>
          </w:tcPr>
          <w:bookmarkEnd w:id="26"/>
          <w:bookmarkEnd w:id="27"/>
          <w:p w14:paraId="75A5D997" w14:textId="792BCC03" w:rsidR="00A50AE4" w:rsidRPr="007F5F46" w:rsidRDefault="00A50AE4" w:rsidP="00A50AE4">
            <w:pPr>
              <w:rPr>
                <w:b/>
                <w:bCs/>
              </w:rPr>
            </w:pPr>
            <w:r w:rsidRPr="007F5F46">
              <w:rPr>
                <w:b/>
                <w:bCs/>
              </w:rPr>
              <w:t>Facility</w:t>
            </w:r>
          </w:p>
        </w:tc>
        <w:tc>
          <w:tcPr>
            <w:tcW w:w="1080" w:type="dxa"/>
            <w:shd w:val="clear" w:color="auto" w:fill="E5FFFF"/>
            <w:noWrap/>
            <w:vAlign w:val="center"/>
            <w:hideMark/>
          </w:tcPr>
          <w:p w14:paraId="0E2AD4F2" w14:textId="77777777" w:rsidR="00A50AE4" w:rsidRDefault="00A50AE4" w:rsidP="00A50AE4">
            <w:pPr>
              <w:jc w:val="center"/>
              <w:rPr>
                <w:b/>
                <w:bCs/>
                <w:i/>
                <w:iCs/>
                <w:color w:val="000000" w:themeColor="text1"/>
              </w:rPr>
            </w:pPr>
            <w:r>
              <w:rPr>
                <w:b/>
                <w:bCs/>
                <w:i/>
                <w:iCs/>
                <w:color w:val="000000" w:themeColor="text1"/>
              </w:rPr>
              <w:t>BCH</w:t>
            </w:r>
          </w:p>
          <w:p w14:paraId="6944D5C8" w14:textId="167C350B" w:rsidR="00A50AE4" w:rsidRPr="007F5F46" w:rsidRDefault="00A50AE4" w:rsidP="00A50AE4">
            <w:pPr>
              <w:jc w:val="center"/>
              <w:rPr>
                <w:b/>
                <w:bCs/>
                <w:i/>
                <w:iCs/>
                <w:color w:val="000000"/>
              </w:rPr>
            </w:pPr>
            <w:r w:rsidRPr="00104664">
              <w:rPr>
                <w:b/>
                <w:bCs/>
                <w:color w:val="000000"/>
              </w:rPr>
              <w:t>FY 21</w:t>
            </w:r>
          </w:p>
        </w:tc>
        <w:tc>
          <w:tcPr>
            <w:tcW w:w="1170" w:type="dxa"/>
            <w:shd w:val="clear" w:color="auto" w:fill="E5FFFF"/>
            <w:vAlign w:val="center"/>
          </w:tcPr>
          <w:p w14:paraId="788FFFA6" w14:textId="77777777" w:rsidR="00A50AE4" w:rsidRDefault="00A50AE4" w:rsidP="00A50AE4">
            <w:pPr>
              <w:jc w:val="center"/>
              <w:rPr>
                <w:b/>
                <w:bCs/>
                <w:i/>
                <w:iCs/>
                <w:color w:val="000000" w:themeColor="text1"/>
              </w:rPr>
            </w:pPr>
            <w:r>
              <w:rPr>
                <w:b/>
                <w:bCs/>
                <w:i/>
                <w:iCs/>
                <w:color w:val="000000" w:themeColor="text1"/>
              </w:rPr>
              <w:t>BCH</w:t>
            </w:r>
          </w:p>
          <w:p w14:paraId="769965A5" w14:textId="4F1C4924" w:rsidR="00A50AE4" w:rsidRPr="007F5F46" w:rsidRDefault="00A50AE4" w:rsidP="00A50AE4">
            <w:pPr>
              <w:jc w:val="center"/>
              <w:rPr>
                <w:b/>
                <w:bCs/>
                <w:i/>
                <w:iCs/>
                <w:color w:val="000000"/>
              </w:rPr>
            </w:pPr>
            <w:r w:rsidRPr="00104664">
              <w:rPr>
                <w:b/>
                <w:bCs/>
                <w:color w:val="000000"/>
              </w:rPr>
              <w:t>FY 2</w:t>
            </w:r>
            <w:r>
              <w:rPr>
                <w:b/>
                <w:bCs/>
                <w:color w:val="000000"/>
              </w:rPr>
              <w:t>2</w:t>
            </w:r>
          </w:p>
        </w:tc>
        <w:tc>
          <w:tcPr>
            <w:tcW w:w="1269" w:type="dxa"/>
            <w:shd w:val="clear" w:color="auto" w:fill="EBFFFF"/>
            <w:noWrap/>
            <w:vAlign w:val="center"/>
            <w:hideMark/>
          </w:tcPr>
          <w:p w14:paraId="1E13098B" w14:textId="77777777" w:rsidR="00A50AE4" w:rsidRDefault="00A50AE4" w:rsidP="00A50AE4">
            <w:pPr>
              <w:jc w:val="center"/>
              <w:rPr>
                <w:b/>
                <w:bCs/>
                <w:i/>
                <w:iCs/>
              </w:rPr>
            </w:pPr>
            <w:r w:rsidRPr="007F5F46">
              <w:rPr>
                <w:b/>
                <w:bCs/>
                <w:i/>
                <w:iCs/>
              </w:rPr>
              <w:t>Franciscan</w:t>
            </w:r>
          </w:p>
          <w:p w14:paraId="2453135E" w14:textId="6FE491D8" w:rsidR="00A50AE4" w:rsidRPr="007F5F46" w:rsidRDefault="00A50AE4" w:rsidP="00A50AE4">
            <w:pPr>
              <w:jc w:val="center"/>
              <w:rPr>
                <w:b/>
                <w:bCs/>
                <w:i/>
                <w:iCs/>
              </w:rPr>
            </w:pPr>
            <w:r w:rsidRPr="007F5F46">
              <w:rPr>
                <w:b/>
                <w:bCs/>
                <w:i/>
                <w:iCs/>
              </w:rPr>
              <w:t xml:space="preserve"> </w:t>
            </w:r>
            <w:r w:rsidRPr="00104664">
              <w:rPr>
                <w:b/>
                <w:bCs/>
                <w:color w:val="000000"/>
              </w:rPr>
              <w:t>FY 21</w:t>
            </w:r>
          </w:p>
        </w:tc>
        <w:tc>
          <w:tcPr>
            <w:tcW w:w="1269" w:type="dxa"/>
            <w:shd w:val="clear" w:color="auto" w:fill="EBFFFF"/>
            <w:vAlign w:val="center"/>
          </w:tcPr>
          <w:p w14:paraId="17DEE12E" w14:textId="77777777" w:rsidR="00A50AE4" w:rsidRDefault="00A50AE4" w:rsidP="00A50AE4">
            <w:pPr>
              <w:jc w:val="center"/>
              <w:rPr>
                <w:b/>
                <w:bCs/>
                <w:i/>
                <w:iCs/>
              </w:rPr>
            </w:pPr>
            <w:r w:rsidRPr="007F5F46">
              <w:rPr>
                <w:b/>
                <w:bCs/>
                <w:i/>
                <w:iCs/>
              </w:rPr>
              <w:t>Franciscan</w:t>
            </w:r>
          </w:p>
          <w:p w14:paraId="75DD6B71" w14:textId="50EC307B" w:rsidR="00A50AE4" w:rsidRPr="007F5F46" w:rsidRDefault="00A50AE4" w:rsidP="00A50AE4">
            <w:pPr>
              <w:jc w:val="center"/>
              <w:rPr>
                <w:b/>
                <w:bCs/>
                <w:i/>
                <w:iCs/>
              </w:rPr>
            </w:pPr>
            <w:r w:rsidRPr="007F5F46">
              <w:rPr>
                <w:b/>
                <w:bCs/>
                <w:i/>
                <w:iCs/>
              </w:rPr>
              <w:t xml:space="preserve"> </w:t>
            </w:r>
            <w:r w:rsidRPr="00104664">
              <w:rPr>
                <w:b/>
                <w:bCs/>
                <w:color w:val="000000"/>
              </w:rPr>
              <w:t>FY 2</w:t>
            </w:r>
            <w:r>
              <w:rPr>
                <w:b/>
                <w:bCs/>
                <w:color w:val="000000"/>
              </w:rPr>
              <w:t>2</w:t>
            </w:r>
          </w:p>
        </w:tc>
      </w:tr>
      <w:tr w:rsidR="00A50AE4" w:rsidRPr="000E4BF2" w14:paraId="4CDAE9AA" w14:textId="77777777" w:rsidTr="00A50AE4">
        <w:trPr>
          <w:cantSplit/>
          <w:trHeight w:val="310"/>
          <w:jc w:val="center"/>
        </w:trPr>
        <w:tc>
          <w:tcPr>
            <w:tcW w:w="3055" w:type="dxa"/>
            <w:shd w:val="clear" w:color="auto" w:fill="auto"/>
            <w:noWrap/>
            <w:vAlign w:val="center"/>
          </w:tcPr>
          <w:p w14:paraId="10CE3424" w14:textId="63E77A21" w:rsidR="00A50AE4" w:rsidRPr="007F5F46" w:rsidRDefault="00A50AE4" w:rsidP="00A50AE4">
            <w:pPr>
              <w:rPr>
                <w:color w:val="000000"/>
              </w:rPr>
            </w:pPr>
            <w:r w:rsidRPr="007F5F46">
              <w:rPr>
                <w:b/>
                <w:bCs/>
                <w:color w:val="000000"/>
              </w:rPr>
              <w:t>Gender</w:t>
            </w:r>
          </w:p>
        </w:tc>
        <w:tc>
          <w:tcPr>
            <w:tcW w:w="1080" w:type="dxa"/>
            <w:shd w:val="clear" w:color="auto" w:fill="auto"/>
            <w:noWrap/>
            <w:vAlign w:val="center"/>
          </w:tcPr>
          <w:p w14:paraId="51B2FA88" w14:textId="157A78E2" w:rsidR="00A50AE4" w:rsidRPr="00104664" w:rsidRDefault="00A50AE4" w:rsidP="00A50AE4">
            <w:pPr>
              <w:jc w:val="right"/>
              <w:rPr>
                <w:b/>
                <w:bCs/>
                <w:color w:val="000000"/>
              </w:rPr>
            </w:pPr>
          </w:p>
        </w:tc>
        <w:tc>
          <w:tcPr>
            <w:tcW w:w="1170" w:type="dxa"/>
            <w:shd w:val="clear" w:color="auto" w:fill="auto"/>
            <w:noWrap/>
            <w:vAlign w:val="center"/>
          </w:tcPr>
          <w:p w14:paraId="5A4208C0" w14:textId="550F6755" w:rsidR="00A50AE4" w:rsidRPr="00104664" w:rsidRDefault="00A50AE4" w:rsidP="00A50AE4">
            <w:pPr>
              <w:jc w:val="right"/>
              <w:rPr>
                <w:b/>
                <w:bCs/>
                <w:color w:val="000000"/>
              </w:rPr>
            </w:pPr>
          </w:p>
        </w:tc>
        <w:tc>
          <w:tcPr>
            <w:tcW w:w="1269" w:type="dxa"/>
            <w:shd w:val="clear" w:color="auto" w:fill="auto"/>
            <w:noWrap/>
            <w:vAlign w:val="center"/>
          </w:tcPr>
          <w:p w14:paraId="32568352" w14:textId="7EDC98F3" w:rsidR="00A50AE4" w:rsidRPr="00104664" w:rsidRDefault="00A50AE4" w:rsidP="00A50AE4">
            <w:pPr>
              <w:jc w:val="right"/>
              <w:rPr>
                <w:b/>
                <w:bCs/>
              </w:rPr>
            </w:pPr>
          </w:p>
        </w:tc>
        <w:tc>
          <w:tcPr>
            <w:tcW w:w="1269" w:type="dxa"/>
            <w:shd w:val="clear" w:color="auto" w:fill="auto"/>
            <w:noWrap/>
            <w:vAlign w:val="center"/>
          </w:tcPr>
          <w:p w14:paraId="3BF8A4E6" w14:textId="100CC5DD" w:rsidR="00A50AE4" w:rsidRPr="00104664" w:rsidRDefault="00A50AE4" w:rsidP="00A50AE4">
            <w:pPr>
              <w:jc w:val="right"/>
              <w:rPr>
                <w:b/>
                <w:bCs/>
              </w:rPr>
            </w:pPr>
          </w:p>
        </w:tc>
      </w:tr>
      <w:tr w:rsidR="00A50AE4" w:rsidRPr="000E4BF2" w14:paraId="0FE443F2" w14:textId="77777777" w:rsidTr="00A50AE4">
        <w:trPr>
          <w:cantSplit/>
          <w:trHeight w:val="310"/>
          <w:jc w:val="center"/>
        </w:trPr>
        <w:tc>
          <w:tcPr>
            <w:tcW w:w="3055" w:type="dxa"/>
            <w:shd w:val="clear" w:color="auto" w:fill="auto"/>
            <w:noWrap/>
            <w:vAlign w:val="center"/>
            <w:hideMark/>
          </w:tcPr>
          <w:p w14:paraId="5FD61258" w14:textId="77777777" w:rsidR="00A50AE4" w:rsidRPr="007F5F46" w:rsidRDefault="00A50AE4" w:rsidP="00A50AE4">
            <w:pPr>
              <w:rPr>
                <w:color w:val="000000"/>
              </w:rPr>
            </w:pPr>
            <w:r w:rsidRPr="007F5F46">
              <w:rPr>
                <w:color w:val="000000"/>
              </w:rPr>
              <w:t>Female</w:t>
            </w:r>
          </w:p>
        </w:tc>
        <w:tc>
          <w:tcPr>
            <w:tcW w:w="1080" w:type="dxa"/>
            <w:shd w:val="clear" w:color="auto" w:fill="auto"/>
            <w:noWrap/>
            <w:vAlign w:val="center"/>
          </w:tcPr>
          <w:p w14:paraId="328A9888" w14:textId="73AF829C" w:rsidR="00A50AE4" w:rsidRPr="007F5F46" w:rsidRDefault="00A50AE4" w:rsidP="00A50AE4">
            <w:pPr>
              <w:jc w:val="right"/>
              <w:rPr>
                <w:color w:val="000000"/>
              </w:rPr>
            </w:pPr>
            <w:r w:rsidRPr="007F5F46">
              <w:rPr>
                <w:color w:val="000000"/>
              </w:rPr>
              <w:t>51.5%</w:t>
            </w:r>
          </w:p>
        </w:tc>
        <w:tc>
          <w:tcPr>
            <w:tcW w:w="1170" w:type="dxa"/>
            <w:shd w:val="clear" w:color="auto" w:fill="auto"/>
            <w:noWrap/>
            <w:vAlign w:val="center"/>
          </w:tcPr>
          <w:p w14:paraId="0A0A55BA" w14:textId="113DCA12" w:rsidR="00A50AE4" w:rsidRPr="007F5F46" w:rsidRDefault="00A50AE4" w:rsidP="00A50AE4">
            <w:pPr>
              <w:jc w:val="right"/>
              <w:rPr>
                <w:color w:val="000000"/>
              </w:rPr>
            </w:pPr>
            <w:r w:rsidRPr="007F5F46">
              <w:rPr>
                <w:color w:val="000000"/>
              </w:rPr>
              <w:t>50.6%</w:t>
            </w:r>
          </w:p>
        </w:tc>
        <w:tc>
          <w:tcPr>
            <w:tcW w:w="1269" w:type="dxa"/>
            <w:shd w:val="clear" w:color="auto" w:fill="auto"/>
            <w:noWrap/>
            <w:vAlign w:val="center"/>
          </w:tcPr>
          <w:p w14:paraId="49877C83" w14:textId="5687E048" w:rsidR="00A50AE4" w:rsidRPr="007F5F46" w:rsidRDefault="00A50AE4" w:rsidP="00A50AE4">
            <w:pPr>
              <w:jc w:val="right"/>
            </w:pPr>
            <w:r w:rsidRPr="007F5F46">
              <w:t>46.5%</w:t>
            </w:r>
          </w:p>
        </w:tc>
        <w:tc>
          <w:tcPr>
            <w:tcW w:w="1269" w:type="dxa"/>
            <w:shd w:val="clear" w:color="auto" w:fill="auto"/>
            <w:noWrap/>
            <w:vAlign w:val="center"/>
          </w:tcPr>
          <w:p w14:paraId="6DC0936A" w14:textId="399533B1" w:rsidR="00A50AE4" w:rsidRPr="007F5F46" w:rsidRDefault="00A50AE4" w:rsidP="00A50AE4">
            <w:pPr>
              <w:jc w:val="right"/>
            </w:pPr>
            <w:r w:rsidRPr="007F5F46">
              <w:rPr>
                <w:color w:val="000000"/>
              </w:rPr>
              <w:t>45.5%</w:t>
            </w:r>
          </w:p>
        </w:tc>
      </w:tr>
      <w:tr w:rsidR="00A50AE4" w:rsidRPr="000E4BF2" w14:paraId="141ED4F1" w14:textId="77777777" w:rsidTr="00A50AE4">
        <w:trPr>
          <w:cantSplit/>
          <w:trHeight w:val="310"/>
          <w:jc w:val="center"/>
        </w:trPr>
        <w:tc>
          <w:tcPr>
            <w:tcW w:w="3055" w:type="dxa"/>
            <w:shd w:val="clear" w:color="auto" w:fill="auto"/>
            <w:noWrap/>
            <w:vAlign w:val="center"/>
            <w:hideMark/>
          </w:tcPr>
          <w:p w14:paraId="430F46E6" w14:textId="77777777" w:rsidR="00A50AE4" w:rsidRPr="007F5F46" w:rsidRDefault="00A50AE4" w:rsidP="00A50AE4">
            <w:pPr>
              <w:rPr>
                <w:color w:val="000000"/>
              </w:rPr>
            </w:pPr>
            <w:r w:rsidRPr="007F5F46">
              <w:rPr>
                <w:color w:val="000000"/>
              </w:rPr>
              <w:t>Male</w:t>
            </w:r>
          </w:p>
        </w:tc>
        <w:tc>
          <w:tcPr>
            <w:tcW w:w="1080" w:type="dxa"/>
            <w:shd w:val="clear" w:color="auto" w:fill="auto"/>
            <w:noWrap/>
            <w:vAlign w:val="center"/>
          </w:tcPr>
          <w:p w14:paraId="3C1FB0EF" w14:textId="2F328E96" w:rsidR="00A50AE4" w:rsidRPr="007F5F46" w:rsidRDefault="00A50AE4" w:rsidP="00A50AE4">
            <w:pPr>
              <w:jc w:val="right"/>
              <w:rPr>
                <w:color w:val="000000"/>
              </w:rPr>
            </w:pPr>
            <w:r w:rsidRPr="007F5F46">
              <w:rPr>
                <w:color w:val="000000"/>
              </w:rPr>
              <w:t>48.4%</w:t>
            </w:r>
          </w:p>
        </w:tc>
        <w:tc>
          <w:tcPr>
            <w:tcW w:w="1170" w:type="dxa"/>
            <w:shd w:val="clear" w:color="auto" w:fill="auto"/>
            <w:noWrap/>
            <w:vAlign w:val="center"/>
          </w:tcPr>
          <w:p w14:paraId="26D39053" w14:textId="0A7DDA13" w:rsidR="00A50AE4" w:rsidRPr="007F5F46" w:rsidRDefault="00A50AE4" w:rsidP="00A50AE4">
            <w:pPr>
              <w:jc w:val="right"/>
              <w:rPr>
                <w:color w:val="000000"/>
              </w:rPr>
            </w:pPr>
            <w:r w:rsidRPr="007F5F46">
              <w:rPr>
                <w:color w:val="000000"/>
              </w:rPr>
              <w:t>49.3%</w:t>
            </w:r>
          </w:p>
        </w:tc>
        <w:tc>
          <w:tcPr>
            <w:tcW w:w="1269" w:type="dxa"/>
            <w:shd w:val="clear" w:color="auto" w:fill="auto"/>
            <w:noWrap/>
            <w:vAlign w:val="center"/>
          </w:tcPr>
          <w:p w14:paraId="1D548F47" w14:textId="35B41335" w:rsidR="00A50AE4" w:rsidRPr="007F5F46" w:rsidRDefault="00A50AE4" w:rsidP="00A50AE4">
            <w:pPr>
              <w:jc w:val="right"/>
            </w:pPr>
            <w:r w:rsidRPr="007F5F46">
              <w:t>53.5%</w:t>
            </w:r>
          </w:p>
        </w:tc>
        <w:tc>
          <w:tcPr>
            <w:tcW w:w="1269" w:type="dxa"/>
            <w:shd w:val="clear" w:color="auto" w:fill="auto"/>
            <w:noWrap/>
            <w:vAlign w:val="center"/>
          </w:tcPr>
          <w:p w14:paraId="50096970" w14:textId="2BECD828" w:rsidR="00A50AE4" w:rsidRPr="007F5F46" w:rsidRDefault="00A50AE4" w:rsidP="00A50AE4">
            <w:pPr>
              <w:jc w:val="right"/>
            </w:pPr>
            <w:r w:rsidRPr="007F5F46">
              <w:rPr>
                <w:color w:val="000000"/>
              </w:rPr>
              <w:t>54.4%</w:t>
            </w:r>
          </w:p>
        </w:tc>
      </w:tr>
      <w:tr w:rsidR="00A50AE4" w:rsidRPr="000E4BF2" w14:paraId="5FDDFA1E" w14:textId="77777777" w:rsidTr="00A50AE4">
        <w:trPr>
          <w:cantSplit/>
          <w:trHeight w:val="278"/>
          <w:jc w:val="center"/>
        </w:trPr>
        <w:tc>
          <w:tcPr>
            <w:tcW w:w="3055" w:type="dxa"/>
            <w:shd w:val="clear" w:color="auto" w:fill="auto"/>
            <w:noWrap/>
            <w:vAlign w:val="center"/>
            <w:hideMark/>
          </w:tcPr>
          <w:p w14:paraId="7DDBE090" w14:textId="77777777" w:rsidR="00A50AE4" w:rsidRPr="007F5F46" w:rsidRDefault="00A50AE4" w:rsidP="00A50AE4">
            <w:pPr>
              <w:rPr>
                <w:color w:val="000000"/>
              </w:rPr>
            </w:pPr>
            <w:r w:rsidRPr="007F5F46">
              <w:rPr>
                <w:color w:val="000000"/>
              </w:rPr>
              <w:t>Unknown</w:t>
            </w:r>
          </w:p>
        </w:tc>
        <w:tc>
          <w:tcPr>
            <w:tcW w:w="1080" w:type="dxa"/>
            <w:shd w:val="clear" w:color="auto" w:fill="auto"/>
            <w:noWrap/>
            <w:vAlign w:val="center"/>
          </w:tcPr>
          <w:p w14:paraId="7742EB4C" w14:textId="4194EA55" w:rsidR="00A50AE4" w:rsidRPr="007F5F46" w:rsidRDefault="00A50AE4" w:rsidP="00A50AE4">
            <w:pPr>
              <w:jc w:val="right"/>
              <w:rPr>
                <w:color w:val="000000"/>
              </w:rPr>
            </w:pPr>
            <w:r w:rsidRPr="007F5F46">
              <w:rPr>
                <w:color w:val="000000"/>
              </w:rPr>
              <w:t>0.0%</w:t>
            </w:r>
          </w:p>
        </w:tc>
        <w:tc>
          <w:tcPr>
            <w:tcW w:w="1170" w:type="dxa"/>
            <w:shd w:val="clear" w:color="auto" w:fill="auto"/>
            <w:noWrap/>
            <w:vAlign w:val="center"/>
          </w:tcPr>
          <w:p w14:paraId="5D49AD88" w14:textId="1923D3F6" w:rsidR="00A50AE4" w:rsidRPr="007F5F46" w:rsidRDefault="00A50AE4" w:rsidP="00A50AE4">
            <w:pPr>
              <w:jc w:val="right"/>
              <w:rPr>
                <w:color w:val="000000"/>
              </w:rPr>
            </w:pPr>
            <w:r w:rsidRPr="007F5F46">
              <w:rPr>
                <w:color w:val="000000"/>
              </w:rPr>
              <w:t>0.1%</w:t>
            </w:r>
          </w:p>
        </w:tc>
        <w:tc>
          <w:tcPr>
            <w:tcW w:w="1269" w:type="dxa"/>
            <w:shd w:val="clear" w:color="auto" w:fill="auto"/>
            <w:noWrap/>
            <w:vAlign w:val="center"/>
          </w:tcPr>
          <w:p w14:paraId="6E931C09" w14:textId="5851A50E" w:rsidR="00A50AE4" w:rsidRPr="007F5F46" w:rsidRDefault="00A50AE4" w:rsidP="00A50AE4">
            <w:pPr>
              <w:jc w:val="right"/>
            </w:pPr>
            <w:r w:rsidRPr="007F5F46">
              <w:t>0.0%</w:t>
            </w:r>
          </w:p>
        </w:tc>
        <w:tc>
          <w:tcPr>
            <w:tcW w:w="1269" w:type="dxa"/>
            <w:shd w:val="clear" w:color="auto" w:fill="auto"/>
            <w:noWrap/>
            <w:vAlign w:val="center"/>
          </w:tcPr>
          <w:p w14:paraId="1CA7791C" w14:textId="382D3B9E" w:rsidR="00A50AE4" w:rsidRPr="007F5F46" w:rsidRDefault="00A50AE4" w:rsidP="00A50AE4">
            <w:pPr>
              <w:jc w:val="right"/>
            </w:pPr>
            <w:r w:rsidRPr="007F5F46">
              <w:rPr>
                <w:color w:val="000000"/>
              </w:rPr>
              <w:t>0.1%</w:t>
            </w:r>
          </w:p>
        </w:tc>
      </w:tr>
      <w:tr w:rsidR="00A50AE4" w:rsidRPr="000E4BF2" w14:paraId="18706334" w14:textId="77777777" w:rsidTr="00A50AE4">
        <w:trPr>
          <w:cantSplit/>
          <w:trHeight w:val="310"/>
          <w:jc w:val="center"/>
        </w:trPr>
        <w:tc>
          <w:tcPr>
            <w:tcW w:w="3055" w:type="dxa"/>
            <w:shd w:val="clear" w:color="auto" w:fill="auto"/>
            <w:noWrap/>
            <w:vAlign w:val="center"/>
            <w:hideMark/>
          </w:tcPr>
          <w:p w14:paraId="61D12DA8" w14:textId="77777777" w:rsidR="00A50AE4" w:rsidRPr="007F5F46" w:rsidRDefault="00A50AE4" w:rsidP="00A50AE4">
            <w:pPr>
              <w:rPr>
                <w:b/>
                <w:bCs/>
                <w:color w:val="000000"/>
              </w:rPr>
            </w:pPr>
            <w:r w:rsidRPr="007F5F46">
              <w:rPr>
                <w:b/>
                <w:bCs/>
                <w:color w:val="000000"/>
              </w:rPr>
              <w:t>Age</w:t>
            </w:r>
          </w:p>
        </w:tc>
        <w:tc>
          <w:tcPr>
            <w:tcW w:w="1080" w:type="dxa"/>
            <w:shd w:val="clear" w:color="auto" w:fill="auto"/>
            <w:noWrap/>
            <w:vAlign w:val="center"/>
          </w:tcPr>
          <w:p w14:paraId="30D1814A" w14:textId="08EE908E" w:rsidR="00A50AE4" w:rsidRPr="007F5F46" w:rsidRDefault="00A50AE4" w:rsidP="00A50AE4">
            <w:pPr>
              <w:rPr>
                <w:b/>
                <w:bCs/>
                <w:color w:val="000000"/>
              </w:rPr>
            </w:pPr>
            <w:r w:rsidRPr="007F5F46">
              <w:rPr>
                <w:b/>
                <w:bCs/>
                <w:color w:val="000000"/>
              </w:rPr>
              <w:t> </w:t>
            </w:r>
          </w:p>
        </w:tc>
        <w:tc>
          <w:tcPr>
            <w:tcW w:w="1170" w:type="dxa"/>
            <w:shd w:val="clear" w:color="auto" w:fill="auto"/>
            <w:noWrap/>
            <w:vAlign w:val="center"/>
          </w:tcPr>
          <w:p w14:paraId="7059C600" w14:textId="0E873BAB" w:rsidR="00A50AE4" w:rsidRPr="007F5F46" w:rsidRDefault="00A50AE4" w:rsidP="00A50AE4">
            <w:pPr>
              <w:rPr>
                <w:b/>
                <w:bCs/>
                <w:color w:val="000000"/>
              </w:rPr>
            </w:pPr>
            <w:r w:rsidRPr="007F5F46">
              <w:rPr>
                <w:color w:val="000000"/>
              </w:rPr>
              <w:t> </w:t>
            </w:r>
          </w:p>
        </w:tc>
        <w:tc>
          <w:tcPr>
            <w:tcW w:w="1269" w:type="dxa"/>
            <w:shd w:val="clear" w:color="auto" w:fill="auto"/>
            <w:vAlign w:val="center"/>
          </w:tcPr>
          <w:p w14:paraId="3F0DF133" w14:textId="4F35EAE5" w:rsidR="00A50AE4" w:rsidRPr="007F5F46" w:rsidRDefault="00A50AE4" w:rsidP="00A50AE4">
            <w:pPr>
              <w:jc w:val="center"/>
              <w:rPr>
                <w:b/>
                <w:bCs/>
              </w:rPr>
            </w:pPr>
            <w:r w:rsidRPr="007F5F46">
              <w:rPr>
                <w:b/>
                <w:bCs/>
              </w:rPr>
              <w:t> </w:t>
            </w:r>
          </w:p>
        </w:tc>
        <w:tc>
          <w:tcPr>
            <w:tcW w:w="1269" w:type="dxa"/>
            <w:shd w:val="clear" w:color="auto" w:fill="auto"/>
            <w:vAlign w:val="center"/>
          </w:tcPr>
          <w:p w14:paraId="14EB0D78" w14:textId="6EDFE810" w:rsidR="00A50AE4" w:rsidRPr="007F5F46" w:rsidRDefault="00A50AE4" w:rsidP="00A50AE4">
            <w:pPr>
              <w:jc w:val="center"/>
              <w:rPr>
                <w:b/>
                <w:bCs/>
              </w:rPr>
            </w:pPr>
          </w:p>
        </w:tc>
      </w:tr>
      <w:tr w:rsidR="00A50AE4" w:rsidRPr="000E4BF2" w14:paraId="0FE38044" w14:textId="77777777" w:rsidTr="00A50AE4">
        <w:trPr>
          <w:cantSplit/>
          <w:trHeight w:val="310"/>
          <w:jc w:val="center"/>
        </w:trPr>
        <w:tc>
          <w:tcPr>
            <w:tcW w:w="3055" w:type="dxa"/>
            <w:shd w:val="clear" w:color="auto" w:fill="auto"/>
            <w:noWrap/>
            <w:vAlign w:val="center"/>
            <w:hideMark/>
          </w:tcPr>
          <w:p w14:paraId="2A9A749E" w14:textId="77777777" w:rsidR="00A50AE4" w:rsidRPr="007F5F46" w:rsidRDefault="00A50AE4" w:rsidP="00A50AE4">
            <w:pPr>
              <w:rPr>
                <w:color w:val="000000"/>
              </w:rPr>
            </w:pPr>
            <w:r w:rsidRPr="007F5F46">
              <w:rPr>
                <w:color w:val="000000"/>
              </w:rPr>
              <w:t>0-2 years</w:t>
            </w:r>
          </w:p>
        </w:tc>
        <w:tc>
          <w:tcPr>
            <w:tcW w:w="1080" w:type="dxa"/>
            <w:shd w:val="clear" w:color="auto" w:fill="auto"/>
            <w:noWrap/>
            <w:vAlign w:val="center"/>
          </w:tcPr>
          <w:p w14:paraId="0278AA1E" w14:textId="432C4A9D" w:rsidR="00A50AE4" w:rsidRPr="007F5F46" w:rsidRDefault="00A50AE4" w:rsidP="00A50AE4">
            <w:pPr>
              <w:jc w:val="right"/>
              <w:rPr>
                <w:color w:val="000000"/>
              </w:rPr>
            </w:pPr>
            <w:r w:rsidRPr="007F5F46">
              <w:rPr>
                <w:color w:val="000000"/>
              </w:rPr>
              <w:t>16.6%</w:t>
            </w:r>
          </w:p>
        </w:tc>
        <w:tc>
          <w:tcPr>
            <w:tcW w:w="1170" w:type="dxa"/>
            <w:shd w:val="clear" w:color="auto" w:fill="auto"/>
            <w:noWrap/>
            <w:vAlign w:val="center"/>
          </w:tcPr>
          <w:p w14:paraId="6A22F6C5" w14:textId="7508C48B" w:rsidR="00A50AE4" w:rsidRPr="007F5F46" w:rsidRDefault="00A50AE4" w:rsidP="00A50AE4">
            <w:pPr>
              <w:jc w:val="right"/>
              <w:rPr>
                <w:color w:val="000000"/>
              </w:rPr>
            </w:pPr>
            <w:r w:rsidRPr="007F5F46">
              <w:rPr>
                <w:color w:val="000000"/>
              </w:rPr>
              <w:t>17.4%</w:t>
            </w:r>
          </w:p>
        </w:tc>
        <w:tc>
          <w:tcPr>
            <w:tcW w:w="1269" w:type="dxa"/>
            <w:shd w:val="clear" w:color="auto" w:fill="auto"/>
            <w:noWrap/>
            <w:vAlign w:val="center"/>
          </w:tcPr>
          <w:p w14:paraId="5A61D469" w14:textId="628120BE" w:rsidR="00A50AE4" w:rsidRPr="007F5F46" w:rsidRDefault="00A50AE4" w:rsidP="00A50AE4">
            <w:pPr>
              <w:jc w:val="right"/>
            </w:pPr>
            <w:r w:rsidRPr="007F5F46">
              <w:t>4.25%</w:t>
            </w:r>
          </w:p>
        </w:tc>
        <w:tc>
          <w:tcPr>
            <w:tcW w:w="1269" w:type="dxa"/>
            <w:shd w:val="clear" w:color="auto" w:fill="auto"/>
            <w:noWrap/>
            <w:vAlign w:val="center"/>
          </w:tcPr>
          <w:p w14:paraId="761E9FC0" w14:textId="73E1EE20" w:rsidR="00A50AE4" w:rsidRPr="007F5F46" w:rsidRDefault="00A50AE4" w:rsidP="00A50AE4">
            <w:pPr>
              <w:jc w:val="right"/>
            </w:pPr>
            <w:r w:rsidRPr="007F5F46">
              <w:rPr>
                <w:color w:val="000000"/>
              </w:rPr>
              <w:t>4.5%</w:t>
            </w:r>
          </w:p>
        </w:tc>
      </w:tr>
      <w:tr w:rsidR="00A50AE4" w:rsidRPr="000E4BF2" w14:paraId="3214D910" w14:textId="77777777" w:rsidTr="00A50AE4">
        <w:trPr>
          <w:cantSplit/>
          <w:trHeight w:val="310"/>
          <w:jc w:val="center"/>
        </w:trPr>
        <w:tc>
          <w:tcPr>
            <w:tcW w:w="3055" w:type="dxa"/>
            <w:shd w:val="clear" w:color="auto" w:fill="auto"/>
            <w:noWrap/>
            <w:vAlign w:val="center"/>
            <w:hideMark/>
          </w:tcPr>
          <w:p w14:paraId="25BC5964" w14:textId="77777777" w:rsidR="00A50AE4" w:rsidRPr="007F5F46" w:rsidRDefault="00A50AE4" w:rsidP="00A50AE4">
            <w:pPr>
              <w:rPr>
                <w:color w:val="000000"/>
              </w:rPr>
            </w:pPr>
            <w:r w:rsidRPr="007F5F46">
              <w:rPr>
                <w:color w:val="000000"/>
              </w:rPr>
              <w:t>3-5 years</w:t>
            </w:r>
          </w:p>
        </w:tc>
        <w:tc>
          <w:tcPr>
            <w:tcW w:w="1080" w:type="dxa"/>
            <w:shd w:val="clear" w:color="auto" w:fill="auto"/>
            <w:noWrap/>
            <w:vAlign w:val="center"/>
          </w:tcPr>
          <w:p w14:paraId="45BE1D01" w14:textId="15373743" w:rsidR="00A50AE4" w:rsidRPr="007F5F46" w:rsidRDefault="00A50AE4" w:rsidP="00A50AE4">
            <w:pPr>
              <w:jc w:val="right"/>
              <w:rPr>
                <w:color w:val="000000"/>
              </w:rPr>
            </w:pPr>
            <w:r w:rsidRPr="007F5F46">
              <w:rPr>
                <w:color w:val="000000"/>
              </w:rPr>
              <w:t>11.6%</w:t>
            </w:r>
          </w:p>
        </w:tc>
        <w:tc>
          <w:tcPr>
            <w:tcW w:w="1170" w:type="dxa"/>
            <w:shd w:val="clear" w:color="auto" w:fill="auto"/>
            <w:noWrap/>
            <w:vAlign w:val="center"/>
          </w:tcPr>
          <w:p w14:paraId="296B9ABD" w14:textId="6C68F5E4" w:rsidR="00A50AE4" w:rsidRPr="007F5F46" w:rsidRDefault="00A50AE4" w:rsidP="00A50AE4">
            <w:pPr>
              <w:jc w:val="right"/>
              <w:rPr>
                <w:color w:val="000000"/>
              </w:rPr>
            </w:pPr>
            <w:r w:rsidRPr="007F5F46">
              <w:rPr>
                <w:color w:val="000000"/>
              </w:rPr>
              <w:t>12.8%</w:t>
            </w:r>
          </w:p>
        </w:tc>
        <w:tc>
          <w:tcPr>
            <w:tcW w:w="1269" w:type="dxa"/>
            <w:shd w:val="clear" w:color="auto" w:fill="auto"/>
            <w:noWrap/>
            <w:vAlign w:val="center"/>
          </w:tcPr>
          <w:p w14:paraId="201C034D" w14:textId="0ED1F2CA" w:rsidR="00A50AE4" w:rsidRPr="007F5F46" w:rsidRDefault="00A50AE4" w:rsidP="00A50AE4">
            <w:pPr>
              <w:jc w:val="right"/>
            </w:pPr>
            <w:r w:rsidRPr="007F5F46">
              <w:t>31.30%</w:t>
            </w:r>
          </w:p>
        </w:tc>
        <w:tc>
          <w:tcPr>
            <w:tcW w:w="1269" w:type="dxa"/>
            <w:shd w:val="clear" w:color="auto" w:fill="auto"/>
            <w:noWrap/>
            <w:vAlign w:val="center"/>
          </w:tcPr>
          <w:p w14:paraId="6DB7751D" w14:textId="3D794739" w:rsidR="00A50AE4" w:rsidRPr="007F5F46" w:rsidRDefault="00A50AE4" w:rsidP="00A50AE4">
            <w:pPr>
              <w:jc w:val="right"/>
            </w:pPr>
            <w:r w:rsidRPr="007F5F46">
              <w:rPr>
                <w:color w:val="000000"/>
              </w:rPr>
              <w:t>29.3%</w:t>
            </w:r>
          </w:p>
        </w:tc>
      </w:tr>
      <w:tr w:rsidR="00A50AE4" w:rsidRPr="000E4BF2" w14:paraId="7908A020" w14:textId="77777777" w:rsidTr="00A50AE4">
        <w:trPr>
          <w:cantSplit/>
          <w:trHeight w:val="310"/>
          <w:jc w:val="center"/>
        </w:trPr>
        <w:tc>
          <w:tcPr>
            <w:tcW w:w="3055" w:type="dxa"/>
            <w:shd w:val="clear" w:color="auto" w:fill="auto"/>
            <w:noWrap/>
            <w:vAlign w:val="center"/>
            <w:hideMark/>
          </w:tcPr>
          <w:p w14:paraId="64D81AA5" w14:textId="77777777" w:rsidR="00A50AE4" w:rsidRPr="007F5F46" w:rsidRDefault="00A50AE4" w:rsidP="00A50AE4">
            <w:pPr>
              <w:rPr>
                <w:color w:val="000000"/>
              </w:rPr>
            </w:pPr>
            <w:r w:rsidRPr="007F5F46">
              <w:rPr>
                <w:color w:val="000000"/>
              </w:rPr>
              <w:t>6-10 years</w:t>
            </w:r>
          </w:p>
        </w:tc>
        <w:tc>
          <w:tcPr>
            <w:tcW w:w="1080" w:type="dxa"/>
            <w:shd w:val="clear" w:color="auto" w:fill="auto"/>
            <w:noWrap/>
            <w:vAlign w:val="center"/>
          </w:tcPr>
          <w:p w14:paraId="518311FE" w14:textId="024FD119" w:rsidR="00A50AE4" w:rsidRPr="007F5F46" w:rsidRDefault="00A50AE4" w:rsidP="00A50AE4">
            <w:pPr>
              <w:jc w:val="right"/>
              <w:rPr>
                <w:color w:val="000000"/>
              </w:rPr>
            </w:pPr>
            <w:r w:rsidRPr="007F5F46">
              <w:rPr>
                <w:color w:val="000000"/>
              </w:rPr>
              <w:t>18.3%</w:t>
            </w:r>
          </w:p>
        </w:tc>
        <w:tc>
          <w:tcPr>
            <w:tcW w:w="1170" w:type="dxa"/>
            <w:shd w:val="clear" w:color="auto" w:fill="auto"/>
            <w:noWrap/>
            <w:vAlign w:val="center"/>
          </w:tcPr>
          <w:p w14:paraId="2C562640" w14:textId="11AE0D2A" w:rsidR="00A50AE4" w:rsidRPr="007F5F46" w:rsidRDefault="00A50AE4" w:rsidP="00A50AE4">
            <w:pPr>
              <w:jc w:val="right"/>
              <w:rPr>
                <w:color w:val="000000"/>
              </w:rPr>
            </w:pPr>
            <w:r w:rsidRPr="007F5F46">
              <w:rPr>
                <w:color w:val="000000"/>
              </w:rPr>
              <w:t>19.6%</w:t>
            </w:r>
          </w:p>
        </w:tc>
        <w:tc>
          <w:tcPr>
            <w:tcW w:w="1269" w:type="dxa"/>
            <w:shd w:val="clear" w:color="auto" w:fill="auto"/>
            <w:noWrap/>
            <w:vAlign w:val="center"/>
          </w:tcPr>
          <w:p w14:paraId="00062B16" w14:textId="275BFA17" w:rsidR="00A50AE4" w:rsidRPr="007F5F46" w:rsidRDefault="00A50AE4" w:rsidP="00A50AE4">
            <w:pPr>
              <w:jc w:val="right"/>
            </w:pPr>
            <w:r w:rsidRPr="007F5F46">
              <w:t>34.84%</w:t>
            </w:r>
          </w:p>
        </w:tc>
        <w:tc>
          <w:tcPr>
            <w:tcW w:w="1269" w:type="dxa"/>
            <w:shd w:val="clear" w:color="auto" w:fill="auto"/>
            <w:noWrap/>
            <w:vAlign w:val="center"/>
          </w:tcPr>
          <w:p w14:paraId="07AFA990" w14:textId="70AE2A73" w:rsidR="00A50AE4" w:rsidRPr="007F5F46" w:rsidRDefault="00A50AE4" w:rsidP="00A50AE4">
            <w:pPr>
              <w:jc w:val="right"/>
            </w:pPr>
            <w:r w:rsidRPr="007F5F46">
              <w:rPr>
                <w:color w:val="000000"/>
              </w:rPr>
              <w:t>35.4%</w:t>
            </w:r>
          </w:p>
        </w:tc>
      </w:tr>
      <w:tr w:rsidR="00A50AE4" w:rsidRPr="000E4BF2" w14:paraId="1CB5C877" w14:textId="77777777" w:rsidTr="00A50AE4">
        <w:trPr>
          <w:cantSplit/>
          <w:trHeight w:val="310"/>
          <w:jc w:val="center"/>
        </w:trPr>
        <w:tc>
          <w:tcPr>
            <w:tcW w:w="3055" w:type="dxa"/>
            <w:shd w:val="clear" w:color="auto" w:fill="auto"/>
            <w:noWrap/>
            <w:vAlign w:val="center"/>
            <w:hideMark/>
          </w:tcPr>
          <w:p w14:paraId="5AF3D691" w14:textId="77777777" w:rsidR="00A50AE4" w:rsidRPr="007F5F46" w:rsidRDefault="00A50AE4" w:rsidP="00A50AE4">
            <w:pPr>
              <w:rPr>
                <w:color w:val="000000"/>
              </w:rPr>
            </w:pPr>
            <w:r w:rsidRPr="007F5F46">
              <w:rPr>
                <w:color w:val="000000"/>
              </w:rPr>
              <w:t>11-15 years</w:t>
            </w:r>
          </w:p>
        </w:tc>
        <w:tc>
          <w:tcPr>
            <w:tcW w:w="1080" w:type="dxa"/>
            <w:shd w:val="clear" w:color="auto" w:fill="auto"/>
            <w:noWrap/>
            <w:vAlign w:val="center"/>
          </w:tcPr>
          <w:p w14:paraId="577B5284" w14:textId="4B1551B2" w:rsidR="00A50AE4" w:rsidRPr="007F5F46" w:rsidRDefault="00A50AE4" w:rsidP="00A50AE4">
            <w:pPr>
              <w:jc w:val="right"/>
              <w:rPr>
                <w:color w:val="000000"/>
              </w:rPr>
            </w:pPr>
            <w:r w:rsidRPr="007F5F46">
              <w:rPr>
                <w:color w:val="000000"/>
              </w:rPr>
              <w:t>21.0%</w:t>
            </w:r>
          </w:p>
        </w:tc>
        <w:tc>
          <w:tcPr>
            <w:tcW w:w="1170" w:type="dxa"/>
            <w:shd w:val="clear" w:color="auto" w:fill="auto"/>
            <w:noWrap/>
            <w:vAlign w:val="center"/>
          </w:tcPr>
          <w:p w14:paraId="311963A0" w14:textId="5D3BB5EF" w:rsidR="00A50AE4" w:rsidRPr="007F5F46" w:rsidRDefault="00A50AE4" w:rsidP="00A50AE4">
            <w:pPr>
              <w:jc w:val="right"/>
              <w:rPr>
                <w:color w:val="000000"/>
              </w:rPr>
            </w:pPr>
            <w:r w:rsidRPr="007F5F46">
              <w:rPr>
                <w:color w:val="000000"/>
              </w:rPr>
              <w:t>21.0%</w:t>
            </w:r>
          </w:p>
        </w:tc>
        <w:tc>
          <w:tcPr>
            <w:tcW w:w="1269" w:type="dxa"/>
            <w:shd w:val="clear" w:color="auto" w:fill="auto"/>
            <w:noWrap/>
            <w:vAlign w:val="center"/>
          </w:tcPr>
          <w:p w14:paraId="360FCA84" w14:textId="0E95FB82" w:rsidR="00A50AE4" w:rsidRPr="007F5F46" w:rsidRDefault="00A50AE4" w:rsidP="00A50AE4">
            <w:pPr>
              <w:jc w:val="right"/>
            </w:pPr>
            <w:r w:rsidRPr="007F5F46">
              <w:t>17.58%</w:t>
            </w:r>
          </w:p>
        </w:tc>
        <w:tc>
          <w:tcPr>
            <w:tcW w:w="1269" w:type="dxa"/>
            <w:shd w:val="clear" w:color="auto" w:fill="auto"/>
            <w:noWrap/>
            <w:vAlign w:val="center"/>
          </w:tcPr>
          <w:p w14:paraId="16D8F82E" w14:textId="649F6853" w:rsidR="00A50AE4" w:rsidRPr="007F5F46" w:rsidRDefault="00A50AE4" w:rsidP="00A50AE4">
            <w:pPr>
              <w:jc w:val="right"/>
            </w:pPr>
            <w:r w:rsidRPr="007F5F46">
              <w:rPr>
                <w:color w:val="000000"/>
              </w:rPr>
              <w:t>17.3%</w:t>
            </w:r>
          </w:p>
        </w:tc>
      </w:tr>
      <w:tr w:rsidR="00A50AE4" w:rsidRPr="000E4BF2" w14:paraId="27EE4EDA" w14:textId="77777777" w:rsidTr="00A50AE4">
        <w:trPr>
          <w:cantSplit/>
          <w:trHeight w:val="310"/>
          <w:jc w:val="center"/>
        </w:trPr>
        <w:tc>
          <w:tcPr>
            <w:tcW w:w="3055" w:type="dxa"/>
            <w:shd w:val="clear" w:color="auto" w:fill="auto"/>
            <w:noWrap/>
            <w:vAlign w:val="center"/>
            <w:hideMark/>
          </w:tcPr>
          <w:p w14:paraId="04D84936" w14:textId="77777777" w:rsidR="00A50AE4" w:rsidRPr="007F5F46" w:rsidRDefault="00A50AE4" w:rsidP="00A50AE4">
            <w:pPr>
              <w:rPr>
                <w:color w:val="000000"/>
              </w:rPr>
            </w:pPr>
            <w:r w:rsidRPr="007F5F46">
              <w:rPr>
                <w:color w:val="000000"/>
              </w:rPr>
              <w:t>16-18 years</w:t>
            </w:r>
          </w:p>
        </w:tc>
        <w:tc>
          <w:tcPr>
            <w:tcW w:w="1080" w:type="dxa"/>
            <w:shd w:val="clear" w:color="auto" w:fill="auto"/>
            <w:noWrap/>
            <w:vAlign w:val="center"/>
          </w:tcPr>
          <w:p w14:paraId="787D5722" w14:textId="0BEBFA8D" w:rsidR="00A50AE4" w:rsidRPr="007F5F46" w:rsidRDefault="00A50AE4" w:rsidP="00A50AE4">
            <w:pPr>
              <w:jc w:val="right"/>
              <w:rPr>
                <w:color w:val="000000"/>
              </w:rPr>
            </w:pPr>
            <w:r w:rsidRPr="007F5F46">
              <w:rPr>
                <w:color w:val="000000"/>
              </w:rPr>
              <w:t>11.8%</w:t>
            </w:r>
          </w:p>
        </w:tc>
        <w:tc>
          <w:tcPr>
            <w:tcW w:w="1170" w:type="dxa"/>
            <w:shd w:val="clear" w:color="auto" w:fill="auto"/>
            <w:noWrap/>
            <w:vAlign w:val="center"/>
          </w:tcPr>
          <w:p w14:paraId="7B84AE3B" w14:textId="56BF7C12" w:rsidR="00A50AE4" w:rsidRPr="007F5F46" w:rsidRDefault="00A50AE4" w:rsidP="00A50AE4">
            <w:pPr>
              <w:jc w:val="right"/>
              <w:rPr>
                <w:color w:val="000000"/>
              </w:rPr>
            </w:pPr>
            <w:r w:rsidRPr="007F5F46">
              <w:rPr>
                <w:color w:val="000000"/>
              </w:rPr>
              <w:t>11.9%</w:t>
            </w:r>
          </w:p>
        </w:tc>
        <w:tc>
          <w:tcPr>
            <w:tcW w:w="1269" w:type="dxa"/>
            <w:shd w:val="clear" w:color="auto" w:fill="auto"/>
            <w:noWrap/>
            <w:vAlign w:val="center"/>
          </w:tcPr>
          <w:p w14:paraId="2C1D0971" w14:textId="2ADE51B7" w:rsidR="00A50AE4" w:rsidRPr="007F5F46" w:rsidRDefault="00A50AE4" w:rsidP="00A50AE4">
            <w:pPr>
              <w:jc w:val="right"/>
            </w:pPr>
            <w:r w:rsidRPr="007F5F46">
              <w:t>6.64%</w:t>
            </w:r>
          </w:p>
        </w:tc>
        <w:tc>
          <w:tcPr>
            <w:tcW w:w="1269" w:type="dxa"/>
            <w:shd w:val="clear" w:color="auto" w:fill="auto"/>
            <w:noWrap/>
            <w:vAlign w:val="center"/>
          </w:tcPr>
          <w:p w14:paraId="70FFFF34" w14:textId="52721D61" w:rsidR="00A50AE4" w:rsidRPr="007F5F46" w:rsidRDefault="00A50AE4" w:rsidP="00A50AE4">
            <w:pPr>
              <w:jc w:val="right"/>
            </w:pPr>
            <w:r w:rsidRPr="007F5F46">
              <w:rPr>
                <w:color w:val="000000"/>
              </w:rPr>
              <w:t>6.5%</w:t>
            </w:r>
          </w:p>
        </w:tc>
      </w:tr>
      <w:tr w:rsidR="00A50AE4" w:rsidRPr="000E4BF2" w14:paraId="389F6E7A" w14:textId="77777777" w:rsidTr="00A50AE4">
        <w:trPr>
          <w:cantSplit/>
          <w:trHeight w:val="310"/>
          <w:jc w:val="center"/>
        </w:trPr>
        <w:tc>
          <w:tcPr>
            <w:tcW w:w="3055" w:type="dxa"/>
            <w:shd w:val="clear" w:color="auto" w:fill="auto"/>
            <w:noWrap/>
            <w:vAlign w:val="center"/>
            <w:hideMark/>
          </w:tcPr>
          <w:p w14:paraId="7C53B677" w14:textId="77777777" w:rsidR="00A50AE4" w:rsidRPr="007F5F46" w:rsidRDefault="00A50AE4" w:rsidP="00A50AE4">
            <w:pPr>
              <w:rPr>
                <w:color w:val="000000"/>
              </w:rPr>
            </w:pPr>
            <w:r w:rsidRPr="007F5F46">
              <w:rPr>
                <w:color w:val="000000"/>
              </w:rPr>
              <w:t>19+ years</w:t>
            </w:r>
          </w:p>
        </w:tc>
        <w:tc>
          <w:tcPr>
            <w:tcW w:w="1080" w:type="dxa"/>
            <w:shd w:val="clear" w:color="auto" w:fill="auto"/>
            <w:noWrap/>
            <w:vAlign w:val="center"/>
          </w:tcPr>
          <w:p w14:paraId="328BF90E" w14:textId="76F7B861" w:rsidR="00A50AE4" w:rsidRPr="007F5F46" w:rsidRDefault="00A50AE4" w:rsidP="00A50AE4">
            <w:pPr>
              <w:jc w:val="right"/>
              <w:rPr>
                <w:color w:val="000000"/>
              </w:rPr>
            </w:pPr>
            <w:r w:rsidRPr="007F5F46">
              <w:rPr>
                <w:color w:val="000000"/>
              </w:rPr>
              <w:t>20.6%</w:t>
            </w:r>
          </w:p>
        </w:tc>
        <w:tc>
          <w:tcPr>
            <w:tcW w:w="1170" w:type="dxa"/>
            <w:shd w:val="clear" w:color="auto" w:fill="auto"/>
            <w:noWrap/>
            <w:vAlign w:val="center"/>
          </w:tcPr>
          <w:p w14:paraId="3EDE5172" w14:textId="0B07AE1C" w:rsidR="00A50AE4" w:rsidRPr="007F5F46" w:rsidRDefault="00A50AE4" w:rsidP="00A50AE4">
            <w:pPr>
              <w:jc w:val="right"/>
              <w:rPr>
                <w:color w:val="000000"/>
              </w:rPr>
            </w:pPr>
            <w:r w:rsidRPr="007F5F46">
              <w:rPr>
                <w:color w:val="000000"/>
              </w:rPr>
              <w:t>17.3%</w:t>
            </w:r>
          </w:p>
        </w:tc>
        <w:tc>
          <w:tcPr>
            <w:tcW w:w="1269" w:type="dxa"/>
            <w:shd w:val="clear" w:color="auto" w:fill="auto"/>
            <w:noWrap/>
            <w:vAlign w:val="center"/>
          </w:tcPr>
          <w:p w14:paraId="71E76791" w14:textId="2DF1A8C2" w:rsidR="00A50AE4" w:rsidRPr="007F5F46" w:rsidRDefault="00A50AE4" w:rsidP="00A50AE4">
            <w:pPr>
              <w:jc w:val="right"/>
            </w:pPr>
            <w:r w:rsidRPr="007F5F46">
              <w:t>5.39%</w:t>
            </w:r>
          </w:p>
        </w:tc>
        <w:tc>
          <w:tcPr>
            <w:tcW w:w="1269" w:type="dxa"/>
            <w:shd w:val="clear" w:color="auto" w:fill="auto"/>
            <w:noWrap/>
            <w:vAlign w:val="center"/>
          </w:tcPr>
          <w:p w14:paraId="557D07C2" w14:textId="7EDDFB49" w:rsidR="00A50AE4" w:rsidRPr="007F5F46" w:rsidRDefault="00A50AE4" w:rsidP="00A50AE4">
            <w:pPr>
              <w:jc w:val="right"/>
            </w:pPr>
            <w:r w:rsidRPr="007F5F46">
              <w:rPr>
                <w:color w:val="000000"/>
              </w:rPr>
              <w:t>7.1%</w:t>
            </w:r>
          </w:p>
        </w:tc>
      </w:tr>
      <w:tr w:rsidR="00A50AE4" w:rsidRPr="000E4BF2" w14:paraId="11DBECEF" w14:textId="77777777" w:rsidTr="00A50AE4">
        <w:trPr>
          <w:cantSplit/>
          <w:trHeight w:val="310"/>
          <w:jc w:val="center"/>
        </w:trPr>
        <w:tc>
          <w:tcPr>
            <w:tcW w:w="3055" w:type="dxa"/>
            <w:shd w:val="clear" w:color="auto" w:fill="auto"/>
            <w:noWrap/>
            <w:vAlign w:val="center"/>
            <w:hideMark/>
          </w:tcPr>
          <w:p w14:paraId="575DFF5B" w14:textId="58443714" w:rsidR="00A50AE4" w:rsidRPr="007F5F46" w:rsidRDefault="00A50AE4" w:rsidP="00A50AE4">
            <w:pPr>
              <w:rPr>
                <w:b/>
                <w:bCs/>
                <w:color w:val="000000"/>
              </w:rPr>
            </w:pPr>
            <w:bookmarkStart w:id="28" w:name="_Hlk106876141"/>
            <w:r w:rsidRPr="007F5F46">
              <w:br w:type="page"/>
            </w:r>
            <w:r w:rsidRPr="007F5F46">
              <w:rPr>
                <w:b/>
                <w:bCs/>
                <w:color w:val="000000"/>
              </w:rPr>
              <w:t>Race/Ethnicity*</w:t>
            </w:r>
          </w:p>
        </w:tc>
        <w:tc>
          <w:tcPr>
            <w:tcW w:w="1080" w:type="dxa"/>
            <w:shd w:val="clear" w:color="auto" w:fill="auto"/>
            <w:noWrap/>
            <w:vAlign w:val="center"/>
          </w:tcPr>
          <w:p w14:paraId="4C1A395F" w14:textId="1869542E" w:rsidR="00A50AE4" w:rsidRPr="007F5F46" w:rsidRDefault="00A50AE4" w:rsidP="00A50AE4">
            <w:pPr>
              <w:rPr>
                <w:b/>
                <w:bCs/>
                <w:color w:val="000000"/>
              </w:rPr>
            </w:pPr>
            <w:r w:rsidRPr="007F5F46">
              <w:rPr>
                <w:b/>
                <w:bCs/>
                <w:color w:val="000000"/>
              </w:rPr>
              <w:t> </w:t>
            </w:r>
          </w:p>
        </w:tc>
        <w:tc>
          <w:tcPr>
            <w:tcW w:w="1170" w:type="dxa"/>
            <w:shd w:val="clear" w:color="auto" w:fill="auto"/>
            <w:noWrap/>
            <w:vAlign w:val="center"/>
          </w:tcPr>
          <w:p w14:paraId="2517E042" w14:textId="12E8CC9E" w:rsidR="00A50AE4" w:rsidRPr="007F5F46" w:rsidRDefault="00A50AE4" w:rsidP="00A50AE4">
            <w:pPr>
              <w:rPr>
                <w:b/>
                <w:bCs/>
                <w:color w:val="000000"/>
              </w:rPr>
            </w:pPr>
          </w:p>
        </w:tc>
        <w:tc>
          <w:tcPr>
            <w:tcW w:w="1269" w:type="dxa"/>
            <w:shd w:val="clear" w:color="auto" w:fill="auto"/>
            <w:vAlign w:val="center"/>
          </w:tcPr>
          <w:p w14:paraId="2003094A" w14:textId="2AE3D4B3" w:rsidR="00A50AE4" w:rsidRPr="007F5F46" w:rsidRDefault="00A50AE4" w:rsidP="00A50AE4">
            <w:pPr>
              <w:jc w:val="center"/>
              <w:rPr>
                <w:b/>
                <w:bCs/>
              </w:rPr>
            </w:pPr>
            <w:r w:rsidRPr="007F5F46">
              <w:rPr>
                <w:b/>
                <w:bCs/>
              </w:rPr>
              <w:t> </w:t>
            </w:r>
          </w:p>
        </w:tc>
        <w:tc>
          <w:tcPr>
            <w:tcW w:w="1269" w:type="dxa"/>
            <w:shd w:val="clear" w:color="auto" w:fill="auto"/>
            <w:vAlign w:val="center"/>
          </w:tcPr>
          <w:p w14:paraId="2F881009" w14:textId="24FE12B0" w:rsidR="00A50AE4" w:rsidRPr="007F5F46" w:rsidRDefault="00A50AE4" w:rsidP="00A50AE4">
            <w:pPr>
              <w:jc w:val="center"/>
              <w:rPr>
                <w:b/>
                <w:bCs/>
              </w:rPr>
            </w:pPr>
            <w:r w:rsidRPr="007F5F46">
              <w:rPr>
                <w:color w:val="000000"/>
              </w:rPr>
              <w:t> </w:t>
            </w:r>
          </w:p>
        </w:tc>
      </w:tr>
      <w:bookmarkEnd w:id="28"/>
      <w:tr w:rsidR="00A50AE4" w:rsidRPr="000E4BF2" w14:paraId="4A63E843" w14:textId="77777777" w:rsidTr="00A50AE4">
        <w:trPr>
          <w:cantSplit/>
          <w:trHeight w:val="310"/>
          <w:jc w:val="center"/>
        </w:trPr>
        <w:tc>
          <w:tcPr>
            <w:tcW w:w="3055" w:type="dxa"/>
            <w:shd w:val="clear" w:color="auto" w:fill="auto"/>
            <w:noWrap/>
            <w:vAlign w:val="center"/>
            <w:hideMark/>
          </w:tcPr>
          <w:p w14:paraId="3D1D4120" w14:textId="77777777" w:rsidR="00A50AE4" w:rsidRPr="007F5F46" w:rsidRDefault="00A50AE4" w:rsidP="00A50AE4">
            <w:pPr>
              <w:rPr>
                <w:color w:val="000000"/>
              </w:rPr>
            </w:pPr>
            <w:r w:rsidRPr="007F5F46">
              <w:rPr>
                <w:color w:val="000000"/>
              </w:rPr>
              <w:t>Asian, non-Hispanic</w:t>
            </w:r>
          </w:p>
        </w:tc>
        <w:tc>
          <w:tcPr>
            <w:tcW w:w="1080" w:type="dxa"/>
            <w:shd w:val="clear" w:color="auto" w:fill="auto"/>
            <w:noWrap/>
            <w:vAlign w:val="center"/>
          </w:tcPr>
          <w:p w14:paraId="26583A39" w14:textId="1BCF34C4" w:rsidR="00A50AE4" w:rsidRPr="007F5F46" w:rsidRDefault="00A50AE4" w:rsidP="00A50AE4">
            <w:pPr>
              <w:jc w:val="right"/>
              <w:rPr>
                <w:color w:val="000000"/>
              </w:rPr>
            </w:pPr>
            <w:r w:rsidRPr="007F5F46">
              <w:rPr>
                <w:color w:val="000000"/>
              </w:rPr>
              <w:t>4.9%</w:t>
            </w:r>
          </w:p>
        </w:tc>
        <w:tc>
          <w:tcPr>
            <w:tcW w:w="1170" w:type="dxa"/>
            <w:shd w:val="clear" w:color="auto" w:fill="auto"/>
            <w:noWrap/>
            <w:vAlign w:val="center"/>
          </w:tcPr>
          <w:p w14:paraId="21BE6F21" w14:textId="3017ABB4" w:rsidR="00A50AE4" w:rsidRPr="007F5F46" w:rsidRDefault="00A50AE4" w:rsidP="00A50AE4">
            <w:pPr>
              <w:jc w:val="right"/>
              <w:rPr>
                <w:color w:val="000000"/>
              </w:rPr>
            </w:pPr>
            <w:r w:rsidRPr="007F5F46">
              <w:rPr>
                <w:color w:val="000000"/>
              </w:rPr>
              <w:t>5.6%</w:t>
            </w:r>
          </w:p>
        </w:tc>
        <w:tc>
          <w:tcPr>
            <w:tcW w:w="1269" w:type="dxa"/>
            <w:shd w:val="clear" w:color="auto" w:fill="auto"/>
            <w:noWrap/>
            <w:vAlign w:val="center"/>
          </w:tcPr>
          <w:p w14:paraId="21BA1756" w14:textId="01638FAD" w:rsidR="00A50AE4" w:rsidRPr="007F5F46" w:rsidRDefault="00A50AE4" w:rsidP="00A50AE4">
            <w:pPr>
              <w:jc w:val="right"/>
            </w:pPr>
            <w:r w:rsidRPr="007F5F46">
              <w:t>8.4%</w:t>
            </w:r>
          </w:p>
        </w:tc>
        <w:tc>
          <w:tcPr>
            <w:tcW w:w="1269" w:type="dxa"/>
            <w:shd w:val="clear" w:color="auto" w:fill="auto"/>
            <w:noWrap/>
            <w:vAlign w:val="center"/>
          </w:tcPr>
          <w:p w14:paraId="7B1E099E" w14:textId="421FA475" w:rsidR="00A50AE4" w:rsidRPr="007F5F46" w:rsidRDefault="00A50AE4" w:rsidP="00A50AE4">
            <w:pPr>
              <w:jc w:val="right"/>
            </w:pPr>
            <w:r w:rsidRPr="007F5F46">
              <w:rPr>
                <w:color w:val="000000"/>
              </w:rPr>
              <w:t>10.4%</w:t>
            </w:r>
          </w:p>
        </w:tc>
      </w:tr>
      <w:tr w:rsidR="00A50AE4" w:rsidRPr="000E4BF2" w14:paraId="55EB86E0" w14:textId="77777777" w:rsidTr="00A50AE4">
        <w:trPr>
          <w:cantSplit/>
          <w:trHeight w:val="310"/>
          <w:jc w:val="center"/>
        </w:trPr>
        <w:tc>
          <w:tcPr>
            <w:tcW w:w="3055" w:type="dxa"/>
            <w:shd w:val="clear" w:color="auto" w:fill="auto"/>
            <w:noWrap/>
            <w:vAlign w:val="center"/>
            <w:hideMark/>
          </w:tcPr>
          <w:p w14:paraId="75D22189" w14:textId="77777777" w:rsidR="00A50AE4" w:rsidRPr="007F5F46" w:rsidRDefault="00A50AE4" w:rsidP="00A50AE4">
            <w:pPr>
              <w:rPr>
                <w:color w:val="000000"/>
              </w:rPr>
            </w:pPr>
            <w:r w:rsidRPr="007F5F46">
              <w:rPr>
                <w:color w:val="000000"/>
              </w:rPr>
              <w:t>Black, non-Hispanic</w:t>
            </w:r>
          </w:p>
        </w:tc>
        <w:tc>
          <w:tcPr>
            <w:tcW w:w="1080" w:type="dxa"/>
            <w:shd w:val="clear" w:color="auto" w:fill="auto"/>
            <w:noWrap/>
            <w:vAlign w:val="center"/>
          </w:tcPr>
          <w:p w14:paraId="195D84C0" w14:textId="772804B0" w:rsidR="00A50AE4" w:rsidRPr="007F5F46" w:rsidRDefault="00A50AE4" w:rsidP="00A50AE4">
            <w:pPr>
              <w:jc w:val="right"/>
              <w:rPr>
                <w:color w:val="000000"/>
              </w:rPr>
            </w:pPr>
            <w:r w:rsidRPr="007F5F46">
              <w:rPr>
                <w:color w:val="000000"/>
              </w:rPr>
              <w:t>9.7%</w:t>
            </w:r>
          </w:p>
        </w:tc>
        <w:tc>
          <w:tcPr>
            <w:tcW w:w="1170" w:type="dxa"/>
            <w:shd w:val="clear" w:color="auto" w:fill="auto"/>
            <w:noWrap/>
            <w:vAlign w:val="center"/>
          </w:tcPr>
          <w:p w14:paraId="33BA7685" w14:textId="1722D3AA" w:rsidR="00A50AE4" w:rsidRPr="007F5F46" w:rsidRDefault="00A50AE4" w:rsidP="00A50AE4">
            <w:pPr>
              <w:jc w:val="right"/>
              <w:rPr>
                <w:color w:val="000000"/>
              </w:rPr>
            </w:pPr>
            <w:r w:rsidRPr="007F5F46">
              <w:rPr>
                <w:color w:val="000000"/>
              </w:rPr>
              <w:t>9.5%</w:t>
            </w:r>
          </w:p>
        </w:tc>
        <w:tc>
          <w:tcPr>
            <w:tcW w:w="1269" w:type="dxa"/>
            <w:shd w:val="clear" w:color="auto" w:fill="auto"/>
            <w:noWrap/>
            <w:vAlign w:val="center"/>
          </w:tcPr>
          <w:p w14:paraId="13618BB5" w14:textId="638B9F9C" w:rsidR="00A50AE4" w:rsidRPr="007F5F46" w:rsidRDefault="00A50AE4" w:rsidP="00A50AE4">
            <w:pPr>
              <w:jc w:val="right"/>
            </w:pPr>
            <w:r w:rsidRPr="007F5F46">
              <w:t>13.4%</w:t>
            </w:r>
          </w:p>
        </w:tc>
        <w:tc>
          <w:tcPr>
            <w:tcW w:w="1269" w:type="dxa"/>
            <w:shd w:val="clear" w:color="auto" w:fill="auto"/>
            <w:noWrap/>
            <w:vAlign w:val="center"/>
          </w:tcPr>
          <w:p w14:paraId="20396BDB" w14:textId="52F4F106" w:rsidR="00A50AE4" w:rsidRPr="007F5F46" w:rsidRDefault="00A50AE4" w:rsidP="00A50AE4">
            <w:pPr>
              <w:jc w:val="right"/>
            </w:pPr>
            <w:r w:rsidRPr="007F5F46">
              <w:rPr>
                <w:color w:val="000000"/>
              </w:rPr>
              <w:t>12.8%</w:t>
            </w:r>
          </w:p>
        </w:tc>
      </w:tr>
      <w:tr w:rsidR="00A50AE4" w:rsidRPr="000E4BF2" w14:paraId="067524F3" w14:textId="77777777" w:rsidTr="00A50AE4">
        <w:trPr>
          <w:cantSplit/>
          <w:trHeight w:val="310"/>
          <w:jc w:val="center"/>
        </w:trPr>
        <w:tc>
          <w:tcPr>
            <w:tcW w:w="3055" w:type="dxa"/>
            <w:shd w:val="clear" w:color="auto" w:fill="auto"/>
            <w:noWrap/>
            <w:vAlign w:val="center"/>
            <w:hideMark/>
          </w:tcPr>
          <w:p w14:paraId="47A222CE" w14:textId="77777777" w:rsidR="00A50AE4" w:rsidRPr="007F5F46" w:rsidRDefault="00A50AE4" w:rsidP="00A50AE4">
            <w:pPr>
              <w:rPr>
                <w:color w:val="000000"/>
              </w:rPr>
            </w:pPr>
            <w:r w:rsidRPr="007F5F46">
              <w:rPr>
                <w:color w:val="000000"/>
              </w:rPr>
              <w:t>Hispanic</w:t>
            </w:r>
          </w:p>
        </w:tc>
        <w:tc>
          <w:tcPr>
            <w:tcW w:w="1080" w:type="dxa"/>
            <w:shd w:val="clear" w:color="auto" w:fill="auto"/>
            <w:noWrap/>
            <w:vAlign w:val="center"/>
          </w:tcPr>
          <w:p w14:paraId="321E141A" w14:textId="5548CAB3" w:rsidR="00A50AE4" w:rsidRPr="007F5F46" w:rsidRDefault="00A50AE4" w:rsidP="00A50AE4">
            <w:pPr>
              <w:jc w:val="right"/>
              <w:rPr>
                <w:color w:val="000000"/>
              </w:rPr>
            </w:pPr>
            <w:r w:rsidRPr="007F5F46">
              <w:rPr>
                <w:color w:val="000000"/>
              </w:rPr>
              <w:t>16.0%</w:t>
            </w:r>
          </w:p>
        </w:tc>
        <w:tc>
          <w:tcPr>
            <w:tcW w:w="1170" w:type="dxa"/>
            <w:shd w:val="clear" w:color="auto" w:fill="auto"/>
            <w:noWrap/>
            <w:vAlign w:val="center"/>
          </w:tcPr>
          <w:p w14:paraId="46F5E610" w14:textId="2E1EDEE0" w:rsidR="00A50AE4" w:rsidRPr="007F5F46" w:rsidRDefault="00A50AE4" w:rsidP="00A50AE4">
            <w:pPr>
              <w:jc w:val="right"/>
              <w:rPr>
                <w:color w:val="000000"/>
              </w:rPr>
            </w:pPr>
            <w:r w:rsidRPr="007F5F46">
              <w:rPr>
                <w:color w:val="000000"/>
              </w:rPr>
              <w:t>16.4%</w:t>
            </w:r>
          </w:p>
        </w:tc>
        <w:tc>
          <w:tcPr>
            <w:tcW w:w="1269" w:type="dxa"/>
            <w:shd w:val="clear" w:color="auto" w:fill="auto"/>
            <w:noWrap/>
            <w:vAlign w:val="center"/>
          </w:tcPr>
          <w:p w14:paraId="6287CBA0" w14:textId="7E77139D" w:rsidR="00A50AE4" w:rsidRPr="007F5F46" w:rsidRDefault="00A50AE4" w:rsidP="00A50AE4">
            <w:pPr>
              <w:jc w:val="right"/>
            </w:pPr>
            <w:r w:rsidRPr="007F5F46">
              <w:t>23.3%</w:t>
            </w:r>
          </w:p>
        </w:tc>
        <w:tc>
          <w:tcPr>
            <w:tcW w:w="1269" w:type="dxa"/>
            <w:shd w:val="clear" w:color="auto" w:fill="auto"/>
            <w:noWrap/>
            <w:vAlign w:val="center"/>
          </w:tcPr>
          <w:p w14:paraId="0E9BB4D6" w14:textId="19CF48D3" w:rsidR="00A50AE4" w:rsidRPr="007F5F46" w:rsidRDefault="00A50AE4" w:rsidP="00A50AE4">
            <w:pPr>
              <w:jc w:val="right"/>
            </w:pPr>
            <w:r w:rsidRPr="007F5F46">
              <w:rPr>
                <w:color w:val="000000"/>
              </w:rPr>
              <w:t>24.8%</w:t>
            </w:r>
          </w:p>
        </w:tc>
      </w:tr>
      <w:tr w:rsidR="00A50AE4" w:rsidRPr="000E4BF2" w14:paraId="213AC5EA" w14:textId="77777777" w:rsidTr="00A50AE4">
        <w:trPr>
          <w:cantSplit/>
          <w:trHeight w:val="310"/>
          <w:jc w:val="center"/>
        </w:trPr>
        <w:tc>
          <w:tcPr>
            <w:tcW w:w="3055" w:type="dxa"/>
            <w:shd w:val="clear" w:color="auto" w:fill="auto"/>
            <w:noWrap/>
            <w:vAlign w:val="center"/>
            <w:hideMark/>
          </w:tcPr>
          <w:p w14:paraId="57174263" w14:textId="77777777" w:rsidR="00A50AE4" w:rsidRPr="007F5F46" w:rsidRDefault="00A50AE4" w:rsidP="00A50AE4">
            <w:pPr>
              <w:rPr>
                <w:color w:val="000000"/>
              </w:rPr>
            </w:pPr>
            <w:r w:rsidRPr="007F5F46">
              <w:rPr>
                <w:color w:val="000000"/>
              </w:rPr>
              <w:t>White, non-Hispanic</w:t>
            </w:r>
          </w:p>
        </w:tc>
        <w:tc>
          <w:tcPr>
            <w:tcW w:w="1080" w:type="dxa"/>
            <w:shd w:val="clear" w:color="auto" w:fill="auto"/>
            <w:noWrap/>
            <w:vAlign w:val="center"/>
          </w:tcPr>
          <w:p w14:paraId="325AAE13" w14:textId="64950B1E" w:rsidR="00A50AE4" w:rsidRPr="007F5F46" w:rsidRDefault="00A50AE4" w:rsidP="00A50AE4">
            <w:pPr>
              <w:jc w:val="right"/>
              <w:rPr>
                <w:color w:val="000000"/>
              </w:rPr>
            </w:pPr>
            <w:r w:rsidRPr="007F5F46">
              <w:rPr>
                <w:color w:val="000000"/>
              </w:rPr>
              <w:t>60.7%</w:t>
            </w:r>
          </w:p>
        </w:tc>
        <w:tc>
          <w:tcPr>
            <w:tcW w:w="1170" w:type="dxa"/>
            <w:shd w:val="clear" w:color="auto" w:fill="auto"/>
            <w:noWrap/>
            <w:vAlign w:val="center"/>
          </w:tcPr>
          <w:p w14:paraId="5BD4EE23" w14:textId="7159011A" w:rsidR="00A50AE4" w:rsidRPr="007F5F46" w:rsidRDefault="00A50AE4" w:rsidP="00A50AE4">
            <w:pPr>
              <w:jc w:val="right"/>
              <w:rPr>
                <w:color w:val="000000"/>
              </w:rPr>
            </w:pPr>
            <w:r w:rsidRPr="007F5F46">
              <w:rPr>
                <w:color w:val="000000"/>
              </w:rPr>
              <w:t>59.9%</w:t>
            </w:r>
          </w:p>
        </w:tc>
        <w:tc>
          <w:tcPr>
            <w:tcW w:w="1269" w:type="dxa"/>
            <w:shd w:val="clear" w:color="auto" w:fill="auto"/>
            <w:noWrap/>
            <w:vAlign w:val="center"/>
          </w:tcPr>
          <w:p w14:paraId="12C08963" w14:textId="39386193" w:rsidR="00A50AE4" w:rsidRPr="007F5F46" w:rsidRDefault="00A50AE4" w:rsidP="00A50AE4">
            <w:pPr>
              <w:jc w:val="right"/>
            </w:pPr>
            <w:r w:rsidRPr="007F5F46">
              <w:t>45.1%</w:t>
            </w:r>
          </w:p>
        </w:tc>
        <w:tc>
          <w:tcPr>
            <w:tcW w:w="1269" w:type="dxa"/>
            <w:shd w:val="clear" w:color="auto" w:fill="auto"/>
            <w:noWrap/>
            <w:vAlign w:val="center"/>
          </w:tcPr>
          <w:p w14:paraId="7F63582D" w14:textId="402991BB" w:rsidR="00A50AE4" w:rsidRPr="007F5F46" w:rsidRDefault="00A50AE4" w:rsidP="00A50AE4">
            <w:pPr>
              <w:jc w:val="right"/>
            </w:pPr>
            <w:r w:rsidRPr="007F5F46">
              <w:rPr>
                <w:color w:val="000000"/>
              </w:rPr>
              <w:t>40.2%</w:t>
            </w:r>
          </w:p>
        </w:tc>
      </w:tr>
      <w:tr w:rsidR="00A50AE4" w:rsidRPr="000E4BF2" w14:paraId="61C04BC1" w14:textId="77777777" w:rsidTr="00A50AE4">
        <w:trPr>
          <w:cantSplit/>
          <w:trHeight w:val="310"/>
          <w:jc w:val="center"/>
        </w:trPr>
        <w:tc>
          <w:tcPr>
            <w:tcW w:w="3055" w:type="dxa"/>
            <w:shd w:val="clear" w:color="auto" w:fill="auto"/>
            <w:noWrap/>
            <w:vAlign w:val="center"/>
            <w:hideMark/>
          </w:tcPr>
          <w:p w14:paraId="66C75661" w14:textId="77777777" w:rsidR="00A50AE4" w:rsidRPr="007F5F46" w:rsidRDefault="00A50AE4" w:rsidP="00A50AE4">
            <w:pPr>
              <w:rPr>
                <w:color w:val="000000"/>
              </w:rPr>
            </w:pPr>
            <w:r w:rsidRPr="007F5F46">
              <w:rPr>
                <w:color w:val="000000"/>
              </w:rPr>
              <w:t>Another Race, non-Hispanic</w:t>
            </w:r>
          </w:p>
        </w:tc>
        <w:tc>
          <w:tcPr>
            <w:tcW w:w="1080" w:type="dxa"/>
            <w:shd w:val="clear" w:color="auto" w:fill="auto"/>
            <w:noWrap/>
            <w:vAlign w:val="center"/>
          </w:tcPr>
          <w:p w14:paraId="0849C62C" w14:textId="44D872C9" w:rsidR="00A50AE4" w:rsidRPr="007F5F46" w:rsidRDefault="00A50AE4" w:rsidP="00A50AE4">
            <w:pPr>
              <w:jc w:val="right"/>
              <w:rPr>
                <w:color w:val="000000"/>
              </w:rPr>
            </w:pPr>
            <w:r w:rsidRPr="007F5F46">
              <w:rPr>
                <w:color w:val="000000"/>
              </w:rPr>
              <w:t>7.0%</w:t>
            </w:r>
          </w:p>
        </w:tc>
        <w:tc>
          <w:tcPr>
            <w:tcW w:w="1170" w:type="dxa"/>
            <w:shd w:val="clear" w:color="auto" w:fill="auto"/>
            <w:noWrap/>
            <w:vAlign w:val="center"/>
          </w:tcPr>
          <w:p w14:paraId="11442DED" w14:textId="7E8C3874" w:rsidR="00A50AE4" w:rsidRPr="007F5F46" w:rsidRDefault="00A50AE4" w:rsidP="00A50AE4">
            <w:pPr>
              <w:jc w:val="right"/>
              <w:rPr>
                <w:color w:val="000000"/>
              </w:rPr>
            </w:pPr>
            <w:r w:rsidRPr="007F5F46">
              <w:rPr>
                <w:color w:val="000000"/>
              </w:rPr>
              <w:t>6.8%</w:t>
            </w:r>
          </w:p>
        </w:tc>
        <w:tc>
          <w:tcPr>
            <w:tcW w:w="1269" w:type="dxa"/>
            <w:shd w:val="clear" w:color="auto" w:fill="auto"/>
            <w:noWrap/>
            <w:vAlign w:val="center"/>
          </w:tcPr>
          <w:p w14:paraId="7FA28974" w14:textId="430421D7" w:rsidR="00A50AE4" w:rsidRPr="007F5F46" w:rsidRDefault="00A50AE4" w:rsidP="00A50AE4">
            <w:pPr>
              <w:jc w:val="right"/>
            </w:pPr>
            <w:r w:rsidRPr="007F5F46">
              <w:t>9.8%</w:t>
            </w:r>
          </w:p>
        </w:tc>
        <w:tc>
          <w:tcPr>
            <w:tcW w:w="1269" w:type="dxa"/>
            <w:shd w:val="clear" w:color="auto" w:fill="auto"/>
            <w:noWrap/>
            <w:vAlign w:val="center"/>
          </w:tcPr>
          <w:p w14:paraId="1980155D" w14:textId="15C88CED" w:rsidR="00A50AE4" w:rsidRPr="007F5F46" w:rsidRDefault="00A50AE4" w:rsidP="00A50AE4">
            <w:pPr>
              <w:jc w:val="right"/>
            </w:pPr>
            <w:r w:rsidRPr="007F5F46">
              <w:rPr>
                <w:color w:val="000000"/>
              </w:rPr>
              <w:t>11.8%</w:t>
            </w:r>
          </w:p>
        </w:tc>
      </w:tr>
      <w:tr w:rsidR="00A50AE4" w:rsidRPr="000E4BF2" w14:paraId="5DFA323C" w14:textId="77777777" w:rsidTr="00A50AE4">
        <w:trPr>
          <w:cantSplit/>
          <w:trHeight w:val="310"/>
          <w:jc w:val="center"/>
        </w:trPr>
        <w:tc>
          <w:tcPr>
            <w:tcW w:w="3055" w:type="dxa"/>
            <w:shd w:val="clear" w:color="auto" w:fill="auto"/>
            <w:noWrap/>
            <w:vAlign w:val="center"/>
            <w:hideMark/>
          </w:tcPr>
          <w:p w14:paraId="29270315" w14:textId="77777777" w:rsidR="00A50AE4" w:rsidRPr="007F5F46" w:rsidRDefault="00A50AE4" w:rsidP="00A50AE4">
            <w:pPr>
              <w:rPr>
                <w:color w:val="000000"/>
              </w:rPr>
            </w:pPr>
            <w:r w:rsidRPr="007F5F46">
              <w:rPr>
                <w:color w:val="000000"/>
              </w:rPr>
              <w:t>Multiracial, non-Hispanic</w:t>
            </w:r>
          </w:p>
        </w:tc>
        <w:tc>
          <w:tcPr>
            <w:tcW w:w="1080" w:type="dxa"/>
            <w:shd w:val="clear" w:color="auto" w:fill="auto"/>
            <w:noWrap/>
            <w:vAlign w:val="center"/>
          </w:tcPr>
          <w:p w14:paraId="58ADF98B" w14:textId="3EB870A5" w:rsidR="00A50AE4" w:rsidRPr="007F5F46" w:rsidRDefault="00A50AE4" w:rsidP="00A50AE4">
            <w:pPr>
              <w:jc w:val="right"/>
              <w:rPr>
                <w:color w:val="000000"/>
              </w:rPr>
            </w:pPr>
            <w:r w:rsidRPr="007F5F46">
              <w:rPr>
                <w:color w:val="000000"/>
              </w:rPr>
              <w:t>1.7%</w:t>
            </w:r>
          </w:p>
        </w:tc>
        <w:tc>
          <w:tcPr>
            <w:tcW w:w="1170" w:type="dxa"/>
            <w:shd w:val="clear" w:color="auto" w:fill="auto"/>
            <w:noWrap/>
            <w:vAlign w:val="center"/>
          </w:tcPr>
          <w:p w14:paraId="254B3D30" w14:textId="645EBDA3" w:rsidR="00A50AE4" w:rsidRPr="007F5F46" w:rsidRDefault="00A50AE4" w:rsidP="00A50AE4">
            <w:pPr>
              <w:jc w:val="right"/>
              <w:rPr>
                <w:color w:val="000000"/>
              </w:rPr>
            </w:pPr>
            <w:r w:rsidRPr="007F5F46">
              <w:rPr>
                <w:color w:val="000000"/>
              </w:rPr>
              <w:t>1.9%</w:t>
            </w:r>
          </w:p>
        </w:tc>
        <w:tc>
          <w:tcPr>
            <w:tcW w:w="1269" w:type="dxa"/>
            <w:shd w:val="clear" w:color="auto" w:fill="auto"/>
            <w:noWrap/>
            <w:vAlign w:val="center"/>
          </w:tcPr>
          <w:p w14:paraId="52771F4C" w14:textId="65AFBA99" w:rsidR="00A50AE4" w:rsidRPr="007F5F46" w:rsidRDefault="00A50AE4" w:rsidP="00A50AE4">
            <w:pPr>
              <w:ind w:right="-100"/>
              <w:jc w:val="right"/>
              <w:rPr>
                <w:color w:val="000000"/>
              </w:rPr>
            </w:pPr>
            <w:r w:rsidRPr="007F5F46">
              <w:rPr>
                <w:color w:val="000000"/>
              </w:rPr>
              <w:t> </w:t>
            </w:r>
            <w:r>
              <w:rPr>
                <w:color w:val="000000"/>
              </w:rPr>
              <w:t>NA</w:t>
            </w:r>
          </w:p>
        </w:tc>
        <w:tc>
          <w:tcPr>
            <w:tcW w:w="1269" w:type="dxa"/>
            <w:shd w:val="clear" w:color="auto" w:fill="auto"/>
            <w:noWrap/>
            <w:vAlign w:val="center"/>
          </w:tcPr>
          <w:p w14:paraId="3EF87DAD" w14:textId="23EDC7FF" w:rsidR="00A50AE4" w:rsidRPr="007F5F46" w:rsidRDefault="00A50AE4" w:rsidP="00A50AE4">
            <w:pPr>
              <w:jc w:val="right"/>
              <w:rPr>
                <w:color w:val="000000"/>
              </w:rPr>
            </w:pPr>
            <w:r>
              <w:rPr>
                <w:color w:val="000000"/>
              </w:rPr>
              <w:t>NA</w:t>
            </w:r>
          </w:p>
        </w:tc>
      </w:tr>
      <w:tr w:rsidR="00A50AE4" w:rsidRPr="000E4BF2" w14:paraId="5BBF0977" w14:textId="77777777" w:rsidTr="00A50AE4">
        <w:trPr>
          <w:cantSplit/>
          <w:trHeight w:val="310"/>
          <w:jc w:val="center"/>
        </w:trPr>
        <w:tc>
          <w:tcPr>
            <w:tcW w:w="3055" w:type="dxa"/>
            <w:shd w:val="clear" w:color="auto" w:fill="auto"/>
            <w:noWrap/>
            <w:vAlign w:val="center"/>
            <w:hideMark/>
          </w:tcPr>
          <w:p w14:paraId="62660036" w14:textId="77777777" w:rsidR="00A50AE4" w:rsidRPr="007F5F46" w:rsidRDefault="00A50AE4" w:rsidP="00A50AE4">
            <w:pPr>
              <w:rPr>
                <w:b/>
                <w:bCs/>
                <w:color w:val="000000"/>
              </w:rPr>
            </w:pPr>
            <w:r w:rsidRPr="007F5F46">
              <w:rPr>
                <w:b/>
                <w:bCs/>
                <w:color w:val="000000"/>
              </w:rPr>
              <w:t>Patient Origin</w:t>
            </w:r>
          </w:p>
        </w:tc>
        <w:tc>
          <w:tcPr>
            <w:tcW w:w="1080" w:type="dxa"/>
            <w:shd w:val="clear" w:color="auto" w:fill="auto"/>
            <w:noWrap/>
            <w:vAlign w:val="center"/>
          </w:tcPr>
          <w:p w14:paraId="7E22FE57" w14:textId="44C64BCC" w:rsidR="00A50AE4" w:rsidRPr="007F5F46" w:rsidRDefault="00A50AE4" w:rsidP="00A50AE4">
            <w:pPr>
              <w:rPr>
                <w:b/>
                <w:bCs/>
                <w:color w:val="000000"/>
              </w:rPr>
            </w:pPr>
            <w:r w:rsidRPr="007F5F46">
              <w:rPr>
                <w:b/>
                <w:bCs/>
                <w:color w:val="000000"/>
              </w:rPr>
              <w:t> </w:t>
            </w:r>
          </w:p>
        </w:tc>
        <w:tc>
          <w:tcPr>
            <w:tcW w:w="1170" w:type="dxa"/>
            <w:shd w:val="clear" w:color="auto" w:fill="auto"/>
            <w:noWrap/>
            <w:vAlign w:val="center"/>
          </w:tcPr>
          <w:p w14:paraId="1F8450EF" w14:textId="712ED7A6" w:rsidR="00A50AE4" w:rsidRPr="007F5F46" w:rsidRDefault="00A50AE4" w:rsidP="00A50AE4">
            <w:pPr>
              <w:rPr>
                <w:b/>
                <w:bCs/>
                <w:color w:val="000000"/>
              </w:rPr>
            </w:pPr>
          </w:p>
        </w:tc>
        <w:tc>
          <w:tcPr>
            <w:tcW w:w="1269" w:type="dxa"/>
            <w:shd w:val="clear" w:color="auto" w:fill="auto"/>
            <w:vAlign w:val="center"/>
          </w:tcPr>
          <w:p w14:paraId="3221A815" w14:textId="71D9EC4D" w:rsidR="00A50AE4" w:rsidRPr="007F5F46" w:rsidRDefault="00A50AE4" w:rsidP="00A50AE4">
            <w:pPr>
              <w:jc w:val="center"/>
              <w:rPr>
                <w:b/>
                <w:bCs/>
              </w:rPr>
            </w:pPr>
            <w:r w:rsidRPr="007F5F46">
              <w:rPr>
                <w:b/>
                <w:bCs/>
              </w:rPr>
              <w:t> </w:t>
            </w:r>
          </w:p>
        </w:tc>
        <w:tc>
          <w:tcPr>
            <w:tcW w:w="1269" w:type="dxa"/>
            <w:shd w:val="clear" w:color="auto" w:fill="auto"/>
            <w:vAlign w:val="center"/>
          </w:tcPr>
          <w:p w14:paraId="5039FD80" w14:textId="2319EBB9" w:rsidR="00A50AE4" w:rsidRPr="007F5F46" w:rsidRDefault="00A50AE4" w:rsidP="00A50AE4">
            <w:pPr>
              <w:jc w:val="center"/>
              <w:rPr>
                <w:b/>
                <w:bCs/>
              </w:rPr>
            </w:pPr>
          </w:p>
        </w:tc>
      </w:tr>
      <w:tr w:rsidR="00A50AE4" w:rsidRPr="000E4BF2" w14:paraId="4BDEDB59" w14:textId="77777777" w:rsidTr="00A50AE4">
        <w:trPr>
          <w:cantSplit/>
          <w:trHeight w:val="310"/>
          <w:jc w:val="center"/>
        </w:trPr>
        <w:tc>
          <w:tcPr>
            <w:tcW w:w="3055" w:type="dxa"/>
            <w:shd w:val="clear" w:color="auto" w:fill="auto"/>
            <w:noWrap/>
            <w:vAlign w:val="center"/>
            <w:hideMark/>
          </w:tcPr>
          <w:p w14:paraId="4ADAFEA2" w14:textId="77777777" w:rsidR="00A50AE4" w:rsidRPr="007F5F46" w:rsidRDefault="00A50AE4" w:rsidP="00A50AE4">
            <w:pPr>
              <w:rPr>
                <w:color w:val="000000"/>
              </w:rPr>
            </w:pPr>
            <w:r w:rsidRPr="007F5F46">
              <w:rPr>
                <w:color w:val="000000"/>
              </w:rPr>
              <w:lastRenderedPageBreak/>
              <w:t>HSA_1: Western MA</w:t>
            </w:r>
          </w:p>
        </w:tc>
        <w:tc>
          <w:tcPr>
            <w:tcW w:w="1080" w:type="dxa"/>
            <w:shd w:val="clear" w:color="auto" w:fill="auto"/>
            <w:noWrap/>
            <w:vAlign w:val="center"/>
          </w:tcPr>
          <w:p w14:paraId="4E6775FA" w14:textId="0656B37E" w:rsidR="00A50AE4" w:rsidRPr="007F5F46" w:rsidRDefault="00A50AE4" w:rsidP="00A50AE4">
            <w:pPr>
              <w:jc w:val="right"/>
              <w:rPr>
                <w:color w:val="000000"/>
              </w:rPr>
            </w:pPr>
            <w:r w:rsidRPr="007F5F46">
              <w:rPr>
                <w:color w:val="000000"/>
              </w:rPr>
              <w:t>1.8%</w:t>
            </w:r>
          </w:p>
        </w:tc>
        <w:tc>
          <w:tcPr>
            <w:tcW w:w="1170" w:type="dxa"/>
            <w:shd w:val="clear" w:color="auto" w:fill="auto"/>
            <w:noWrap/>
            <w:vAlign w:val="center"/>
          </w:tcPr>
          <w:p w14:paraId="7225CB96" w14:textId="4BF36A15" w:rsidR="00A50AE4" w:rsidRPr="007F5F46" w:rsidRDefault="00A50AE4" w:rsidP="00A50AE4">
            <w:pPr>
              <w:jc w:val="right"/>
              <w:rPr>
                <w:color w:val="000000"/>
              </w:rPr>
            </w:pPr>
            <w:r w:rsidRPr="007F5F46">
              <w:rPr>
                <w:color w:val="000000"/>
              </w:rPr>
              <w:t>1.7%</w:t>
            </w:r>
          </w:p>
        </w:tc>
        <w:tc>
          <w:tcPr>
            <w:tcW w:w="1269" w:type="dxa"/>
            <w:shd w:val="clear" w:color="auto" w:fill="auto"/>
            <w:noWrap/>
            <w:vAlign w:val="center"/>
          </w:tcPr>
          <w:p w14:paraId="2F003C8B" w14:textId="504B4C8B" w:rsidR="00A50AE4" w:rsidRPr="007F5F46" w:rsidRDefault="00A50AE4" w:rsidP="00A50AE4">
            <w:pPr>
              <w:jc w:val="right"/>
            </w:pPr>
            <w:r w:rsidRPr="007F5F46">
              <w:t>1.6%</w:t>
            </w:r>
          </w:p>
        </w:tc>
        <w:tc>
          <w:tcPr>
            <w:tcW w:w="1269" w:type="dxa"/>
            <w:shd w:val="clear" w:color="auto" w:fill="auto"/>
            <w:noWrap/>
            <w:vAlign w:val="center"/>
          </w:tcPr>
          <w:p w14:paraId="371F6E7F" w14:textId="49BDA91F" w:rsidR="00A50AE4" w:rsidRPr="007F5F46" w:rsidRDefault="00A50AE4" w:rsidP="00A50AE4">
            <w:pPr>
              <w:jc w:val="right"/>
            </w:pPr>
            <w:r w:rsidRPr="007F5F46">
              <w:rPr>
                <w:color w:val="000000"/>
              </w:rPr>
              <w:t>1.6%</w:t>
            </w:r>
          </w:p>
        </w:tc>
      </w:tr>
      <w:tr w:rsidR="00A50AE4" w:rsidRPr="000E4BF2" w14:paraId="3399069C" w14:textId="77777777" w:rsidTr="00A50AE4">
        <w:trPr>
          <w:cantSplit/>
          <w:trHeight w:val="310"/>
          <w:jc w:val="center"/>
        </w:trPr>
        <w:tc>
          <w:tcPr>
            <w:tcW w:w="3055" w:type="dxa"/>
            <w:shd w:val="clear" w:color="auto" w:fill="auto"/>
            <w:noWrap/>
            <w:vAlign w:val="center"/>
            <w:hideMark/>
          </w:tcPr>
          <w:p w14:paraId="3F91BDAC" w14:textId="77777777" w:rsidR="00A50AE4" w:rsidRPr="007F5F46" w:rsidRDefault="00A50AE4" w:rsidP="00A50AE4">
            <w:pPr>
              <w:rPr>
                <w:color w:val="000000"/>
              </w:rPr>
            </w:pPr>
            <w:r w:rsidRPr="007F5F46">
              <w:rPr>
                <w:color w:val="000000"/>
              </w:rPr>
              <w:t>HSA_2: Central MA</w:t>
            </w:r>
          </w:p>
        </w:tc>
        <w:tc>
          <w:tcPr>
            <w:tcW w:w="1080" w:type="dxa"/>
            <w:shd w:val="clear" w:color="auto" w:fill="auto"/>
            <w:noWrap/>
            <w:vAlign w:val="center"/>
          </w:tcPr>
          <w:p w14:paraId="55264F3E" w14:textId="4730AF35" w:rsidR="00A50AE4" w:rsidRPr="007F5F46" w:rsidRDefault="00A50AE4" w:rsidP="00A50AE4">
            <w:pPr>
              <w:jc w:val="right"/>
              <w:rPr>
                <w:color w:val="000000"/>
              </w:rPr>
            </w:pPr>
            <w:r w:rsidRPr="007F5F46">
              <w:rPr>
                <w:color w:val="000000"/>
              </w:rPr>
              <w:t>6.3%</w:t>
            </w:r>
          </w:p>
        </w:tc>
        <w:tc>
          <w:tcPr>
            <w:tcW w:w="1170" w:type="dxa"/>
            <w:shd w:val="clear" w:color="auto" w:fill="auto"/>
            <w:noWrap/>
            <w:vAlign w:val="center"/>
          </w:tcPr>
          <w:p w14:paraId="39BADC9C" w14:textId="54397999" w:rsidR="00A50AE4" w:rsidRPr="007F5F46" w:rsidRDefault="00A50AE4" w:rsidP="00A50AE4">
            <w:pPr>
              <w:jc w:val="right"/>
              <w:rPr>
                <w:color w:val="000000"/>
              </w:rPr>
            </w:pPr>
            <w:r w:rsidRPr="007F5F46">
              <w:rPr>
                <w:color w:val="000000"/>
              </w:rPr>
              <w:t>6.2%</w:t>
            </w:r>
          </w:p>
        </w:tc>
        <w:tc>
          <w:tcPr>
            <w:tcW w:w="1269" w:type="dxa"/>
            <w:shd w:val="clear" w:color="auto" w:fill="auto"/>
            <w:noWrap/>
            <w:vAlign w:val="center"/>
          </w:tcPr>
          <w:p w14:paraId="50AE1367" w14:textId="73C45306" w:rsidR="00A50AE4" w:rsidRPr="007F5F46" w:rsidRDefault="00A50AE4" w:rsidP="00A50AE4">
            <w:pPr>
              <w:jc w:val="right"/>
            </w:pPr>
            <w:r w:rsidRPr="007F5F46">
              <w:t>14.0%</w:t>
            </w:r>
          </w:p>
        </w:tc>
        <w:tc>
          <w:tcPr>
            <w:tcW w:w="1269" w:type="dxa"/>
            <w:shd w:val="clear" w:color="auto" w:fill="auto"/>
            <w:noWrap/>
            <w:vAlign w:val="center"/>
          </w:tcPr>
          <w:p w14:paraId="412B423D" w14:textId="0C0DE228" w:rsidR="00A50AE4" w:rsidRPr="007F5F46" w:rsidRDefault="00A50AE4" w:rsidP="00A50AE4">
            <w:pPr>
              <w:jc w:val="right"/>
            </w:pPr>
            <w:r w:rsidRPr="007F5F46">
              <w:rPr>
                <w:color w:val="000000"/>
              </w:rPr>
              <w:t>15.2%</w:t>
            </w:r>
          </w:p>
        </w:tc>
      </w:tr>
      <w:tr w:rsidR="00A50AE4" w:rsidRPr="000E4BF2" w14:paraId="18119E5E" w14:textId="77777777" w:rsidTr="00A50AE4">
        <w:trPr>
          <w:cantSplit/>
          <w:trHeight w:val="310"/>
          <w:jc w:val="center"/>
        </w:trPr>
        <w:tc>
          <w:tcPr>
            <w:tcW w:w="3055" w:type="dxa"/>
            <w:shd w:val="clear" w:color="auto" w:fill="auto"/>
            <w:noWrap/>
            <w:vAlign w:val="center"/>
            <w:hideMark/>
          </w:tcPr>
          <w:p w14:paraId="109F7075" w14:textId="77777777" w:rsidR="00A50AE4" w:rsidRPr="007F5F46" w:rsidRDefault="00A50AE4" w:rsidP="00A50AE4">
            <w:pPr>
              <w:rPr>
                <w:color w:val="000000"/>
              </w:rPr>
            </w:pPr>
            <w:r w:rsidRPr="007F5F46">
              <w:rPr>
                <w:color w:val="000000"/>
              </w:rPr>
              <w:t>HSA_3: Northeast</w:t>
            </w:r>
          </w:p>
        </w:tc>
        <w:tc>
          <w:tcPr>
            <w:tcW w:w="1080" w:type="dxa"/>
            <w:shd w:val="clear" w:color="auto" w:fill="auto"/>
            <w:noWrap/>
            <w:vAlign w:val="center"/>
          </w:tcPr>
          <w:p w14:paraId="4FA9ED8D" w14:textId="31BE5434" w:rsidR="00A50AE4" w:rsidRPr="007F5F46" w:rsidRDefault="00A50AE4" w:rsidP="00A50AE4">
            <w:pPr>
              <w:jc w:val="right"/>
              <w:rPr>
                <w:color w:val="000000"/>
              </w:rPr>
            </w:pPr>
            <w:r w:rsidRPr="007F5F46">
              <w:rPr>
                <w:color w:val="000000"/>
              </w:rPr>
              <w:t>17.3%</w:t>
            </w:r>
          </w:p>
        </w:tc>
        <w:tc>
          <w:tcPr>
            <w:tcW w:w="1170" w:type="dxa"/>
            <w:shd w:val="clear" w:color="auto" w:fill="auto"/>
            <w:noWrap/>
            <w:vAlign w:val="center"/>
          </w:tcPr>
          <w:p w14:paraId="450B2B24" w14:textId="3BFAD7D8" w:rsidR="00A50AE4" w:rsidRPr="007F5F46" w:rsidRDefault="00A50AE4" w:rsidP="00A50AE4">
            <w:pPr>
              <w:jc w:val="right"/>
              <w:rPr>
                <w:color w:val="000000"/>
              </w:rPr>
            </w:pPr>
            <w:r w:rsidRPr="007F5F46">
              <w:rPr>
                <w:color w:val="000000"/>
              </w:rPr>
              <w:t>17.1%</w:t>
            </w:r>
          </w:p>
        </w:tc>
        <w:tc>
          <w:tcPr>
            <w:tcW w:w="1269" w:type="dxa"/>
            <w:shd w:val="clear" w:color="auto" w:fill="auto"/>
            <w:noWrap/>
            <w:vAlign w:val="center"/>
          </w:tcPr>
          <w:p w14:paraId="5882D3A7" w14:textId="4DB207E9" w:rsidR="00A50AE4" w:rsidRPr="007F5F46" w:rsidRDefault="00A50AE4" w:rsidP="00A50AE4">
            <w:pPr>
              <w:jc w:val="right"/>
            </w:pPr>
            <w:r w:rsidRPr="007F5F46">
              <w:t>17.2%</w:t>
            </w:r>
          </w:p>
        </w:tc>
        <w:tc>
          <w:tcPr>
            <w:tcW w:w="1269" w:type="dxa"/>
            <w:shd w:val="clear" w:color="auto" w:fill="auto"/>
            <w:noWrap/>
            <w:vAlign w:val="center"/>
          </w:tcPr>
          <w:p w14:paraId="2DFE83C3" w14:textId="0BA9CE7C" w:rsidR="00A50AE4" w:rsidRPr="007F5F46" w:rsidRDefault="00A50AE4" w:rsidP="00A50AE4">
            <w:pPr>
              <w:jc w:val="right"/>
            </w:pPr>
            <w:r w:rsidRPr="007F5F46">
              <w:rPr>
                <w:color w:val="000000"/>
              </w:rPr>
              <w:t>19.2%</w:t>
            </w:r>
          </w:p>
        </w:tc>
      </w:tr>
      <w:tr w:rsidR="00A50AE4" w:rsidRPr="000E4BF2" w14:paraId="1C2B4353" w14:textId="77777777" w:rsidTr="00A50AE4">
        <w:trPr>
          <w:cantSplit/>
          <w:trHeight w:val="310"/>
          <w:jc w:val="center"/>
        </w:trPr>
        <w:tc>
          <w:tcPr>
            <w:tcW w:w="3055" w:type="dxa"/>
            <w:shd w:val="clear" w:color="auto" w:fill="auto"/>
            <w:noWrap/>
            <w:vAlign w:val="center"/>
            <w:hideMark/>
          </w:tcPr>
          <w:p w14:paraId="76F53D68" w14:textId="77777777" w:rsidR="00A50AE4" w:rsidRPr="007F5F46" w:rsidRDefault="00A50AE4" w:rsidP="00A50AE4">
            <w:pPr>
              <w:rPr>
                <w:color w:val="000000"/>
              </w:rPr>
            </w:pPr>
            <w:r w:rsidRPr="007F5F46">
              <w:rPr>
                <w:color w:val="000000"/>
              </w:rPr>
              <w:t>HSA_4: Metro West</w:t>
            </w:r>
          </w:p>
        </w:tc>
        <w:tc>
          <w:tcPr>
            <w:tcW w:w="1080" w:type="dxa"/>
            <w:shd w:val="clear" w:color="auto" w:fill="auto"/>
            <w:noWrap/>
            <w:vAlign w:val="center"/>
          </w:tcPr>
          <w:p w14:paraId="3941C700" w14:textId="6DB12176" w:rsidR="00A50AE4" w:rsidRPr="007F5F46" w:rsidRDefault="00A50AE4" w:rsidP="00A50AE4">
            <w:pPr>
              <w:jc w:val="right"/>
              <w:rPr>
                <w:color w:val="000000"/>
              </w:rPr>
            </w:pPr>
            <w:r w:rsidRPr="007F5F46">
              <w:rPr>
                <w:color w:val="000000"/>
              </w:rPr>
              <w:t>34.6%</w:t>
            </w:r>
          </w:p>
        </w:tc>
        <w:tc>
          <w:tcPr>
            <w:tcW w:w="1170" w:type="dxa"/>
            <w:shd w:val="clear" w:color="auto" w:fill="auto"/>
            <w:noWrap/>
            <w:vAlign w:val="center"/>
          </w:tcPr>
          <w:p w14:paraId="2B7C2D88" w14:textId="21375D93" w:rsidR="00A50AE4" w:rsidRPr="007F5F46" w:rsidRDefault="00A50AE4" w:rsidP="00A50AE4">
            <w:pPr>
              <w:jc w:val="right"/>
              <w:rPr>
                <w:color w:val="000000"/>
              </w:rPr>
            </w:pPr>
            <w:r w:rsidRPr="007F5F46">
              <w:rPr>
                <w:color w:val="000000"/>
              </w:rPr>
              <w:t>34.2%</w:t>
            </w:r>
          </w:p>
        </w:tc>
        <w:tc>
          <w:tcPr>
            <w:tcW w:w="1269" w:type="dxa"/>
            <w:shd w:val="clear" w:color="auto" w:fill="auto"/>
            <w:noWrap/>
            <w:vAlign w:val="center"/>
          </w:tcPr>
          <w:p w14:paraId="55EB8EC6" w14:textId="41E663DD" w:rsidR="00A50AE4" w:rsidRPr="007F5F46" w:rsidRDefault="00A50AE4" w:rsidP="00A50AE4">
            <w:pPr>
              <w:jc w:val="right"/>
            </w:pPr>
            <w:r w:rsidRPr="007F5F46">
              <w:t>21.1%</w:t>
            </w:r>
          </w:p>
        </w:tc>
        <w:tc>
          <w:tcPr>
            <w:tcW w:w="1269" w:type="dxa"/>
            <w:shd w:val="clear" w:color="auto" w:fill="auto"/>
            <w:noWrap/>
            <w:vAlign w:val="center"/>
          </w:tcPr>
          <w:p w14:paraId="48D13000" w14:textId="0C631622" w:rsidR="00A50AE4" w:rsidRPr="007F5F46" w:rsidRDefault="00A50AE4" w:rsidP="00A50AE4">
            <w:pPr>
              <w:jc w:val="right"/>
            </w:pPr>
            <w:r w:rsidRPr="007F5F46">
              <w:rPr>
                <w:color w:val="000000"/>
              </w:rPr>
              <w:t>22.1%</w:t>
            </w:r>
          </w:p>
        </w:tc>
      </w:tr>
      <w:tr w:rsidR="00A50AE4" w:rsidRPr="000E4BF2" w14:paraId="74B1A0CD" w14:textId="77777777" w:rsidTr="00A50AE4">
        <w:trPr>
          <w:cantSplit/>
          <w:trHeight w:val="310"/>
          <w:jc w:val="center"/>
        </w:trPr>
        <w:tc>
          <w:tcPr>
            <w:tcW w:w="3055" w:type="dxa"/>
            <w:shd w:val="clear" w:color="auto" w:fill="auto"/>
            <w:noWrap/>
            <w:vAlign w:val="center"/>
            <w:hideMark/>
          </w:tcPr>
          <w:p w14:paraId="42C27A07" w14:textId="77777777" w:rsidR="00A50AE4" w:rsidRPr="007F5F46" w:rsidRDefault="00A50AE4" w:rsidP="00A50AE4">
            <w:pPr>
              <w:rPr>
                <w:color w:val="000000"/>
              </w:rPr>
            </w:pPr>
            <w:r w:rsidRPr="007F5F46">
              <w:rPr>
                <w:color w:val="000000"/>
              </w:rPr>
              <w:t>HSA_5: Southeast</w:t>
            </w:r>
          </w:p>
        </w:tc>
        <w:tc>
          <w:tcPr>
            <w:tcW w:w="1080" w:type="dxa"/>
            <w:shd w:val="clear" w:color="auto" w:fill="auto"/>
            <w:noWrap/>
            <w:vAlign w:val="center"/>
          </w:tcPr>
          <w:p w14:paraId="39D04532" w14:textId="3F5D8C27" w:rsidR="00A50AE4" w:rsidRPr="007F5F46" w:rsidRDefault="00A50AE4" w:rsidP="00A50AE4">
            <w:pPr>
              <w:jc w:val="right"/>
              <w:rPr>
                <w:color w:val="000000"/>
              </w:rPr>
            </w:pPr>
            <w:r w:rsidRPr="007F5F46">
              <w:rPr>
                <w:color w:val="000000"/>
              </w:rPr>
              <w:t>14.5%</w:t>
            </w:r>
          </w:p>
        </w:tc>
        <w:tc>
          <w:tcPr>
            <w:tcW w:w="1170" w:type="dxa"/>
            <w:shd w:val="clear" w:color="auto" w:fill="auto"/>
            <w:noWrap/>
            <w:vAlign w:val="center"/>
          </w:tcPr>
          <w:p w14:paraId="05FB632A" w14:textId="640D9DA7" w:rsidR="00A50AE4" w:rsidRPr="007F5F46" w:rsidRDefault="00A50AE4" w:rsidP="00A50AE4">
            <w:pPr>
              <w:jc w:val="right"/>
              <w:rPr>
                <w:color w:val="000000"/>
              </w:rPr>
            </w:pPr>
            <w:r w:rsidRPr="007F5F46">
              <w:rPr>
                <w:color w:val="000000"/>
              </w:rPr>
              <w:t>13.9%</w:t>
            </w:r>
          </w:p>
        </w:tc>
        <w:tc>
          <w:tcPr>
            <w:tcW w:w="1269" w:type="dxa"/>
            <w:shd w:val="clear" w:color="auto" w:fill="auto"/>
            <w:noWrap/>
            <w:vAlign w:val="center"/>
          </w:tcPr>
          <w:p w14:paraId="1817E720" w14:textId="3E91F68B" w:rsidR="00A50AE4" w:rsidRPr="007F5F46" w:rsidRDefault="00A50AE4" w:rsidP="00A50AE4">
            <w:pPr>
              <w:jc w:val="right"/>
            </w:pPr>
            <w:r w:rsidRPr="007F5F46">
              <w:t>14.3%</w:t>
            </w:r>
          </w:p>
        </w:tc>
        <w:tc>
          <w:tcPr>
            <w:tcW w:w="1269" w:type="dxa"/>
            <w:shd w:val="clear" w:color="auto" w:fill="auto"/>
            <w:noWrap/>
            <w:vAlign w:val="center"/>
          </w:tcPr>
          <w:p w14:paraId="680A782F" w14:textId="5054DAD6" w:rsidR="00A50AE4" w:rsidRPr="007F5F46" w:rsidRDefault="00A50AE4" w:rsidP="00A50AE4">
            <w:pPr>
              <w:jc w:val="right"/>
            </w:pPr>
            <w:r w:rsidRPr="007F5F46">
              <w:rPr>
                <w:color w:val="000000"/>
              </w:rPr>
              <w:t>19.2%</w:t>
            </w:r>
          </w:p>
        </w:tc>
      </w:tr>
      <w:tr w:rsidR="00A50AE4" w:rsidRPr="000E4BF2" w14:paraId="76ACBC73" w14:textId="77777777" w:rsidTr="00A50AE4">
        <w:trPr>
          <w:cantSplit/>
          <w:trHeight w:val="310"/>
          <w:jc w:val="center"/>
        </w:trPr>
        <w:tc>
          <w:tcPr>
            <w:tcW w:w="3055" w:type="dxa"/>
            <w:shd w:val="clear" w:color="auto" w:fill="auto"/>
            <w:noWrap/>
            <w:vAlign w:val="center"/>
            <w:hideMark/>
          </w:tcPr>
          <w:p w14:paraId="5D72D0BB" w14:textId="77777777" w:rsidR="00A50AE4" w:rsidRPr="007F5F46" w:rsidRDefault="00A50AE4" w:rsidP="00A50AE4">
            <w:pPr>
              <w:rPr>
                <w:color w:val="000000"/>
              </w:rPr>
            </w:pPr>
            <w:r w:rsidRPr="007F5F46">
              <w:rPr>
                <w:color w:val="000000"/>
              </w:rPr>
              <w:t>HSA_6: Boston</w:t>
            </w:r>
          </w:p>
        </w:tc>
        <w:tc>
          <w:tcPr>
            <w:tcW w:w="1080" w:type="dxa"/>
            <w:shd w:val="clear" w:color="auto" w:fill="auto"/>
            <w:noWrap/>
            <w:vAlign w:val="center"/>
          </w:tcPr>
          <w:p w14:paraId="18BE844E" w14:textId="02D67762" w:rsidR="00A50AE4" w:rsidRPr="007F5F46" w:rsidRDefault="00A50AE4" w:rsidP="00A50AE4">
            <w:pPr>
              <w:jc w:val="right"/>
              <w:rPr>
                <w:color w:val="000000"/>
              </w:rPr>
            </w:pPr>
            <w:r w:rsidRPr="007F5F46">
              <w:rPr>
                <w:color w:val="000000"/>
              </w:rPr>
              <w:t>20.3%</w:t>
            </w:r>
          </w:p>
        </w:tc>
        <w:tc>
          <w:tcPr>
            <w:tcW w:w="1170" w:type="dxa"/>
            <w:shd w:val="clear" w:color="auto" w:fill="auto"/>
            <w:noWrap/>
            <w:vAlign w:val="center"/>
          </w:tcPr>
          <w:p w14:paraId="5FE66D2A" w14:textId="7965F3EB" w:rsidR="00A50AE4" w:rsidRPr="007F5F46" w:rsidRDefault="00A50AE4" w:rsidP="00A50AE4">
            <w:pPr>
              <w:jc w:val="right"/>
              <w:rPr>
                <w:color w:val="000000"/>
              </w:rPr>
            </w:pPr>
            <w:r w:rsidRPr="007F5F46">
              <w:rPr>
                <w:color w:val="000000"/>
              </w:rPr>
              <w:t>19.6%</w:t>
            </w:r>
          </w:p>
        </w:tc>
        <w:tc>
          <w:tcPr>
            <w:tcW w:w="1269" w:type="dxa"/>
            <w:shd w:val="clear" w:color="auto" w:fill="auto"/>
            <w:noWrap/>
            <w:vAlign w:val="center"/>
          </w:tcPr>
          <w:p w14:paraId="25F6D361" w14:textId="00AC037F" w:rsidR="00A50AE4" w:rsidRPr="007F5F46" w:rsidRDefault="00A50AE4" w:rsidP="00A50AE4">
            <w:pPr>
              <w:jc w:val="right"/>
            </w:pPr>
            <w:r w:rsidRPr="007F5F46">
              <w:t>24.6%</w:t>
            </w:r>
          </w:p>
        </w:tc>
        <w:tc>
          <w:tcPr>
            <w:tcW w:w="1269" w:type="dxa"/>
            <w:shd w:val="clear" w:color="auto" w:fill="auto"/>
            <w:noWrap/>
            <w:vAlign w:val="center"/>
          </w:tcPr>
          <w:p w14:paraId="0917F207" w14:textId="625C1E54" w:rsidR="00A50AE4" w:rsidRPr="007F5F46" w:rsidRDefault="00A50AE4" w:rsidP="00A50AE4">
            <w:pPr>
              <w:jc w:val="right"/>
            </w:pPr>
            <w:r w:rsidRPr="007F5F46">
              <w:rPr>
                <w:color w:val="000000"/>
              </w:rPr>
              <w:t>14.6%</w:t>
            </w:r>
          </w:p>
        </w:tc>
      </w:tr>
      <w:tr w:rsidR="00A50AE4" w:rsidRPr="000E4BF2" w14:paraId="235D58BB" w14:textId="77777777" w:rsidTr="00A50AE4">
        <w:trPr>
          <w:cantSplit/>
          <w:trHeight w:val="310"/>
          <w:jc w:val="center"/>
        </w:trPr>
        <w:tc>
          <w:tcPr>
            <w:tcW w:w="3055" w:type="dxa"/>
            <w:shd w:val="clear" w:color="auto" w:fill="auto"/>
            <w:noWrap/>
            <w:vAlign w:val="center"/>
            <w:hideMark/>
          </w:tcPr>
          <w:p w14:paraId="5BC673AC" w14:textId="77777777" w:rsidR="00A50AE4" w:rsidRPr="007F5F46" w:rsidRDefault="00A50AE4" w:rsidP="00A50AE4">
            <w:pPr>
              <w:rPr>
                <w:color w:val="000000"/>
              </w:rPr>
            </w:pPr>
            <w:r w:rsidRPr="007F5F46">
              <w:rPr>
                <w:color w:val="000000"/>
              </w:rPr>
              <w:t>Unknown</w:t>
            </w:r>
          </w:p>
        </w:tc>
        <w:tc>
          <w:tcPr>
            <w:tcW w:w="1080" w:type="dxa"/>
            <w:shd w:val="clear" w:color="auto" w:fill="auto"/>
            <w:noWrap/>
            <w:vAlign w:val="center"/>
            <w:hideMark/>
          </w:tcPr>
          <w:p w14:paraId="67507CE7" w14:textId="5FA3855B" w:rsidR="00A50AE4" w:rsidRPr="007F5F46" w:rsidRDefault="00A50AE4" w:rsidP="00A50AE4">
            <w:pPr>
              <w:jc w:val="right"/>
              <w:rPr>
                <w:color w:val="000000"/>
              </w:rPr>
            </w:pPr>
            <w:r w:rsidRPr="007F5F46">
              <w:rPr>
                <w:color w:val="000000"/>
              </w:rPr>
              <w:t>5.1%</w:t>
            </w:r>
          </w:p>
        </w:tc>
        <w:tc>
          <w:tcPr>
            <w:tcW w:w="1170" w:type="dxa"/>
            <w:shd w:val="clear" w:color="auto" w:fill="auto"/>
            <w:noWrap/>
            <w:vAlign w:val="center"/>
          </w:tcPr>
          <w:p w14:paraId="15D48795" w14:textId="574B7FEC" w:rsidR="00A50AE4" w:rsidRPr="007F5F46" w:rsidRDefault="00A50AE4" w:rsidP="00A50AE4">
            <w:pPr>
              <w:jc w:val="right"/>
              <w:rPr>
                <w:color w:val="000000"/>
              </w:rPr>
            </w:pPr>
            <w:r w:rsidRPr="007F5F46">
              <w:rPr>
                <w:color w:val="000000"/>
              </w:rPr>
              <w:t>7.3%</w:t>
            </w:r>
          </w:p>
        </w:tc>
        <w:tc>
          <w:tcPr>
            <w:tcW w:w="1269" w:type="dxa"/>
            <w:shd w:val="clear" w:color="auto" w:fill="auto"/>
            <w:noWrap/>
            <w:vAlign w:val="center"/>
          </w:tcPr>
          <w:p w14:paraId="1562148E" w14:textId="1F3FDAA3" w:rsidR="00A50AE4" w:rsidRPr="007F5F46" w:rsidRDefault="00A50AE4" w:rsidP="00A50AE4">
            <w:pPr>
              <w:jc w:val="right"/>
            </w:pPr>
            <w:r w:rsidRPr="007F5F46">
              <w:t>7.3%</w:t>
            </w:r>
          </w:p>
        </w:tc>
        <w:tc>
          <w:tcPr>
            <w:tcW w:w="1269" w:type="dxa"/>
            <w:shd w:val="clear" w:color="auto" w:fill="auto"/>
            <w:noWrap/>
            <w:vAlign w:val="center"/>
          </w:tcPr>
          <w:p w14:paraId="6EBB529E" w14:textId="03046D83" w:rsidR="00A50AE4" w:rsidRPr="007F5F46" w:rsidRDefault="00A50AE4" w:rsidP="00A50AE4">
            <w:pPr>
              <w:jc w:val="right"/>
            </w:pPr>
            <w:r w:rsidRPr="007F5F46">
              <w:rPr>
                <w:color w:val="000000"/>
              </w:rPr>
              <w:t>8.1%</w:t>
            </w:r>
          </w:p>
        </w:tc>
      </w:tr>
    </w:tbl>
    <w:p w14:paraId="1439F1BB" w14:textId="51992F08" w:rsidR="009C2EAA" w:rsidRDefault="00453E28" w:rsidP="007928A3">
      <w:pPr>
        <w:spacing w:after="160" w:line="259" w:lineRule="auto"/>
        <w:rPr>
          <w:rFonts w:ascii="Calibri" w:eastAsia="Calibri" w:hAnsi="Calibri"/>
          <w:b/>
          <w:bCs/>
        </w:rPr>
      </w:pPr>
      <w:bookmarkStart w:id="29" w:name="_9kMIH5YVt4886BFNelS"/>
      <w:bookmarkStart w:id="30" w:name="_Hlk92709500"/>
      <w:r w:rsidRPr="007F5F46">
        <w:rPr>
          <w:color w:val="000000"/>
        </w:rPr>
        <w:t>*Numbers may not add up to 100% due to rounding</w:t>
      </w:r>
    </w:p>
    <w:p w14:paraId="44229312" w14:textId="73F621CB" w:rsidR="007928A3" w:rsidRPr="00E347B4" w:rsidRDefault="373FA9E1" w:rsidP="00E347B4">
      <w:pPr>
        <w:spacing w:after="160"/>
        <w:rPr>
          <w:rFonts w:ascii="Calibri" w:eastAsia="Calibri" w:hAnsi="Calibri"/>
        </w:rPr>
      </w:pPr>
      <w:r w:rsidRPr="007928A3">
        <w:rPr>
          <w:rFonts w:ascii="Calibri" w:eastAsia="Calibri" w:hAnsi="Calibri"/>
          <w:b/>
          <w:bCs/>
        </w:rPr>
        <w:t>Gender:</w:t>
      </w:r>
      <w:bookmarkEnd w:id="29"/>
      <w:r w:rsidR="0C24B4E0">
        <w:rPr>
          <w:rFonts w:ascii="Calibri" w:eastAsia="Calibri" w:hAnsi="Calibri"/>
          <w:b/>
          <w:bCs/>
        </w:rPr>
        <w:t xml:space="preserve"> </w:t>
      </w:r>
      <w:r w:rsidR="00CF6A65">
        <w:rPr>
          <w:rFonts w:ascii="Calibri" w:eastAsia="Calibri" w:hAnsi="Calibri"/>
          <w:kern w:val="2"/>
          <w14:ligatures w14:val="standardContextual"/>
        </w:rPr>
        <w:t>BCH</w:t>
      </w:r>
      <w:r w:rsidR="550E5236" w:rsidRPr="00E347B4">
        <w:rPr>
          <w:rFonts w:ascii="Calibri" w:eastAsia="Calibri" w:hAnsi="Calibri"/>
          <w:kern w:val="2"/>
          <w14:ligatures w14:val="standardContextual"/>
        </w:rPr>
        <w:t xml:space="preserve">’s patient mix consists of approximately 50.6% females and 49.3% males. </w:t>
      </w:r>
      <w:r w:rsidR="2DE6DC4B" w:rsidRPr="00E347B4">
        <w:rPr>
          <w:rFonts w:ascii="Calibri" w:eastAsia="Calibri" w:hAnsi="Calibri"/>
        </w:rPr>
        <w:t>Franciscan</w:t>
      </w:r>
      <w:r w:rsidRPr="00E347B4">
        <w:rPr>
          <w:rFonts w:ascii="Calibri" w:eastAsia="Calibri" w:hAnsi="Calibri"/>
        </w:rPr>
        <w:t>’s FY22 patient mix consists of approximately 54.4% males and 45.5% females.</w:t>
      </w:r>
      <w:r w:rsidR="4A45711E" w:rsidRPr="00E347B4">
        <w:rPr>
          <w:rFonts w:ascii="Calibri" w:eastAsia="Calibri" w:hAnsi="Calibri"/>
        </w:rPr>
        <w:t xml:space="preserve"> </w:t>
      </w:r>
    </w:p>
    <w:p w14:paraId="7D70E417" w14:textId="4A6DE6F1" w:rsidR="007928A3" w:rsidRPr="00E347B4" w:rsidRDefault="373FA9E1" w:rsidP="00E347B4">
      <w:pPr>
        <w:spacing w:after="240"/>
        <w:rPr>
          <w:rFonts w:eastAsia="Calibri"/>
          <w:b/>
          <w:bCs/>
        </w:rPr>
      </w:pPr>
      <w:bookmarkStart w:id="31" w:name="_Hlk151731082"/>
      <w:r w:rsidRPr="6380A8AC">
        <w:rPr>
          <w:rFonts w:ascii="Calibri" w:eastAsia="Calibri" w:hAnsi="Calibri" w:cs="Calibri"/>
          <w:b/>
          <w:bCs/>
        </w:rPr>
        <w:t xml:space="preserve">Age: </w:t>
      </w:r>
      <w:r w:rsidR="00CF6A65">
        <w:rPr>
          <w:rFonts w:ascii="Calibri" w:eastAsia="Calibri" w:hAnsi="Calibri" w:cs="Calibri"/>
        </w:rPr>
        <w:t>BCH</w:t>
      </w:r>
      <w:r w:rsidRPr="6380A8AC">
        <w:rPr>
          <w:rFonts w:ascii="Calibri" w:eastAsia="Calibri" w:hAnsi="Calibri" w:cs="Calibri"/>
        </w:rPr>
        <w:t xml:space="preserve"> serves a greater number of patients in the youngest and oldest age cohorts than Franciscan. For its youngest patients it operates neonatal and pediatric intensive care units. Because of the relationships developed among the team and family over a child’s lifetime, it continues to treat </w:t>
      </w:r>
      <w:r w:rsidR="550E5236" w:rsidRPr="6380A8AC">
        <w:rPr>
          <w:rFonts w:ascii="Calibri" w:eastAsia="Calibri" w:hAnsi="Calibri" w:cs="Calibri"/>
        </w:rPr>
        <w:t>a significant cohort of</w:t>
      </w:r>
      <w:r w:rsidRPr="6380A8AC">
        <w:rPr>
          <w:rFonts w:ascii="Calibri" w:eastAsia="Calibri" w:hAnsi="Calibri" w:cs="Calibri"/>
        </w:rPr>
        <w:t xml:space="preserve"> complex patients over age 19.</w:t>
      </w:r>
      <w:r w:rsidR="007928A3" w:rsidRPr="6380A8AC">
        <w:rPr>
          <w:rFonts w:ascii="Calibri" w:eastAsia="Calibri" w:hAnsi="Calibri" w:cs="Calibri"/>
          <w:vertAlign w:val="superscript"/>
        </w:rPr>
        <w:footnoteReference w:id="12"/>
      </w:r>
      <w:r w:rsidR="5258733E" w:rsidRPr="6380A8AC">
        <w:rPr>
          <w:rFonts w:ascii="Calibri" w:eastAsia="Calibri" w:hAnsi="Calibri" w:cs="Calibri"/>
        </w:rPr>
        <w:t xml:space="preserve"> The largest age cohort of patients served at Franciscan is the 6-10 group (35.4%).</w:t>
      </w:r>
    </w:p>
    <w:bookmarkEnd w:id="31"/>
    <w:p w14:paraId="6EEB3C4A" w14:textId="055C783A" w:rsidR="007928A3" w:rsidRPr="00E347B4" w:rsidRDefault="373FA9E1" w:rsidP="00E347B4">
      <w:pPr>
        <w:spacing w:after="160"/>
        <w:rPr>
          <w:rFonts w:ascii="Calibri" w:eastAsia="Calibri" w:hAnsi="Calibri"/>
        </w:rPr>
      </w:pPr>
      <w:r w:rsidRPr="6F80FCDD">
        <w:rPr>
          <w:rFonts w:ascii="Calibri" w:eastAsia="Calibri" w:hAnsi="Calibri"/>
          <w:b/>
          <w:bCs/>
        </w:rPr>
        <w:t xml:space="preserve">Race: </w:t>
      </w:r>
      <w:r w:rsidRPr="6F80FCDD">
        <w:rPr>
          <w:rFonts w:ascii="Calibri" w:eastAsia="Calibri" w:hAnsi="Calibri"/>
        </w:rPr>
        <w:t xml:space="preserve">In FY22, 59.9% of </w:t>
      </w:r>
      <w:bookmarkStart w:id="32" w:name="_9kMKJ5YVt4886BFNelS"/>
      <w:r w:rsidR="00CF6A65">
        <w:rPr>
          <w:rFonts w:ascii="Calibri" w:eastAsia="Calibri" w:hAnsi="Calibri"/>
        </w:rPr>
        <w:t>BCH</w:t>
      </w:r>
      <w:r w:rsidRPr="6F80FCDD">
        <w:rPr>
          <w:rFonts w:ascii="Calibri" w:eastAsia="Calibri" w:hAnsi="Calibri"/>
        </w:rPr>
        <w:t>’s</w:t>
      </w:r>
      <w:bookmarkEnd w:id="32"/>
      <w:r w:rsidRPr="6F80FCDD">
        <w:rPr>
          <w:rFonts w:ascii="Calibri" w:eastAsia="Calibri" w:hAnsi="Calibri"/>
        </w:rPr>
        <w:t xml:space="preserve"> statewide patient population (excluding those listed as unknown) identified as White, non-Hispanic; 16.4% identified as Hispanic; 9.5% identified as </w:t>
      </w:r>
      <w:bookmarkStart w:id="33" w:name="_9kR3WTr2664ACJBhZk"/>
      <w:r w:rsidRPr="6F80FCDD">
        <w:rPr>
          <w:rFonts w:ascii="Calibri" w:eastAsia="Calibri" w:hAnsi="Calibri"/>
        </w:rPr>
        <w:t>Black</w:t>
      </w:r>
      <w:bookmarkEnd w:id="33"/>
      <w:r w:rsidRPr="6F80FCDD">
        <w:rPr>
          <w:rFonts w:ascii="Calibri" w:eastAsia="Calibri" w:hAnsi="Calibri"/>
        </w:rPr>
        <w:t xml:space="preserve">, non-Hispanic; 6.8% identified as </w:t>
      </w:r>
      <w:bookmarkStart w:id="34" w:name="_9kR3WTr26647HQCx4ykvjNfk"/>
      <w:bookmarkStart w:id="35" w:name="_9kR3WTr26648FNCx4ykvjNfk"/>
      <w:r w:rsidRPr="6F80FCDD">
        <w:rPr>
          <w:rFonts w:ascii="Calibri" w:eastAsia="Calibri" w:hAnsi="Calibri"/>
        </w:rPr>
        <w:t>Another Race</w:t>
      </w:r>
      <w:bookmarkEnd w:id="34"/>
      <w:bookmarkEnd w:id="35"/>
      <w:r w:rsidRPr="6F80FCDD">
        <w:rPr>
          <w:rFonts w:ascii="Calibri" w:eastAsia="Calibri" w:hAnsi="Calibri"/>
        </w:rPr>
        <w:t>, non-Hispanic; 5.6% identified as Asian, non-Hispanic; and 1.8% identified as Multiracial, non-Hispanic.</w:t>
      </w:r>
      <w:r w:rsidR="4A45711E" w:rsidRPr="6F80FCDD">
        <w:rPr>
          <w:rFonts w:ascii="Calibri" w:eastAsia="Calibri" w:hAnsi="Calibri"/>
        </w:rPr>
        <w:t xml:space="preserve"> </w:t>
      </w:r>
      <w:bookmarkEnd w:id="30"/>
    </w:p>
    <w:p w14:paraId="5174DF7D" w14:textId="634CC536" w:rsidR="007928A3" w:rsidRPr="00E347B4" w:rsidRDefault="007928A3" w:rsidP="00E347B4">
      <w:pPr>
        <w:spacing w:after="160"/>
        <w:rPr>
          <w:rFonts w:ascii="Calibri" w:eastAsia="Calibri" w:hAnsi="Calibri"/>
        </w:rPr>
      </w:pPr>
      <w:r w:rsidRPr="00E347B4">
        <w:rPr>
          <w:rFonts w:ascii="Calibri" w:eastAsia="Calibri" w:hAnsi="Calibri"/>
        </w:rPr>
        <w:t xml:space="preserve">In FY22, 40.2% of </w:t>
      </w:r>
      <w:r w:rsidR="00AB1D61" w:rsidRPr="00E347B4">
        <w:rPr>
          <w:rFonts w:ascii="Calibri" w:eastAsia="Calibri" w:hAnsi="Calibri"/>
        </w:rPr>
        <w:t>Franciscan</w:t>
      </w:r>
      <w:r w:rsidRPr="00E347B4">
        <w:rPr>
          <w:rFonts w:ascii="Calibri" w:eastAsia="Calibri" w:hAnsi="Calibri"/>
        </w:rPr>
        <w:t>’s patient population (excluding those listed as unknown) identified as White, non-Hispanic</w:t>
      </w:r>
      <w:r w:rsidR="009C2EAA" w:rsidRPr="00E347B4">
        <w:rPr>
          <w:rFonts w:ascii="Calibri" w:eastAsia="Calibri" w:hAnsi="Calibri"/>
        </w:rPr>
        <w:t xml:space="preserve">; </w:t>
      </w:r>
      <w:r w:rsidRPr="00E347B4">
        <w:rPr>
          <w:rFonts w:ascii="Calibri" w:eastAsia="Calibri" w:hAnsi="Calibri"/>
        </w:rPr>
        <w:t xml:space="preserve">24.8% identified as Hispanic; 12.8% identified as </w:t>
      </w:r>
      <w:bookmarkStart w:id="36" w:name="_9kMHG5YVt4886CELDjbm"/>
      <w:r w:rsidRPr="00E347B4">
        <w:rPr>
          <w:rFonts w:ascii="Calibri" w:eastAsia="Calibri" w:hAnsi="Calibri"/>
        </w:rPr>
        <w:t>Black</w:t>
      </w:r>
      <w:bookmarkEnd w:id="36"/>
      <w:r w:rsidRPr="00E347B4">
        <w:rPr>
          <w:rFonts w:ascii="Calibri" w:eastAsia="Calibri" w:hAnsi="Calibri"/>
        </w:rPr>
        <w:t xml:space="preserve">, non-Hispanic; 11.8% identified as </w:t>
      </w:r>
      <w:bookmarkStart w:id="37" w:name="_9kMHG5YVt48869JSEz60mxlPhm"/>
      <w:bookmarkStart w:id="38" w:name="_9kMHG5YVt4886AHPEz60mxlPhm"/>
      <w:r w:rsidRPr="00E347B4">
        <w:rPr>
          <w:rFonts w:ascii="Calibri" w:eastAsia="Calibri" w:hAnsi="Calibri"/>
        </w:rPr>
        <w:t>Another Race</w:t>
      </w:r>
      <w:bookmarkEnd w:id="37"/>
      <w:bookmarkEnd w:id="38"/>
      <w:r w:rsidRPr="00E347B4">
        <w:rPr>
          <w:rFonts w:ascii="Calibri" w:eastAsia="Calibri" w:hAnsi="Calibri"/>
        </w:rPr>
        <w:t>, non-Hispanic; and 10.4% identified as Asian, non-Hispanic</w:t>
      </w:r>
      <w:r w:rsidR="001156B5" w:rsidRPr="00E347B4">
        <w:rPr>
          <w:rFonts w:ascii="Calibri" w:eastAsia="Calibri" w:hAnsi="Calibri"/>
        </w:rPr>
        <w:t>.</w:t>
      </w:r>
    </w:p>
    <w:p w14:paraId="0BAE9AF3" w14:textId="4A133494" w:rsidR="007928A3" w:rsidRPr="00E347B4" w:rsidRDefault="373FA9E1" w:rsidP="00E347B4">
      <w:pPr>
        <w:spacing w:after="160"/>
        <w:rPr>
          <w:rFonts w:ascii="Calibri" w:eastAsia="Calibri" w:hAnsi="Calibri"/>
        </w:rPr>
      </w:pPr>
      <w:r w:rsidRPr="6F80FCDD">
        <w:rPr>
          <w:rFonts w:ascii="Calibri" w:eastAsia="Calibri" w:hAnsi="Calibri"/>
          <w:b/>
          <w:bCs/>
        </w:rPr>
        <w:t>Patient Origin:</w:t>
      </w:r>
      <w:r w:rsidRPr="6F80FCDD">
        <w:rPr>
          <w:rFonts w:ascii="Calibri" w:eastAsia="Calibri" w:hAnsi="Calibri"/>
        </w:rPr>
        <w:t xml:space="preserve"> While </w:t>
      </w:r>
      <w:r w:rsidR="00CF6A65">
        <w:rPr>
          <w:rFonts w:ascii="Calibri" w:eastAsia="Calibri" w:hAnsi="Calibri"/>
        </w:rPr>
        <w:t>BCH</w:t>
      </w:r>
      <w:r w:rsidRPr="6F80FCDD">
        <w:rPr>
          <w:rFonts w:ascii="Calibri" w:eastAsia="Calibri" w:hAnsi="Calibri"/>
        </w:rPr>
        <w:t xml:space="preserve"> provides care to patients from around the world, its statewide Patient Panel resides mainly in Eastern Massachusetts.</w:t>
      </w:r>
      <w:r w:rsidR="4A45711E" w:rsidRPr="6F80FCDD">
        <w:rPr>
          <w:rFonts w:ascii="Calibri" w:eastAsia="Calibri" w:hAnsi="Calibri"/>
        </w:rPr>
        <w:t xml:space="preserve"> </w:t>
      </w:r>
      <w:r w:rsidRPr="6F80FCDD">
        <w:rPr>
          <w:rFonts w:ascii="Calibri" w:eastAsia="Calibri" w:hAnsi="Calibri"/>
        </w:rPr>
        <w:t>Applying the Department of Public Health’s Health Service Area (“</w:t>
      </w:r>
      <w:bookmarkStart w:id="39" w:name="_9kR3WTr5EB478Oys"/>
      <w:r w:rsidRPr="6F80FCDD">
        <w:rPr>
          <w:rFonts w:ascii="Calibri" w:eastAsia="Calibri" w:hAnsi="Calibri"/>
        </w:rPr>
        <w:t>HSA</w:t>
      </w:r>
      <w:bookmarkEnd w:id="39"/>
      <w:r w:rsidRPr="6F80FCDD">
        <w:rPr>
          <w:rFonts w:ascii="Calibri" w:eastAsia="Calibri" w:hAnsi="Calibri"/>
        </w:rPr>
        <w:t xml:space="preserve">”) categories to FY22 data, 34.2% of </w:t>
      </w:r>
      <w:bookmarkStart w:id="40" w:name="_9kR3WTr26649GOcjQcFsBufn6I35LL"/>
      <w:r w:rsidRPr="6F80FCDD">
        <w:rPr>
          <w:rFonts w:ascii="Calibri" w:eastAsia="Calibri" w:hAnsi="Calibri"/>
        </w:rPr>
        <w:t>BCH’s Massachusetts</w:t>
      </w:r>
      <w:bookmarkEnd w:id="40"/>
      <w:r w:rsidRPr="6F80FCDD">
        <w:rPr>
          <w:rFonts w:ascii="Calibri" w:eastAsia="Calibri" w:hAnsi="Calibri"/>
        </w:rPr>
        <w:t xml:space="preserve"> patients reside in </w:t>
      </w:r>
      <w:bookmarkStart w:id="41" w:name="_9kMHG5YVt7GD69AQ0u"/>
      <w:r w:rsidRPr="6F80FCDD">
        <w:rPr>
          <w:rFonts w:ascii="Calibri" w:eastAsia="Calibri" w:hAnsi="Calibri"/>
        </w:rPr>
        <w:t>HSA</w:t>
      </w:r>
      <w:bookmarkEnd w:id="41"/>
      <w:r w:rsidRPr="6F80FCDD">
        <w:rPr>
          <w:rFonts w:ascii="Calibri" w:eastAsia="Calibri" w:hAnsi="Calibri"/>
        </w:rPr>
        <w:t xml:space="preserve"> 4; 19.6% reside in </w:t>
      </w:r>
      <w:bookmarkStart w:id="42" w:name="_9kMIH5YVt7GD69AQ0u"/>
      <w:r w:rsidRPr="6F80FCDD">
        <w:rPr>
          <w:rFonts w:ascii="Calibri" w:eastAsia="Calibri" w:hAnsi="Calibri"/>
        </w:rPr>
        <w:t>HSA</w:t>
      </w:r>
      <w:bookmarkEnd w:id="42"/>
      <w:r w:rsidRPr="6F80FCDD">
        <w:rPr>
          <w:rFonts w:ascii="Calibri" w:eastAsia="Calibri" w:hAnsi="Calibri"/>
        </w:rPr>
        <w:t xml:space="preserve"> 6; 17.1% reside in </w:t>
      </w:r>
      <w:bookmarkStart w:id="43" w:name="_9kMJI5YVt7GD69AQ0u"/>
      <w:r w:rsidRPr="6F80FCDD">
        <w:rPr>
          <w:rFonts w:ascii="Calibri" w:eastAsia="Calibri" w:hAnsi="Calibri"/>
        </w:rPr>
        <w:t>HSA</w:t>
      </w:r>
      <w:bookmarkEnd w:id="43"/>
      <w:r w:rsidRPr="6F80FCDD">
        <w:rPr>
          <w:rFonts w:ascii="Calibri" w:eastAsia="Calibri" w:hAnsi="Calibri"/>
        </w:rPr>
        <w:t xml:space="preserve"> 3; 13.9% reside in </w:t>
      </w:r>
      <w:bookmarkStart w:id="44" w:name="_9kMKJ5YVt7GD69AQ0u"/>
      <w:r w:rsidRPr="6F80FCDD">
        <w:rPr>
          <w:rFonts w:ascii="Calibri" w:eastAsia="Calibri" w:hAnsi="Calibri"/>
        </w:rPr>
        <w:t>HSA</w:t>
      </w:r>
      <w:bookmarkEnd w:id="44"/>
      <w:r w:rsidRPr="6F80FCDD">
        <w:rPr>
          <w:rFonts w:ascii="Calibri" w:eastAsia="Calibri" w:hAnsi="Calibri"/>
        </w:rPr>
        <w:t xml:space="preserve"> 5; 6.2% reside in </w:t>
      </w:r>
      <w:bookmarkStart w:id="45" w:name="_9kMLK5YVt7GD69AQ0u"/>
      <w:r w:rsidRPr="6F80FCDD">
        <w:rPr>
          <w:rFonts w:ascii="Calibri" w:eastAsia="Calibri" w:hAnsi="Calibri"/>
        </w:rPr>
        <w:t>HSA</w:t>
      </w:r>
      <w:bookmarkEnd w:id="45"/>
      <w:r w:rsidRPr="6F80FCDD">
        <w:rPr>
          <w:rFonts w:ascii="Calibri" w:eastAsia="Calibri" w:hAnsi="Calibri"/>
        </w:rPr>
        <w:t xml:space="preserve"> 2; 1.7% reside in </w:t>
      </w:r>
      <w:bookmarkStart w:id="46" w:name="_9kMML5YVt7GD69AQ0u"/>
      <w:r w:rsidRPr="6F80FCDD">
        <w:rPr>
          <w:rFonts w:ascii="Calibri" w:eastAsia="Calibri" w:hAnsi="Calibri"/>
        </w:rPr>
        <w:t>HSA</w:t>
      </w:r>
      <w:bookmarkEnd w:id="46"/>
      <w:r w:rsidRPr="6F80FCDD">
        <w:rPr>
          <w:rFonts w:ascii="Calibri" w:eastAsia="Calibri" w:hAnsi="Calibri"/>
        </w:rPr>
        <w:t xml:space="preserve"> 1; and the origin of 7.3% is unknown.</w:t>
      </w:r>
      <w:r w:rsidR="4A45711E" w:rsidRPr="6F80FCDD">
        <w:rPr>
          <w:rFonts w:ascii="Calibri" w:eastAsia="Calibri" w:hAnsi="Calibri"/>
        </w:rPr>
        <w:t xml:space="preserve">  </w:t>
      </w:r>
    </w:p>
    <w:p w14:paraId="447B1C44" w14:textId="4C036F1E" w:rsidR="007928A3" w:rsidRPr="00E347B4" w:rsidRDefault="373FA9E1" w:rsidP="00E347B4">
      <w:pPr>
        <w:spacing w:after="160"/>
        <w:rPr>
          <w:rFonts w:ascii="Calibri" w:eastAsia="Calibri" w:hAnsi="Calibri"/>
        </w:rPr>
      </w:pPr>
      <w:r w:rsidRPr="6F80FCDD">
        <w:rPr>
          <w:rFonts w:ascii="Calibri" w:eastAsia="Calibri" w:hAnsi="Calibri"/>
        </w:rPr>
        <w:t xml:space="preserve">Franciscan’s Patient Origin reflects a similar pattern to </w:t>
      </w:r>
      <w:r w:rsidR="00CF6A65">
        <w:rPr>
          <w:rFonts w:ascii="Calibri" w:eastAsia="Calibri" w:hAnsi="Calibri"/>
        </w:rPr>
        <w:t>BCH</w:t>
      </w:r>
      <w:r w:rsidRPr="6F80FCDD">
        <w:rPr>
          <w:rFonts w:ascii="Calibri" w:eastAsia="Calibri" w:hAnsi="Calibri"/>
        </w:rPr>
        <w:t>’s but with a larger percentage, 1</w:t>
      </w:r>
      <w:r w:rsidR="2A6531C8" w:rsidRPr="6F80FCDD">
        <w:rPr>
          <w:rFonts w:ascii="Calibri" w:eastAsia="Calibri" w:hAnsi="Calibri"/>
        </w:rPr>
        <w:t>5.2</w:t>
      </w:r>
      <w:r w:rsidRPr="6F80FCDD">
        <w:rPr>
          <w:rFonts w:ascii="Calibri" w:eastAsia="Calibri" w:hAnsi="Calibri"/>
        </w:rPr>
        <w:t>%, residing in Central MA, HSA 2, and a smaller percentage, 2</w:t>
      </w:r>
      <w:r w:rsidR="2A6531C8" w:rsidRPr="6F80FCDD">
        <w:rPr>
          <w:rFonts w:ascii="Calibri" w:eastAsia="Calibri" w:hAnsi="Calibri"/>
        </w:rPr>
        <w:t>2.1</w:t>
      </w:r>
      <w:r w:rsidRPr="6F80FCDD">
        <w:rPr>
          <w:rFonts w:ascii="Calibri" w:eastAsia="Calibri" w:hAnsi="Calibri"/>
        </w:rPr>
        <w:t>.0% residing in Metro West</w:t>
      </w:r>
      <w:r w:rsidR="2A6531C8" w:rsidRPr="6F80FCDD">
        <w:rPr>
          <w:rFonts w:ascii="Calibri" w:eastAsia="Calibri" w:hAnsi="Calibri"/>
        </w:rPr>
        <w:t>, and 14.6% residing in Boston (HSA 6)</w:t>
      </w:r>
    </w:p>
    <w:p w14:paraId="48BB67AA" w14:textId="6993C2DF" w:rsidR="005D75B4" w:rsidRDefault="007928A3" w:rsidP="000D09E8">
      <w:pPr>
        <w:spacing w:after="160"/>
        <w:rPr>
          <w:rFonts w:ascii="Calibri" w:eastAsia="Calibri" w:hAnsi="Calibri"/>
        </w:rPr>
      </w:pPr>
      <w:bookmarkStart w:id="47" w:name="_Hlk151731333"/>
      <w:r w:rsidRPr="00E347B4">
        <w:rPr>
          <w:rFonts w:ascii="Calibri" w:eastAsia="Calibri" w:hAnsi="Calibri"/>
          <w:b/>
          <w:bCs/>
        </w:rPr>
        <w:t xml:space="preserve">Payor Mix: </w:t>
      </w:r>
      <w:r w:rsidR="00CF6A65">
        <w:rPr>
          <w:rFonts w:ascii="Calibri" w:eastAsia="Calibri" w:hAnsi="Calibri"/>
        </w:rPr>
        <w:t>BCH</w:t>
      </w:r>
      <w:r w:rsidR="785FE5EC" w:rsidRPr="00E347B4">
        <w:rPr>
          <w:rFonts w:ascii="Calibri" w:eastAsia="Calibri" w:hAnsi="Calibri"/>
        </w:rPr>
        <w:t xml:space="preserve"> has increased </w:t>
      </w:r>
      <w:r w:rsidR="006E7042" w:rsidRPr="00E347B4">
        <w:rPr>
          <w:rFonts w:ascii="Calibri" w:eastAsia="Calibri" w:hAnsi="Calibri"/>
        </w:rPr>
        <w:t>its treatment</w:t>
      </w:r>
      <w:r w:rsidRPr="00E347B4">
        <w:rPr>
          <w:rFonts w:ascii="Calibri" w:eastAsia="Calibri" w:hAnsi="Calibri"/>
        </w:rPr>
        <w:t xml:space="preserve"> of patients enrolled in Medicaid from 37.7% in 2018 to 42.2% in 2022.</w:t>
      </w:r>
      <w:bookmarkEnd w:id="47"/>
      <w:r w:rsidR="00B651DE" w:rsidRPr="00E347B4">
        <w:rPr>
          <w:rStyle w:val="FootnoteReference"/>
        </w:rPr>
        <w:footnoteReference w:id="13"/>
      </w:r>
      <w:r w:rsidR="00B651DE" w:rsidRPr="00E347B4">
        <w:t xml:space="preserve"> </w:t>
      </w:r>
      <w:r w:rsidRPr="00E347B4">
        <w:rPr>
          <w:rFonts w:ascii="Calibri" w:eastAsia="Calibri" w:hAnsi="Calibri"/>
        </w:rPr>
        <w:t xml:space="preserve"> </w:t>
      </w:r>
    </w:p>
    <w:p w14:paraId="232D71C4" w14:textId="4A05F390" w:rsidR="00FF7025" w:rsidRPr="00FF7025" w:rsidRDefault="00AB1D61" w:rsidP="00CF6A65">
      <w:pPr>
        <w:spacing w:after="160"/>
        <w:rPr>
          <w:rFonts w:ascii="Calibri" w:eastAsia="Calibri" w:hAnsi="Calibri"/>
        </w:rPr>
      </w:pPr>
      <w:r w:rsidRPr="00AB4AA7">
        <w:rPr>
          <w:rFonts w:ascii="Calibri" w:eastAsia="Calibri" w:hAnsi="Calibri"/>
        </w:rPr>
        <w:t>Franciscan</w:t>
      </w:r>
      <w:r w:rsidR="00035D6A">
        <w:rPr>
          <w:rFonts w:ascii="Calibri" w:eastAsia="Calibri" w:hAnsi="Calibri"/>
        </w:rPr>
        <w:t>’s</w:t>
      </w:r>
      <w:r w:rsidR="007928A3" w:rsidRPr="00AB4AA7">
        <w:rPr>
          <w:rFonts w:ascii="Calibri" w:eastAsia="Calibri" w:hAnsi="Calibri"/>
        </w:rPr>
        <w:t xml:space="preserve"> payor mix </w:t>
      </w:r>
      <w:r w:rsidR="005D75B4" w:rsidRPr="00AB4AA7">
        <w:rPr>
          <w:rFonts w:ascii="Calibri" w:eastAsia="Calibri" w:hAnsi="Calibri"/>
        </w:rPr>
        <w:t xml:space="preserve">is measured not by portion of revenue but by number of patients; </w:t>
      </w:r>
      <w:r w:rsidR="007928A3" w:rsidRPr="00AB4AA7">
        <w:rPr>
          <w:rFonts w:ascii="Calibri" w:eastAsia="Calibri" w:hAnsi="Calibri"/>
        </w:rPr>
        <w:t xml:space="preserve">over 70% </w:t>
      </w:r>
      <w:r w:rsidR="005D75B4" w:rsidRPr="00AB4AA7">
        <w:rPr>
          <w:rFonts w:ascii="Calibri" w:eastAsia="Calibri" w:hAnsi="Calibri"/>
        </w:rPr>
        <w:t xml:space="preserve">are covered by </w:t>
      </w:r>
      <w:r w:rsidR="007928A3" w:rsidRPr="00AB4AA7">
        <w:rPr>
          <w:rFonts w:ascii="Calibri" w:eastAsia="Calibri" w:hAnsi="Calibri"/>
        </w:rPr>
        <w:t>Medicaid.</w:t>
      </w:r>
      <w:r w:rsidR="00EA1197" w:rsidRPr="00AB4AA7">
        <w:rPr>
          <w:rFonts w:ascii="Calibri" w:eastAsia="Calibri" w:hAnsi="Calibri"/>
        </w:rPr>
        <w:t xml:space="preserve"> </w:t>
      </w:r>
      <w:r w:rsidR="00E65310" w:rsidRPr="00AB4AA7">
        <w:rPr>
          <w:rFonts w:ascii="Calibri" w:eastAsia="Calibri" w:hAnsi="Calibri"/>
        </w:rPr>
        <w:t xml:space="preserve">(See Table </w:t>
      </w:r>
      <w:r w:rsidR="00B5352A" w:rsidRPr="00AB4AA7">
        <w:rPr>
          <w:rFonts w:ascii="Calibri" w:eastAsia="Calibri" w:hAnsi="Calibri"/>
        </w:rPr>
        <w:t>4</w:t>
      </w:r>
      <w:r w:rsidR="00E65310" w:rsidRPr="00AB4AA7">
        <w:rPr>
          <w:rFonts w:ascii="Calibri" w:eastAsia="Calibri" w:hAnsi="Calibri"/>
        </w:rPr>
        <w:t>)</w:t>
      </w:r>
      <w:r w:rsidR="005D75B4" w:rsidRPr="00AB4AA7">
        <w:rPr>
          <w:rFonts w:ascii="Calibri" w:eastAsia="Calibri" w:hAnsi="Calibri"/>
        </w:rPr>
        <w:t xml:space="preserve"> </w:t>
      </w:r>
      <w:r w:rsidR="00AB4AA7">
        <w:rPr>
          <w:rFonts w:ascii="Calibri" w:eastAsia="Calibri" w:hAnsi="Calibri"/>
        </w:rPr>
        <w:t>A</w:t>
      </w:r>
      <w:r w:rsidR="005D75B4" w:rsidRPr="00AB4AA7">
        <w:rPr>
          <w:rFonts w:ascii="Calibri" w:eastAsia="Calibri" w:hAnsi="Calibri"/>
        </w:rPr>
        <w:t xml:space="preserve"> Health Policy Commission </w:t>
      </w:r>
      <w:r w:rsidR="00CF6A65">
        <w:rPr>
          <w:rFonts w:ascii="Calibri" w:eastAsia="Calibri" w:hAnsi="Calibri"/>
        </w:rPr>
        <w:t xml:space="preserve">(“HPC”) </w:t>
      </w:r>
      <w:r w:rsidR="005D75B4" w:rsidRPr="00AB4AA7">
        <w:rPr>
          <w:rFonts w:ascii="Calibri" w:eastAsia="Calibri" w:hAnsi="Calibri"/>
        </w:rPr>
        <w:t>report</w:t>
      </w:r>
      <w:r w:rsidR="00AB4AA7" w:rsidRPr="00AB4AA7">
        <w:rPr>
          <w:rFonts w:ascii="Calibri" w:eastAsia="Calibri" w:hAnsi="Calibri"/>
        </w:rPr>
        <w:t xml:space="preserve"> found</w:t>
      </w:r>
      <w:r w:rsidR="00AB4AA7">
        <w:rPr>
          <w:rFonts w:ascii="Calibri" w:eastAsia="Calibri" w:hAnsi="Calibri"/>
        </w:rPr>
        <w:t xml:space="preserve"> </w:t>
      </w:r>
      <w:r w:rsidR="00AB4AA7">
        <w:rPr>
          <w:rFonts w:ascii="Calibri" w:eastAsia="Calibri" w:hAnsi="Calibri"/>
        </w:rPr>
        <w:lastRenderedPageBreak/>
        <w:t>that</w:t>
      </w:r>
      <w:r w:rsidR="00AB4AA7" w:rsidRPr="00AB4AA7">
        <w:rPr>
          <w:rFonts w:ascii="Calibri" w:eastAsia="Calibri" w:hAnsi="Calibri"/>
        </w:rPr>
        <w:t xml:space="preserve"> 4.5% of commercially insured children</w:t>
      </w:r>
      <w:r w:rsidR="00AB4AA7">
        <w:rPr>
          <w:rFonts w:ascii="Calibri" w:eastAsia="Calibri" w:hAnsi="Calibri"/>
        </w:rPr>
        <w:t>,</w:t>
      </w:r>
      <w:r w:rsidR="00AB4AA7" w:rsidRPr="00AB4AA7">
        <w:rPr>
          <w:rFonts w:ascii="Calibri" w:eastAsia="Calibri" w:hAnsi="Calibri"/>
        </w:rPr>
        <w:t xml:space="preserve"> and 6.4% of children with MassHealth MCO/ACO coverage are children with complex medical needs.</w:t>
      </w:r>
      <w:r w:rsidR="00AB4AA7" w:rsidRPr="00AB4AA7">
        <w:rPr>
          <w:rFonts w:ascii="Calibri" w:eastAsia="Calibri" w:hAnsi="Calibri" w:cs="Calibri"/>
          <w:vertAlign w:val="superscript"/>
        </w:rPr>
        <w:t xml:space="preserve"> </w:t>
      </w:r>
      <w:r w:rsidR="00AB4AA7" w:rsidRPr="00AB4AA7">
        <w:rPr>
          <w:rFonts w:ascii="Calibri" w:eastAsia="Calibri" w:hAnsi="Calibri"/>
          <w:vertAlign w:val="superscript"/>
        </w:rPr>
        <w:footnoteReference w:id="14"/>
      </w:r>
      <w:r w:rsidR="00AB4AA7" w:rsidRPr="00AB4AA7">
        <w:rPr>
          <w:rFonts w:ascii="Calibri" w:eastAsia="Calibri" w:hAnsi="Calibri" w:cs="Calibri"/>
          <w:vertAlign w:val="superscript"/>
        </w:rPr>
        <w:t xml:space="preserve"> </w:t>
      </w:r>
    </w:p>
    <w:p w14:paraId="3FABB0C9" w14:textId="77777777" w:rsidR="0061702A" w:rsidRDefault="0061702A" w:rsidP="00CB7019"/>
    <w:p w14:paraId="2EB0AE28" w14:textId="0D70BF63" w:rsidR="00474BD9" w:rsidRPr="008E157F" w:rsidRDefault="2848299F" w:rsidP="6F80FCDD">
      <w:pPr>
        <w:pStyle w:val="RBNBasicNoSpace"/>
        <w:jc w:val="center"/>
        <w:rPr>
          <w:b/>
          <w:bCs/>
        </w:rPr>
      </w:pPr>
      <w:r w:rsidRPr="6F80FCDD">
        <w:rPr>
          <w:b/>
          <w:bCs/>
        </w:rPr>
        <w:t xml:space="preserve">Table </w:t>
      </w:r>
      <w:r w:rsidR="29EF0CC9" w:rsidRPr="6F80FCDD">
        <w:rPr>
          <w:b/>
          <w:bCs/>
        </w:rPr>
        <w:t>4</w:t>
      </w:r>
      <w:r w:rsidRPr="6F80FCDD">
        <w:rPr>
          <w:b/>
          <w:bCs/>
        </w:rPr>
        <w:t xml:space="preserve">: Payor Mix </w:t>
      </w:r>
      <w:proofErr w:type="spellStart"/>
      <w:r w:rsidRPr="6F80FCDD">
        <w:rPr>
          <w:b/>
          <w:bCs/>
        </w:rPr>
        <w:t>for</w:t>
      </w:r>
      <w:r w:rsidR="00CF6A65">
        <w:rPr>
          <w:b/>
          <w:bCs/>
        </w:rPr>
        <w:t>BCH</w:t>
      </w:r>
      <w:proofErr w:type="spellEnd"/>
      <w:r w:rsidR="3729CC64" w:rsidRPr="6F80FCDD">
        <w:rPr>
          <w:b/>
          <w:bCs/>
        </w:rPr>
        <w:t xml:space="preserve"> and Franciscan</w:t>
      </w:r>
    </w:p>
    <w:p w14:paraId="4B15FC2A" w14:textId="77777777" w:rsidR="00474BD9" w:rsidRPr="00474BD9" w:rsidRDefault="00474BD9" w:rsidP="00474BD9">
      <w:pPr>
        <w:pStyle w:val="RBNBasicNoSpace"/>
        <w:jc w:val="both"/>
        <w:rPr>
          <w:szCs w:val="24"/>
        </w:rPr>
      </w:pPr>
    </w:p>
    <w:tbl>
      <w:tblPr>
        <w:tblW w:w="7620" w:type="dxa"/>
        <w:jc w:val="center"/>
        <w:tblLook w:val="04A0" w:firstRow="1" w:lastRow="0" w:firstColumn="1" w:lastColumn="0" w:noHBand="0" w:noVBand="1"/>
      </w:tblPr>
      <w:tblGrid>
        <w:gridCol w:w="1900"/>
        <w:gridCol w:w="1580"/>
        <w:gridCol w:w="1380"/>
        <w:gridCol w:w="1380"/>
        <w:gridCol w:w="1380"/>
      </w:tblGrid>
      <w:tr w:rsidR="00453E28" w:rsidRPr="00474BD9" w14:paraId="3DD8648F" w14:textId="20A77DF9" w:rsidTr="00453E28">
        <w:trPr>
          <w:cantSplit/>
          <w:trHeight w:val="310"/>
          <w:tblHeader/>
          <w:jc w:val="center"/>
        </w:trPr>
        <w:tc>
          <w:tcPr>
            <w:tcW w:w="1900" w:type="dxa"/>
            <w:tcBorders>
              <w:top w:val="single" w:sz="4" w:space="0" w:color="auto"/>
              <w:left w:val="single" w:sz="4" w:space="0" w:color="auto"/>
              <w:bottom w:val="single" w:sz="4" w:space="0" w:color="auto"/>
              <w:right w:val="single" w:sz="4" w:space="0" w:color="auto"/>
            </w:tcBorders>
            <w:shd w:val="clear" w:color="auto" w:fill="E1FFFF"/>
            <w:noWrap/>
            <w:vAlign w:val="bottom"/>
            <w:hideMark/>
          </w:tcPr>
          <w:p w14:paraId="79CC7508" w14:textId="77777777" w:rsidR="00453E28" w:rsidRPr="00474BD9" w:rsidRDefault="00453E28" w:rsidP="00453E28">
            <w:pPr>
              <w:rPr>
                <w:b/>
                <w:bCs/>
                <w:color w:val="000000"/>
              </w:rPr>
            </w:pPr>
            <w:r w:rsidRPr="00474BD9">
              <w:rPr>
                <w:b/>
                <w:bCs/>
                <w:color w:val="000000"/>
              </w:rPr>
              <w:t>Payor Mix</w:t>
            </w:r>
            <w:r w:rsidRPr="00474BD9">
              <w:rPr>
                <w:rStyle w:val="FootnoteReference"/>
                <w:b/>
                <w:bCs/>
                <w:color w:val="000000"/>
              </w:rPr>
              <w:footnoteReference w:id="15"/>
            </w:r>
          </w:p>
        </w:tc>
        <w:tc>
          <w:tcPr>
            <w:tcW w:w="1580" w:type="dxa"/>
            <w:tcBorders>
              <w:top w:val="single" w:sz="4" w:space="0" w:color="auto"/>
              <w:left w:val="nil"/>
              <w:bottom w:val="single" w:sz="4" w:space="0" w:color="auto"/>
              <w:right w:val="single" w:sz="4" w:space="0" w:color="auto"/>
            </w:tcBorders>
            <w:shd w:val="clear" w:color="auto" w:fill="E1FFFF"/>
            <w:noWrap/>
            <w:vAlign w:val="bottom"/>
            <w:hideMark/>
          </w:tcPr>
          <w:p w14:paraId="6920123E" w14:textId="77777777" w:rsidR="00453E28" w:rsidRDefault="00453E28" w:rsidP="00453E28">
            <w:pPr>
              <w:jc w:val="center"/>
              <w:rPr>
                <w:b/>
                <w:bCs/>
                <w:color w:val="000000"/>
              </w:rPr>
            </w:pPr>
            <w:r w:rsidRPr="00474BD9">
              <w:rPr>
                <w:b/>
                <w:bCs/>
                <w:color w:val="000000"/>
              </w:rPr>
              <w:t>Medicaid</w:t>
            </w:r>
          </w:p>
          <w:p w14:paraId="4FD9B74E" w14:textId="5545D86E" w:rsidR="00453E28" w:rsidRPr="00474BD9" w:rsidRDefault="00453E28" w:rsidP="00453E28">
            <w:pPr>
              <w:jc w:val="center"/>
              <w:rPr>
                <w:b/>
                <w:bCs/>
                <w:color w:val="000000"/>
              </w:rPr>
            </w:pPr>
            <w:r>
              <w:rPr>
                <w:b/>
                <w:bCs/>
                <w:color w:val="000000"/>
              </w:rPr>
              <w:t>2021</w:t>
            </w:r>
          </w:p>
        </w:tc>
        <w:tc>
          <w:tcPr>
            <w:tcW w:w="1380" w:type="dxa"/>
            <w:tcBorders>
              <w:top w:val="single" w:sz="4" w:space="0" w:color="auto"/>
              <w:left w:val="nil"/>
              <w:bottom w:val="single" w:sz="4" w:space="0" w:color="auto"/>
              <w:right w:val="single" w:sz="4" w:space="0" w:color="auto"/>
            </w:tcBorders>
            <w:shd w:val="clear" w:color="auto" w:fill="E1FFFF"/>
            <w:vAlign w:val="bottom"/>
          </w:tcPr>
          <w:p w14:paraId="1CD6E04A" w14:textId="77777777" w:rsidR="00453E28" w:rsidRDefault="00453E28" w:rsidP="00453E28">
            <w:pPr>
              <w:jc w:val="center"/>
              <w:rPr>
                <w:b/>
                <w:bCs/>
                <w:color w:val="000000"/>
              </w:rPr>
            </w:pPr>
            <w:r w:rsidRPr="00474BD9">
              <w:rPr>
                <w:b/>
                <w:bCs/>
                <w:color w:val="000000"/>
              </w:rPr>
              <w:t>Medicaid</w:t>
            </w:r>
          </w:p>
          <w:p w14:paraId="7388D3A4" w14:textId="7A6739B7" w:rsidR="00453E28" w:rsidRPr="00474BD9" w:rsidRDefault="00453E28" w:rsidP="00453E28">
            <w:pPr>
              <w:jc w:val="center"/>
              <w:rPr>
                <w:b/>
                <w:bCs/>
                <w:color w:val="000000"/>
              </w:rPr>
            </w:pPr>
            <w:r>
              <w:rPr>
                <w:b/>
                <w:bCs/>
                <w:color w:val="000000"/>
              </w:rPr>
              <w:t>2021</w:t>
            </w:r>
          </w:p>
        </w:tc>
        <w:tc>
          <w:tcPr>
            <w:tcW w:w="1380" w:type="dxa"/>
            <w:tcBorders>
              <w:top w:val="single" w:sz="4" w:space="0" w:color="auto"/>
              <w:left w:val="single" w:sz="4" w:space="0" w:color="auto"/>
              <w:bottom w:val="single" w:sz="4" w:space="0" w:color="auto"/>
              <w:right w:val="single" w:sz="4" w:space="0" w:color="auto"/>
            </w:tcBorders>
            <w:shd w:val="clear" w:color="auto" w:fill="E1FFFF"/>
            <w:noWrap/>
            <w:vAlign w:val="bottom"/>
            <w:hideMark/>
          </w:tcPr>
          <w:p w14:paraId="502186C5" w14:textId="77777777" w:rsidR="00453E28" w:rsidRDefault="00453E28" w:rsidP="00453E28">
            <w:pPr>
              <w:jc w:val="center"/>
              <w:rPr>
                <w:b/>
                <w:bCs/>
                <w:color w:val="000000"/>
              </w:rPr>
            </w:pPr>
            <w:r w:rsidRPr="00474BD9">
              <w:rPr>
                <w:b/>
                <w:bCs/>
                <w:color w:val="000000"/>
              </w:rPr>
              <w:t>All Other</w:t>
            </w:r>
          </w:p>
          <w:p w14:paraId="1D374562" w14:textId="5A5BA243" w:rsidR="00453E28" w:rsidRPr="00474BD9" w:rsidRDefault="00453E28" w:rsidP="00453E28">
            <w:pPr>
              <w:jc w:val="center"/>
              <w:rPr>
                <w:b/>
                <w:bCs/>
                <w:color w:val="000000"/>
              </w:rPr>
            </w:pPr>
            <w:r>
              <w:rPr>
                <w:b/>
                <w:bCs/>
                <w:color w:val="000000"/>
              </w:rPr>
              <w:t>2021</w:t>
            </w:r>
          </w:p>
        </w:tc>
        <w:tc>
          <w:tcPr>
            <w:tcW w:w="1380" w:type="dxa"/>
            <w:tcBorders>
              <w:top w:val="single" w:sz="4" w:space="0" w:color="auto"/>
              <w:left w:val="single" w:sz="4" w:space="0" w:color="auto"/>
              <w:bottom w:val="single" w:sz="4" w:space="0" w:color="auto"/>
              <w:right w:val="single" w:sz="4" w:space="0" w:color="auto"/>
            </w:tcBorders>
            <w:shd w:val="clear" w:color="auto" w:fill="E1FFFF"/>
            <w:vAlign w:val="bottom"/>
          </w:tcPr>
          <w:p w14:paraId="054D9064" w14:textId="77777777" w:rsidR="00453E28" w:rsidRDefault="00453E28" w:rsidP="00453E28">
            <w:pPr>
              <w:jc w:val="center"/>
              <w:rPr>
                <w:b/>
                <w:bCs/>
                <w:color w:val="000000"/>
              </w:rPr>
            </w:pPr>
            <w:r w:rsidRPr="00474BD9">
              <w:rPr>
                <w:b/>
                <w:bCs/>
                <w:color w:val="000000"/>
              </w:rPr>
              <w:t>All Other</w:t>
            </w:r>
          </w:p>
          <w:p w14:paraId="5498721A" w14:textId="348DD783" w:rsidR="00453E28" w:rsidRPr="00474BD9" w:rsidRDefault="00453E28" w:rsidP="00453E28">
            <w:pPr>
              <w:jc w:val="center"/>
              <w:rPr>
                <w:b/>
                <w:bCs/>
                <w:color w:val="000000"/>
              </w:rPr>
            </w:pPr>
            <w:r>
              <w:rPr>
                <w:b/>
                <w:bCs/>
                <w:color w:val="000000"/>
              </w:rPr>
              <w:t>202</w:t>
            </w:r>
            <w:r>
              <w:rPr>
                <w:b/>
                <w:bCs/>
                <w:color w:val="000000"/>
              </w:rPr>
              <w:t>2</w:t>
            </w:r>
          </w:p>
        </w:tc>
      </w:tr>
      <w:tr w:rsidR="00453E28" w:rsidRPr="00474BD9" w14:paraId="3B83EC85" w14:textId="4C9CE289" w:rsidTr="6F80FCDD">
        <w:trPr>
          <w:cantSplit/>
          <w:trHeight w:val="310"/>
          <w:jc w:val="center"/>
        </w:trPr>
        <w:tc>
          <w:tcPr>
            <w:tcW w:w="1900" w:type="dxa"/>
            <w:tcBorders>
              <w:top w:val="nil"/>
              <w:left w:val="single" w:sz="4" w:space="0" w:color="auto"/>
              <w:bottom w:val="single" w:sz="4" w:space="0" w:color="auto"/>
              <w:right w:val="single" w:sz="4" w:space="0" w:color="auto"/>
            </w:tcBorders>
            <w:shd w:val="clear" w:color="auto" w:fill="E5FFFF"/>
            <w:noWrap/>
            <w:vAlign w:val="bottom"/>
            <w:hideMark/>
          </w:tcPr>
          <w:p w14:paraId="3196A3E2" w14:textId="5836A31D" w:rsidR="00453E28" w:rsidRPr="00474BD9" w:rsidRDefault="00453E28" w:rsidP="00453E28">
            <w:pPr>
              <w:rPr>
                <w:color w:val="000000"/>
              </w:rPr>
            </w:pPr>
            <w:r w:rsidRPr="6F80FCDD">
              <w:rPr>
                <w:color w:val="000000" w:themeColor="text1"/>
              </w:rPr>
              <w:t xml:space="preserve"> </w:t>
            </w:r>
            <w:r>
              <w:rPr>
                <w:color w:val="000000" w:themeColor="text1"/>
              </w:rPr>
              <w:t>BCH</w:t>
            </w:r>
          </w:p>
        </w:tc>
        <w:tc>
          <w:tcPr>
            <w:tcW w:w="1580" w:type="dxa"/>
            <w:tcBorders>
              <w:top w:val="nil"/>
              <w:left w:val="nil"/>
              <w:bottom w:val="single" w:sz="4" w:space="0" w:color="auto"/>
              <w:right w:val="single" w:sz="4" w:space="0" w:color="auto"/>
            </w:tcBorders>
            <w:shd w:val="clear" w:color="auto" w:fill="auto"/>
            <w:noWrap/>
            <w:vAlign w:val="bottom"/>
            <w:hideMark/>
          </w:tcPr>
          <w:p w14:paraId="7B19D816" w14:textId="2A0ABCA4" w:rsidR="00453E28" w:rsidRPr="00474BD9" w:rsidRDefault="00453E28" w:rsidP="00453E28">
            <w:pPr>
              <w:jc w:val="right"/>
              <w:rPr>
                <w:color w:val="000000"/>
              </w:rPr>
            </w:pPr>
            <w:r>
              <w:rPr>
                <w:color w:val="000000"/>
              </w:rPr>
              <w:t>40.4%</w:t>
            </w:r>
          </w:p>
        </w:tc>
        <w:tc>
          <w:tcPr>
            <w:tcW w:w="1380" w:type="dxa"/>
            <w:tcBorders>
              <w:top w:val="single" w:sz="4" w:space="0" w:color="auto"/>
              <w:left w:val="nil"/>
              <w:bottom w:val="single" w:sz="4" w:space="0" w:color="auto"/>
              <w:right w:val="single" w:sz="4" w:space="0" w:color="auto"/>
            </w:tcBorders>
          </w:tcPr>
          <w:p w14:paraId="580AE2C8" w14:textId="6AF1EB43" w:rsidR="00453E28" w:rsidRDefault="00453E28" w:rsidP="00453E28">
            <w:pPr>
              <w:jc w:val="right"/>
              <w:rPr>
                <w:color w:val="000000"/>
              </w:rPr>
            </w:pPr>
            <w:r>
              <w:rPr>
                <w:color w:val="000000"/>
              </w:rPr>
              <w:t>42.2%</w:t>
            </w:r>
          </w:p>
        </w:tc>
        <w:tc>
          <w:tcPr>
            <w:tcW w:w="1380" w:type="dxa"/>
            <w:tcBorders>
              <w:top w:val="nil"/>
              <w:left w:val="single" w:sz="4" w:space="0" w:color="auto"/>
              <w:bottom w:val="single" w:sz="4" w:space="0" w:color="auto"/>
              <w:right w:val="single" w:sz="4" w:space="0" w:color="auto"/>
            </w:tcBorders>
            <w:shd w:val="clear" w:color="auto" w:fill="auto"/>
            <w:noWrap/>
            <w:vAlign w:val="bottom"/>
          </w:tcPr>
          <w:p w14:paraId="2983ACAB" w14:textId="07193C90" w:rsidR="00453E28" w:rsidRPr="00474BD9" w:rsidRDefault="00453E28" w:rsidP="00453E28">
            <w:pPr>
              <w:jc w:val="right"/>
              <w:rPr>
                <w:color w:val="000000"/>
              </w:rPr>
            </w:pPr>
            <w:r>
              <w:rPr>
                <w:color w:val="000000"/>
              </w:rPr>
              <w:t>59.6%</w:t>
            </w:r>
          </w:p>
        </w:tc>
        <w:tc>
          <w:tcPr>
            <w:tcW w:w="1380" w:type="dxa"/>
            <w:tcBorders>
              <w:top w:val="nil"/>
              <w:left w:val="single" w:sz="4" w:space="0" w:color="auto"/>
              <w:bottom w:val="single" w:sz="4" w:space="0" w:color="auto"/>
              <w:right w:val="single" w:sz="4" w:space="0" w:color="auto"/>
            </w:tcBorders>
          </w:tcPr>
          <w:p w14:paraId="39AB8C3E" w14:textId="212FBE01" w:rsidR="00453E28" w:rsidRDefault="00453E28" w:rsidP="00453E28">
            <w:pPr>
              <w:jc w:val="right"/>
              <w:rPr>
                <w:color w:val="000000"/>
              </w:rPr>
            </w:pPr>
            <w:r>
              <w:rPr>
                <w:color w:val="000000"/>
              </w:rPr>
              <w:t>57.8%</w:t>
            </w:r>
          </w:p>
        </w:tc>
      </w:tr>
      <w:tr w:rsidR="00453E28" w:rsidRPr="00474BD9" w14:paraId="559C160A" w14:textId="7CDA12A8" w:rsidTr="6F80FCDD">
        <w:trPr>
          <w:cantSplit/>
          <w:trHeight w:val="310"/>
          <w:jc w:val="center"/>
        </w:trPr>
        <w:tc>
          <w:tcPr>
            <w:tcW w:w="1900" w:type="dxa"/>
            <w:tcBorders>
              <w:top w:val="nil"/>
              <w:left w:val="single" w:sz="4" w:space="0" w:color="auto"/>
              <w:bottom w:val="single" w:sz="4" w:space="0" w:color="auto"/>
              <w:right w:val="single" w:sz="4" w:space="0" w:color="auto"/>
            </w:tcBorders>
            <w:shd w:val="clear" w:color="auto" w:fill="EBFFFF"/>
            <w:noWrap/>
            <w:vAlign w:val="bottom"/>
            <w:hideMark/>
          </w:tcPr>
          <w:p w14:paraId="4F158055" w14:textId="114F0474" w:rsidR="00453E28" w:rsidRPr="00474BD9" w:rsidRDefault="00453E28" w:rsidP="00453E28">
            <w:pPr>
              <w:rPr>
                <w:color w:val="000000"/>
              </w:rPr>
            </w:pPr>
            <w:r>
              <w:rPr>
                <w:color w:val="000000"/>
              </w:rPr>
              <w:t>Franciscan</w:t>
            </w:r>
          </w:p>
        </w:tc>
        <w:tc>
          <w:tcPr>
            <w:tcW w:w="1580" w:type="dxa"/>
            <w:tcBorders>
              <w:top w:val="nil"/>
              <w:left w:val="nil"/>
              <w:bottom w:val="single" w:sz="4" w:space="0" w:color="auto"/>
              <w:right w:val="single" w:sz="4" w:space="0" w:color="auto"/>
            </w:tcBorders>
            <w:shd w:val="clear" w:color="auto" w:fill="auto"/>
            <w:noWrap/>
            <w:vAlign w:val="bottom"/>
            <w:hideMark/>
          </w:tcPr>
          <w:p w14:paraId="06E92ACD" w14:textId="77777777" w:rsidR="00453E28" w:rsidRPr="00474BD9" w:rsidRDefault="00453E28" w:rsidP="00453E28">
            <w:pPr>
              <w:jc w:val="right"/>
              <w:rPr>
                <w:color w:val="000000"/>
              </w:rPr>
            </w:pPr>
            <w:r w:rsidRPr="00474BD9">
              <w:rPr>
                <w:color w:val="000000"/>
              </w:rPr>
              <w:t>62.7%</w:t>
            </w:r>
          </w:p>
        </w:tc>
        <w:tc>
          <w:tcPr>
            <w:tcW w:w="1380" w:type="dxa"/>
            <w:tcBorders>
              <w:top w:val="single" w:sz="4" w:space="0" w:color="auto"/>
              <w:left w:val="nil"/>
              <w:bottom w:val="single" w:sz="4" w:space="0" w:color="auto"/>
              <w:right w:val="single" w:sz="4" w:space="0" w:color="auto"/>
            </w:tcBorders>
          </w:tcPr>
          <w:p w14:paraId="752074EB" w14:textId="40E83BFA" w:rsidR="00453E28" w:rsidRPr="00474BD9" w:rsidRDefault="00453E28" w:rsidP="00453E28">
            <w:pPr>
              <w:jc w:val="right"/>
              <w:rPr>
                <w:color w:val="000000"/>
              </w:rPr>
            </w:pPr>
            <w:r>
              <w:rPr>
                <w:color w:val="000000"/>
              </w:rPr>
              <w:t>70.1%</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A1BBFDB" w14:textId="563CCA0F" w:rsidR="00453E28" w:rsidRPr="00474BD9" w:rsidRDefault="00453E28" w:rsidP="00453E28">
            <w:pPr>
              <w:jc w:val="right"/>
              <w:rPr>
                <w:color w:val="000000"/>
              </w:rPr>
            </w:pPr>
            <w:r w:rsidRPr="00474BD9">
              <w:rPr>
                <w:color w:val="000000"/>
              </w:rPr>
              <w:t>37.3%</w:t>
            </w:r>
          </w:p>
        </w:tc>
        <w:tc>
          <w:tcPr>
            <w:tcW w:w="1380" w:type="dxa"/>
            <w:tcBorders>
              <w:top w:val="nil"/>
              <w:left w:val="single" w:sz="4" w:space="0" w:color="auto"/>
              <w:bottom w:val="single" w:sz="4" w:space="0" w:color="auto"/>
              <w:right w:val="single" w:sz="4" w:space="0" w:color="auto"/>
            </w:tcBorders>
          </w:tcPr>
          <w:p w14:paraId="550AC0F9" w14:textId="024D3967" w:rsidR="00453E28" w:rsidRPr="00474BD9" w:rsidRDefault="00453E28" w:rsidP="00453E28">
            <w:pPr>
              <w:jc w:val="right"/>
              <w:rPr>
                <w:color w:val="000000"/>
              </w:rPr>
            </w:pPr>
            <w:r>
              <w:rPr>
                <w:color w:val="000000"/>
              </w:rPr>
              <w:t>29.9%</w:t>
            </w:r>
          </w:p>
        </w:tc>
      </w:tr>
    </w:tbl>
    <w:p w14:paraId="60066389" w14:textId="77777777" w:rsidR="00474BD9" w:rsidRPr="00474BD9" w:rsidRDefault="00474BD9" w:rsidP="00474BD9"/>
    <w:p w14:paraId="3E9A58E5" w14:textId="382529F5" w:rsidR="005E3C90" w:rsidRDefault="0E2E093C" w:rsidP="00E347B4">
      <w:r>
        <w:t>Additional s</w:t>
      </w:r>
      <w:r w:rsidR="2848299F">
        <w:t xml:space="preserve">ervice specific patient information concerning pediatric patients that receive </w:t>
      </w:r>
      <w:r w:rsidR="000E10E9">
        <w:t xml:space="preserve">mental </w:t>
      </w:r>
      <w:r w:rsidR="2848299F">
        <w:t xml:space="preserve">health, dental services, post-acute care, and medically complex care from </w:t>
      </w:r>
      <w:r w:rsidR="00CF6A65">
        <w:t>BCH</w:t>
      </w:r>
      <w:r w:rsidR="2848299F">
        <w:t xml:space="preserve"> or </w:t>
      </w:r>
      <w:r w:rsidR="0228D1E5">
        <w:t>Franciscan</w:t>
      </w:r>
      <w:r w:rsidR="2848299F">
        <w:t>, is included</w:t>
      </w:r>
      <w:r w:rsidR="70647854">
        <w:t xml:space="preserve"> below as applicable</w:t>
      </w:r>
      <w:r w:rsidR="2848299F">
        <w:t>.</w:t>
      </w:r>
    </w:p>
    <w:p w14:paraId="4D133021" w14:textId="742A38E7" w:rsidR="00CB7019" w:rsidRDefault="00CB7019" w:rsidP="00CB7019"/>
    <w:p w14:paraId="71952509" w14:textId="263302E7" w:rsidR="00AC68E5" w:rsidRDefault="00AC68E5" w:rsidP="003964D0">
      <w:pPr>
        <w:pStyle w:val="Heading1"/>
        <w:spacing w:before="0" w:line="240" w:lineRule="auto"/>
        <w:rPr>
          <w:rFonts w:asciiTheme="minorHAnsi" w:eastAsia="Calibri" w:hAnsiTheme="minorHAnsi" w:cstheme="minorHAnsi"/>
        </w:rPr>
      </w:pPr>
      <w:bookmarkStart w:id="48" w:name="_Toc17731309"/>
      <w:bookmarkStart w:id="49" w:name="_Toc18922398"/>
      <w:bookmarkStart w:id="50" w:name="_Toc157428827"/>
      <w:bookmarkStart w:id="51" w:name="_Toc158218020"/>
      <w:bookmarkEnd w:id="17"/>
      <w:bookmarkEnd w:id="18"/>
      <w:bookmarkEnd w:id="19"/>
      <w:bookmarkEnd w:id="20"/>
      <w:bookmarkEnd w:id="21"/>
      <w:bookmarkEnd w:id="22"/>
      <w:r w:rsidRPr="008409FF">
        <w:rPr>
          <w:rFonts w:asciiTheme="minorHAnsi" w:eastAsia="Calibri" w:hAnsiTheme="minorHAnsi" w:cstheme="minorHAnsi"/>
        </w:rPr>
        <w:t>Factor 1</w:t>
      </w:r>
      <w:r w:rsidR="00B85B1D" w:rsidRPr="008409FF">
        <w:rPr>
          <w:rFonts w:asciiTheme="minorHAnsi" w:eastAsia="Calibri" w:hAnsiTheme="minorHAnsi" w:cstheme="minorHAnsi"/>
        </w:rPr>
        <w:t>a</w:t>
      </w:r>
      <w:r w:rsidRPr="008409FF">
        <w:rPr>
          <w:rFonts w:asciiTheme="minorHAnsi" w:eastAsia="Calibri" w:hAnsiTheme="minorHAnsi" w:cstheme="minorHAnsi"/>
        </w:rPr>
        <w:t>: Patient Panel Need</w:t>
      </w:r>
      <w:bookmarkEnd w:id="48"/>
      <w:bookmarkEnd w:id="49"/>
      <w:bookmarkEnd w:id="50"/>
      <w:bookmarkEnd w:id="51"/>
    </w:p>
    <w:p w14:paraId="0E03173C" w14:textId="77777777" w:rsidR="00DE4CD3" w:rsidRPr="00DE4CD3" w:rsidRDefault="00DE4CD3" w:rsidP="00DE4CD3">
      <w:pPr>
        <w:rPr>
          <w:rFonts w:eastAsia="Calibri"/>
        </w:rPr>
      </w:pPr>
    </w:p>
    <w:p w14:paraId="54F5E88C" w14:textId="4D1F3BB9" w:rsidR="006B02BE" w:rsidRPr="001929C4" w:rsidRDefault="006B02BE" w:rsidP="00E347B4">
      <w:pPr>
        <w:rPr>
          <w:rFonts w:ascii="Calibri" w:eastAsia="Calibri" w:hAnsi="Calibri" w:cs="Calibri"/>
        </w:rPr>
      </w:pPr>
      <w:bookmarkStart w:id="52" w:name="_Toc28797402"/>
      <w:bookmarkStart w:id="53" w:name="_Toc17151180"/>
      <w:bookmarkStart w:id="54" w:name="_Toc17322392"/>
      <w:bookmarkStart w:id="55" w:name="_Toc18922408"/>
      <w:bookmarkStart w:id="56" w:name="_Toc17322387"/>
      <w:bookmarkStart w:id="57" w:name="_Toc18922403"/>
      <w:bookmarkEnd w:id="14"/>
      <w:r w:rsidRPr="001929C4">
        <w:rPr>
          <w:rFonts w:ascii="Calibri" w:eastAsia="Calibri" w:hAnsi="Calibri" w:cs="Calibri"/>
        </w:rPr>
        <w:t>The Applicant attribute</w:t>
      </w:r>
      <w:r w:rsidR="00867E8B">
        <w:rPr>
          <w:rFonts w:ascii="Calibri" w:eastAsia="Calibri" w:hAnsi="Calibri" w:cs="Calibri"/>
        </w:rPr>
        <w:t>s</w:t>
      </w:r>
      <w:r w:rsidRPr="001929C4">
        <w:rPr>
          <w:rFonts w:ascii="Calibri" w:eastAsia="Calibri" w:hAnsi="Calibri" w:cs="Calibri"/>
        </w:rPr>
        <w:t xml:space="preserve"> need for the </w:t>
      </w:r>
      <w:r w:rsidR="00867E8B" w:rsidRPr="001929C4">
        <w:rPr>
          <w:rFonts w:ascii="Calibri" w:eastAsia="Calibri" w:hAnsi="Calibri" w:cs="Calibri"/>
        </w:rPr>
        <w:t xml:space="preserve">Proposed Project </w:t>
      </w:r>
      <w:r w:rsidRPr="001929C4">
        <w:rPr>
          <w:rFonts w:ascii="Calibri" w:eastAsia="Calibri" w:hAnsi="Calibri" w:cs="Calibri"/>
        </w:rPr>
        <w:t xml:space="preserve">to </w:t>
      </w:r>
      <w:r w:rsidR="00D25A39" w:rsidRPr="001929C4">
        <w:rPr>
          <w:rFonts w:ascii="Calibri" w:eastAsia="Calibri" w:hAnsi="Calibri" w:cs="Calibri"/>
        </w:rPr>
        <w:t>the following:</w:t>
      </w:r>
    </w:p>
    <w:p w14:paraId="5525321F" w14:textId="640672F9" w:rsidR="006B02BE" w:rsidRPr="001929C4" w:rsidRDefault="00867E8B" w:rsidP="00E347B4">
      <w:pPr>
        <w:rPr>
          <w:rFonts w:ascii="Calibri" w:eastAsia="Calibri" w:hAnsi="Calibri" w:cs="Calibri"/>
        </w:rPr>
      </w:pPr>
      <w:r>
        <w:rPr>
          <w:rFonts w:ascii="Calibri" w:eastAsia="Calibri" w:hAnsi="Calibri" w:cs="Calibri"/>
        </w:rPr>
        <w:t xml:space="preserve"> </w:t>
      </w:r>
    </w:p>
    <w:p w14:paraId="475D5560" w14:textId="7CEE50A3" w:rsidR="00C05AA2" w:rsidRPr="001929C4" w:rsidRDefault="00867E8B" w:rsidP="007F1D38">
      <w:pPr>
        <w:pStyle w:val="ListParagraph"/>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The </w:t>
      </w:r>
      <w:r w:rsidR="00151BF7" w:rsidRPr="001929C4">
        <w:rPr>
          <w:rFonts w:ascii="Calibri" w:eastAsia="Calibri" w:hAnsi="Calibri" w:cs="Calibri"/>
          <w:sz w:val="24"/>
          <w:szCs w:val="24"/>
        </w:rPr>
        <w:t xml:space="preserve">Aging </w:t>
      </w:r>
      <w:r w:rsidR="007759A0" w:rsidRPr="001929C4">
        <w:rPr>
          <w:rFonts w:ascii="Calibri" w:eastAsia="Calibri" w:hAnsi="Calibri" w:cs="Calibri"/>
          <w:sz w:val="24"/>
          <w:szCs w:val="24"/>
        </w:rPr>
        <w:t>F</w:t>
      </w:r>
      <w:r w:rsidR="00151BF7" w:rsidRPr="001929C4">
        <w:rPr>
          <w:rFonts w:ascii="Calibri" w:eastAsia="Calibri" w:hAnsi="Calibri" w:cs="Calibri"/>
          <w:sz w:val="24"/>
          <w:szCs w:val="24"/>
        </w:rPr>
        <w:t xml:space="preserve">acility </w:t>
      </w:r>
      <w:r w:rsidR="00E347B4" w:rsidRPr="001929C4">
        <w:rPr>
          <w:rFonts w:ascii="Calibri" w:eastAsia="Calibri" w:hAnsi="Calibri" w:cs="Calibri"/>
          <w:sz w:val="24"/>
          <w:szCs w:val="24"/>
        </w:rPr>
        <w:t>and</w:t>
      </w:r>
      <w:r w:rsidR="009B684D" w:rsidRPr="001929C4">
        <w:rPr>
          <w:rFonts w:ascii="Calibri" w:eastAsia="Calibri" w:hAnsi="Calibri" w:cs="Calibri"/>
          <w:sz w:val="24"/>
          <w:szCs w:val="24"/>
        </w:rPr>
        <w:t xml:space="preserve"> </w:t>
      </w:r>
      <w:r w:rsidR="007759A0" w:rsidRPr="001929C4">
        <w:rPr>
          <w:rFonts w:ascii="Calibri" w:eastAsia="Calibri" w:hAnsi="Calibri" w:cs="Calibri"/>
          <w:sz w:val="24"/>
          <w:szCs w:val="24"/>
        </w:rPr>
        <w:t>I</w:t>
      </w:r>
      <w:r w:rsidR="00151BF7" w:rsidRPr="001929C4">
        <w:rPr>
          <w:rFonts w:ascii="Calibri" w:eastAsia="Calibri" w:hAnsi="Calibri" w:cs="Calibri"/>
          <w:sz w:val="24"/>
          <w:szCs w:val="24"/>
        </w:rPr>
        <w:t>nfrastructure</w:t>
      </w:r>
      <w:r>
        <w:rPr>
          <w:rFonts w:ascii="Calibri" w:eastAsia="Calibri" w:hAnsi="Calibri" w:cs="Calibri"/>
          <w:sz w:val="24"/>
          <w:szCs w:val="24"/>
        </w:rPr>
        <w:t xml:space="preserve"> </w:t>
      </w:r>
      <w:r w:rsidR="009B684D">
        <w:rPr>
          <w:rFonts w:ascii="Calibri" w:eastAsia="Calibri" w:hAnsi="Calibri" w:cs="Calibri"/>
          <w:sz w:val="24"/>
          <w:szCs w:val="24"/>
        </w:rPr>
        <w:t>Needs Replacement</w:t>
      </w:r>
    </w:p>
    <w:p w14:paraId="60E9DC62" w14:textId="01679C21" w:rsidR="00151BF7" w:rsidRPr="001929C4" w:rsidRDefault="00077A72" w:rsidP="007F1D38">
      <w:pPr>
        <w:pStyle w:val="ListParagraph"/>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Pediatric </w:t>
      </w:r>
      <w:r w:rsidR="00414DE9" w:rsidRPr="001929C4">
        <w:rPr>
          <w:rFonts w:ascii="Calibri" w:eastAsia="Calibri" w:hAnsi="Calibri" w:cs="Calibri"/>
          <w:sz w:val="24"/>
          <w:szCs w:val="24"/>
        </w:rPr>
        <w:t xml:space="preserve">Mental Health </w:t>
      </w:r>
      <w:r w:rsidR="009B684D">
        <w:rPr>
          <w:rFonts w:ascii="Calibri" w:eastAsia="Calibri" w:hAnsi="Calibri" w:cs="Calibri"/>
          <w:sz w:val="24"/>
          <w:szCs w:val="24"/>
        </w:rPr>
        <w:t xml:space="preserve">Services Require </w:t>
      </w:r>
      <w:r w:rsidR="00B31F2D" w:rsidRPr="00B31F2D">
        <w:rPr>
          <w:rFonts w:ascii="Calibri" w:eastAsia="Calibri" w:hAnsi="Calibri" w:cs="Calibri"/>
          <w:sz w:val="24"/>
          <w:szCs w:val="24"/>
        </w:rPr>
        <w:t>Consolidat</w:t>
      </w:r>
      <w:r w:rsidR="004723AC">
        <w:rPr>
          <w:rFonts w:ascii="Calibri" w:eastAsia="Calibri" w:hAnsi="Calibri" w:cs="Calibri"/>
          <w:sz w:val="24"/>
          <w:szCs w:val="24"/>
        </w:rPr>
        <w:t>ion</w:t>
      </w:r>
      <w:r w:rsidR="009B684D">
        <w:rPr>
          <w:rFonts w:ascii="Calibri" w:eastAsia="Calibri" w:hAnsi="Calibri" w:cs="Calibri"/>
          <w:sz w:val="24"/>
          <w:szCs w:val="24"/>
        </w:rPr>
        <w:t xml:space="preserve"> and Expansion</w:t>
      </w:r>
    </w:p>
    <w:p w14:paraId="282D1494" w14:textId="55415BEA" w:rsidR="00414DE9" w:rsidRPr="001929C4" w:rsidRDefault="00414DE9" w:rsidP="007F1D38">
      <w:pPr>
        <w:pStyle w:val="ListParagraph"/>
        <w:numPr>
          <w:ilvl w:val="0"/>
          <w:numId w:val="6"/>
        </w:numPr>
        <w:spacing w:line="240" w:lineRule="auto"/>
        <w:rPr>
          <w:rFonts w:ascii="Calibri" w:eastAsia="Calibri" w:hAnsi="Calibri" w:cs="Calibri"/>
          <w:sz w:val="24"/>
          <w:szCs w:val="24"/>
        </w:rPr>
      </w:pPr>
      <w:r w:rsidRPr="001929C4">
        <w:rPr>
          <w:rFonts w:ascii="Calibri" w:eastAsia="Calibri" w:hAnsi="Calibri" w:cs="Calibri"/>
          <w:sz w:val="24"/>
          <w:szCs w:val="24"/>
        </w:rPr>
        <w:t xml:space="preserve">Need to Expand </w:t>
      </w:r>
      <w:r w:rsidR="008F5EEB">
        <w:rPr>
          <w:rFonts w:ascii="Calibri" w:eastAsia="Calibri" w:hAnsi="Calibri" w:cs="Calibri"/>
          <w:sz w:val="24"/>
          <w:szCs w:val="24"/>
        </w:rPr>
        <w:t xml:space="preserve">to </w:t>
      </w:r>
      <w:r w:rsidRPr="001929C4">
        <w:rPr>
          <w:rFonts w:ascii="Calibri" w:eastAsia="Calibri" w:hAnsi="Calibri" w:cs="Calibri"/>
          <w:sz w:val="24"/>
          <w:szCs w:val="24"/>
        </w:rPr>
        <w:t xml:space="preserve">Address </w:t>
      </w:r>
      <w:r w:rsidR="005B3F5C">
        <w:rPr>
          <w:rFonts w:ascii="Calibri" w:eastAsia="Calibri" w:hAnsi="Calibri" w:cs="Calibri"/>
          <w:sz w:val="24"/>
          <w:szCs w:val="24"/>
        </w:rPr>
        <w:t xml:space="preserve">Need for </w:t>
      </w:r>
      <w:r w:rsidR="005B3F5C" w:rsidRPr="001929C4">
        <w:rPr>
          <w:rFonts w:ascii="Calibri" w:eastAsia="Calibri" w:hAnsi="Calibri" w:cs="Calibri"/>
          <w:sz w:val="24"/>
          <w:szCs w:val="24"/>
        </w:rPr>
        <w:t>Post-Acute</w:t>
      </w:r>
      <w:r w:rsidRPr="001929C4">
        <w:rPr>
          <w:rFonts w:ascii="Calibri" w:eastAsia="Calibri" w:hAnsi="Calibri" w:cs="Calibri"/>
          <w:sz w:val="24"/>
          <w:szCs w:val="24"/>
        </w:rPr>
        <w:t xml:space="preserve"> </w:t>
      </w:r>
      <w:r w:rsidR="00637D13" w:rsidRPr="001929C4">
        <w:rPr>
          <w:rFonts w:ascii="Calibri" w:eastAsia="Calibri" w:hAnsi="Calibri" w:cs="Calibri"/>
          <w:sz w:val="24"/>
          <w:szCs w:val="24"/>
        </w:rPr>
        <w:t xml:space="preserve">Medical Rehabilitation </w:t>
      </w:r>
      <w:r w:rsidR="00077A72">
        <w:rPr>
          <w:rFonts w:ascii="Calibri" w:eastAsia="Calibri" w:hAnsi="Calibri" w:cs="Calibri"/>
          <w:sz w:val="24"/>
          <w:szCs w:val="24"/>
        </w:rPr>
        <w:t>S</w:t>
      </w:r>
      <w:r w:rsidR="00637D13" w:rsidRPr="001929C4">
        <w:rPr>
          <w:rFonts w:ascii="Calibri" w:eastAsia="Calibri" w:hAnsi="Calibri" w:cs="Calibri"/>
          <w:sz w:val="24"/>
          <w:szCs w:val="24"/>
        </w:rPr>
        <w:t>ervices</w:t>
      </w:r>
    </w:p>
    <w:p w14:paraId="495D761E" w14:textId="1B591460" w:rsidR="00637D13" w:rsidRPr="001929C4" w:rsidRDefault="00637D13" w:rsidP="007F1D38">
      <w:pPr>
        <w:pStyle w:val="ListParagraph"/>
        <w:numPr>
          <w:ilvl w:val="0"/>
          <w:numId w:val="6"/>
        </w:numPr>
        <w:spacing w:line="240" w:lineRule="auto"/>
        <w:rPr>
          <w:rFonts w:ascii="Calibri" w:eastAsia="Calibri" w:hAnsi="Calibri" w:cs="Calibri"/>
          <w:sz w:val="24"/>
          <w:szCs w:val="24"/>
        </w:rPr>
      </w:pPr>
      <w:r w:rsidRPr="001929C4">
        <w:rPr>
          <w:rFonts w:ascii="Calibri" w:eastAsia="Calibri" w:hAnsi="Calibri" w:cs="Calibri"/>
          <w:sz w:val="24"/>
          <w:szCs w:val="24"/>
        </w:rPr>
        <w:t xml:space="preserve">Need to Expand Access to </w:t>
      </w:r>
      <w:r w:rsidR="007759A0" w:rsidRPr="001929C4">
        <w:rPr>
          <w:rFonts w:ascii="Calibri" w:eastAsia="Calibri" w:hAnsi="Calibri" w:cs="Calibri"/>
          <w:sz w:val="24"/>
          <w:szCs w:val="24"/>
        </w:rPr>
        <w:t xml:space="preserve">Dental </w:t>
      </w:r>
      <w:r w:rsidR="00077A72" w:rsidRPr="001929C4">
        <w:rPr>
          <w:rFonts w:ascii="Calibri" w:eastAsia="Calibri" w:hAnsi="Calibri" w:cs="Calibri"/>
          <w:sz w:val="24"/>
          <w:szCs w:val="24"/>
        </w:rPr>
        <w:t>Healthcare Including Surgical Services</w:t>
      </w:r>
      <w:r w:rsidR="007759A0" w:rsidRPr="001929C4">
        <w:rPr>
          <w:rFonts w:ascii="Calibri" w:eastAsia="Calibri" w:hAnsi="Calibri" w:cs="Calibri"/>
          <w:sz w:val="24"/>
          <w:szCs w:val="24"/>
        </w:rPr>
        <w:t>.</w:t>
      </w:r>
    </w:p>
    <w:p w14:paraId="6D82FF20" w14:textId="49241ACF" w:rsidR="007759A0" w:rsidRDefault="00FA6D66" w:rsidP="00E347B4">
      <w:pPr>
        <w:rPr>
          <w:rFonts w:ascii="Calibri" w:eastAsia="Calibri" w:hAnsi="Calibri" w:cs="Calibri"/>
        </w:rPr>
      </w:pPr>
      <w:r>
        <w:rPr>
          <w:rFonts w:ascii="Calibri" w:eastAsia="Calibri" w:hAnsi="Calibri" w:cs="Calibri"/>
        </w:rPr>
        <w:t xml:space="preserve">Table 5 shows historical unique patients and historical volume of Franciscans services that are </w:t>
      </w:r>
      <w:r w:rsidR="00FF7025">
        <w:rPr>
          <w:rFonts w:ascii="Calibri" w:eastAsia="Calibri" w:hAnsi="Calibri" w:cs="Calibri"/>
        </w:rPr>
        <w:t xml:space="preserve">included in </w:t>
      </w:r>
      <w:r>
        <w:rPr>
          <w:rFonts w:ascii="Calibri" w:eastAsia="Calibri" w:hAnsi="Calibri" w:cs="Calibri"/>
        </w:rPr>
        <w:t xml:space="preserve">the Proposed Project. There </w:t>
      </w:r>
      <w:proofErr w:type="gramStart"/>
      <w:r>
        <w:rPr>
          <w:rFonts w:ascii="Calibri" w:eastAsia="Calibri" w:hAnsi="Calibri" w:cs="Calibri"/>
        </w:rPr>
        <w:t>are</w:t>
      </w:r>
      <w:proofErr w:type="gramEnd"/>
      <w:r>
        <w:rPr>
          <w:rFonts w:ascii="Calibri" w:eastAsia="Calibri" w:hAnsi="Calibri" w:cs="Calibri"/>
        </w:rPr>
        <w:t xml:space="preserve"> substantial year over year fluctuations reflecting the impact of the COVID Pandemic and the facility and programmatic challenges discussed in each section. While volume </w:t>
      </w:r>
      <w:r w:rsidR="5F27DD5E" w:rsidRPr="668A1D26">
        <w:rPr>
          <w:rFonts w:ascii="Calibri" w:eastAsia="Calibri" w:hAnsi="Calibri" w:cs="Calibri"/>
        </w:rPr>
        <w:t xml:space="preserve">has not </w:t>
      </w:r>
      <w:r w:rsidR="00FF7025" w:rsidRPr="668A1D26">
        <w:rPr>
          <w:rFonts w:ascii="Calibri" w:eastAsia="Calibri" w:hAnsi="Calibri" w:cs="Calibri"/>
        </w:rPr>
        <w:t>reached</w:t>
      </w:r>
      <w:r w:rsidR="00FF7025">
        <w:rPr>
          <w:rFonts w:ascii="Calibri" w:eastAsia="Calibri" w:hAnsi="Calibri" w:cs="Calibri"/>
        </w:rPr>
        <w:t xml:space="preserve"> </w:t>
      </w:r>
      <w:r>
        <w:rPr>
          <w:rFonts w:ascii="Calibri" w:eastAsia="Calibri" w:hAnsi="Calibri" w:cs="Calibri"/>
        </w:rPr>
        <w:t xml:space="preserve">pre-COVID </w:t>
      </w:r>
      <w:proofErr w:type="gramStart"/>
      <w:r>
        <w:rPr>
          <w:rFonts w:ascii="Calibri" w:eastAsia="Calibri" w:hAnsi="Calibri" w:cs="Calibri"/>
        </w:rPr>
        <w:t>levels</w:t>
      </w:r>
      <w:proofErr w:type="gramEnd"/>
      <w:r>
        <w:rPr>
          <w:rFonts w:ascii="Calibri" w:eastAsia="Calibri" w:hAnsi="Calibri" w:cs="Calibri"/>
        </w:rPr>
        <w:t xml:space="preserve"> more children </w:t>
      </w:r>
      <w:r w:rsidR="00FF7025">
        <w:rPr>
          <w:rFonts w:ascii="Calibri" w:eastAsia="Calibri" w:hAnsi="Calibri" w:cs="Calibri"/>
        </w:rPr>
        <w:t>have been</w:t>
      </w:r>
      <w:r>
        <w:rPr>
          <w:rFonts w:ascii="Calibri" w:eastAsia="Calibri" w:hAnsi="Calibri" w:cs="Calibri"/>
        </w:rPr>
        <w:t xml:space="preserve"> served in the last two years. </w:t>
      </w:r>
    </w:p>
    <w:p w14:paraId="32075BBF" w14:textId="77777777" w:rsidR="00FF7025" w:rsidRDefault="00FF7025" w:rsidP="00E347B4">
      <w:pPr>
        <w:rPr>
          <w:rFonts w:ascii="Calibri" w:eastAsia="Calibri" w:hAnsi="Calibri" w:cs="Calibri"/>
        </w:rPr>
      </w:pPr>
    </w:p>
    <w:p w14:paraId="1EAA9A63" w14:textId="07FC069D" w:rsidR="00FA6D66" w:rsidRDefault="00FA6D66" w:rsidP="00E864C1">
      <w:pPr>
        <w:jc w:val="center"/>
        <w:rPr>
          <w:rFonts w:ascii="Calibri" w:eastAsia="Calibri" w:hAnsi="Calibri" w:cs="Calibri"/>
          <w:b/>
          <w:bCs/>
        </w:rPr>
      </w:pPr>
      <w:r w:rsidRPr="00FA6D66">
        <w:rPr>
          <w:rFonts w:ascii="Calibri" w:eastAsia="Calibri" w:hAnsi="Calibri" w:cs="Calibri"/>
          <w:b/>
          <w:bCs/>
        </w:rPr>
        <w:t>Table 5: Historical Patient Utilization Data</w:t>
      </w:r>
    </w:p>
    <w:p w14:paraId="7D047713" w14:textId="77777777" w:rsidR="00FA6D66" w:rsidRPr="00FF7025" w:rsidRDefault="00FA6D66" w:rsidP="00FA6D66">
      <w:pPr>
        <w:jc w:val="center"/>
        <w:rPr>
          <w:rFonts w:ascii="Calibri" w:eastAsia="Calibri" w:hAnsi="Calibri" w:cs="Calibri"/>
        </w:rPr>
      </w:pPr>
    </w:p>
    <w:tbl>
      <w:tblPr>
        <w:tblW w:w="9940" w:type="dxa"/>
        <w:jc w:val="center"/>
        <w:tblLook w:val="04A0" w:firstRow="1" w:lastRow="0" w:firstColumn="1" w:lastColumn="0" w:noHBand="0" w:noVBand="1"/>
      </w:tblPr>
      <w:tblGrid>
        <w:gridCol w:w="3040"/>
        <w:gridCol w:w="960"/>
        <w:gridCol w:w="960"/>
        <w:gridCol w:w="960"/>
        <w:gridCol w:w="960"/>
        <w:gridCol w:w="960"/>
        <w:gridCol w:w="885"/>
        <w:gridCol w:w="1215"/>
      </w:tblGrid>
      <w:tr w:rsidR="00FF7025" w:rsidRPr="00E864C1" w14:paraId="1363771B" w14:textId="77777777" w:rsidTr="006375CA">
        <w:trPr>
          <w:cantSplit/>
          <w:trHeight w:val="290"/>
          <w:tblHeader/>
          <w:jc w:val="center"/>
        </w:trPr>
        <w:tc>
          <w:tcPr>
            <w:tcW w:w="3040" w:type="dxa"/>
            <w:tcBorders>
              <w:top w:val="single" w:sz="4" w:space="0" w:color="auto"/>
              <w:left w:val="single" w:sz="4" w:space="0" w:color="auto"/>
              <w:bottom w:val="single" w:sz="4" w:space="0" w:color="auto"/>
              <w:right w:val="single" w:sz="4" w:space="0" w:color="auto"/>
            </w:tcBorders>
            <w:shd w:val="clear" w:color="000000" w:fill="D9FFFF"/>
            <w:vAlign w:val="center"/>
            <w:hideMark/>
          </w:tcPr>
          <w:p w14:paraId="438D8454" w14:textId="77777777" w:rsidR="00FF7025" w:rsidRPr="00E864C1" w:rsidRDefault="00FF7025" w:rsidP="00FF7025">
            <w:pPr>
              <w:rPr>
                <w:rFonts w:eastAsia="Times New Roman"/>
                <w:color w:val="000000"/>
              </w:rPr>
            </w:pPr>
            <w:r w:rsidRPr="00E864C1">
              <w:rPr>
                <w:rFonts w:eastAsia="Times New Roman"/>
                <w:color w:val="000000"/>
              </w:rPr>
              <w:t> </w:t>
            </w:r>
          </w:p>
        </w:tc>
        <w:tc>
          <w:tcPr>
            <w:tcW w:w="960" w:type="dxa"/>
            <w:tcBorders>
              <w:top w:val="single" w:sz="4" w:space="0" w:color="auto"/>
              <w:left w:val="nil"/>
              <w:bottom w:val="single" w:sz="4" w:space="0" w:color="auto"/>
              <w:right w:val="single" w:sz="4" w:space="0" w:color="auto"/>
            </w:tcBorders>
            <w:shd w:val="clear" w:color="000000" w:fill="D9FFFF"/>
            <w:vAlign w:val="center"/>
            <w:hideMark/>
          </w:tcPr>
          <w:p w14:paraId="271A6422" w14:textId="77777777" w:rsidR="00FF7025" w:rsidRPr="00E864C1" w:rsidRDefault="00FF7025" w:rsidP="00FF7025">
            <w:pPr>
              <w:jc w:val="center"/>
              <w:rPr>
                <w:rFonts w:eastAsia="Times New Roman"/>
                <w:color w:val="000000"/>
              </w:rPr>
            </w:pPr>
            <w:r w:rsidRPr="00E864C1">
              <w:rPr>
                <w:rFonts w:eastAsia="Times New Roman"/>
                <w:color w:val="000000"/>
              </w:rPr>
              <w:t>FY18</w:t>
            </w:r>
          </w:p>
        </w:tc>
        <w:tc>
          <w:tcPr>
            <w:tcW w:w="960" w:type="dxa"/>
            <w:tcBorders>
              <w:top w:val="single" w:sz="4" w:space="0" w:color="auto"/>
              <w:left w:val="nil"/>
              <w:bottom w:val="single" w:sz="4" w:space="0" w:color="auto"/>
              <w:right w:val="single" w:sz="4" w:space="0" w:color="auto"/>
            </w:tcBorders>
            <w:shd w:val="clear" w:color="000000" w:fill="D9FFFF"/>
            <w:vAlign w:val="center"/>
            <w:hideMark/>
          </w:tcPr>
          <w:p w14:paraId="3A80291E" w14:textId="77777777" w:rsidR="00FF7025" w:rsidRPr="00E864C1" w:rsidRDefault="00FF7025" w:rsidP="00FF7025">
            <w:pPr>
              <w:jc w:val="center"/>
              <w:rPr>
                <w:rFonts w:eastAsia="Times New Roman"/>
                <w:color w:val="000000"/>
              </w:rPr>
            </w:pPr>
            <w:r w:rsidRPr="00E864C1">
              <w:rPr>
                <w:rFonts w:eastAsia="Times New Roman"/>
                <w:color w:val="000000"/>
              </w:rPr>
              <w:t>FY19</w:t>
            </w:r>
          </w:p>
        </w:tc>
        <w:tc>
          <w:tcPr>
            <w:tcW w:w="960" w:type="dxa"/>
            <w:tcBorders>
              <w:top w:val="single" w:sz="4" w:space="0" w:color="auto"/>
              <w:left w:val="nil"/>
              <w:bottom w:val="single" w:sz="4" w:space="0" w:color="auto"/>
              <w:right w:val="single" w:sz="4" w:space="0" w:color="auto"/>
            </w:tcBorders>
            <w:shd w:val="clear" w:color="000000" w:fill="D9FFFF"/>
            <w:vAlign w:val="center"/>
            <w:hideMark/>
          </w:tcPr>
          <w:p w14:paraId="61B649A6" w14:textId="77777777" w:rsidR="00FF7025" w:rsidRPr="00E864C1" w:rsidRDefault="00FF7025" w:rsidP="00FF7025">
            <w:pPr>
              <w:jc w:val="center"/>
              <w:rPr>
                <w:rFonts w:eastAsia="Times New Roman"/>
                <w:color w:val="000000"/>
              </w:rPr>
            </w:pPr>
            <w:r w:rsidRPr="00E864C1">
              <w:rPr>
                <w:rFonts w:eastAsia="Times New Roman"/>
                <w:color w:val="000000"/>
              </w:rPr>
              <w:t>FY20</w:t>
            </w:r>
          </w:p>
        </w:tc>
        <w:tc>
          <w:tcPr>
            <w:tcW w:w="960" w:type="dxa"/>
            <w:tcBorders>
              <w:top w:val="single" w:sz="4" w:space="0" w:color="auto"/>
              <w:left w:val="nil"/>
              <w:bottom w:val="single" w:sz="4" w:space="0" w:color="auto"/>
              <w:right w:val="single" w:sz="4" w:space="0" w:color="auto"/>
            </w:tcBorders>
            <w:shd w:val="clear" w:color="000000" w:fill="D9FFFF"/>
            <w:vAlign w:val="center"/>
            <w:hideMark/>
          </w:tcPr>
          <w:p w14:paraId="293458C5" w14:textId="77777777" w:rsidR="00FF7025" w:rsidRPr="00E864C1" w:rsidRDefault="00FF7025" w:rsidP="00FF7025">
            <w:pPr>
              <w:jc w:val="center"/>
              <w:rPr>
                <w:rFonts w:eastAsia="Times New Roman"/>
                <w:color w:val="000000"/>
              </w:rPr>
            </w:pPr>
            <w:r w:rsidRPr="00E864C1">
              <w:rPr>
                <w:rFonts w:eastAsia="Times New Roman"/>
                <w:color w:val="000000"/>
              </w:rPr>
              <w:t>FY21</w:t>
            </w:r>
          </w:p>
        </w:tc>
        <w:tc>
          <w:tcPr>
            <w:tcW w:w="960" w:type="dxa"/>
            <w:tcBorders>
              <w:top w:val="single" w:sz="4" w:space="0" w:color="auto"/>
              <w:left w:val="nil"/>
              <w:bottom w:val="single" w:sz="4" w:space="0" w:color="auto"/>
              <w:right w:val="single" w:sz="4" w:space="0" w:color="auto"/>
            </w:tcBorders>
            <w:shd w:val="clear" w:color="000000" w:fill="D9FFFF"/>
            <w:vAlign w:val="center"/>
            <w:hideMark/>
          </w:tcPr>
          <w:p w14:paraId="583E53E2" w14:textId="77777777" w:rsidR="00FF7025" w:rsidRPr="00E864C1" w:rsidRDefault="00FF7025" w:rsidP="00FF7025">
            <w:pPr>
              <w:jc w:val="center"/>
              <w:rPr>
                <w:rFonts w:eastAsia="Times New Roman"/>
                <w:color w:val="000000"/>
              </w:rPr>
            </w:pPr>
            <w:r w:rsidRPr="00E864C1">
              <w:rPr>
                <w:rFonts w:eastAsia="Times New Roman"/>
                <w:color w:val="000000"/>
              </w:rPr>
              <w:t>FY22</w:t>
            </w:r>
          </w:p>
        </w:tc>
        <w:tc>
          <w:tcPr>
            <w:tcW w:w="885" w:type="dxa"/>
            <w:tcBorders>
              <w:top w:val="single" w:sz="4" w:space="0" w:color="auto"/>
              <w:left w:val="nil"/>
              <w:bottom w:val="single" w:sz="4" w:space="0" w:color="auto"/>
              <w:right w:val="single" w:sz="4" w:space="0" w:color="auto"/>
            </w:tcBorders>
            <w:shd w:val="clear" w:color="000000" w:fill="D9FFFF"/>
            <w:vAlign w:val="center"/>
            <w:hideMark/>
          </w:tcPr>
          <w:p w14:paraId="6A24E887" w14:textId="77777777" w:rsidR="00FF7025" w:rsidRPr="00E864C1" w:rsidRDefault="00FF7025" w:rsidP="00FF7025">
            <w:pPr>
              <w:jc w:val="center"/>
              <w:rPr>
                <w:rFonts w:eastAsia="Times New Roman"/>
                <w:color w:val="000000"/>
              </w:rPr>
            </w:pPr>
            <w:r w:rsidRPr="00E864C1">
              <w:rPr>
                <w:rFonts w:eastAsia="Times New Roman"/>
                <w:color w:val="000000"/>
              </w:rPr>
              <w:t>FY23</w:t>
            </w:r>
          </w:p>
        </w:tc>
        <w:tc>
          <w:tcPr>
            <w:tcW w:w="1215" w:type="dxa"/>
            <w:tcBorders>
              <w:top w:val="single" w:sz="4" w:space="0" w:color="auto"/>
              <w:left w:val="nil"/>
              <w:bottom w:val="single" w:sz="4" w:space="0" w:color="auto"/>
              <w:right w:val="single" w:sz="4" w:space="0" w:color="auto"/>
            </w:tcBorders>
            <w:shd w:val="clear" w:color="000000" w:fill="D9FFFF"/>
            <w:vAlign w:val="center"/>
            <w:hideMark/>
          </w:tcPr>
          <w:p w14:paraId="24F984AC" w14:textId="77777777" w:rsidR="00FF7025" w:rsidRPr="00E864C1" w:rsidRDefault="00FF7025" w:rsidP="00FF7025">
            <w:pPr>
              <w:jc w:val="center"/>
              <w:rPr>
                <w:rFonts w:eastAsia="Times New Roman"/>
                <w:color w:val="000000"/>
              </w:rPr>
            </w:pPr>
            <w:r w:rsidRPr="00E864C1">
              <w:rPr>
                <w:rFonts w:eastAsia="Times New Roman"/>
                <w:color w:val="000000"/>
              </w:rPr>
              <w:t>FY 21-23</w:t>
            </w:r>
          </w:p>
        </w:tc>
      </w:tr>
      <w:tr w:rsidR="00FF7025" w:rsidRPr="00E864C1" w14:paraId="3DC687CB" w14:textId="77777777" w:rsidTr="006375CA">
        <w:trPr>
          <w:cantSplit/>
          <w:trHeight w:val="290"/>
          <w:tblHeader/>
          <w:jc w:val="center"/>
        </w:trPr>
        <w:tc>
          <w:tcPr>
            <w:tcW w:w="3040" w:type="dxa"/>
            <w:tcBorders>
              <w:top w:val="nil"/>
              <w:left w:val="single" w:sz="4" w:space="0" w:color="auto"/>
              <w:bottom w:val="single" w:sz="4" w:space="0" w:color="auto"/>
              <w:right w:val="single" w:sz="4" w:space="0" w:color="auto"/>
            </w:tcBorders>
            <w:shd w:val="clear" w:color="000000" w:fill="D9FFFF"/>
            <w:vAlign w:val="center"/>
            <w:hideMark/>
          </w:tcPr>
          <w:p w14:paraId="69DCF842" w14:textId="77777777" w:rsidR="00FF7025" w:rsidRPr="00E864C1" w:rsidRDefault="00FF7025" w:rsidP="00FF7025">
            <w:pPr>
              <w:rPr>
                <w:rFonts w:eastAsia="Times New Roman"/>
                <w:color w:val="000000"/>
              </w:rPr>
            </w:pPr>
            <w:r w:rsidRPr="00E864C1">
              <w:rPr>
                <w:rFonts w:eastAsia="Times New Roman"/>
                <w:color w:val="000000"/>
              </w:rPr>
              <w:t> </w:t>
            </w:r>
          </w:p>
        </w:tc>
        <w:tc>
          <w:tcPr>
            <w:tcW w:w="960" w:type="dxa"/>
            <w:tcBorders>
              <w:top w:val="nil"/>
              <w:left w:val="nil"/>
              <w:bottom w:val="single" w:sz="4" w:space="0" w:color="auto"/>
              <w:right w:val="single" w:sz="4" w:space="0" w:color="auto"/>
            </w:tcBorders>
            <w:shd w:val="clear" w:color="000000" w:fill="D9FFFF"/>
            <w:vAlign w:val="center"/>
            <w:hideMark/>
          </w:tcPr>
          <w:p w14:paraId="5D2CF7AF" w14:textId="77777777" w:rsidR="00FF7025" w:rsidRPr="00E864C1" w:rsidRDefault="00FF7025" w:rsidP="00FF7025">
            <w:pPr>
              <w:jc w:val="center"/>
              <w:rPr>
                <w:rFonts w:eastAsia="Times New Roman"/>
                <w:color w:val="000000"/>
              </w:rPr>
            </w:pPr>
            <w:r w:rsidRPr="00E864C1">
              <w:rPr>
                <w:rFonts w:eastAsia="Times New Roman"/>
                <w:color w:val="000000"/>
              </w:rPr>
              <w:t>Count</w:t>
            </w:r>
          </w:p>
        </w:tc>
        <w:tc>
          <w:tcPr>
            <w:tcW w:w="960" w:type="dxa"/>
            <w:tcBorders>
              <w:top w:val="nil"/>
              <w:left w:val="nil"/>
              <w:bottom w:val="single" w:sz="4" w:space="0" w:color="auto"/>
              <w:right w:val="single" w:sz="4" w:space="0" w:color="auto"/>
            </w:tcBorders>
            <w:shd w:val="clear" w:color="000000" w:fill="D9FFFF"/>
            <w:vAlign w:val="center"/>
            <w:hideMark/>
          </w:tcPr>
          <w:p w14:paraId="2126CA25" w14:textId="77777777" w:rsidR="00FF7025" w:rsidRPr="00E864C1" w:rsidRDefault="00FF7025" w:rsidP="00FF7025">
            <w:pPr>
              <w:jc w:val="center"/>
              <w:rPr>
                <w:rFonts w:eastAsia="Times New Roman"/>
                <w:color w:val="000000"/>
              </w:rPr>
            </w:pPr>
            <w:r w:rsidRPr="00E864C1">
              <w:rPr>
                <w:rFonts w:eastAsia="Times New Roman"/>
                <w:color w:val="000000"/>
              </w:rPr>
              <w:t>Count</w:t>
            </w:r>
          </w:p>
        </w:tc>
        <w:tc>
          <w:tcPr>
            <w:tcW w:w="960" w:type="dxa"/>
            <w:tcBorders>
              <w:top w:val="nil"/>
              <w:left w:val="nil"/>
              <w:bottom w:val="single" w:sz="4" w:space="0" w:color="auto"/>
              <w:right w:val="single" w:sz="4" w:space="0" w:color="auto"/>
            </w:tcBorders>
            <w:shd w:val="clear" w:color="000000" w:fill="D9FFFF"/>
            <w:vAlign w:val="center"/>
            <w:hideMark/>
          </w:tcPr>
          <w:p w14:paraId="6825B18D" w14:textId="77777777" w:rsidR="00FF7025" w:rsidRPr="00E864C1" w:rsidRDefault="00FF7025" w:rsidP="00FF7025">
            <w:pPr>
              <w:jc w:val="center"/>
              <w:rPr>
                <w:rFonts w:eastAsia="Times New Roman"/>
                <w:color w:val="000000"/>
              </w:rPr>
            </w:pPr>
            <w:r w:rsidRPr="00E864C1">
              <w:rPr>
                <w:rFonts w:eastAsia="Times New Roman"/>
                <w:color w:val="000000"/>
              </w:rPr>
              <w:t>Count</w:t>
            </w:r>
          </w:p>
        </w:tc>
        <w:tc>
          <w:tcPr>
            <w:tcW w:w="960" w:type="dxa"/>
            <w:tcBorders>
              <w:top w:val="nil"/>
              <w:left w:val="nil"/>
              <w:bottom w:val="single" w:sz="4" w:space="0" w:color="auto"/>
              <w:right w:val="single" w:sz="4" w:space="0" w:color="auto"/>
            </w:tcBorders>
            <w:shd w:val="clear" w:color="000000" w:fill="D9FFFF"/>
            <w:vAlign w:val="center"/>
            <w:hideMark/>
          </w:tcPr>
          <w:p w14:paraId="09194C56" w14:textId="77777777" w:rsidR="00FF7025" w:rsidRPr="00E864C1" w:rsidRDefault="00FF7025" w:rsidP="00FF7025">
            <w:pPr>
              <w:jc w:val="center"/>
              <w:rPr>
                <w:rFonts w:eastAsia="Times New Roman"/>
                <w:color w:val="000000"/>
              </w:rPr>
            </w:pPr>
            <w:r w:rsidRPr="00E864C1">
              <w:rPr>
                <w:rFonts w:eastAsia="Times New Roman"/>
                <w:color w:val="000000"/>
              </w:rPr>
              <w:t>Count</w:t>
            </w:r>
          </w:p>
        </w:tc>
        <w:tc>
          <w:tcPr>
            <w:tcW w:w="960" w:type="dxa"/>
            <w:tcBorders>
              <w:top w:val="nil"/>
              <w:left w:val="nil"/>
              <w:bottom w:val="single" w:sz="4" w:space="0" w:color="auto"/>
              <w:right w:val="single" w:sz="4" w:space="0" w:color="auto"/>
            </w:tcBorders>
            <w:shd w:val="clear" w:color="000000" w:fill="D9FFFF"/>
            <w:vAlign w:val="center"/>
            <w:hideMark/>
          </w:tcPr>
          <w:p w14:paraId="2A92381D" w14:textId="77777777" w:rsidR="00FF7025" w:rsidRPr="00E864C1" w:rsidRDefault="00FF7025" w:rsidP="00FF7025">
            <w:pPr>
              <w:jc w:val="center"/>
              <w:rPr>
                <w:rFonts w:eastAsia="Times New Roman"/>
                <w:color w:val="000000"/>
              </w:rPr>
            </w:pPr>
            <w:r w:rsidRPr="00E864C1">
              <w:rPr>
                <w:rFonts w:eastAsia="Times New Roman"/>
                <w:color w:val="000000"/>
              </w:rPr>
              <w:t>Count</w:t>
            </w:r>
          </w:p>
        </w:tc>
        <w:tc>
          <w:tcPr>
            <w:tcW w:w="885" w:type="dxa"/>
            <w:tcBorders>
              <w:top w:val="nil"/>
              <w:left w:val="nil"/>
              <w:bottom w:val="single" w:sz="4" w:space="0" w:color="auto"/>
              <w:right w:val="single" w:sz="4" w:space="0" w:color="auto"/>
            </w:tcBorders>
            <w:shd w:val="clear" w:color="000000" w:fill="D9FFFF"/>
            <w:vAlign w:val="center"/>
            <w:hideMark/>
          </w:tcPr>
          <w:p w14:paraId="467F8534" w14:textId="77777777" w:rsidR="00FF7025" w:rsidRPr="00E864C1" w:rsidRDefault="00FF7025" w:rsidP="00FF7025">
            <w:pPr>
              <w:jc w:val="center"/>
              <w:rPr>
                <w:rFonts w:eastAsia="Times New Roman"/>
                <w:color w:val="000000"/>
              </w:rPr>
            </w:pPr>
            <w:r w:rsidRPr="00E864C1">
              <w:rPr>
                <w:rFonts w:eastAsia="Times New Roman"/>
                <w:color w:val="000000"/>
              </w:rPr>
              <w:t>Count</w:t>
            </w:r>
          </w:p>
        </w:tc>
        <w:tc>
          <w:tcPr>
            <w:tcW w:w="1215" w:type="dxa"/>
            <w:tcBorders>
              <w:top w:val="nil"/>
              <w:left w:val="nil"/>
              <w:bottom w:val="single" w:sz="4" w:space="0" w:color="auto"/>
              <w:right w:val="single" w:sz="4" w:space="0" w:color="auto"/>
            </w:tcBorders>
            <w:shd w:val="clear" w:color="000000" w:fill="D9FFFF"/>
            <w:vAlign w:val="center"/>
            <w:hideMark/>
          </w:tcPr>
          <w:p w14:paraId="2525FF79" w14:textId="77777777" w:rsidR="00FF7025" w:rsidRPr="00E864C1" w:rsidRDefault="00FF7025" w:rsidP="00FF7025">
            <w:pPr>
              <w:jc w:val="center"/>
              <w:rPr>
                <w:rFonts w:eastAsia="Times New Roman"/>
                <w:color w:val="000000"/>
              </w:rPr>
            </w:pPr>
            <w:r w:rsidRPr="00E864C1">
              <w:rPr>
                <w:rFonts w:eastAsia="Times New Roman"/>
                <w:color w:val="000000"/>
              </w:rPr>
              <w:t>% Change</w:t>
            </w:r>
          </w:p>
        </w:tc>
      </w:tr>
      <w:tr w:rsidR="00FF7025" w:rsidRPr="00E864C1" w14:paraId="1D90C856" w14:textId="77777777" w:rsidTr="006375CA">
        <w:trPr>
          <w:cantSplit/>
          <w:trHeight w:val="290"/>
          <w:jc w:val="center"/>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4517D" w14:textId="77777777" w:rsidR="00FF7025" w:rsidRPr="00E864C1" w:rsidRDefault="00FF7025" w:rsidP="00FF7025">
            <w:pPr>
              <w:rPr>
                <w:rFonts w:eastAsia="Times New Roman"/>
                <w:b/>
                <w:bCs/>
                <w:color w:val="000000"/>
              </w:rPr>
            </w:pPr>
            <w:r w:rsidRPr="00E864C1">
              <w:rPr>
                <w:rFonts w:eastAsia="Times New Roman"/>
                <w:b/>
                <w:bCs/>
                <w:color w:val="000000"/>
              </w:rPr>
              <w:t>Mental Health</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6DA9D" w14:textId="77777777" w:rsidR="00FF7025" w:rsidRPr="00E864C1" w:rsidRDefault="00FF7025" w:rsidP="00FF7025">
            <w:pPr>
              <w:rPr>
                <w:rFonts w:eastAsia="Times New Roman"/>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D8756" w14:textId="77777777" w:rsidR="00FF7025" w:rsidRPr="00E864C1" w:rsidRDefault="00FF7025" w:rsidP="00FF7025">
            <w:pPr>
              <w:jc w:val="right"/>
              <w:rPr>
                <w:rFonts w:eastAsia="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DC0F6" w14:textId="77777777" w:rsidR="00FF7025" w:rsidRPr="00E864C1" w:rsidRDefault="00FF7025" w:rsidP="00FF7025">
            <w:pPr>
              <w:jc w:val="right"/>
              <w:rPr>
                <w:rFonts w:eastAsia="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08B96" w14:textId="77777777" w:rsidR="00FF7025" w:rsidRPr="00E864C1" w:rsidRDefault="00FF7025" w:rsidP="00FF7025">
            <w:pPr>
              <w:jc w:val="right"/>
              <w:rPr>
                <w:rFonts w:eastAsia="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7DAC1" w14:textId="77777777" w:rsidR="00FF7025" w:rsidRPr="00E864C1" w:rsidRDefault="00FF7025" w:rsidP="00FF7025">
            <w:pPr>
              <w:jc w:val="right"/>
              <w:rPr>
                <w:rFonts w:eastAsia="Times New Roman"/>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FC8BF" w14:textId="77777777" w:rsidR="00FF7025" w:rsidRPr="00E864C1" w:rsidRDefault="00FF7025" w:rsidP="00FF7025">
            <w:pPr>
              <w:jc w:val="right"/>
              <w:rPr>
                <w:rFonts w:eastAsia="Times New Roman"/>
                <w:color w:val="000000"/>
              </w:rPr>
            </w:pPr>
            <w:r w:rsidRPr="00E864C1">
              <w:rPr>
                <w:rFonts w:eastAsia="Times New Roman"/>
                <w:color w:val="000000"/>
              </w:rPr>
              <w:t> </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2ECB" w14:textId="77777777" w:rsidR="00FF7025" w:rsidRPr="00E864C1" w:rsidRDefault="00FF7025" w:rsidP="00FF7025">
            <w:pPr>
              <w:rPr>
                <w:rFonts w:eastAsia="Times New Roman"/>
                <w:color w:val="000000"/>
              </w:rPr>
            </w:pPr>
            <w:r w:rsidRPr="00E864C1">
              <w:rPr>
                <w:rFonts w:eastAsia="Times New Roman"/>
                <w:color w:val="000000"/>
              </w:rPr>
              <w:t> </w:t>
            </w:r>
          </w:p>
        </w:tc>
      </w:tr>
      <w:tr w:rsidR="00FF7025" w:rsidRPr="00E864C1" w14:paraId="49F5E7BD" w14:textId="77777777" w:rsidTr="006375CA">
        <w:trPr>
          <w:cantSplit/>
          <w:trHeight w:val="290"/>
          <w:jc w:val="center"/>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2539F" w14:textId="77777777" w:rsidR="00FF7025" w:rsidRPr="00E864C1" w:rsidRDefault="00FF7025" w:rsidP="00FF7025">
            <w:pPr>
              <w:rPr>
                <w:rFonts w:eastAsia="Times New Roman"/>
                <w:color w:val="000000"/>
              </w:rPr>
            </w:pPr>
            <w:r w:rsidRPr="00E864C1">
              <w:rPr>
                <w:rFonts w:eastAsia="Times New Roman"/>
                <w:color w:val="000000"/>
              </w:rPr>
              <w:t xml:space="preserve">Unique Patients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2EE670" w14:textId="77777777" w:rsidR="00FF7025" w:rsidRPr="00E864C1" w:rsidRDefault="00FF7025" w:rsidP="00FF7025">
            <w:pPr>
              <w:jc w:val="right"/>
              <w:rPr>
                <w:rFonts w:eastAsia="Times New Roman"/>
                <w:color w:val="000000"/>
              </w:rPr>
            </w:pPr>
            <w:r w:rsidRPr="00E864C1">
              <w:rPr>
                <w:rFonts w:eastAsia="Times New Roman"/>
                <w:color w:val="000000"/>
              </w:rPr>
              <w:t>1,528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34B0AD6" w14:textId="77777777" w:rsidR="00FF7025" w:rsidRPr="00E864C1" w:rsidRDefault="00FF7025" w:rsidP="00FF7025">
            <w:pPr>
              <w:jc w:val="right"/>
              <w:rPr>
                <w:rFonts w:eastAsia="Times New Roman"/>
                <w:color w:val="000000"/>
              </w:rPr>
            </w:pPr>
            <w:r w:rsidRPr="00E864C1">
              <w:rPr>
                <w:rFonts w:eastAsia="Times New Roman"/>
                <w:color w:val="000000"/>
              </w:rPr>
              <w:t>1,839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0EB9DC4" w14:textId="77777777" w:rsidR="00FF7025" w:rsidRPr="00E864C1" w:rsidRDefault="00FF7025" w:rsidP="00FF7025">
            <w:pPr>
              <w:jc w:val="right"/>
              <w:rPr>
                <w:rFonts w:eastAsia="Times New Roman"/>
                <w:color w:val="000000"/>
              </w:rPr>
            </w:pPr>
            <w:r w:rsidRPr="00E864C1">
              <w:rPr>
                <w:rFonts w:eastAsia="Times New Roman"/>
                <w:color w:val="000000"/>
              </w:rPr>
              <w:t>1,414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A1042DD" w14:textId="77777777" w:rsidR="00FF7025" w:rsidRPr="00E864C1" w:rsidRDefault="00FF7025" w:rsidP="00FF7025">
            <w:pPr>
              <w:jc w:val="right"/>
              <w:rPr>
                <w:rFonts w:eastAsia="Times New Roman"/>
                <w:color w:val="000000"/>
              </w:rPr>
            </w:pPr>
            <w:r w:rsidRPr="00E864C1">
              <w:rPr>
                <w:rFonts w:eastAsia="Times New Roman"/>
                <w:color w:val="000000"/>
              </w:rPr>
              <w:t>1,205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CE2103F" w14:textId="77777777" w:rsidR="00FF7025" w:rsidRPr="00E864C1" w:rsidRDefault="00FF7025" w:rsidP="00FF7025">
            <w:pPr>
              <w:jc w:val="right"/>
              <w:rPr>
                <w:rFonts w:eastAsia="Times New Roman"/>
                <w:color w:val="000000"/>
              </w:rPr>
            </w:pPr>
            <w:r w:rsidRPr="00E864C1">
              <w:rPr>
                <w:rFonts w:eastAsia="Times New Roman"/>
                <w:color w:val="000000"/>
              </w:rPr>
              <w:t>1,158</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4796134F" w14:textId="77777777" w:rsidR="00FF7025" w:rsidRPr="00E864C1" w:rsidRDefault="00FF7025" w:rsidP="00FF7025">
            <w:pPr>
              <w:jc w:val="right"/>
              <w:rPr>
                <w:rFonts w:eastAsia="Times New Roman"/>
                <w:color w:val="000000"/>
              </w:rPr>
            </w:pPr>
            <w:r w:rsidRPr="00E864C1">
              <w:rPr>
                <w:rFonts w:eastAsia="Times New Roman"/>
                <w:color w:val="000000"/>
              </w:rPr>
              <w:t>1,310</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14:paraId="636F900B" w14:textId="77777777" w:rsidR="00FF7025" w:rsidRPr="00E864C1" w:rsidRDefault="00FF7025" w:rsidP="00FF7025">
            <w:pPr>
              <w:jc w:val="right"/>
              <w:rPr>
                <w:rFonts w:eastAsia="Times New Roman"/>
                <w:color w:val="000000"/>
              </w:rPr>
            </w:pPr>
            <w:r w:rsidRPr="00E864C1">
              <w:rPr>
                <w:rFonts w:eastAsia="Times New Roman"/>
                <w:color w:val="000000"/>
              </w:rPr>
              <w:t>8.7%</w:t>
            </w:r>
          </w:p>
        </w:tc>
      </w:tr>
      <w:tr w:rsidR="00FF7025" w:rsidRPr="00E864C1" w14:paraId="62248BC5" w14:textId="77777777" w:rsidTr="006375CA">
        <w:trPr>
          <w:cantSplit/>
          <w:trHeight w:val="290"/>
          <w:jc w:val="center"/>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9C80D28" w14:textId="77777777" w:rsidR="00FF7025" w:rsidRPr="00E864C1" w:rsidRDefault="00FF7025" w:rsidP="00FF7025">
            <w:pPr>
              <w:rPr>
                <w:rFonts w:eastAsia="Times New Roman"/>
                <w:color w:val="000000"/>
              </w:rPr>
            </w:pPr>
            <w:r w:rsidRPr="00E864C1">
              <w:rPr>
                <w:rFonts w:eastAsia="Times New Roman"/>
                <w:color w:val="000000"/>
              </w:rPr>
              <w:t>Total Unique outpatient Visits</w:t>
            </w:r>
          </w:p>
        </w:tc>
        <w:tc>
          <w:tcPr>
            <w:tcW w:w="960" w:type="dxa"/>
            <w:tcBorders>
              <w:top w:val="nil"/>
              <w:left w:val="nil"/>
              <w:bottom w:val="single" w:sz="4" w:space="0" w:color="auto"/>
              <w:right w:val="single" w:sz="4" w:space="0" w:color="auto"/>
            </w:tcBorders>
            <w:shd w:val="clear" w:color="auto" w:fill="auto"/>
            <w:vAlign w:val="center"/>
            <w:hideMark/>
          </w:tcPr>
          <w:p w14:paraId="0AADAD06" w14:textId="77777777" w:rsidR="00FF7025" w:rsidRPr="00E864C1" w:rsidRDefault="00FF7025" w:rsidP="00FF7025">
            <w:pPr>
              <w:jc w:val="right"/>
              <w:rPr>
                <w:rFonts w:eastAsia="Times New Roman"/>
                <w:color w:val="000000"/>
              </w:rPr>
            </w:pPr>
            <w:r w:rsidRPr="00E864C1">
              <w:rPr>
                <w:rFonts w:eastAsia="Times New Roman"/>
                <w:color w:val="000000"/>
              </w:rPr>
              <w:t>15,525</w:t>
            </w:r>
          </w:p>
        </w:tc>
        <w:tc>
          <w:tcPr>
            <w:tcW w:w="960" w:type="dxa"/>
            <w:tcBorders>
              <w:top w:val="nil"/>
              <w:left w:val="nil"/>
              <w:bottom w:val="single" w:sz="4" w:space="0" w:color="auto"/>
              <w:right w:val="single" w:sz="4" w:space="0" w:color="auto"/>
            </w:tcBorders>
            <w:shd w:val="clear" w:color="auto" w:fill="auto"/>
            <w:vAlign w:val="center"/>
            <w:hideMark/>
          </w:tcPr>
          <w:p w14:paraId="43D36B76" w14:textId="77777777" w:rsidR="00FF7025" w:rsidRPr="00E864C1" w:rsidRDefault="00FF7025" w:rsidP="00FF7025">
            <w:pPr>
              <w:jc w:val="right"/>
              <w:rPr>
                <w:rFonts w:eastAsia="Times New Roman"/>
                <w:color w:val="000000"/>
              </w:rPr>
            </w:pPr>
            <w:r w:rsidRPr="00E864C1">
              <w:rPr>
                <w:rFonts w:eastAsia="Times New Roman"/>
                <w:color w:val="000000"/>
              </w:rPr>
              <w:t>20,989</w:t>
            </w:r>
          </w:p>
        </w:tc>
        <w:tc>
          <w:tcPr>
            <w:tcW w:w="960" w:type="dxa"/>
            <w:tcBorders>
              <w:top w:val="nil"/>
              <w:left w:val="nil"/>
              <w:bottom w:val="single" w:sz="4" w:space="0" w:color="auto"/>
              <w:right w:val="single" w:sz="4" w:space="0" w:color="auto"/>
            </w:tcBorders>
            <w:shd w:val="clear" w:color="auto" w:fill="auto"/>
            <w:vAlign w:val="center"/>
            <w:hideMark/>
          </w:tcPr>
          <w:p w14:paraId="20CE751F" w14:textId="77777777" w:rsidR="00FF7025" w:rsidRPr="00E864C1" w:rsidRDefault="00FF7025" w:rsidP="00FF7025">
            <w:pPr>
              <w:jc w:val="right"/>
              <w:rPr>
                <w:rFonts w:eastAsia="Times New Roman"/>
                <w:color w:val="000000"/>
              </w:rPr>
            </w:pPr>
            <w:r w:rsidRPr="00E864C1">
              <w:rPr>
                <w:rFonts w:eastAsia="Times New Roman"/>
                <w:color w:val="000000"/>
              </w:rPr>
              <w:t>22,588</w:t>
            </w:r>
          </w:p>
        </w:tc>
        <w:tc>
          <w:tcPr>
            <w:tcW w:w="960" w:type="dxa"/>
            <w:tcBorders>
              <w:top w:val="nil"/>
              <w:left w:val="nil"/>
              <w:bottom w:val="single" w:sz="4" w:space="0" w:color="auto"/>
              <w:right w:val="single" w:sz="4" w:space="0" w:color="auto"/>
            </w:tcBorders>
            <w:shd w:val="clear" w:color="auto" w:fill="auto"/>
            <w:vAlign w:val="center"/>
            <w:hideMark/>
          </w:tcPr>
          <w:p w14:paraId="2B6FE547" w14:textId="77777777" w:rsidR="00FF7025" w:rsidRPr="00E864C1" w:rsidRDefault="00FF7025" w:rsidP="00FF7025">
            <w:pPr>
              <w:jc w:val="right"/>
              <w:rPr>
                <w:rFonts w:eastAsia="Times New Roman"/>
                <w:color w:val="000000"/>
              </w:rPr>
            </w:pPr>
            <w:r w:rsidRPr="00E864C1">
              <w:rPr>
                <w:rFonts w:eastAsia="Times New Roman"/>
                <w:color w:val="000000"/>
              </w:rPr>
              <w:t>18,400</w:t>
            </w:r>
          </w:p>
        </w:tc>
        <w:tc>
          <w:tcPr>
            <w:tcW w:w="960" w:type="dxa"/>
            <w:tcBorders>
              <w:top w:val="nil"/>
              <w:left w:val="nil"/>
              <w:bottom w:val="single" w:sz="4" w:space="0" w:color="auto"/>
              <w:right w:val="single" w:sz="4" w:space="0" w:color="auto"/>
            </w:tcBorders>
            <w:shd w:val="clear" w:color="auto" w:fill="auto"/>
            <w:vAlign w:val="center"/>
            <w:hideMark/>
          </w:tcPr>
          <w:p w14:paraId="7EBBA56A" w14:textId="77777777" w:rsidR="00FF7025" w:rsidRPr="00E864C1" w:rsidRDefault="00FF7025" w:rsidP="00FF7025">
            <w:pPr>
              <w:jc w:val="right"/>
              <w:rPr>
                <w:rFonts w:eastAsia="Times New Roman"/>
                <w:color w:val="000000"/>
              </w:rPr>
            </w:pPr>
            <w:r w:rsidRPr="00E864C1">
              <w:rPr>
                <w:rFonts w:eastAsia="Times New Roman"/>
                <w:color w:val="000000"/>
              </w:rPr>
              <w:t>17,274</w:t>
            </w:r>
          </w:p>
        </w:tc>
        <w:tc>
          <w:tcPr>
            <w:tcW w:w="885" w:type="dxa"/>
            <w:tcBorders>
              <w:top w:val="nil"/>
              <w:left w:val="nil"/>
              <w:bottom w:val="single" w:sz="4" w:space="0" w:color="auto"/>
              <w:right w:val="single" w:sz="4" w:space="0" w:color="auto"/>
            </w:tcBorders>
            <w:shd w:val="clear" w:color="auto" w:fill="auto"/>
            <w:vAlign w:val="center"/>
            <w:hideMark/>
          </w:tcPr>
          <w:p w14:paraId="7FC5BE6D" w14:textId="77777777" w:rsidR="00FF7025" w:rsidRPr="00E864C1" w:rsidRDefault="00FF7025" w:rsidP="00FF7025">
            <w:pPr>
              <w:jc w:val="right"/>
              <w:rPr>
                <w:rFonts w:eastAsia="Times New Roman"/>
                <w:color w:val="000000"/>
              </w:rPr>
            </w:pPr>
            <w:r w:rsidRPr="00E864C1">
              <w:rPr>
                <w:rFonts w:eastAsia="Times New Roman"/>
                <w:color w:val="000000"/>
              </w:rPr>
              <w:t>20,739</w:t>
            </w:r>
          </w:p>
        </w:tc>
        <w:tc>
          <w:tcPr>
            <w:tcW w:w="1215" w:type="dxa"/>
            <w:tcBorders>
              <w:top w:val="nil"/>
              <w:left w:val="nil"/>
              <w:bottom w:val="single" w:sz="4" w:space="0" w:color="auto"/>
              <w:right w:val="single" w:sz="4" w:space="0" w:color="auto"/>
            </w:tcBorders>
            <w:shd w:val="clear" w:color="auto" w:fill="auto"/>
            <w:noWrap/>
            <w:vAlign w:val="bottom"/>
            <w:hideMark/>
          </w:tcPr>
          <w:p w14:paraId="60276397" w14:textId="77777777" w:rsidR="00FF7025" w:rsidRPr="00E864C1" w:rsidRDefault="00FF7025" w:rsidP="00FF7025">
            <w:pPr>
              <w:jc w:val="right"/>
              <w:rPr>
                <w:rFonts w:eastAsia="Times New Roman"/>
                <w:color w:val="000000"/>
              </w:rPr>
            </w:pPr>
            <w:r w:rsidRPr="00E864C1">
              <w:rPr>
                <w:rFonts w:eastAsia="Times New Roman"/>
                <w:color w:val="000000"/>
              </w:rPr>
              <w:t>12.7%</w:t>
            </w:r>
          </w:p>
        </w:tc>
      </w:tr>
      <w:tr w:rsidR="00FF7025" w:rsidRPr="00E864C1" w14:paraId="393DC451" w14:textId="77777777" w:rsidTr="006375CA">
        <w:trPr>
          <w:cantSplit/>
          <w:trHeight w:val="290"/>
          <w:jc w:val="center"/>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2F12DE55" w14:textId="77777777" w:rsidR="00FF7025" w:rsidRPr="00E864C1" w:rsidRDefault="00FF7025" w:rsidP="00FF7025">
            <w:pPr>
              <w:rPr>
                <w:rFonts w:eastAsia="Times New Roman"/>
                <w:color w:val="000000"/>
              </w:rPr>
            </w:pPr>
            <w:r w:rsidRPr="00E864C1">
              <w:rPr>
                <w:rFonts w:eastAsia="Times New Roman"/>
                <w:color w:val="000000"/>
              </w:rPr>
              <w:t>Total Patient Inpatient Days</w:t>
            </w:r>
          </w:p>
        </w:tc>
        <w:tc>
          <w:tcPr>
            <w:tcW w:w="960" w:type="dxa"/>
            <w:tcBorders>
              <w:top w:val="nil"/>
              <w:left w:val="nil"/>
              <w:bottom w:val="single" w:sz="4" w:space="0" w:color="auto"/>
              <w:right w:val="single" w:sz="4" w:space="0" w:color="auto"/>
            </w:tcBorders>
            <w:shd w:val="clear" w:color="auto" w:fill="auto"/>
            <w:vAlign w:val="center"/>
            <w:hideMark/>
          </w:tcPr>
          <w:p w14:paraId="01E82D96" w14:textId="77777777" w:rsidR="00FF7025" w:rsidRPr="00E864C1" w:rsidRDefault="00FF7025" w:rsidP="00FF7025">
            <w:pPr>
              <w:jc w:val="right"/>
              <w:rPr>
                <w:rFonts w:eastAsia="Times New Roman"/>
                <w:color w:val="000000"/>
              </w:rPr>
            </w:pPr>
            <w:r w:rsidRPr="00E864C1">
              <w:rPr>
                <w:rFonts w:eastAsia="Times New Roman"/>
                <w:color w:val="000000"/>
              </w:rPr>
              <w:t>14,393</w:t>
            </w:r>
          </w:p>
        </w:tc>
        <w:tc>
          <w:tcPr>
            <w:tcW w:w="960" w:type="dxa"/>
            <w:tcBorders>
              <w:top w:val="nil"/>
              <w:left w:val="nil"/>
              <w:bottom w:val="single" w:sz="4" w:space="0" w:color="auto"/>
              <w:right w:val="single" w:sz="4" w:space="0" w:color="auto"/>
            </w:tcBorders>
            <w:shd w:val="clear" w:color="auto" w:fill="auto"/>
            <w:vAlign w:val="center"/>
            <w:hideMark/>
          </w:tcPr>
          <w:p w14:paraId="43298AA4" w14:textId="77777777" w:rsidR="00FF7025" w:rsidRPr="00E864C1" w:rsidRDefault="00FF7025" w:rsidP="00FF7025">
            <w:pPr>
              <w:jc w:val="right"/>
              <w:rPr>
                <w:rFonts w:eastAsia="Times New Roman"/>
                <w:color w:val="000000"/>
              </w:rPr>
            </w:pPr>
            <w:r w:rsidRPr="00E864C1">
              <w:rPr>
                <w:rFonts w:eastAsia="Times New Roman"/>
                <w:color w:val="000000"/>
              </w:rPr>
              <w:t>14,163</w:t>
            </w:r>
          </w:p>
        </w:tc>
        <w:tc>
          <w:tcPr>
            <w:tcW w:w="960" w:type="dxa"/>
            <w:tcBorders>
              <w:top w:val="nil"/>
              <w:left w:val="nil"/>
              <w:bottom w:val="single" w:sz="4" w:space="0" w:color="auto"/>
              <w:right w:val="single" w:sz="4" w:space="0" w:color="auto"/>
            </w:tcBorders>
            <w:shd w:val="clear" w:color="auto" w:fill="auto"/>
            <w:vAlign w:val="center"/>
            <w:hideMark/>
          </w:tcPr>
          <w:p w14:paraId="2BB8836F" w14:textId="77777777" w:rsidR="00FF7025" w:rsidRPr="00E864C1" w:rsidRDefault="00FF7025" w:rsidP="00FF7025">
            <w:pPr>
              <w:jc w:val="right"/>
              <w:rPr>
                <w:rFonts w:eastAsia="Times New Roman"/>
                <w:color w:val="000000"/>
              </w:rPr>
            </w:pPr>
            <w:r w:rsidRPr="00E864C1">
              <w:rPr>
                <w:rFonts w:eastAsia="Times New Roman"/>
                <w:color w:val="000000"/>
              </w:rPr>
              <w:t>13,353</w:t>
            </w:r>
          </w:p>
        </w:tc>
        <w:tc>
          <w:tcPr>
            <w:tcW w:w="960" w:type="dxa"/>
            <w:tcBorders>
              <w:top w:val="nil"/>
              <w:left w:val="nil"/>
              <w:bottom w:val="single" w:sz="4" w:space="0" w:color="auto"/>
              <w:right w:val="single" w:sz="4" w:space="0" w:color="auto"/>
            </w:tcBorders>
            <w:shd w:val="clear" w:color="auto" w:fill="auto"/>
            <w:vAlign w:val="center"/>
            <w:hideMark/>
          </w:tcPr>
          <w:p w14:paraId="6096F93D" w14:textId="77777777" w:rsidR="00FF7025" w:rsidRPr="00E864C1" w:rsidRDefault="00FF7025" w:rsidP="00FF7025">
            <w:pPr>
              <w:jc w:val="right"/>
              <w:rPr>
                <w:rFonts w:eastAsia="Times New Roman"/>
                <w:color w:val="000000"/>
              </w:rPr>
            </w:pPr>
            <w:r w:rsidRPr="00E864C1">
              <w:rPr>
                <w:rFonts w:eastAsia="Times New Roman"/>
                <w:color w:val="000000"/>
              </w:rPr>
              <w:t>13,368</w:t>
            </w:r>
          </w:p>
        </w:tc>
        <w:tc>
          <w:tcPr>
            <w:tcW w:w="960" w:type="dxa"/>
            <w:tcBorders>
              <w:top w:val="nil"/>
              <w:left w:val="nil"/>
              <w:bottom w:val="single" w:sz="4" w:space="0" w:color="auto"/>
              <w:right w:val="single" w:sz="4" w:space="0" w:color="auto"/>
            </w:tcBorders>
            <w:shd w:val="clear" w:color="auto" w:fill="auto"/>
            <w:vAlign w:val="center"/>
            <w:hideMark/>
          </w:tcPr>
          <w:p w14:paraId="1AE470AE" w14:textId="77777777" w:rsidR="00FF7025" w:rsidRPr="00E864C1" w:rsidRDefault="00FF7025" w:rsidP="00FF7025">
            <w:pPr>
              <w:jc w:val="right"/>
              <w:rPr>
                <w:rFonts w:eastAsia="Times New Roman"/>
                <w:color w:val="000000"/>
              </w:rPr>
            </w:pPr>
            <w:r w:rsidRPr="00E864C1">
              <w:rPr>
                <w:rFonts w:eastAsia="Times New Roman"/>
                <w:color w:val="000000"/>
              </w:rPr>
              <w:t>11,258</w:t>
            </w:r>
          </w:p>
        </w:tc>
        <w:tc>
          <w:tcPr>
            <w:tcW w:w="885" w:type="dxa"/>
            <w:tcBorders>
              <w:top w:val="nil"/>
              <w:left w:val="nil"/>
              <w:bottom w:val="single" w:sz="4" w:space="0" w:color="auto"/>
              <w:right w:val="single" w:sz="4" w:space="0" w:color="auto"/>
            </w:tcBorders>
            <w:shd w:val="clear" w:color="auto" w:fill="auto"/>
            <w:vAlign w:val="center"/>
            <w:hideMark/>
          </w:tcPr>
          <w:p w14:paraId="48C37CAE" w14:textId="77777777" w:rsidR="00FF7025" w:rsidRPr="00E864C1" w:rsidRDefault="00FF7025" w:rsidP="00FF7025">
            <w:pPr>
              <w:jc w:val="right"/>
              <w:rPr>
                <w:rFonts w:eastAsia="Times New Roman"/>
                <w:color w:val="000000"/>
              </w:rPr>
            </w:pPr>
            <w:r w:rsidRPr="00E864C1">
              <w:rPr>
                <w:rFonts w:eastAsia="Times New Roman"/>
                <w:color w:val="000000"/>
              </w:rPr>
              <w:t>12,701</w:t>
            </w:r>
          </w:p>
        </w:tc>
        <w:tc>
          <w:tcPr>
            <w:tcW w:w="1215" w:type="dxa"/>
            <w:tcBorders>
              <w:top w:val="nil"/>
              <w:left w:val="nil"/>
              <w:bottom w:val="single" w:sz="4" w:space="0" w:color="auto"/>
              <w:right w:val="single" w:sz="4" w:space="0" w:color="auto"/>
            </w:tcBorders>
            <w:shd w:val="clear" w:color="auto" w:fill="auto"/>
            <w:noWrap/>
            <w:vAlign w:val="bottom"/>
            <w:hideMark/>
          </w:tcPr>
          <w:p w14:paraId="0E930544" w14:textId="77777777" w:rsidR="00FF7025" w:rsidRPr="00E864C1" w:rsidRDefault="00FF7025" w:rsidP="00FF7025">
            <w:pPr>
              <w:jc w:val="right"/>
              <w:rPr>
                <w:rFonts w:eastAsia="Times New Roman"/>
                <w:color w:val="000000"/>
              </w:rPr>
            </w:pPr>
            <w:r w:rsidRPr="00E864C1">
              <w:rPr>
                <w:rFonts w:eastAsia="Times New Roman"/>
                <w:color w:val="000000"/>
              </w:rPr>
              <w:t>-5.0%</w:t>
            </w:r>
          </w:p>
        </w:tc>
      </w:tr>
      <w:tr w:rsidR="00FF7025" w:rsidRPr="00E864C1" w14:paraId="11219A64" w14:textId="77777777" w:rsidTr="006375CA">
        <w:trPr>
          <w:cantSplit/>
          <w:trHeight w:val="290"/>
          <w:jc w:val="center"/>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1A11D43" w14:textId="77777777" w:rsidR="00FF7025" w:rsidRPr="00E864C1" w:rsidRDefault="00FF7025" w:rsidP="00FF7025">
            <w:pPr>
              <w:rPr>
                <w:rFonts w:eastAsia="Times New Roman"/>
                <w:b/>
                <w:bCs/>
                <w:color w:val="000000"/>
              </w:rPr>
            </w:pPr>
            <w:r w:rsidRPr="00E864C1">
              <w:rPr>
                <w:rFonts w:eastAsia="Times New Roman"/>
                <w:b/>
                <w:bCs/>
                <w:color w:val="000000"/>
              </w:rPr>
              <w:t>Medical Rehabilitation</w:t>
            </w:r>
          </w:p>
        </w:tc>
        <w:tc>
          <w:tcPr>
            <w:tcW w:w="960" w:type="dxa"/>
            <w:tcBorders>
              <w:top w:val="nil"/>
              <w:left w:val="nil"/>
              <w:bottom w:val="nil"/>
              <w:right w:val="nil"/>
            </w:tcBorders>
            <w:shd w:val="clear" w:color="auto" w:fill="auto"/>
            <w:noWrap/>
            <w:vAlign w:val="bottom"/>
            <w:hideMark/>
          </w:tcPr>
          <w:p w14:paraId="6CEC51E7" w14:textId="77777777" w:rsidR="00FF7025" w:rsidRPr="00E864C1" w:rsidRDefault="00FF7025" w:rsidP="00FF7025">
            <w:pPr>
              <w:rPr>
                <w:rFonts w:eastAsia="Times New Roman"/>
                <w:b/>
                <w:bCs/>
                <w:color w:val="000000"/>
              </w:rPr>
            </w:pPr>
          </w:p>
        </w:tc>
        <w:tc>
          <w:tcPr>
            <w:tcW w:w="960" w:type="dxa"/>
            <w:tcBorders>
              <w:top w:val="nil"/>
              <w:left w:val="nil"/>
              <w:bottom w:val="nil"/>
              <w:right w:val="nil"/>
            </w:tcBorders>
            <w:shd w:val="clear" w:color="auto" w:fill="auto"/>
            <w:noWrap/>
            <w:vAlign w:val="bottom"/>
            <w:hideMark/>
          </w:tcPr>
          <w:p w14:paraId="410EFE75" w14:textId="77777777" w:rsidR="00FF7025" w:rsidRPr="00E864C1" w:rsidRDefault="00FF7025" w:rsidP="00FF7025">
            <w:pPr>
              <w:rPr>
                <w:rFonts w:eastAsia="Times New Roman"/>
              </w:rPr>
            </w:pPr>
          </w:p>
        </w:tc>
        <w:tc>
          <w:tcPr>
            <w:tcW w:w="960" w:type="dxa"/>
            <w:tcBorders>
              <w:top w:val="nil"/>
              <w:left w:val="nil"/>
              <w:bottom w:val="nil"/>
              <w:right w:val="nil"/>
            </w:tcBorders>
            <w:shd w:val="clear" w:color="auto" w:fill="auto"/>
            <w:noWrap/>
            <w:vAlign w:val="bottom"/>
            <w:hideMark/>
          </w:tcPr>
          <w:p w14:paraId="7744ABF0" w14:textId="77777777" w:rsidR="00FF7025" w:rsidRPr="00E864C1" w:rsidRDefault="00FF7025" w:rsidP="00FF7025">
            <w:pPr>
              <w:rPr>
                <w:rFonts w:eastAsia="Times New Roman"/>
              </w:rPr>
            </w:pPr>
          </w:p>
        </w:tc>
        <w:tc>
          <w:tcPr>
            <w:tcW w:w="960" w:type="dxa"/>
            <w:tcBorders>
              <w:top w:val="nil"/>
              <w:left w:val="nil"/>
              <w:bottom w:val="nil"/>
              <w:right w:val="nil"/>
            </w:tcBorders>
            <w:shd w:val="clear" w:color="auto" w:fill="auto"/>
            <w:noWrap/>
            <w:vAlign w:val="bottom"/>
            <w:hideMark/>
          </w:tcPr>
          <w:p w14:paraId="2085036F" w14:textId="77777777" w:rsidR="00FF7025" w:rsidRPr="00E864C1" w:rsidRDefault="00FF7025" w:rsidP="00FF7025">
            <w:pPr>
              <w:rPr>
                <w:rFonts w:eastAsia="Times New Roman"/>
              </w:rPr>
            </w:pPr>
          </w:p>
        </w:tc>
        <w:tc>
          <w:tcPr>
            <w:tcW w:w="960" w:type="dxa"/>
            <w:tcBorders>
              <w:top w:val="nil"/>
              <w:left w:val="nil"/>
              <w:bottom w:val="nil"/>
              <w:right w:val="nil"/>
            </w:tcBorders>
            <w:shd w:val="clear" w:color="auto" w:fill="auto"/>
            <w:noWrap/>
            <w:vAlign w:val="bottom"/>
            <w:hideMark/>
          </w:tcPr>
          <w:p w14:paraId="29E18CDF" w14:textId="77777777" w:rsidR="00FF7025" w:rsidRPr="00E864C1" w:rsidRDefault="00FF7025" w:rsidP="00FF7025">
            <w:pPr>
              <w:rPr>
                <w:rFonts w:eastAsia="Times New Roman"/>
              </w:rPr>
            </w:pPr>
          </w:p>
        </w:tc>
        <w:tc>
          <w:tcPr>
            <w:tcW w:w="885" w:type="dxa"/>
            <w:tcBorders>
              <w:top w:val="nil"/>
              <w:left w:val="nil"/>
              <w:bottom w:val="nil"/>
              <w:right w:val="single" w:sz="4" w:space="0" w:color="auto"/>
            </w:tcBorders>
            <w:shd w:val="clear" w:color="auto" w:fill="auto"/>
            <w:noWrap/>
            <w:vAlign w:val="bottom"/>
            <w:hideMark/>
          </w:tcPr>
          <w:p w14:paraId="4CE60ECB" w14:textId="77777777" w:rsidR="00FF7025" w:rsidRPr="00E864C1" w:rsidRDefault="00FF7025" w:rsidP="00FF7025">
            <w:pPr>
              <w:rPr>
                <w:rFonts w:eastAsia="Times New Roman"/>
                <w:color w:val="000000"/>
              </w:rPr>
            </w:pPr>
            <w:r w:rsidRPr="00E864C1">
              <w:rPr>
                <w:rFonts w:eastAsia="Times New Roman"/>
                <w:color w:val="000000"/>
              </w:rPr>
              <w:t> </w:t>
            </w:r>
          </w:p>
        </w:tc>
        <w:tc>
          <w:tcPr>
            <w:tcW w:w="1215" w:type="dxa"/>
            <w:tcBorders>
              <w:top w:val="nil"/>
              <w:left w:val="nil"/>
              <w:bottom w:val="single" w:sz="4" w:space="0" w:color="auto"/>
              <w:right w:val="single" w:sz="4" w:space="0" w:color="auto"/>
            </w:tcBorders>
            <w:shd w:val="clear" w:color="auto" w:fill="auto"/>
            <w:noWrap/>
            <w:vAlign w:val="bottom"/>
            <w:hideMark/>
          </w:tcPr>
          <w:p w14:paraId="30D25C09" w14:textId="77777777" w:rsidR="00FF7025" w:rsidRPr="00E864C1" w:rsidRDefault="00FF7025" w:rsidP="00FF7025">
            <w:pPr>
              <w:rPr>
                <w:rFonts w:eastAsia="Times New Roman"/>
                <w:color w:val="000000"/>
              </w:rPr>
            </w:pPr>
            <w:r w:rsidRPr="00E864C1">
              <w:rPr>
                <w:rFonts w:eastAsia="Times New Roman"/>
                <w:color w:val="000000"/>
              </w:rPr>
              <w:t> </w:t>
            </w:r>
          </w:p>
        </w:tc>
      </w:tr>
      <w:tr w:rsidR="00FF7025" w:rsidRPr="00E864C1" w14:paraId="161E5366" w14:textId="77777777" w:rsidTr="006375CA">
        <w:trPr>
          <w:cantSplit/>
          <w:trHeight w:val="290"/>
          <w:jc w:val="cent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512CAEFE" w14:textId="77777777" w:rsidR="00FF7025" w:rsidRPr="00E864C1" w:rsidRDefault="00FF7025" w:rsidP="00FF7025">
            <w:pPr>
              <w:rPr>
                <w:rFonts w:eastAsia="Times New Roman"/>
                <w:color w:val="000000"/>
              </w:rPr>
            </w:pPr>
            <w:r w:rsidRPr="00E864C1">
              <w:rPr>
                <w:rFonts w:eastAsia="Times New Roman"/>
                <w:color w:val="000000"/>
              </w:rPr>
              <w:lastRenderedPageBreak/>
              <w:t xml:space="preserve">Unique Patients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A4216BF" w14:textId="77777777" w:rsidR="00FF7025" w:rsidRPr="00E864C1" w:rsidRDefault="00FF7025" w:rsidP="00FF7025">
            <w:pPr>
              <w:jc w:val="right"/>
              <w:rPr>
                <w:rFonts w:eastAsia="Times New Roman"/>
                <w:color w:val="000000"/>
              </w:rPr>
            </w:pPr>
            <w:r w:rsidRPr="00E864C1">
              <w:rPr>
                <w:rFonts w:eastAsia="Times New Roman"/>
                <w:color w:val="000000"/>
              </w:rPr>
              <w:t>160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46F7A60" w14:textId="77777777" w:rsidR="00FF7025" w:rsidRPr="00E864C1" w:rsidRDefault="00FF7025" w:rsidP="00FF7025">
            <w:pPr>
              <w:jc w:val="right"/>
              <w:rPr>
                <w:rFonts w:eastAsia="Times New Roman"/>
                <w:color w:val="000000"/>
              </w:rPr>
            </w:pPr>
            <w:r w:rsidRPr="00E864C1">
              <w:rPr>
                <w:rFonts w:eastAsia="Times New Roman"/>
                <w:color w:val="000000"/>
              </w:rPr>
              <w:t>142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3B67850" w14:textId="77777777" w:rsidR="00FF7025" w:rsidRPr="00E864C1" w:rsidRDefault="00FF7025" w:rsidP="00FF7025">
            <w:pPr>
              <w:jc w:val="right"/>
              <w:rPr>
                <w:rFonts w:eastAsia="Times New Roman"/>
                <w:color w:val="000000"/>
              </w:rPr>
            </w:pPr>
            <w:r w:rsidRPr="00E864C1">
              <w:rPr>
                <w:rFonts w:eastAsia="Times New Roman"/>
                <w:color w:val="000000"/>
              </w:rPr>
              <w:t>148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A325AD2" w14:textId="77777777" w:rsidR="00FF7025" w:rsidRPr="00E864C1" w:rsidRDefault="00FF7025" w:rsidP="00FF7025">
            <w:pPr>
              <w:jc w:val="right"/>
              <w:rPr>
                <w:rFonts w:eastAsia="Times New Roman"/>
                <w:color w:val="000000"/>
              </w:rPr>
            </w:pPr>
            <w:r w:rsidRPr="00E864C1">
              <w:rPr>
                <w:rFonts w:eastAsia="Times New Roman"/>
                <w:color w:val="000000"/>
              </w:rPr>
              <w:t>119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8D3083F" w14:textId="77777777" w:rsidR="00FF7025" w:rsidRPr="00E864C1" w:rsidRDefault="00FF7025" w:rsidP="00FF7025">
            <w:pPr>
              <w:jc w:val="right"/>
              <w:rPr>
                <w:rFonts w:eastAsia="Times New Roman"/>
                <w:color w:val="000000"/>
              </w:rPr>
            </w:pPr>
            <w:r w:rsidRPr="00E864C1">
              <w:rPr>
                <w:rFonts w:eastAsia="Times New Roman"/>
                <w:color w:val="000000"/>
              </w:rPr>
              <w:t>147</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32F0508C" w14:textId="77777777" w:rsidR="00FF7025" w:rsidRPr="00E864C1" w:rsidRDefault="00FF7025" w:rsidP="00FF7025">
            <w:pPr>
              <w:jc w:val="right"/>
              <w:rPr>
                <w:rFonts w:eastAsia="Times New Roman"/>
                <w:color w:val="000000"/>
              </w:rPr>
            </w:pPr>
            <w:r w:rsidRPr="00E864C1">
              <w:rPr>
                <w:rFonts w:eastAsia="Times New Roman"/>
                <w:color w:val="000000"/>
              </w:rPr>
              <w:t>147</w:t>
            </w:r>
          </w:p>
        </w:tc>
        <w:tc>
          <w:tcPr>
            <w:tcW w:w="1215" w:type="dxa"/>
            <w:tcBorders>
              <w:top w:val="nil"/>
              <w:left w:val="nil"/>
              <w:bottom w:val="single" w:sz="4" w:space="0" w:color="auto"/>
              <w:right w:val="single" w:sz="4" w:space="0" w:color="auto"/>
            </w:tcBorders>
            <w:shd w:val="clear" w:color="auto" w:fill="auto"/>
            <w:noWrap/>
            <w:vAlign w:val="bottom"/>
            <w:hideMark/>
          </w:tcPr>
          <w:p w14:paraId="484EE7C5" w14:textId="77777777" w:rsidR="00FF7025" w:rsidRPr="00E864C1" w:rsidRDefault="00FF7025" w:rsidP="00FF7025">
            <w:pPr>
              <w:jc w:val="right"/>
              <w:rPr>
                <w:rFonts w:eastAsia="Times New Roman"/>
                <w:color w:val="000000"/>
              </w:rPr>
            </w:pPr>
            <w:r w:rsidRPr="00E864C1">
              <w:rPr>
                <w:rFonts w:eastAsia="Times New Roman"/>
                <w:color w:val="000000"/>
              </w:rPr>
              <w:t>23.5%</w:t>
            </w:r>
          </w:p>
        </w:tc>
      </w:tr>
      <w:tr w:rsidR="00FF7025" w:rsidRPr="00E864C1" w14:paraId="704F7EA7" w14:textId="77777777" w:rsidTr="006375CA">
        <w:trPr>
          <w:cantSplit/>
          <w:trHeight w:val="290"/>
          <w:jc w:val="center"/>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247239F0" w14:textId="77777777" w:rsidR="00FF7025" w:rsidRPr="00E864C1" w:rsidRDefault="00FF7025" w:rsidP="00FF7025">
            <w:pPr>
              <w:rPr>
                <w:rFonts w:eastAsia="Times New Roman"/>
                <w:color w:val="000000"/>
              </w:rPr>
            </w:pPr>
            <w:r w:rsidRPr="00E864C1">
              <w:rPr>
                <w:rFonts w:eastAsia="Times New Roman"/>
                <w:color w:val="000000"/>
              </w:rPr>
              <w:t xml:space="preserve">Total Patient Inpatient Days </w:t>
            </w:r>
          </w:p>
        </w:tc>
        <w:tc>
          <w:tcPr>
            <w:tcW w:w="960" w:type="dxa"/>
            <w:tcBorders>
              <w:top w:val="nil"/>
              <w:left w:val="nil"/>
              <w:bottom w:val="single" w:sz="4" w:space="0" w:color="auto"/>
              <w:right w:val="single" w:sz="4" w:space="0" w:color="auto"/>
            </w:tcBorders>
            <w:shd w:val="clear" w:color="auto" w:fill="auto"/>
            <w:vAlign w:val="center"/>
            <w:hideMark/>
          </w:tcPr>
          <w:p w14:paraId="4D256369" w14:textId="77777777" w:rsidR="00FF7025" w:rsidRPr="00E864C1" w:rsidRDefault="00FF7025" w:rsidP="00FF7025">
            <w:pPr>
              <w:jc w:val="right"/>
              <w:rPr>
                <w:rFonts w:eastAsia="Times New Roman"/>
                <w:color w:val="000000"/>
              </w:rPr>
            </w:pPr>
            <w:r w:rsidRPr="00E864C1">
              <w:rPr>
                <w:rFonts w:eastAsia="Times New Roman"/>
                <w:color w:val="000000"/>
              </w:rPr>
              <w:t>14,382</w:t>
            </w:r>
          </w:p>
        </w:tc>
        <w:tc>
          <w:tcPr>
            <w:tcW w:w="960" w:type="dxa"/>
            <w:tcBorders>
              <w:top w:val="nil"/>
              <w:left w:val="nil"/>
              <w:bottom w:val="single" w:sz="4" w:space="0" w:color="auto"/>
              <w:right w:val="single" w:sz="4" w:space="0" w:color="auto"/>
            </w:tcBorders>
            <w:shd w:val="clear" w:color="auto" w:fill="auto"/>
            <w:vAlign w:val="center"/>
            <w:hideMark/>
          </w:tcPr>
          <w:p w14:paraId="2E6387F7" w14:textId="77777777" w:rsidR="00FF7025" w:rsidRPr="00E864C1" w:rsidRDefault="00FF7025" w:rsidP="00FF7025">
            <w:pPr>
              <w:jc w:val="right"/>
              <w:rPr>
                <w:rFonts w:eastAsia="Times New Roman"/>
                <w:color w:val="000000"/>
              </w:rPr>
            </w:pPr>
            <w:r w:rsidRPr="00E864C1">
              <w:rPr>
                <w:rFonts w:eastAsia="Times New Roman"/>
                <w:color w:val="000000"/>
              </w:rPr>
              <w:t>14,786</w:t>
            </w:r>
          </w:p>
        </w:tc>
        <w:tc>
          <w:tcPr>
            <w:tcW w:w="960" w:type="dxa"/>
            <w:tcBorders>
              <w:top w:val="nil"/>
              <w:left w:val="nil"/>
              <w:bottom w:val="single" w:sz="4" w:space="0" w:color="auto"/>
              <w:right w:val="single" w:sz="4" w:space="0" w:color="auto"/>
            </w:tcBorders>
            <w:shd w:val="clear" w:color="auto" w:fill="auto"/>
            <w:vAlign w:val="center"/>
            <w:hideMark/>
          </w:tcPr>
          <w:p w14:paraId="3B63D9E2" w14:textId="77777777" w:rsidR="00FF7025" w:rsidRPr="00E864C1" w:rsidRDefault="00FF7025" w:rsidP="00FF7025">
            <w:pPr>
              <w:jc w:val="right"/>
              <w:rPr>
                <w:rFonts w:eastAsia="Times New Roman"/>
                <w:color w:val="000000"/>
              </w:rPr>
            </w:pPr>
            <w:r w:rsidRPr="00E864C1">
              <w:rPr>
                <w:rFonts w:eastAsia="Times New Roman"/>
                <w:color w:val="000000"/>
              </w:rPr>
              <w:t>14,431</w:t>
            </w:r>
          </w:p>
        </w:tc>
        <w:tc>
          <w:tcPr>
            <w:tcW w:w="960" w:type="dxa"/>
            <w:tcBorders>
              <w:top w:val="nil"/>
              <w:left w:val="nil"/>
              <w:bottom w:val="single" w:sz="4" w:space="0" w:color="auto"/>
              <w:right w:val="single" w:sz="4" w:space="0" w:color="auto"/>
            </w:tcBorders>
            <w:shd w:val="clear" w:color="auto" w:fill="auto"/>
            <w:vAlign w:val="center"/>
            <w:hideMark/>
          </w:tcPr>
          <w:p w14:paraId="00AA9410" w14:textId="77777777" w:rsidR="00FF7025" w:rsidRPr="00E864C1" w:rsidRDefault="00FF7025" w:rsidP="00FF7025">
            <w:pPr>
              <w:jc w:val="right"/>
              <w:rPr>
                <w:rFonts w:eastAsia="Times New Roman"/>
                <w:color w:val="000000"/>
              </w:rPr>
            </w:pPr>
            <w:r w:rsidRPr="00E864C1">
              <w:rPr>
                <w:rFonts w:eastAsia="Times New Roman"/>
                <w:color w:val="000000"/>
              </w:rPr>
              <w:t>13,632</w:t>
            </w:r>
          </w:p>
        </w:tc>
        <w:tc>
          <w:tcPr>
            <w:tcW w:w="960" w:type="dxa"/>
            <w:tcBorders>
              <w:top w:val="nil"/>
              <w:left w:val="nil"/>
              <w:bottom w:val="single" w:sz="4" w:space="0" w:color="auto"/>
              <w:right w:val="single" w:sz="4" w:space="0" w:color="auto"/>
            </w:tcBorders>
            <w:shd w:val="clear" w:color="auto" w:fill="auto"/>
            <w:vAlign w:val="center"/>
            <w:hideMark/>
          </w:tcPr>
          <w:p w14:paraId="2AFEDEF0" w14:textId="77777777" w:rsidR="00FF7025" w:rsidRPr="00E864C1" w:rsidRDefault="00FF7025" w:rsidP="00FF7025">
            <w:pPr>
              <w:jc w:val="right"/>
              <w:rPr>
                <w:rFonts w:eastAsia="Times New Roman"/>
                <w:color w:val="000000"/>
              </w:rPr>
            </w:pPr>
            <w:r w:rsidRPr="00E864C1">
              <w:rPr>
                <w:rFonts w:eastAsia="Times New Roman"/>
                <w:color w:val="000000"/>
              </w:rPr>
              <w:t>13,680</w:t>
            </w:r>
          </w:p>
        </w:tc>
        <w:tc>
          <w:tcPr>
            <w:tcW w:w="885" w:type="dxa"/>
            <w:tcBorders>
              <w:top w:val="nil"/>
              <w:left w:val="nil"/>
              <w:bottom w:val="single" w:sz="4" w:space="0" w:color="auto"/>
              <w:right w:val="single" w:sz="4" w:space="0" w:color="auto"/>
            </w:tcBorders>
            <w:shd w:val="clear" w:color="auto" w:fill="auto"/>
            <w:vAlign w:val="center"/>
            <w:hideMark/>
          </w:tcPr>
          <w:p w14:paraId="0EBB6EB7" w14:textId="77777777" w:rsidR="00FF7025" w:rsidRPr="00E864C1" w:rsidRDefault="00FF7025" w:rsidP="00FF7025">
            <w:pPr>
              <w:jc w:val="right"/>
              <w:rPr>
                <w:rFonts w:eastAsia="Times New Roman"/>
                <w:color w:val="000000"/>
              </w:rPr>
            </w:pPr>
            <w:r w:rsidRPr="00E864C1">
              <w:rPr>
                <w:rFonts w:eastAsia="Times New Roman"/>
                <w:color w:val="000000"/>
              </w:rPr>
              <w:t>14,186</w:t>
            </w:r>
          </w:p>
        </w:tc>
        <w:tc>
          <w:tcPr>
            <w:tcW w:w="1215" w:type="dxa"/>
            <w:tcBorders>
              <w:top w:val="nil"/>
              <w:left w:val="nil"/>
              <w:bottom w:val="single" w:sz="4" w:space="0" w:color="auto"/>
              <w:right w:val="single" w:sz="4" w:space="0" w:color="auto"/>
            </w:tcBorders>
            <w:shd w:val="clear" w:color="auto" w:fill="auto"/>
            <w:noWrap/>
            <w:vAlign w:val="bottom"/>
            <w:hideMark/>
          </w:tcPr>
          <w:p w14:paraId="47931312" w14:textId="77777777" w:rsidR="00FF7025" w:rsidRPr="00E864C1" w:rsidRDefault="00FF7025" w:rsidP="00FF7025">
            <w:pPr>
              <w:jc w:val="right"/>
              <w:rPr>
                <w:rFonts w:eastAsia="Times New Roman"/>
                <w:color w:val="000000"/>
              </w:rPr>
            </w:pPr>
            <w:r w:rsidRPr="00E864C1">
              <w:rPr>
                <w:rFonts w:eastAsia="Times New Roman"/>
                <w:color w:val="000000"/>
              </w:rPr>
              <w:t>4.1%</w:t>
            </w:r>
          </w:p>
        </w:tc>
      </w:tr>
      <w:tr w:rsidR="00FF7025" w:rsidRPr="00E864C1" w14:paraId="3E6405C1" w14:textId="77777777" w:rsidTr="006375CA">
        <w:trPr>
          <w:cantSplit/>
          <w:trHeight w:val="290"/>
          <w:jc w:val="center"/>
        </w:trPr>
        <w:tc>
          <w:tcPr>
            <w:tcW w:w="3040" w:type="dxa"/>
            <w:tcBorders>
              <w:top w:val="nil"/>
              <w:left w:val="single" w:sz="4" w:space="0" w:color="auto"/>
              <w:bottom w:val="nil"/>
              <w:right w:val="nil"/>
            </w:tcBorders>
            <w:shd w:val="clear" w:color="auto" w:fill="auto"/>
            <w:noWrap/>
            <w:vAlign w:val="center"/>
            <w:hideMark/>
          </w:tcPr>
          <w:p w14:paraId="34BABE69" w14:textId="77777777" w:rsidR="00FF7025" w:rsidRPr="00E864C1" w:rsidRDefault="00FF7025" w:rsidP="00FF7025">
            <w:pPr>
              <w:rPr>
                <w:rFonts w:eastAsia="Times New Roman"/>
                <w:b/>
                <w:bCs/>
                <w:color w:val="000000"/>
              </w:rPr>
            </w:pPr>
            <w:r w:rsidRPr="00E864C1">
              <w:rPr>
                <w:rFonts w:eastAsia="Times New Roman"/>
                <w:b/>
                <w:bCs/>
                <w:color w:val="000000"/>
              </w:rPr>
              <w:t>Dental Service</w:t>
            </w:r>
          </w:p>
        </w:tc>
        <w:tc>
          <w:tcPr>
            <w:tcW w:w="960" w:type="dxa"/>
            <w:tcBorders>
              <w:top w:val="nil"/>
              <w:left w:val="nil"/>
              <w:bottom w:val="nil"/>
              <w:right w:val="nil"/>
            </w:tcBorders>
            <w:shd w:val="clear" w:color="auto" w:fill="auto"/>
            <w:noWrap/>
            <w:vAlign w:val="center"/>
            <w:hideMark/>
          </w:tcPr>
          <w:p w14:paraId="7B2791CA" w14:textId="77777777" w:rsidR="00FF7025" w:rsidRPr="00E864C1" w:rsidRDefault="00FF7025" w:rsidP="00FF7025">
            <w:pPr>
              <w:rPr>
                <w:rFonts w:eastAsia="Times New Roman"/>
                <w:b/>
                <w:bCs/>
                <w:color w:val="000000"/>
              </w:rPr>
            </w:pPr>
          </w:p>
        </w:tc>
        <w:tc>
          <w:tcPr>
            <w:tcW w:w="960" w:type="dxa"/>
            <w:tcBorders>
              <w:top w:val="nil"/>
              <w:left w:val="nil"/>
              <w:bottom w:val="nil"/>
              <w:right w:val="nil"/>
            </w:tcBorders>
            <w:shd w:val="clear" w:color="auto" w:fill="auto"/>
            <w:noWrap/>
            <w:vAlign w:val="center"/>
            <w:hideMark/>
          </w:tcPr>
          <w:p w14:paraId="3810F5CF" w14:textId="77777777" w:rsidR="00FF7025" w:rsidRPr="00E864C1" w:rsidRDefault="00FF7025" w:rsidP="00FF7025">
            <w:pPr>
              <w:jc w:val="right"/>
              <w:rPr>
                <w:rFonts w:eastAsia="Times New Roman"/>
              </w:rPr>
            </w:pPr>
          </w:p>
        </w:tc>
        <w:tc>
          <w:tcPr>
            <w:tcW w:w="960" w:type="dxa"/>
            <w:tcBorders>
              <w:top w:val="nil"/>
              <w:left w:val="nil"/>
              <w:bottom w:val="nil"/>
              <w:right w:val="nil"/>
            </w:tcBorders>
            <w:shd w:val="clear" w:color="auto" w:fill="auto"/>
            <w:noWrap/>
            <w:vAlign w:val="center"/>
            <w:hideMark/>
          </w:tcPr>
          <w:p w14:paraId="7DB2D0C0" w14:textId="77777777" w:rsidR="00FF7025" w:rsidRPr="00E864C1" w:rsidRDefault="00FF7025" w:rsidP="00FF7025">
            <w:pPr>
              <w:jc w:val="right"/>
              <w:rPr>
                <w:rFonts w:eastAsia="Times New Roman"/>
              </w:rPr>
            </w:pPr>
          </w:p>
        </w:tc>
        <w:tc>
          <w:tcPr>
            <w:tcW w:w="960" w:type="dxa"/>
            <w:tcBorders>
              <w:top w:val="nil"/>
              <w:left w:val="nil"/>
              <w:bottom w:val="nil"/>
              <w:right w:val="nil"/>
            </w:tcBorders>
            <w:shd w:val="clear" w:color="auto" w:fill="auto"/>
            <w:noWrap/>
            <w:vAlign w:val="center"/>
            <w:hideMark/>
          </w:tcPr>
          <w:p w14:paraId="4FFF4BB0" w14:textId="77777777" w:rsidR="00FF7025" w:rsidRPr="00E864C1" w:rsidRDefault="00FF7025" w:rsidP="00FF7025">
            <w:pPr>
              <w:jc w:val="right"/>
              <w:rPr>
                <w:rFonts w:eastAsia="Times New Roman"/>
              </w:rPr>
            </w:pPr>
          </w:p>
        </w:tc>
        <w:tc>
          <w:tcPr>
            <w:tcW w:w="960" w:type="dxa"/>
            <w:tcBorders>
              <w:top w:val="nil"/>
              <w:left w:val="nil"/>
              <w:bottom w:val="nil"/>
              <w:right w:val="nil"/>
            </w:tcBorders>
            <w:shd w:val="clear" w:color="auto" w:fill="auto"/>
            <w:noWrap/>
            <w:vAlign w:val="center"/>
            <w:hideMark/>
          </w:tcPr>
          <w:p w14:paraId="1007752F" w14:textId="77777777" w:rsidR="00FF7025" w:rsidRPr="00E864C1" w:rsidRDefault="00FF7025" w:rsidP="00FF7025">
            <w:pPr>
              <w:jc w:val="right"/>
              <w:rPr>
                <w:rFonts w:eastAsia="Times New Roman"/>
              </w:rPr>
            </w:pPr>
          </w:p>
        </w:tc>
        <w:tc>
          <w:tcPr>
            <w:tcW w:w="885" w:type="dxa"/>
            <w:tcBorders>
              <w:top w:val="nil"/>
              <w:left w:val="nil"/>
              <w:bottom w:val="nil"/>
              <w:right w:val="single" w:sz="4" w:space="0" w:color="auto"/>
            </w:tcBorders>
            <w:shd w:val="clear" w:color="auto" w:fill="auto"/>
            <w:vAlign w:val="center"/>
            <w:hideMark/>
          </w:tcPr>
          <w:p w14:paraId="0927422D" w14:textId="77777777" w:rsidR="00FF7025" w:rsidRPr="00E864C1" w:rsidRDefault="00FF7025" w:rsidP="00FF7025">
            <w:pPr>
              <w:jc w:val="right"/>
              <w:rPr>
                <w:rFonts w:eastAsia="Times New Roman"/>
                <w:color w:val="000000"/>
              </w:rPr>
            </w:pPr>
            <w:r w:rsidRPr="00E864C1">
              <w:rPr>
                <w:rFonts w:eastAsia="Times New Roman"/>
                <w:color w:val="000000"/>
              </w:rPr>
              <w:t> </w:t>
            </w:r>
          </w:p>
        </w:tc>
        <w:tc>
          <w:tcPr>
            <w:tcW w:w="1215" w:type="dxa"/>
            <w:tcBorders>
              <w:top w:val="nil"/>
              <w:left w:val="nil"/>
              <w:bottom w:val="single" w:sz="4" w:space="0" w:color="auto"/>
              <w:right w:val="single" w:sz="4" w:space="0" w:color="auto"/>
            </w:tcBorders>
            <w:shd w:val="clear" w:color="auto" w:fill="auto"/>
            <w:noWrap/>
            <w:vAlign w:val="bottom"/>
            <w:hideMark/>
          </w:tcPr>
          <w:p w14:paraId="4222715E" w14:textId="77777777" w:rsidR="00FF7025" w:rsidRPr="00E864C1" w:rsidRDefault="00FF7025" w:rsidP="00FF7025">
            <w:pPr>
              <w:rPr>
                <w:rFonts w:eastAsia="Times New Roman"/>
                <w:color w:val="000000"/>
              </w:rPr>
            </w:pPr>
            <w:r w:rsidRPr="00E864C1">
              <w:rPr>
                <w:rFonts w:eastAsia="Times New Roman"/>
                <w:color w:val="000000"/>
              </w:rPr>
              <w:t> </w:t>
            </w:r>
          </w:p>
        </w:tc>
      </w:tr>
      <w:tr w:rsidR="00FF7025" w:rsidRPr="00E864C1" w14:paraId="583A87D5" w14:textId="77777777" w:rsidTr="006375CA">
        <w:trPr>
          <w:cantSplit/>
          <w:trHeight w:val="290"/>
          <w:jc w:val="center"/>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D9874" w14:textId="77777777" w:rsidR="00FF7025" w:rsidRPr="00E864C1" w:rsidRDefault="00FF7025" w:rsidP="00FF7025">
            <w:pPr>
              <w:rPr>
                <w:rFonts w:eastAsia="Times New Roman"/>
                <w:color w:val="000000"/>
              </w:rPr>
            </w:pPr>
            <w:r w:rsidRPr="00E864C1">
              <w:rPr>
                <w:rFonts w:eastAsia="Times New Roman"/>
                <w:color w:val="000000"/>
              </w:rPr>
              <w:t>Total Unique Patients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C0E5DBA" w14:textId="77777777" w:rsidR="00FF7025" w:rsidRPr="00E864C1" w:rsidRDefault="00FF7025" w:rsidP="00FF7025">
            <w:pPr>
              <w:jc w:val="right"/>
              <w:rPr>
                <w:rFonts w:eastAsia="Times New Roman"/>
                <w:color w:val="000000"/>
              </w:rPr>
            </w:pPr>
            <w:r w:rsidRPr="00E864C1">
              <w:rPr>
                <w:rFonts w:eastAsia="Times New Roman"/>
                <w:color w:val="000000"/>
              </w:rPr>
              <w:t>3,392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E2E7C45" w14:textId="77777777" w:rsidR="00FF7025" w:rsidRPr="00E864C1" w:rsidRDefault="00FF7025" w:rsidP="00FF7025">
            <w:pPr>
              <w:jc w:val="right"/>
              <w:rPr>
                <w:rFonts w:eastAsia="Times New Roman"/>
                <w:color w:val="000000"/>
              </w:rPr>
            </w:pPr>
            <w:r w:rsidRPr="00E864C1">
              <w:rPr>
                <w:rFonts w:eastAsia="Times New Roman"/>
                <w:color w:val="000000"/>
              </w:rPr>
              <w:t>3,265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862126C" w14:textId="77777777" w:rsidR="00FF7025" w:rsidRPr="00E864C1" w:rsidRDefault="00FF7025" w:rsidP="00FF7025">
            <w:pPr>
              <w:jc w:val="right"/>
              <w:rPr>
                <w:rFonts w:eastAsia="Times New Roman"/>
                <w:color w:val="000000"/>
              </w:rPr>
            </w:pPr>
            <w:r w:rsidRPr="00E864C1">
              <w:rPr>
                <w:rFonts w:eastAsia="Times New Roman"/>
                <w:color w:val="000000"/>
              </w:rPr>
              <w:t>2,469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5698B48" w14:textId="77777777" w:rsidR="00FF7025" w:rsidRPr="00E864C1" w:rsidRDefault="00FF7025" w:rsidP="00FF7025">
            <w:pPr>
              <w:jc w:val="right"/>
              <w:rPr>
                <w:rFonts w:eastAsia="Times New Roman"/>
                <w:color w:val="000000"/>
              </w:rPr>
            </w:pPr>
            <w:r w:rsidRPr="00E864C1">
              <w:rPr>
                <w:rFonts w:eastAsia="Times New Roman"/>
                <w:color w:val="000000"/>
              </w:rPr>
              <w:t>2,537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111F06" w14:textId="77777777" w:rsidR="00FF7025" w:rsidRPr="00E864C1" w:rsidRDefault="00FF7025" w:rsidP="00FF7025">
            <w:pPr>
              <w:jc w:val="right"/>
              <w:rPr>
                <w:rFonts w:eastAsia="Times New Roman"/>
                <w:color w:val="000000"/>
              </w:rPr>
            </w:pPr>
            <w:r w:rsidRPr="00E864C1">
              <w:rPr>
                <w:rFonts w:eastAsia="Times New Roman"/>
                <w:color w:val="000000"/>
              </w:rPr>
              <w:t>2,285</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24E0092A" w14:textId="77777777" w:rsidR="00FF7025" w:rsidRPr="00E864C1" w:rsidRDefault="00FF7025" w:rsidP="00FF7025">
            <w:pPr>
              <w:jc w:val="right"/>
              <w:rPr>
                <w:rFonts w:eastAsia="Times New Roman"/>
                <w:color w:val="000000"/>
              </w:rPr>
            </w:pPr>
            <w:r w:rsidRPr="00E864C1">
              <w:rPr>
                <w:rFonts w:eastAsia="Times New Roman"/>
                <w:color w:val="000000"/>
              </w:rPr>
              <w:t>2,712</w:t>
            </w:r>
          </w:p>
        </w:tc>
        <w:tc>
          <w:tcPr>
            <w:tcW w:w="1215" w:type="dxa"/>
            <w:tcBorders>
              <w:top w:val="nil"/>
              <w:left w:val="nil"/>
              <w:bottom w:val="single" w:sz="4" w:space="0" w:color="auto"/>
              <w:right w:val="single" w:sz="4" w:space="0" w:color="auto"/>
            </w:tcBorders>
            <w:shd w:val="clear" w:color="auto" w:fill="auto"/>
            <w:noWrap/>
            <w:vAlign w:val="bottom"/>
            <w:hideMark/>
          </w:tcPr>
          <w:p w14:paraId="41CC5DE2" w14:textId="77777777" w:rsidR="00FF7025" w:rsidRPr="00E864C1" w:rsidRDefault="00FF7025" w:rsidP="00FF7025">
            <w:pPr>
              <w:jc w:val="right"/>
              <w:rPr>
                <w:rFonts w:eastAsia="Times New Roman"/>
                <w:color w:val="000000"/>
              </w:rPr>
            </w:pPr>
            <w:r w:rsidRPr="00E864C1">
              <w:rPr>
                <w:rFonts w:eastAsia="Times New Roman"/>
                <w:color w:val="000000"/>
              </w:rPr>
              <w:t>6.9%</w:t>
            </w:r>
          </w:p>
        </w:tc>
      </w:tr>
      <w:tr w:rsidR="00FF7025" w:rsidRPr="00E864C1" w14:paraId="4A56DE17" w14:textId="77777777" w:rsidTr="006375CA">
        <w:trPr>
          <w:cantSplit/>
          <w:trHeight w:val="290"/>
          <w:jc w:val="center"/>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879E353" w14:textId="77777777" w:rsidR="00FF7025" w:rsidRPr="00E864C1" w:rsidRDefault="00FF7025" w:rsidP="00FF7025">
            <w:pPr>
              <w:rPr>
                <w:rFonts w:eastAsia="Times New Roman"/>
                <w:color w:val="000000"/>
              </w:rPr>
            </w:pPr>
            <w:r w:rsidRPr="00E864C1">
              <w:rPr>
                <w:rFonts w:eastAsia="Times New Roman"/>
                <w:color w:val="000000"/>
              </w:rPr>
              <w:t>Total Unique Visits</w:t>
            </w:r>
          </w:p>
        </w:tc>
        <w:tc>
          <w:tcPr>
            <w:tcW w:w="960" w:type="dxa"/>
            <w:tcBorders>
              <w:top w:val="nil"/>
              <w:left w:val="nil"/>
              <w:bottom w:val="single" w:sz="4" w:space="0" w:color="auto"/>
              <w:right w:val="single" w:sz="4" w:space="0" w:color="auto"/>
            </w:tcBorders>
            <w:shd w:val="clear" w:color="auto" w:fill="auto"/>
            <w:vAlign w:val="center"/>
            <w:hideMark/>
          </w:tcPr>
          <w:p w14:paraId="5712C509" w14:textId="77777777" w:rsidR="00FF7025" w:rsidRPr="00E864C1" w:rsidRDefault="00FF7025" w:rsidP="00FF7025">
            <w:pPr>
              <w:jc w:val="right"/>
              <w:rPr>
                <w:rFonts w:eastAsia="Times New Roman"/>
                <w:color w:val="000000"/>
              </w:rPr>
            </w:pPr>
            <w:r w:rsidRPr="00E864C1">
              <w:rPr>
                <w:rFonts w:eastAsia="Times New Roman"/>
                <w:color w:val="000000"/>
              </w:rPr>
              <w:t>8,020</w:t>
            </w:r>
          </w:p>
        </w:tc>
        <w:tc>
          <w:tcPr>
            <w:tcW w:w="960" w:type="dxa"/>
            <w:tcBorders>
              <w:top w:val="nil"/>
              <w:left w:val="nil"/>
              <w:bottom w:val="single" w:sz="4" w:space="0" w:color="auto"/>
              <w:right w:val="single" w:sz="4" w:space="0" w:color="auto"/>
            </w:tcBorders>
            <w:shd w:val="clear" w:color="auto" w:fill="auto"/>
            <w:vAlign w:val="center"/>
            <w:hideMark/>
          </w:tcPr>
          <w:p w14:paraId="061DDAF7" w14:textId="77777777" w:rsidR="00FF7025" w:rsidRPr="00E864C1" w:rsidRDefault="00FF7025" w:rsidP="00FF7025">
            <w:pPr>
              <w:jc w:val="right"/>
              <w:rPr>
                <w:rFonts w:eastAsia="Times New Roman"/>
                <w:color w:val="000000"/>
              </w:rPr>
            </w:pPr>
            <w:r w:rsidRPr="00E864C1">
              <w:rPr>
                <w:rFonts w:eastAsia="Times New Roman"/>
                <w:color w:val="000000"/>
              </w:rPr>
              <w:t>7,594</w:t>
            </w:r>
          </w:p>
        </w:tc>
        <w:tc>
          <w:tcPr>
            <w:tcW w:w="960" w:type="dxa"/>
            <w:tcBorders>
              <w:top w:val="nil"/>
              <w:left w:val="nil"/>
              <w:bottom w:val="single" w:sz="4" w:space="0" w:color="auto"/>
              <w:right w:val="single" w:sz="4" w:space="0" w:color="auto"/>
            </w:tcBorders>
            <w:shd w:val="clear" w:color="auto" w:fill="auto"/>
            <w:vAlign w:val="center"/>
            <w:hideMark/>
          </w:tcPr>
          <w:p w14:paraId="4265F066" w14:textId="77777777" w:rsidR="00FF7025" w:rsidRPr="00E864C1" w:rsidRDefault="00FF7025" w:rsidP="00FF7025">
            <w:pPr>
              <w:jc w:val="right"/>
              <w:rPr>
                <w:rFonts w:eastAsia="Times New Roman"/>
                <w:color w:val="000000"/>
              </w:rPr>
            </w:pPr>
            <w:r w:rsidRPr="00E864C1">
              <w:rPr>
                <w:rFonts w:eastAsia="Times New Roman"/>
                <w:color w:val="000000"/>
              </w:rPr>
              <w:t>5,176</w:t>
            </w:r>
          </w:p>
        </w:tc>
        <w:tc>
          <w:tcPr>
            <w:tcW w:w="960" w:type="dxa"/>
            <w:tcBorders>
              <w:top w:val="nil"/>
              <w:left w:val="nil"/>
              <w:bottom w:val="single" w:sz="4" w:space="0" w:color="auto"/>
              <w:right w:val="single" w:sz="4" w:space="0" w:color="auto"/>
            </w:tcBorders>
            <w:shd w:val="clear" w:color="auto" w:fill="auto"/>
            <w:vAlign w:val="center"/>
            <w:hideMark/>
          </w:tcPr>
          <w:p w14:paraId="5BC45B82" w14:textId="77777777" w:rsidR="00FF7025" w:rsidRPr="00E864C1" w:rsidRDefault="00FF7025" w:rsidP="00FF7025">
            <w:pPr>
              <w:jc w:val="right"/>
              <w:rPr>
                <w:rFonts w:eastAsia="Times New Roman"/>
                <w:color w:val="000000"/>
              </w:rPr>
            </w:pPr>
            <w:r w:rsidRPr="00E864C1">
              <w:rPr>
                <w:rFonts w:eastAsia="Times New Roman"/>
                <w:color w:val="000000"/>
              </w:rPr>
              <w:t>5,611</w:t>
            </w:r>
          </w:p>
        </w:tc>
        <w:tc>
          <w:tcPr>
            <w:tcW w:w="960" w:type="dxa"/>
            <w:tcBorders>
              <w:top w:val="nil"/>
              <w:left w:val="nil"/>
              <w:bottom w:val="single" w:sz="4" w:space="0" w:color="auto"/>
              <w:right w:val="single" w:sz="4" w:space="0" w:color="auto"/>
            </w:tcBorders>
            <w:shd w:val="clear" w:color="auto" w:fill="auto"/>
            <w:vAlign w:val="center"/>
            <w:hideMark/>
          </w:tcPr>
          <w:p w14:paraId="16F77DFE" w14:textId="77777777" w:rsidR="00FF7025" w:rsidRPr="00E864C1" w:rsidRDefault="00FF7025" w:rsidP="00FF7025">
            <w:pPr>
              <w:jc w:val="right"/>
              <w:rPr>
                <w:rFonts w:eastAsia="Times New Roman"/>
                <w:color w:val="000000"/>
              </w:rPr>
            </w:pPr>
            <w:r w:rsidRPr="00E864C1">
              <w:rPr>
                <w:rFonts w:eastAsia="Times New Roman"/>
                <w:color w:val="000000"/>
              </w:rPr>
              <w:t>4,933</w:t>
            </w:r>
          </w:p>
        </w:tc>
        <w:tc>
          <w:tcPr>
            <w:tcW w:w="885" w:type="dxa"/>
            <w:tcBorders>
              <w:top w:val="nil"/>
              <w:left w:val="nil"/>
              <w:bottom w:val="single" w:sz="4" w:space="0" w:color="auto"/>
              <w:right w:val="single" w:sz="4" w:space="0" w:color="auto"/>
            </w:tcBorders>
            <w:shd w:val="clear" w:color="auto" w:fill="auto"/>
            <w:vAlign w:val="center"/>
            <w:hideMark/>
          </w:tcPr>
          <w:p w14:paraId="2FA9451A" w14:textId="77777777" w:rsidR="00FF7025" w:rsidRPr="00E864C1" w:rsidRDefault="00FF7025" w:rsidP="00FF7025">
            <w:pPr>
              <w:jc w:val="right"/>
              <w:rPr>
                <w:rFonts w:eastAsia="Times New Roman"/>
                <w:color w:val="000000"/>
              </w:rPr>
            </w:pPr>
            <w:r w:rsidRPr="00E864C1">
              <w:rPr>
                <w:rFonts w:eastAsia="Times New Roman"/>
                <w:color w:val="000000"/>
              </w:rPr>
              <w:t>6,565</w:t>
            </w:r>
          </w:p>
        </w:tc>
        <w:tc>
          <w:tcPr>
            <w:tcW w:w="1215" w:type="dxa"/>
            <w:tcBorders>
              <w:top w:val="nil"/>
              <w:left w:val="nil"/>
              <w:bottom w:val="single" w:sz="4" w:space="0" w:color="auto"/>
              <w:right w:val="single" w:sz="4" w:space="0" w:color="auto"/>
            </w:tcBorders>
            <w:shd w:val="clear" w:color="auto" w:fill="auto"/>
            <w:noWrap/>
            <w:vAlign w:val="bottom"/>
            <w:hideMark/>
          </w:tcPr>
          <w:p w14:paraId="0BCCC965" w14:textId="77777777" w:rsidR="00FF7025" w:rsidRPr="00E864C1" w:rsidRDefault="00FF7025" w:rsidP="00FF7025">
            <w:pPr>
              <w:jc w:val="right"/>
              <w:rPr>
                <w:rFonts w:eastAsia="Times New Roman"/>
                <w:color w:val="000000"/>
              </w:rPr>
            </w:pPr>
            <w:r w:rsidRPr="00E864C1">
              <w:rPr>
                <w:rFonts w:eastAsia="Times New Roman"/>
                <w:color w:val="000000"/>
              </w:rPr>
              <w:t>17.0%</w:t>
            </w:r>
          </w:p>
        </w:tc>
      </w:tr>
      <w:tr w:rsidR="00FF7025" w:rsidRPr="00E864C1" w14:paraId="372889B6" w14:textId="77777777" w:rsidTr="006375CA">
        <w:trPr>
          <w:cantSplit/>
          <w:trHeight w:val="290"/>
          <w:jc w:val="center"/>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0192ED41" w14:textId="77777777" w:rsidR="00FF7025" w:rsidRPr="00E864C1" w:rsidRDefault="00FF7025" w:rsidP="00FF7025">
            <w:pPr>
              <w:rPr>
                <w:rFonts w:eastAsia="Times New Roman"/>
                <w:color w:val="000000"/>
              </w:rPr>
            </w:pPr>
            <w:r w:rsidRPr="00E864C1">
              <w:rPr>
                <w:rFonts w:eastAsia="Times New Roman"/>
                <w:color w:val="000000"/>
              </w:rPr>
              <w:t>Total Surgical Cases</w:t>
            </w:r>
          </w:p>
        </w:tc>
        <w:tc>
          <w:tcPr>
            <w:tcW w:w="960" w:type="dxa"/>
            <w:tcBorders>
              <w:top w:val="nil"/>
              <w:left w:val="nil"/>
              <w:bottom w:val="single" w:sz="4" w:space="0" w:color="auto"/>
              <w:right w:val="single" w:sz="4" w:space="0" w:color="auto"/>
            </w:tcBorders>
            <w:shd w:val="clear" w:color="auto" w:fill="auto"/>
            <w:vAlign w:val="center"/>
            <w:hideMark/>
          </w:tcPr>
          <w:p w14:paraId="7CA4825E" w14:textId="77777777" w:rsidR="00FF7025" w:rsidRPr="00E864C1" w:rsidRDefault="00FF7025" w:rsidP="00FF7025">
            <w:pPr>
              <w:jc w:val="right"/>
              <w:rPr>
                <w:rFonts w:eastAsia="Times New Roman"/>
                <w:color w:val="000000"/>
              </w:rPr>
            </w:pPr>
            <w:r w:rsidRPr="00E864C1">
              <w:rPr>
                <w:rFonts w:eastAsia="Times New Roman"/>
                <w:color w:val="000000"/>
              </w:rPr>
              <w:t>2,934</w:t>
            </w:r>
          </w:p>
        </w:tc>
        <w:tc>
          <w:tcPr>
            <w:tcW w:w="960" w:type="dxa"/>
            <w:tcBorders>
              <w:top w:val="nil"/>
              <w:left w:val="nil"/>
              <w:bottom w:val="single" w:sz="4" w:space="0" w:color="auto"/>
              <w:right w:val="single" w:sz="4" w:space="0" w:color="auto"/>
            </w:tcBorders>
            <w:shd w:val="clear" w:color="auto" w:fill="auto"/>
            <w:vAlign w:val="center"/>
            <w:hideMark/>
          </w:tcPr>
          <w:p w14:paraId="4E2A5359" w14:textId="77777777" w:rsidR="00FF7025" w:rsidRPr="00E864C1" w:rsidRDefault="00FF7025" w:rsidP="00FF7025">
            <w:pPr>
              <w:jc w:val="right"/>
              <w:rPr>
                <w:rFonts w:eastAsia="Times New Roman"/>
                <w:color w:val="000000"/>
              </w:rPr>
            </w:pPr>
            <w:r w:rsidRPr="00E864C1">
              <w:rPr>
                <w:rFonts w:eastAsia="Times New Roman"/>
                <w:color w:val="000000"/>
              </w:rPr>
              <w:t>2,988</w:t>
            </w:r>
          </w:p>
        </w:tc>
        <w:tc>
          <w:tcPr>
            <w:tcW w:w="960" w:type="dxa"/>
            <w:tcBorders>
              <w:top w:val="nil"/>
              <w:left w:val="nil"/>
              <w:bottom w:val="single" w:sz="4" w:space="0" w:color="auto"/>
              <w:right w:val="single" w:sz="4" w:space="0" w:color="auto"/>
            </w:tcBorders>
            <w:shd w:val="clear" w:color="auto" w:fill="auto"/>
            <w:vAlign w:val="center"/>
            <w:hideMark/>
          </w:tcPr>
          <w:p w14:paraId="48CC64CF" w14:textId="77777777" w:rsidR="00FF7025" w:rsidRPr="00E864C1" w:rsidRDefault="00FF7025" w:rsidP="00FF7025">
            <w:pPr>
              <w:jc w:val="right"/>
              <w:rPr>
                <w:rFonts w:eastAsia="Times New Roman"/>
                <w:color w:val="000000"/>
              </w:rPr>
            </w:pPr>
            <w:r w:rsidRPr="00E864C1">
              <w:rPr>
                <w:rFonts w:eastAsia="Times New Roman"/>
                <w:color w:val="000000"/>
              </w:rPr>
              <w:t>2,364</w:t>
            </w:r>
          </w:p>
        </w:tc>
        <w:tc>
          <w:tcPr>
            <w:tcW w:w="960" w:type="dxa"/>
            <w:tcBorders>
              <w:top w:val="nil"/>
              <w:left w:val="nil"/>
              <w:bottom w:val="single" w:sz="4" w:space="0" w:color="auto"/>
              <w:right w:val="single" w:sz="4" w:space="0" w:color="auto"/>
            </w:tcBorders>
            <w:shd w:val="clear" w:color="auto" w:fill="auto"/>
            <w:vAlign w:val="center"/>
            <w:hideMark/>
          </w:tcPr>
          <w:p w14:paraId="64442D1E" w14:textId="77777777" w:rsidR="00FF7025" w:rsidRPr="00E864C1" w:rsidRDefault="00FF7025" w:rsidP="00FF7025">
            <w:pPr>
              <w:jc w:val="right"/>
              <w:rPr>
                <w:rFonts w:eastAsia="Times New Roman"/>
                <w:color w:val="000000"/>
              </w:rPr>
            </w:pPr>
            <w:r w:rsidRPr="00E864C1">
              <w:rPr>
                <w:rFonts w:eastAsia="Times New Roman"/>
                <w:color w:val="000000"/>
              </w:rPr>
              <w:t>2,895</w:t>
            </w:r>
          </w:p>
        </w:tc>
        <w:tc>
          <w:tcPr>
            <w:tcW w:w="960" w:type="dxa"/>
            <w:tcBorders>
              <w:top w:val="nil"/>
              <w:left w:val="nil"/>
              <w:bottom w:val="single" w:sz="4" w:space="0" w:color="auto"/>
              <w:right w:val="single" w:sz="4" w:space="0" w:color="auto"/>
            </w:tcBorders>
            <w:shd w:val="clear" w:color="auto" w:fill="auto"/>
            <w:vAlign w:val="center"/>
            <w:hideMark/>
          </w:tcPr>
          <w:p w14:paraId="2683C286" w14:textId="77777777" w:rsidR="00FF7025" w:rsidRPr="00E864C1" w:rsidRDefault="00FF7025" w:rsidP="00FF7025">
            <w:pPr>
              <w:jc w:val="right"/>
              <w:rPr>
                <w:rFonts w:eastAsia="Times New Roman"/>
                <w:color w:val="000000"/>
              </w:rPr>
            </w:pPr>
            <w:r w:rsidRPr="00E864C1">
              <w:rPr>
                <w:rFonts w:eastAsia="Times New Roman"/>
                <w:color w:val="000000"/>
              </w:rPr>
              <w:t>2,800</w:t>
            </w:r>
          </w:p>
        </w:tc>
        <w:tc>
          <w:tcPr>
            <w:tcW w:w="885" w:type="dxa"/>
            <w:tcBorders>
              <w:top w:val="nil"/>
              <w:left w:val="nil"/>
              <w:bottom w:val="single" w:sz="4" w:space="0" w:color="auto"/>
              <w:right w:val="single" w:sz="4" w:space="0" w:color="auto"/>
            </w:tcBorders>
            <w:shd w:val="clear" w:color="auto" w:fill="auto"/>
            <w:vAlign w:val="center"/>
            <w:hideMark/>
          </w:tcPr>
          <w:p w14:paraId="27CA545D" w14:textId="77777777" w:rsidR="00FF7025" w:rsidRPr="00E864C1" w:rsidRDefault="00FF7025" w:rsidP="00FF7025">
            <w:pPr>
              <w:jc w:val="right"/>
              <w:rPr>
                <w:rFonts w:eastAsia="Times New Roman"/>
                <w:color w:val="000000"/>
              </w:rPr>
            </w:pPr>
            <w:r w:rsidRPr="00E864C1">
              <w:rPr>
                <w:rFonts w:eastAsia="Times New Roman"/>
                <w:color w:val="000000"/>
              </w:rPr>
              <w:t>2,905</w:t>
            </w:r>
          </w:p>
        </w:tc>
        <w:tc>
          <w:tcPr>
            <w:tcW w:w="1215" w:type="dxa"/>
            <w:tcBorders>
              <w:top w:val="nil"/>
              <w:left w:val="nil"/>
              <w:bottom w:val="single" w:sz="4" w:space="0" w:color="auto"/>
              <w:right w:val="single" w:sz="4" w:space="0" w:color="auto"/>
            </w:tcBorders>
            <w:shd w:val="clear" w:color="auto" w:fill="auto"/>
            <w:noWrap/>
            <w:vAlign w:val="bottom"/>
            <w:hideMark/>
          </w:tcPr>
          <w:p w14:paraId="18134AC8" w14:textId="77777777" w:rsidR="00FF7025" w:rsidRPr="00E864C1" w:rsidRDefault="00FF7025" w:rsidP="00FF7025">
            <w:pPr>
              <w:jc w:val="right"/>
              <w:rPr>
                <w:rFonts w:eastAsia="Times New Roman"/>
                <w:color w:val="000000"/>
              </w:rPr>
            </w:pPr>
            <w:r w:rsidRPr="00E864C1">
              <w:rPr>
                <w:rFonts w:eastAsia="Times New Roman"/>
                <w:color w:val="000000"/>
              </w:rPr>
              <w:t>0.3%</w:t>
            </w:r>
          </w:p>
        </w:tc>
      </w:tr>
    </w:tbl>
    <w:p w14:paraId="3AB2D6DF" w14:textId="77777777" w:rsidR="00FA6D66" w:rsidRDefault="00FA6D66" w:rsidP="00E347B4">
      <w:pPr>
        <w:rPr>
          <w:rFonts w:ascii="Calibri" w:eastAsia="Calibri" w:hAnsi="Calibri" w:cs="Calibri"/>
        </w:rPr>
      </w:pPr>
    </w:p>
    <w:p w14:paraId="5DD01018" w14:textId="77777777" w:rsidR="00CC3B1D" w:rsidRPr="001032D6" w:rsidRDefault="001E3B37" w:rsidP="007F1D38">
      <w:pPr>
        <w:pStyle w:val="ListParagraph"/>
        <w:numPr>
          <w:ilvl w:val="0"/>
          <w:numId w:val="7"/>
        </w:numPr>
        <w:spacing w:line="240" w:lineRule="auto"/>
        <w:rPr>
          <w:rFonts w:ascii="Calibri" w:eastAsia="Calibri" w:hAnsi="Calibri" w:cs="Calibri"/>
          <w:b/>
          <w:bCs/>
        </w:rPr>
      </w:pPr>
      <w:r w:rsidRPr="001032D6">
        <w:rPr>
          <w:rFonts w:ascii="Calibri" w:eastAsia="Calibri" w:hAnsi="Calibri" w:cs="Calibri"/>
          <w:b/>
          <w:bCs/>
          <w:sz w:val="24"/>
          <w:szCs w:val="24"/>
        </w:rPr>
        <w:t xml:space="preserve">The Aging Facility and Infrastructure Needs Replacement </w:t>
      </w:r>
      <w:r w:rsidRPr="0076360F">
        <w:rPr>
          <w:rFonts w:ascii="Calibri" w:eastAsia="Calibri" w:hAnsi="Calibri" w:cs="Calibri"/>
          <w:b/>
          <w:sz w:val="24"/>
          <w:szCs w:val="24"/>
        </w:rPr>
        <w:t xml:space="preserve"> </w:t>
      </w:r>
    </w:p>
    <w:p w14:paraId="1475A66B" w14:textId="7D28A273" w:rsidR="006B6B12" w:rsidRDefault="1D1D37B5" w:rsidP="0076360F">
      <w:pPr>
        <w:spacing w:after="240"/>
        <w:rPr>
          <w:rFonts w:ascii="Calibri" w:eastAsia="Calibri" w:hAnsi="Calibri" w:cs="Calibri"/>
          <w:color w:val="212121"/>
          <w:shd w:val="clear" w:color="auto" w:fill="FFFFFF"/>
        </w:rPr>
      </w:pPr>
      <w:r>
        <w:rPr>
          <w:rFonts w:ascii="Calibri" w:eastAsia="Calibri" w:hAnsi="Calibri" w:cs="Calibri"/>
          <w:b/>
          <w:bCs/>
        </w:rPr>
        <w:t xml:space="preserve">A. </w:t>
      </w:r>
      <w:r w:rsidR="2E73910C" w:rsidRPr="00400B42">
        <w:rPr>
          <w:rFonts w:ascii="Calibri" w:eastAsia="Calibri" w:hAnsi="Calibri" w:cs="Calibri"/>
          <w:b/>
          <w:bCs/>
        </w:rPr>
        <w:t>Outdated infrastructure and systems</w:t>
      </w:r>
      <w:r w:rsidR="2E73910C">
        <w:rPr>
          <w:rFonts w:ascii="Calibri" w:eastAsia="Calibri" w:hAnsi="Calibri" w:cs="Calibri"/>
          <w:b/>
          <w:bCs/>
        </w:rPr>
        <w:t>-</w:t>
      </w:r>
      <w:r w:rsidR="2E73910C">
        <w:rPr>
          <w:rFonts w:ascii="Calibri" w:eastAsia="Calibri" w:hAnsi="Calibri" w:cs="Calibri"/>
        </w:rPr>
        <w:t xml:space="preserve"> </w:t>
      </w:r>
      <w:r w:rsidR="1377E865">
        <w:rPr>
          <w:rFonts w:ascii="Calibri" w:eastAsia="Calibri" w:hAnsi="Calibri" w:cs="Calibri"/>
        </w:rPr>
        <w:t xml:space="preserve">The Applicant </w:t>
      </w:r>
      <w:r w:rsidR="3105FD0D">
        <w:rPr>
          <w:rFonts w:ascii="Calibri" w:eastAsia="Calibri" w:hAnsi="Calibri" w:cs="Calibri"/>
        </w:rPr>
        <w:t xml:space="preserve">adds </w:t>
      </w:r>
      <w:r w:rsidR="1377E865">
        <w:rPr>
          <w:rFonts w:ascii="Calibri" w:eastAsia="Calibri" w:hAnsi="Calibri" w:cs="Calibri"/>
        </w:rPr>
        <w:t>that b</w:t>
      </w:r>
      <w:r w:rsidR="39FF039F" w:rsidRPr="006B02BE">
        <w:rPr>
          <w:rFonts w:ascii="Calibri" w:eastAsia="Calibri" w:hAnsi="Calibri" w:cs="Calibri"/>
        </w:rPr>
        <w:t xml:space="preserve">ased on the age of </w:t>
      </w:r>
      <w:r w:rsidR="2DE6DC4B">
        <w:rPr>
          <w:rFonts w:ascii="Calibri" w:eastAsia="Calibri" w:hAnsi="Calibri" w:cs="Calibri"/>
        </w:rPr>
        <w:t>Franciscan</w:t>
      </w:r>
      <w:r w:rsidR="39FF039F" w:rsidRPr="006B02BE">
        <w:rPr>
          <w:rFonts w:ascii="Calibri" w:eastAsia="Calibri" w:hAnsi="Calibri" w:cs="Calibri"/>
        </w:rPr>
        <w:t xml:space="preserve">’s plant and its current condition, </w:t>
      </w:r>
      <w:r w:rsidR="34B727CB">
        <w:rPr>
          <w:rFonts w:ascii="Calibri" w:eastAsia="Calibri" w:hAnsi="Calibri" w:cs="Calibri"/>
        </w:rPr>
        <w:t>all rooms are multi-bed rooms (greater than 2)</w:t>
      </w:r>
      <w:r w:rsidR="30865F3A" w:rsidRPr="6F80FCDD">
        <w:rPr>
          <w:rFonts w:ascii="Calibri" w:eastAsia="Calibri" w:hAnsi="Calibri" w:cs="Calibri"/>
        </w:rPr>
        <w:t>;</w:t>
      </w:r>
      <w:r w:rsidR="34B727CB">
        <w:rPr>
          <w:rFonts w:ascii="Calibri" w:eastAsia="Calibri" w:hAnsi="Calibri" w:cs="Calibri"/>
        </w:rPr>
        <w:t xml:space="preserve"> </w:t>
      </w:r>
      <w:r w:rsidR="39FF039F" w:rsidRPr="006B02BE">
        <w:rPr>
          <w:rFonts w:ascii="Calibri" w:eastAsia="Calibri" w:hAnsi="Calibri" w:cs="Calibri"/>
        </w:rPr>
        <w:t>life safety systems are significantly outdated</w:t>
      </w:r>
      <w:r w:rsidR="181C2934">
        <w:rPr>
          <w:rFonts w:ascii="Calibri" w:eastAsia="Calibri" w:hAnsi="Calibri" w:cs="Calibri"/>
        </w:rPr>
        <w:t xml:space="preserve"> and experience </w:t>
      </w:r>
      <w:r w:rsidR="62F6B680">
        <w:rPr>
          <w:rFonts w:ascii="Calibri" w:eastAsia="Calibri" w:hAnsi="Calibri" w:cs="Calibri"/>
        </w:rPr>
        <w:t xml:space="preserve">problems such as </w:t>
      </w:r>
      <w:r w:rsidR="181C2934">
        <w:rPr>
          <w:rFonts w:ascii="Calibri" w:eastAsia="Calibri" w:hAnsi="Calibri" w:cs="Calibri"/>
        </w:rPr>
        <w:t>power outages</w:t>
      </w:r>
      <w:r w:rsidR="23BC0BD0">
        <w:rPr>
          <w:rFonts w:ascii="Calibri" w:eastAsia="Calibri" w:hAnsi="Calibri" w:cs="Calibri"/>
        </w:rPr>
        <w:t xml:space="preserve">; some of the facilities have not been renovated since it was opened 75 years ago; </w:t>
      </w:r>
      <w:r w:rsidR="7D6F37B2" w:rsidRPr="6F80FCDD">
        <w:rPr>
          <w:rFonts w:ascii="Calibri" w:eastAsia="Calibri" w:hAnsi="Calibri" w:cs="Calibri"/>
        </w:rPr>
        <w:t xml:space="preserve">and </w:t>
      </w:r>
      <w:r w:rsidR="62F6B680">
        <w:rPr>
          <w:rFonts w:ascii="Calibri" w:eastAsia="Calibri" w:hAnsi="Calibri" w:cs="Calibri"/>
        </w:rPr>
        <w:t>t</w:t>
      </w:r>
      <w:r w:rsidR="181C2934">
        <w:rPr>
          <w:rFonts w:ascii="Calibri" w:eastAsia="Calibri" w:hAnsi="Calibri" w:cs="Calibri"/>
        </w:rPr>
        <w:t xml:space="preserve">here is inadequate high-speed internet </w:t>
      </w:r>
      <w:r w:rsidR="437BB221">
        <w:rPr>
          <w:rFonts w:ascii="Calibri" w:eastAsia="Calibri" w:hAnsi="Calibri" w:cs="Calibri"/>
        </w:rPr>
        <w:t xml:space="preserve">which </w:t>
      </w:r>
      <w:r w:rsidR="099416E6">
        <w:rPr>
          <w:rFonts w:ascii="Calibri" w:eastAsia="Calibri" w:hAnsi="Calibri" w:cs="Calibri"/>
        </w:rPr>
        <w:t>hamper</w:t>
      </w:r>
      <w:r w:rsidR="437BB221">
        <w:rPr>
          <w:rFonts w:ascii="Calibri" w:eastAsia="Calibri" w:hAnsi="Calibri" w:cs="Calibri"/>
        </w:rPr>
        <w:t>s</w:t>
      </w:r>
      <w:r w:rsidR="181C2934">
        <w:rPr>
          <w:rFonts w:ascii="Calibri" w:eastAsia="Calibri" w:hAnsi="Calibri" w:cs="Calibri"/>
        </w:rPr>
        <w:t xml:space="preserve"> integration</w:t>
      </w:r>
      <w:r w:rsidR="67A37CDE">
        <w:rPr>
          <w:rFonts w:ascii="Calibri" w:eastAsia="Calibri" w:hAnsi="Calibri" w:cs="Calibri"/>
        </w:rPr>
        <w:t>,</w:t>
      </w:r>
      <w:r w:rsidR="181C2934">
        <w:rPr>
          <w:rFonts w:ascii="Calibri" w:eastAsia="Calibri" w:hAnsi="Calibri" w:cs="Calibri"/>
        </w:rPr>
        <w:t xml:space="preserve"> </w:t>
      </w:r>
      <w:r w:rsidR="437BB221">
        <w:rPr>
          <w:rFonts w:ascii="Calibri" w:eastAsia="Calibri" w:hAnsi="Calibri" w:cs="Calibri"/>
        </w:rPr>
        <w:t xml:space="preserve">electronic health </w:t>
      </w:r>
      <w:r w:rsidR="181C2934">
        <w:rPr>
          <w:rFonts w:ascii="Calibri" w:eastAsia="Calibri" w:hAnsi="Calibri" w:cs="Calibri"/>
        </w:rPr>
        <w:t>record</w:t>
      </w:r>
      <w:r w:rsidR="099416E6">
        <w:rPr>
          <w:rFonts w:ascii="Calibri" w:eastAsia="Calibri" w:hAnsi="Calibri" w:cs="Calibri"/>
        </w:rPr>
        <w:t>s, data collection and</w:t>
      </w:r>
      <w:r w:rsidR="181C2934">
        <w:rPr>
          <w:rFonts w:ascii="Calibri" w:eastAsia="Calibri" w:hAnsi="Calibri" w:cs="Calibri"/>
        </w:rPr>
        <w:t xml:space="preserve"> team communications</w:t>
      </w:r>
      <w:r w:rsidR="67A37CDE">
        <w:rPr>
          <w:rFonts w:ascii="Calibri" w:eastAsia="Calibri" w:hAnsi="Calibri" w:cs="Calibri"/>
        </w:rPr>
        <w:t>.</w:t>
      </w:r>
      <w:r w:rsidR="181C2934">
        <w:rPr>
          <w:rFonts w:ascii="Calibri" w:eastAsia="Calibri" w:hAnsi="Calibri" w:cs="Calibri"/>
        </w:rPr>
        <w:t xml:space="preserve"> </w:t>
      </w:r>
      <w:r w:rsidR="42866E11" w:rsidRPr="001929C4">
        <w:rPr>
          <w:rFonts w:ascii="Calibri" w:eastAsia="Calibri" w:hAnsi="Calibri" w:cs="Calibri"/>
        </w:rPr>
        <w:t>T</w:t>
      </w:r>
      <w:r w:rsidR="27088619" w:rsidRPr="001929C4">
        <w:rPr>
          <w:rFonts w:ascii="Calibri" w:eastAsia="Calibri" w:hAnsi="Calibri" w:cs="Calibri"/>
        </w:rPr>
        <w:t xml:space="preserve">he average age of the Franciscan </w:t>
      </w:r>
      <w:r w:rsidR="00E9172C">
        <w:rPr>
          <w:rFonts w:ascii="Calibri" w:eastAsia="Calibri" w:hAnsi="Calibri" w:cs="Calibri"/>
        </w:rPr>
        <w:t>plant</w:t>
      </w:r>
      <w:r w:rsidR="00E9172C" w:rsidRPr="00E9172C">
        <w:rPr>
          <w:rFonts w:ascii="Calibri" w:eastAsia="Calibri" w:hAnsi="Calibri" w:cs="Calibri"/>
          <w:vertAlign w:val="superscript"/>
        </w:rPr>
        <w:footnoteReference w:id="16"/>
      </w:r>
      <w:r w:rsidR="00E9172C">
        <w:rPr>
          <w:rFonts w:ascii="Calibri" w:eastAsia="Calibri" w:hAnsi="Calibri" w:cs="Calibri"/>
        </w:rPr>
        <w:t xml:space="preserve"> </w:t>
      </w:r>
      <w:r w:rsidR="27088619" w:rsidRPr="001929C4">
        <w:rPr>
          <w:rFonts w:ascii="Calibri" w:eastAsia="Calibri" w:hAnsi="Calibri" w:cs="Calibri"/>
        </w:rPr>
        <w:t xml:space="preserve">is 19.5 years compared to the average age of </w:t>
      </w:r>
      <w:r w:rsidR="1EF111E7" w:rsidRPr="6F80FCDD">
        <w:rPr>
          <w:rFonts w:ascii="Calibri" w:eastAsia="Calibri" w:hAnsi="Calibri" w:cs="Calibri"/>
        </w:rPr>
        <w:t xml:space="preserve">11.9 years for </w:t>
      </w:r>
      <w:r w:rsidR="27088619" w:rsidRPr="001929C4">
        <w:rPr>
          <w:rFonts w:ascii="Calibri" w:eastAsia="Calibri" w:hAnsi="Calibri" w:cs="Calibri"/>
        </w:rPr>
        <w:t>130 freestanding hospitals, single-</w:t>
      </w:r>
      <w:r w:rsidR="15ECA4DC">
        <w:rPr>
          <w:rFonts w:ascii="Calibri" w:eastAsia="Calibri" w:hAnsi="Calibri" w:cs="Calibri"/>
        </w:rPr>
        <w:t>,</w:t>
      </w:r>
      <w:r w:rsidR="27088619" w:rsidRPr="001929C4">
        <w:rPr>
          <w:rFonts w:ascii="Calibri" w:eastAsia="Calibri" w:hAnsi="Calibri" w:cs="Calibri"/>
        </w:rPr>
        <w:t xml:space="preserve"> and multi-state health systems.</w:t>
      </w:r>
      <w:r w:rsidR="000716DE" w:rsidRPr="001929C4">
        <w:rPr>
          <w:rFonts w:ascii="Calibri" w:eastAsia="Calibri" w:hAnsi="Calibri" w:cs="Calibri"/>
          <w:vertAlign w:val="superscript"/>
        </w:rPr>
        <w:footnoteReference w:id="17"/>
      </w:r>
      <w:r w:rsidR="27088619" w:rsidRPr="001929C4">
        <w:rPr>
          <w:rFonts w:ascii="Calibri" w:eastAsia="Calibri" w:hAnsi="Calibri" w:cs="Calibri"/>
        </w:rPr>
        <w:t xml:space="preserve"> </w:t>
      </w:r>
      <w:r w:rsidR="15ECA4DC">
        <w:rPr>
          <w:rFonts w:ascii="Calibri" w:eastAsia="Calibri" w:hAnsi="Calibri" w:cs="Calibri"/>
        </w:rPr>
        <w:t>T</w:t>
      </w:r>
      <w:r w:rsidR="39FF039F" w:rsidRPr="006B02BE">
        <w:rPr>
          <w:rFonts w:ascii="Calibri" w:eastAsia="Calibri" w:hAnsi="Calibri" w:cs="Calibri"/>
        </w:rPr>
        <w:t>he average age can be an important measure of the condition of these assets and the likely need for future capital investments to maintain or</w:t>
      </w:r>
      <w:r w:rsidR="15ECA4DC">
        <w:rPr>
          <w:rFonts w:ascii="Calibri" w:eastAsia="Calibri" w:hAnsi="Calibri" w:cs="Calibri"/>
        </w:rPr>
        <w:t xml:space="preserve"> upgrade</w:t>
      </w:r>
      <w:r w:rsidR="39FF039F" w:rsidRPr="006B02BE">
        <w:rPr>
          <w:rFonts w:ascii="Calibri" w:eastAsia="Calibri" w:hAnsi="Calibri" w:cs="Calibri"/>
        </w:rPr>
        <w:t xml:space="preserve"> facilities.</w:t>
      </w:r>
      <w:r w:rsidR="14EFDE2C">
        <w:rPr>
          <w:rFonts w:ascii="Calibri" w:eastAsia="Calibri" w:hAnsi="Calibri" w:cs="Calibri"/>
        </w:rPr>
        <w:t xml:space="preserve"> </w:t>
      </w:r>
      <w:r w:rsidR="0F4AF0FA" w:rsidRPr="001929C4">
        <w:rPr>
          <w:rFonts w:ascii="Calibri" w:eastAsia="Calibri" w:hAnsi="Calibri" w:cs="Calibri"/>
        </w:rPr>
        <w:t>The Applicant cites a</w:t>
      </w:r>
      <w:r w:rsidR="689F5A44" w:rsidRPr="006B02BE">
        <w:rPr>
          <w:rFonts w:ascii="Calibri" w:eastAsia="Calibri" w:hAnsi="Calibri" w:cs="Calibri"/>
        </w:rPr>
        <w:t xml:space="preserve"> recent study </w:t>
      </w:r>
      <w:r w:rsidR="3E882841" w:rsidRPr="001929C4">
        <w:rPr>
          <w:rFonts w:ascii="Calibri" w:eastAsia="Calibri" w:hAnsi="Calibri" w:cs="Calibri"/>
        </w:rPr>
        <w:t>showing an</w:t>
      </w:r>
      <w:r w:rsidR="689F5A44" w:rsidRPr="006B02BE">
        <w:rPr>
          <w:rFonts w:ascii="Calibri" w:eastAsia="Calibri" w:hAnsi="Calibri" w:cs="Calibri"/>
        </w:rPr>
        <w:t xml:space="preserve"> inverse relationship between the age of a hospital’s infrastructure and </w:t>
      </w:r>
      <w:r w:rsidR="689F5A44" w:rsidRPr="006B02BE">
        <w:rPr>
          <w:rFonts w:ascii="Calibri" w:eastAsia="Calibri" w:hAnsi="Calibri" w:cs="Calibri"/>
          <w:color w:val="212121"/>
          <w:shd w:val="clear" w:color="auto" w:fill="FFFFFF"/>
        </w:rPr>
        <w:t>Centers for Medicare &amp; Medicaid Services Hospital V</w:t>
      </w:r>
      <w:r w:rsidR="3105FD0D">
        <w:rPr>
          <w:rFonts w:ascii="Calibri" w:eastAsia="Calibri" w:hAnsi="Calibri" w:cs="Calibri"/>
          <w:color w:val="212121"/>
          <w:shd w:val="clear" w:color="auto" w:fill="FFFFFF"/>
        </w:rPr>
        <w:t xml:space="preserve">alue </w:t>
      </w:r>
      <w:r w:rsidR="689F5A44" w:rsidRPr="006B02BE">
        <w:rPr>
          <w:rFonts w:ascii="Calibri" w:eastAsia="Calibri" w:hAnsi="Calibri" w:cs="Calibri"/>
          <w:color w:val="212121"/>
          <w:shd w:val="clear" w:color="auto" w:fill="FFFFFF"/>
        </w:rPr>
        <w:t>B</w:t>
      </w:r>
      <w:r w:rsidR="3105FD0D">
        <w:rPr>
          <w:rFonts w:ascii="Calibri" w:eastAsia="Calibri" w:hAnsi="Calibri" w:cs="Calibri"/>
          <w:color w:val="212121"/>
          <w:shd w:val="clear" w:color="auto" w:fill="FFFFFF"/>
        </w:rPr>
        <w:t xml:space="preserve">ased </w:t>
      </w:r>
      <w:r w:rsidR="689F5A44" w:rsidRPr="006B02BE">
        <w:rPr>
          <w:rFonts w:ascii="Calibri" w:eastAsia="Calibri" w:hAnsi="Calibri" w:cs="Calibri"/>
          <w:color w:val="212121"/>
          <w:shd w:val="clear" w:color="auto" w:fill="FFFFFF"/>
        </w:rPr>
        <w:t>P</w:t>
      </w:r>
      <w:r w:rsidR="3105FD0D">
        <w:rPr>
          <w:rFonts w:ascii="Calibri" w:eastAsia="Calibri" w:hAnsi="Calibri" w:cs="Calibri"/>
          <w:color w:val="212121"/>
          <w:shd w:val="clear" w:color="auto" w:fill="FFFFFF"/>
        </w:rPr>
        <w:t>urchasing</w:t>
      </w:r>
      <w:r w:rsidR="689F5A44" w:rsidRPr="006B02BE">
        <w:rPr>
          <w:rFonts w:ascii="Calibri" w:eastAsia="Calibri" w:hAnsi="Calibri" w:cs="Calibri"/>
          <w:color w:val="212121"/>
          <w:shd w:val="clear" w:color="auto" w:fill="FFFFFF"/>
        </w:rPr>
        <w:t xml:space="preserve"> Total Performance Scores</w:t>
      </w:r>
      <w:r w:rsidR="00DB773D" w:rsidRPr="006B02BE">
        <w:rPr>
          <w:rFonts w:ascii="Calibri" w:eastAsia="Calibri" w:hAnsi="Calibri" w:cs="Calibri"/>
          <w:color w:val="212121"/>
          <w:shd w:val="clear" w:color="auto" w:fill="FFFFFF"/>
          <w:vertAlign w:val="superscript"/>
        </w:rPr>
        <w:endnoteReference w:id="3"/>
      </w:r>
      <w:r w:rsidR="437BB221" w:rsidRPr="006B02BE">
        <w:rPr>
          <w:rFonts w:ascii="Calibri" w:eastAsia="Calibri" w:hAnsi="Calibri" w:cs="Calibri"/>
          <w:color w:val="212121"/>
          <w:shd w:val="clear" w:color="auto" w:fill="FFFFFF"/>
        </w:rPr>
        <w:t xml:space="preserve"> </w:t>
      </w:r>
      <w:r w:rsidR="3E882841" w:rsidRPr="001929C4">
        <w:rPr>
          <w:rFonts w:ascii="Calibri" w:eastAsia="Calibri" w:hAnsi="Calibri" w:cs="Calibri"/>
          <w:color w:val="212121"/>
          <w:shd w:val="clear" w:color="auto" w:fill="FFFFFF"/>
        </w:rPr>
        <w:t xml:space="preserve">which are </w:t>
      </w:r>
      <w:r w:rsidR="689F5A44" w:rsidRPr="006B02BE">
        <w:rPr>
          <w:rFonts w:ascii="Calibri" w:eastAsia="Calibri" w:hAnsi="Calibri" w:cs="Calibri"/>
          <w:color w:val="212121"/>
          <w:shd w:val="clear" w:color="auto" w:fill="FFFFFF"/>
        </w:rPr>
        <w:t>composed of four equally weighed domains</w:t>
      </w:r>
      <w:r w:rsidR="1042ECDB">
        <w:rPr>
          <w:rFonts w:ascii="Calibri" w:eastAsia="Calibri" w:hAnsi="Calibri" w:cs="Calibri"/>
          <w:color w:val="212121"/>
          <w:shd w:val="clear" w:color="auto" w:fill="FFFFFF"/>
        </w:rPr>
        <w:t>-</w:t>
      </w:r>
      <w:r w:rsidR="3E882841" w:rsidRPr="001929C4">
        <w:rPr>
          <w:rFonts w:ascii="Calibri" w:eastAsia="Calibri" w:hAnsi="Calibri" w:cs="Calibri"/>
          <w:color w:val="212121"/>
          <w:shd w:val="clear" w:color="auto" w:fill="FFFFFF"/>
        </w:rPr>
        <w:t xml:space="preserve"> </w:t>
      </w:r>
      <w:r w:rsidR="689F5A44" w:rsidRPr="006B02BE">
        <w:rPr>
          <w:rFonts w:ascii="Calibri" w:eastAsia="Calibri" w:hAnsi="Calibri" w:cs="Calibri"/>
          <w:color w:val="212121"/>
          <w:shd w:val="clear" w:color="auto" w:fill="FFFFFF"/>
        </w:rPr>
        <w:t xml:space="preserve">Efficiency and Cost Reduction, Clinical Care, Patient and Caregiver Centered Experience, and Patient Safety. Hospitals with a younger age of plant (0-8 years) </w:t>
      </w:r>
      <w:r w:rsidR="37E360C6" w:rsidRPr="001929C4">
        <w:rPr>
          <w:rFonts w:ascii="Calibri" w:eastAsia="Calibri" w:hAnsi="Calibri" w:cs="Calibri"/>
          <w:color w:val="212121"/>
          <w:shd w:val="clear" w:color="auto" w:fill="FFFFFF"/>
        </w:rPr>
        <w:t xml:space="preserve">had </w:t>
      </w:r>
      <w:r w:rsidR="689F5A44" w:rsidRPr="006B02BE">
        <w:rPr>
          <w:rFonts w:ascii="Calibri" w:eastAsia="Calibri" w:hAnsi="Calibri" w:cs="Calibri"/>
          <w:color w:val="212121"/>
          <w:shd w:val="clear" w:color="auto" w:fill="FFFFFF"/>
        </w:rPr>
        <w:t>a total performance score of 2.35 points higher than hospitals with an average age of plant greater than 14.6 years</w:t>
      </w:r>
      <w:r w:rsidR="3E882841" w:rsidRPr="001929C4">
        <w:rPr>
          <w:rFonts w:ascii="Calibri" w:eastAsia="Calibri" w:hAnsi="Calibri" w:cs="Calibri"/>
          <w:color w:val="212121"/>
          <w:shd w:val="clear" w:color="auto" w:fill="FFFFFF"/>
        </w:rPr>
        <w:t xml:space="preserve"> </w:t>
      </w:r>
      <w:r w:rsidR="675D3179" w:rsidRPr="00FE2B1C">
        <w:rPr>
          <w:rFonts w:ascii="Calibri" w:eastAsia="Calibri" w:hAnsi="Calibri" w:cs="Calibri"/>
          <w:color w:val="212121"/>
          <w:shd w:val="clear" w:color="auto" w:fill="FFFFFF"/>
        </w:rPr>
        <w:t>while controlling for hospital ownership, size, teaching status, geographic location, service mix, case mix, length of stay, community served, and labor force relative cost.</w:t>
      </w:r>
    </w:p>
    <w:p w14:paraId="27AAE610" w14:textId="1DCEEBB3" w:rsidR="00AE5014" w:rsidRDefault="001032D6" w:rsidP="00DB7D54">
      <w:pPr>
        <w:spacing w:after="240"/>
        <w:rPr>
          <w:rFonts w:ascii="Calibri" w:eastAsia="Calibri" w:hAnsi="Calibri" w:cs="Calibri"/>
          <w:color w:val="212121"/>
          <w:shd w:val="clear" w:color="auto" w:fill="FFFFFF"/>
        </w:rPr>
      </w:pPr>
      <w:r>
        <w:rPr>
          <w:rFonts w:ascii="Calibri" w:eastAsia="Calibri" w:hAnsi="Calibri" w:cs="Calibri"/>
          <w:b/>
          <w:bCs/>
          <w:color w:val="212121"/>
          <w:shd w:val="clear" w:color="auto" w:fill="FFFFFF"/>
        </w:rPr>
        <w:t xml:space="preserve">B. </w:t>
      </w:r>
      <w:r w:rsidR="00AB4AA7" w:rsidRPr="00AB4AA7">
        <w:rPr>
          <w:rFonts w:ascii="Calibri" w:eastAsia="Calibri" w:hAnsi="Calibri" w:cs="Calibri"/>
          <w:b/>
          <w:bCs/>
          <w:color w:val="212121"/>
          <w:shd w:val="clear" w:color="auto" w:fill="FFFFFF"/>
        </w:rPr>
        <w:t>Multi-bed rooms</w:t>
      </w:r>
      <w:r w:rsidR="00AB4AA7" w:rsidRPr="00AB4AA7">
        <w:rPr>
          <w:rFonts w:ascii="Calibri" w:eastAsia="Calibri" w:hAnsi="Calibri" w:cs="Calibri"/>
          <w:color w:val="212121"/>
          <w:shd w:val="clear" w:color="auto" w:fill="FFFFFF"/>
        </w:rPr>
        <w:t>-The Applicant states that, prior to the affiliation, Franciscan was unable to invest in</w:t>
      </w:r>
      <w:r w:rsidR="00247AAB">
        <w:rPr>
          <w:rFonts w:ascii="Calibri" w:eastAsia="Calibri" w:hAnsi="Calibri" w:cs="Calibri"/>
          <w:color w:val="212121"/>
          <w:shd w:val="clear" w:color="auto" w:fill="FFFFFF"/>
        </w:rPr>
        <w:t xml:space="preserve"> </w:t>
      </w:r>
      <w:r w:rsidR="00AB4AA7" w:rsidRPr="00AB4AA7">
        <w:rPr>
          <w:rFonts w:ascii="Calibri" w:eastAsia="Calibri" w:hAnsi="Calibri" w:cs="Calibri"/>
          <w:color w:val="212121"/>
          <w:shd w:val="clear" w:color="auto" w:fill="FFFFFF"/>
        </w:rPr>
        <w:t>facilities</w:t>
      </w:r>
      <w:r w:rsidR="00247AAB">
        <w:rPr>
          <w:rFonts w:ascii="Calibri" w:eastAsia="Calibri" w:hAnsi="Calibri" w:cs="Calibri"/>
          <w:color w:val="212121"/>
          <w:shd w:val="clear" w:color="auto" w:fill="FFFFFF"/>
        </w:rPr>
        <w:t xml:space="preserve"> updates</w:t>
      </w:r>
      <w:r w:rsidR="00AB4AA7" w:rsidRPr="00AB4AA7">
        <w:rPr>
          <w:rFonts w:ascii="Calibri" w:eastAsia="Calibri" w:hAnsi="Calibri" w:cs="Calibri"/>
          <w:color w:val="212121"/>
          <w:shd w:val="clear" w:color="auto" w:fill="FFFFFF"/>
        </w:rPr>
        <w:t xml:space="preserve"> due </w:t>
      </w:r>
      <w:r w:rsidR="0076360F" w:rsidRPr="00AB4AA7">
        <w:rPr>
          <w:rFonts w:ascii="Calibri" w:eastAsia="Calibri" w:hAnsi="Calibri" w:cs="Calibri"/>
          <w:color w:val="212121"/>
          <w:shd w:val="clear" w:color="auto" w:fill="FFFFFF"/>
        </w:rPr>
        <w:t>to limited</w:t>
      </w:r>
      <w:r w:rsidR="064BC658" w:rsidRPr="00AB4AA7">
        <w:rPr>
          <w:rFonts w:ascii="Calibri" w:eastAsia="Calibri" w:hAnsi="Calibri" w:cs="Calibri"/>
          <w:color w:val="212121"/>
          <w:shd w:val="clear" w:color="auto" w:fill="FFFFFF"/>
        </w:rPr>
        <w:t xml:space="preserve"> reimbursement</w:t>
      </w:r>
      <w:r w:rsidR="00AB4AA7" w:rsidRPr="00AB4AA7">
        <w:rPr>
          <w:rFonts w:ascii="Calibri" w:eastAsia="Calibri" w:hAnsi="Calibri" w:cs="Calibri"/>
          <w:color w:val="212121"/>
          <w:shd w:val="clear" w:color="auto" w:fill="FFFFFF"/>
        </w:rPr>
        <w:t xml:space="preserve"> by public and private payors for</w:t>
      </w:r>
      <w:r w:rsidR="00247AAB">
        <w:rPr>
          <w:rFonts w:ascii="Calibri" w:eastAsia="Calibri" w:hAnsi="Calibri" w:cs="Calibri"/>
          <w:color w:val="212121"/>
          <w:shd w:val="clear" w:color="auto" w:fill="FFFFFF"/>
        </w:rPr>
        <w:t xml:space="preserve"> both</w:t>
      </w:r>
      <w:r w:rsidR="0076360F">
        <w:rPr>
          <w:rFonts w:ascii="Calibri" w:eastAsia="Calibri" w:hAnsi="Calibri" w:cs="Calibri"/>
          <w:color w:val="212121"/>
          <w:shd w:val="clear" w:color="auto" w:fill="FFFFFF"/>
        </w:rPr>
        <w:t xml:space="preserve"> m</w:t>
      </w:r>
      <w:r w:rsidR="00AB4AA7" w:rsidRPr="00AB4AA7">
        <w:rPr>
          <w:rFonts w:ascii="Calibri" w:eastAsia="Calibri" w:hAnsi="Calibri" w:cs="Calibri"/>
          <w:color w:val="212121"/>
          <w:shd w:val="clear" w:color="auto" w:fill="FFFFFF"/>
        </w:rPr>
        <w:t>edical rehabilitative, and mental health services.</w:t>
      </w:r>
      <w:r w:rsidR="00AB4AA7" w:rsidRPr="00AB4AA7">
        <w:rPr>
          <w:rFonts w:ascii="Calibri" w:eastAsia="Calibri" w:hAnsi="Calibri" w:cs="Calibri"/>
          <w:color w:val="212121"/>
          <w:shd w:val="clear" w:color="auto" w:fill="FFFFFF"/>
          <w:vertAlign w:val="superscript"/>
        </w:rPr>
        <w:footnoteReference w:id="18"/>
      </w:r>
      <w:r w:rsidR="00AB4AA7" w:rsidRPr="00AB4AA7">
        <w:rPr>
          <w:rFonts w:ascii="Calibri" w:eastAsia="Calibri" w:hAnsi="Calibri" w:cs="Calibri"/>
          <w:color w:val="212121"/>
          <w:shd w:val="clear" w:color="auto" w:fill="FFFFFF"/>
        </w:rPr>
        <w:t xml:space="preserve"> Consequently</w:t>
      </w:r>
      <w:r w:rsidR="6FC7C9C6" w:rsidRPr="0AE00208">
        <w:rPr>
          <w:rFonts w:ascii="Calibri" w:eastAsia="Calibri" w:hAnsi="Calibri" w:cs="Calibri"/>
          <w:color w:val="212121"/>
        </w:rPr>
        <w:t>,</w:t>
      </w:r>
      <w:r w:rsidR="00AB4AA7" w:rsidRPr="00AB4AA7">
        <w:rPr>
          <w:rFonts w:ascii="Calibri" w:eastAsia="Calibri" w:hAnsi="Calibri" w:cs="Calibri"/>
          <w:color w:val="212121"/>
          <w:shd w:val="clear" w:color="auto" w:fill="FFFFFF"/>
        </w:rPr>
        <w:t xml:space="preserve"> many of the facilit</w:t>
      </w:r>
      <w:r w:rsidR="00247AAB">
        <w:rPr>
          <w:rFonts w:ascii="Calibri" w:eastAsia="Calibri" w:hAnsi="Calibri" w:cs="Calibri"/>
          <w:color w:val="212121"/>
          <w:shd w:val="clear" w:color="auto" w:fill="FFFFFF"/>
        </w:rPr>
        <w:t>y’</w:t>
      </w:r>
      <w:r w:rsidR="00AB4AA7" w:rsidRPr="00AB4AA7">
        <w:rPr>
          <w:rFonts w:ascii="Calibri" w:eastAsia="Calibri" w:hAnsi="Calibri" w:cs="Calibri"/>
          <w:color w:val="212121"/>
          <w:shd w:val="clear" w:color="auto" w:fill="FFFFFF"/>
        </w:rPr>
        <w:t>s clinical areas are outdated and do not meet current standards. For example,</w:t>
      </w:r>
      <w:r w:rsidR="00D16517">
        <w:rPr>
          <w:rFonts w:ascii="Calibri" w:eastAsia="Calibri" w:hAnsi="Calibri" w:cs="Calibri"/>
          <w:color w:val="212121"/>
          <w:shd w:val="clear" w:color="auto" w:fill="FFFFFF"/>
        </w:rPr>
        <w:t xml:space="preserve"> there are primarily communal baths, and </w:t>
      </w:r>
      <w:r w:rsidR="02112809" w:rsidRPr="0AE00208">
        <w:rPr>
          <w:rFonts w:ascii="Calibri" w:eastAsia="Calibri" w:hAnsi="Calibri" w:cs="Calibri"/>
          <w:color w:val="212121"/>
        </w:rPr>
        <w:t xml:space="preserve">the facility has </w:t>
      </w:r>
      <w:r w:rsidR="00AB4AA7" w:rsidRPr="00AB4AA7">
        <w:rPr>
          <w:rFonts w:ascii="Calibri" w:eastAsia="Calibri" w:hAnsi="Calibri" w:cs="Calibri"/>
          <w:color w:val="212121"/>
          <w:shd w:val="clear" w:color="auto" w:fill="FFFFFF"/>
        </w:rPr>
        <w:t xml:space="preserve">multi-bedded rooms </w:t>
      </w:r>
      <w:r w:rsidR="00D16517">
        <w:rPr>
          <w:rFonts w:ascii="Calibri" w:eastAsia="Calibri" w:hAnsi="Calibri" w:cs="Calibri"/>
          <w:color w:val="212121"/>
          <w:shd w:val="clear" w:color="auto" w:fill="FFFFFF"/>
        </w:rPr>
        <w:t xml:space="preserve">(3 and 4 beds) </w:t>
      </w:r>
      <w:r w:rsidR="00AB4AA7" w:rsidRPr="00AB4AA7">
        <w:rPr>
          <w:rFonts w:ascii="Calibri" w:eastAsia="Calibri" w:hAnsi="Calibri" w:cs="Calibri"/>
          <w:color w:val="212121"/>
          <w:shd w:val="clear" w:color="auto" w:fill="FFFFFF"/>
        </w:rPr>
        <w:t>that do not meet current clinical practice standards</w:t>
      </w:r>
      <w:r w:rsidR="00234BF3">
        <w:rPr>
          <w:rFonts w:ascii="Calibri" w:eastAsia="Calibri" w:hAnsi="Calibri" w:cs="Calibri"/>
          <w:color w:val="212121"/>
          <w:shd w:val="clear" w:color="auto" w:fill="FFFFFF"/>
        </w:rPr>
        <w:t xml:space="preserve"> and </w:t>
      </w:r>
      <w:r w:rsidR="00D16517">
        <w:rPr>
          <w:rFonts w:ascii="Calibri" w:eastAsia="Calibri" w:hAnsi="Calibri" w:cs="Calibri"/>
          <w:color w:val="212121"/>
          <w:shd w:val="clear" w:color="auto" w:fill="FFFFFF"/>
        </w:rPr>
        <w:t>therefor</w:t>
      </w:r>
      <w:r w:rsidR="62131044" w:rsidRPr="0AE00208">
        <w:rPr>
          <w:rFonts w:ascii="Calibri" w:eastAsia="Calibri" w:hAnsi="Calibri" w:cs="Calibri"/>
          <w:color w:val="212121"/>
        </w:rPr>
        <w:t>e</w:t>
      </w:r>
      <w:r w:rsidR="00D16517">
        <w:rPr>
          <w:rFonts w:ascii="Calibri" w:eastAsia="Calibri" w:hAnsi="Calibri" w:cs="Calibri"/>
          <w:color w:val="212121"/>
          <w:shd w:val="clear" w:color="auto" w:fill="FFFFFF"/>
        </w:rPr>
        <w:t xml:space="preserve"> </w:t>
      </w:r>
      <w:r w:rsidR="61B5735E" w:rsidRPr="0AE00208">
        <w:rPr>
          <w:rFonts w:ascii="Calibri" w:eastAsia="Calibri" w:hAnsi="Calibri" w:cs="Calibri"/>
          <w:color w:val="212121"/>
        </w:rPr>
        <w:t>the facility</w:t>
      </w:r>
      <w:r w:rsidR="00D16517" w:rsidRPr="0AE00208">
        <w:rPr>
          <w:rFonts w:ascii="Calibri" w:eastAsia="Calibri" w:hAnsi="Calibri" w:cs="Calibri"/>
          <w:color w:val="212121"/>
        </w:rPr>
        <w:t xml:space="preserve"> </w:t>
      </w:r>
      <w:r w:rsidR="00D16517">
        <w:rPr>
          <w:rFonts w:ascii="Calibri" w:eastAsia="Calibri" w:hAnsi="Calibri" w:cs="Calibri"/>
          <w:color w:val="212121"/>
          <w:shd w:val="clear" w:color="auto" w:fill="FFFFFF"/>
        </w:rPr>
        <w:t xml:space="preserve">cannot operate all </w:t>
      </w:r>
      <w:r w:rsidR="00234BF3">
        <w:rPr>
          <w:rFonts w:ascii="Calibri" w:eastAsia="Calibri" w:hAnsi="Calibri" w:cs="Calibri"/>
          <w:color w:val="212121"/>
          <w:shd w:val="clear" w:color="auto" w:fill="FFFFFF"/>
        </w:rPr>
        <w:t xml:space="preserve">of its licensed </w:t>
      </w:r>
      <w:r w:rsidR="00234BF3">
        <w:rPr>
          <w:rFonts w:ascii="Calibri" w:eastAsia="Calibri" w:hAnsi="Calibri" w:cs="Calibri"/>
          <w:color w:val="212121"/>
          <w:shd w:val="clear" w:color="auto" w:fill="FFFFFF"/>
        </w:rPr>
        <w:lastRenderedPageBreak/>
        <w:t>beds</w:t>
      </w:r>
      <w:r w:rsidR="00AB4AA7" w:rsidRPr="00AB4AA7">
        <w:rPr>
          <w:rFonts w:ascii="Calibri" w:eastAsia="Calibri" w:hAnsi="Calibri" w:cs="Calibri"/>
          <w:color w:val="212121"/>
          <w:shd w:val="clear" w:color="auto" w:fill="FFFFFF"/>
        </w:rPr>
        <w:t>.</w:t>
      </w:r>
      <w:r w:rsidR="00CA7685">
        <w:rPr>
          <w:rStyle w:val="FootnoteReference"/>
          <w:rFonts w:ascii="Calibri" w:eastAsia="Calibri" w:hAnsi="Calibri" w:cs="Calibri"/>
          <w:color w:val="212121"/>
          <w:shd w:val="clear" w:color="auto" w:fill="FFFFFF"/>
        </w:rPr>
        <w:footnoteReference w:id="19"/>
      </w:r>
      <w:r w:rsidR="00D16517">
        <w:rPr>
          <w:rFonts w:ascii="Calibri" w:eastAsia="Calibri" w:hAnsi="Calibri" w:cs="Calibri"/>
          <w:color w:val="212121"/>
          <w:shd w:val="clear" w:color="auto" w:fill="FFFFFF"/>
        </w:rPr>
        <w:t xml:space="preserve"> </w:t>
      </w:r>
      <w:r w:rsidR="00234BF3">
        <w:rPr>
          <w:rFonts w:ascii="Calibri" w:eastAsia="Calibri" w:hAnsi="Calibri" w:cs="Calibri"/>
          <w:color w:val="212121"/>
          <w:shd w:val="clear" w:color="auto" w:fill="FFFFFF"/>
        </w:rPr>
        <w:t>C</w:t>
      </w:r>
      <w:r w:rsidR="00234BF3" w:rsidRPr="00234BF3">
        <w:rPr>
          <w:rFonts w:ascii="Calibri" w:eastAsia="Calibri" w:hAnsi="Calibri" w:cs="Calibri"/>
          <w:color w:val="212121"/>
          <w:shd w:val="clear" w:color="auto" w:fill="FFFFFF"/>
        </w:rPr>
        <w:t>urrently, approximately 48 medical rehabilitative beds, and approximately 32 mental health beds are operating out of 80 and 32 respectively. (See Table 1).</w:t>
      </w:r>
    </w:p>
    <w:p w14:paraId="1D30C1C3" w14:textId="027AB2FD" w:rsidR="00AB4AA7" w:rsidRDefault="00CA7685" w:rsidP="00E347B4">
      <w:pPr>
        <w:rPr>
          <w:rFonts w:ascii="Calibri" w:eastAsia="Calibri" w:hAnsi="Calibri" w:cs="Calibri"/>
          <w:color w:val="212121"/>
          <w:shd w:val="clear" w:color="auto" w:fill="FFFFFF"/>
        </w:rPr>
      </w:pPr>
      <w:r>
        <w:rPr>
          <w:rFonts w:ascii="Calibri" w:eastAsia="Calibri" w:hAnsi="Calibri" w:cs="Calibri"/>
          <w:color w:val="212121"/>
          <w:shd w:val="clear" w:color="auto" w:fill="FFFFFF"/>
        </w:rPr>
        <w:t xml:space="preserve">The Applicant explains that these </w:t>
      </w:r>
      <w:r w:rsidR="00612DC8">
        <w:rPr>
          <w:rFonts w:ascii="Calibri" w:eastAsia="Calibri" w:hAnsi="Calibri" w:cs="Calibri"/>
          <w:color w:val="212121"/>
          <w:shd w:val="clear" w:color="auto" w:fill="FFFFFF"/>
        </w:rPr>
        <w:t xml:space="preserve">multi-bed rooms </w:t>
      </w:r>
      <w:r w:rsidR="00B73559">
        <w:rPr>
          <w:rFonts w:ascii="Calibri" w:eastAsia="Calibri" w:hAnsi="Calibri" w:cs="Calibri"/>
          <w:color w:val="212121"/>
          <w:shd w:val="clear" w:color="auto" w:fill="FFFFFF"/>
        </w:rPr>
        <w:t>limit the</w:t>
      </w:r>
      <w:r w:rsidR="00612DC8">
        <w:rPr>
          <w:rFonts w:ascii="Calibri" w:eastAsia="Calibri" w:hAnsi="Calibri" w:cs="Calibri"/>
          <w:color w:val="212121"/>
          <w:shd w:val="clear" w:color="auto" w:fill="FFFFFF"/>
        </w:rPr>
        <w:t xml:space="preserve"> placement of the </w:t>
      </w:r>
      <w:r w:rsidR="008B47A9">
        <w:rPr>
          <w:rFonts w:ascii="Calibri" w:eastAsia="Calibri" w:hAnsi="Calibri" w:cs="Calibri"/>
          <w:color w:val="212121"/>
          <w:shd w:val="clear" w:color="auto" w:fill="FFFFFF"/>
        </w:rPr>
        <w:t xml:space="preserve">large </w:t>
      </w:r>
      <w:r w:rsidR="00612DC8">
        <w:rPr>
          <w:rFonts w:ascii="Calibri" w:eastAsia="Calibri" w:hAnsi="Calibri" w:cs="Calibri"/>
          <w:color w:val="212121"/>
          <w:shd w:val="clear" w:color="auto" w:fill="FFFFFF"/>
        </w:rPr>
        <w:t xml:space="preserve">complex medical equipment required for the majority of their medically complex </w:t>
      </w:r>
      <w:r w:rsidR="001A718C">
        <w:rPr>
          <w:rFonts w:ascii="Calibri" w:eastAsia="Calibri" w:hAnsi="Calibri" w:cs="Calibri"/>
          <w:color w:val="212121"/>
          <w:shd w:val="clear" w:color="auto" w:fill="FFFFFF"/>
        </w:rPr>
        <w:t>children and</w:t>
      </w:r>
      <w:r w:rsidR="00612DC8">
        <w:rPr>
          <w:rFonts w:ascii="Calibri" w:eastAsia="Calibri" w:hAnsi="Calibri" w:cs="Calibri"/>
          <w:color w:val="212121"/>
          <w:shd w:val="clear" w:color="auto" w:fill="FFFFFF"/>
        </w:rPr>
        <w:t xml:space="preserve"> pose problems of matching </w:t>
      </w:r>
      <w:r w:rsidR="00AE5014">
        <w:rPr>
          <w:rFonts w:ascii="Calibri" w:eastAsia="Calibri" w:hAnsi="Calibri" w:cs="Calibri"/>
          <w:color w:val="212121"/>
          <w:shd w:val="clear" w:color="auto" w:fill="FFFFFF"/>
        </w:rPr>
        <w:t xml:space="preserve">children </w:t>
      </w:r>
      <w:r w:rsidR="00612DC8">
        <w:rPr>
          <w:rFonts w:ascii="Calibri" w:eastAsia="Calibri" w:hAnsi="Calibri" w:cs="Calibri"/>
          <w:color w:val="212121"/>
          <w:shd w:val="clear" w:color="auto" w:fill="FFFFFF"/>
        </w:rPr>
        <w:t>with compatible patients.</w:t>
      </w:r>
      <w:r w:rsidR="00AE5014">
        <w:rPr>
          <w:rFonts w:ascii="Calibri" w:eastAsia="Calibri" w:hAnsi="Calibri" w:cs="Calibri"/>
          <w:color w:val="212121"/>
          <w:shd w:val="clear" w:color="auto" w:fill="FFFFFF"/>
        </w:rPr>
        <w:t xml:space="preserve"> </w:t>
      </w:r>
      <w:r w:rsidR="00247AAB">
        <w:rPr>
          <w:rFonts w:ascii="Calibri" w:eastAsia="Calibri" w:hAnsi="Calibri" w:cs="Calibri"/>
          <w:color w:val="212121"/>
          <w:shd w:val="clear" w:color="auto" w:fill="FFFFFF"/>
        </w:rPr>
        <w:t>N</w:t>
      </w:r>
      <w:r w:rsidR="00AB4AA7" w:rsidRPr="00AB4AA7">
        <w:rPr>
          <w:rFonts w:ascii="Calibri" w:eastAsia="Calibri" w:hAnsi="Calibri" w:cs="Calibri"/>
          <w:color w:val="212121"/>
          <w:shd w:val="clear" w:color="auto" w:fill="FFFFFF"/>
        </w:rPr>
        <w:t>ew admi</w:t>
      </w:r>
      <w:r w:rsidR="00247AAB">
        <w:rPr>
          <w:rFonts w:ascii="Calibri" w:eastAsia="Calibri" w:hAnsi="Calibri" w:cs="Calibri"/>
          <w:color w:val="212121"/>
          <w:shd w:val="clear" w:color="auto" w:fill="FFFFFF"/>
        </w:rPr>
        <w:t xml:space="preserve">ssions </w:t>
      </w:r>
      <w:r w:rsidR="00AB4AA7" w:rsidRPr="00AB4AA7">
        <w:rPr>
          <w:rFonts w:ascii="Calibri" w:eastAsia="Calibri" w:hAnsi="Calibri" w:cs="Calibri"/>
          <w:color w:val="212121"/>
          <w:shd w:val="clear" w:color="auto" w:fill="FFFFFF"/>
        </w:rPr>
        <w:t xml:space="preserve">must be matched </w:t>
      </w:r>
      <w:r w:rsidR="00247AAB">
        <w:rPr>
          <w:rFonts w:ascii="Calibri" w:eastAsia="Calibri" w:hAnsi="Calibri" w:cs="Calibri"/>
          <w:color w:val="212121"/>
          <w:shd w:val="clear" w:color="auto" w:fill="FFFFFF"/>
        </w:rPr>
        <w:t xml:space="preserve">with current patients </w:t>
      </w:r>
      <w:r w:rsidR="00AB4AA7" w:rsidRPr="00AB4AA7">
        <w:rPr>
          <w:rFonts w:ascii="Calibri" w:eastAsia="Calibri" w:hAnsi="Calibri" w:cs="Calibri"/>
          <w:color w:val="212121"/>
          <w:shd w:val="clear" w:color="auto" w:fill="FFFFFF"/>
        </w:rPr>
        <w:t>based on</w:t>
      </w:r>
      <w:r w:rsidR="00247AAB">
        <w:rPr>
          <w:rFonts w:ascii="Calibri" w:eastAsia="Calibri" w:hAnsi="Calibri" w:cs="Calibri"/>
          <w:color w:val="212121"/>
          <w:shd w:val="clear" w:color="auto" w:fill="FFFFFF"/>
        </w:rPr>
        <w:t xml:space="preserve"> criteria such as</w:t>
      </w:r>
      <w:r w:rsidR="00AB4AA7" w:rsidRPr="00AB4AA7">
        <w:rPr>
          <w:rFonts w:ascii="Calibri" w:eastAsia="Calibri" w:hAnsi="Calibri" w:cs="Calibri"/>
          <w:color w:val="212121"/>
          <w:shd w:val="clear" w:color="auto" w:fill="FFFFFF"/>
        </w:rPr>
        <w:t xml:space="preserve"> age, gender, infection control and clinical presentation</w:t>
      </w:r>
      <w:r w:rsidR="00247AAB">
        <w:rPr>
          <w:rFonts w:ascii="Calibri" w:eastAsia="Calibri" w:hAnsi="Calibri" w:cs="Calibri"/>
          <w:color w:val="212121"/>
          <w:shd w:val="clear" w:color="auto" w:fill="FFFFFF"/>
        </w:rPr>
        <w:t xml:space="preserve">. </w:t>
      </w:r>
      <w:r w:rsidR="00612DC8">
        <w:rPr>
          <w:rFonts w:ascii="Calibri" w:eastAsia="Calibri" w:hAnsi="Calibri" w:cs="Calibri"/>
          <w:color w:val="212121"/>
          <w:shd w:val="clear" w:color="auto" w:fill="FFFFFF"/>
        </w:rPr>
        <w:t>For example, special infection control measures must be taken for children on ventilators,</w:t>
      </w:r>
      <w:r w:rsidR="00612DC8">
        <w:rPr>
          <w:rStyle w:val="FootnoteReference"/>
          <w:rFonts w:ascii="Calibri" w:eastAsia="Calibri" w:hAnsi="Calibri" w:cs="Calibri"/>
          <w:color w:val="212121"/>
          <w:shd w:val="clear" w:color="auto" w:fill="FFFFFF"/>
        </w:rPr>
        <w:footnoteReference w:id="20"/>
      </w:r>
      <w:r w:rsidR="00612DC8">
        <w:rPr>
          <w:rFonts w:ascii="Calibri" w:eastAsia="Calibri" w:hAnsi="Calibri" w:cs="Calibri"/>
          <w:color w:val="212121"/>
          <w:shd w:val="clear" w:color="auto" w:fill="FFFFFF"/>
        </w:rPr>
        <w:t xml:space="preserve"> and a 17-year-old cannot be placed with a 4-year-old.</w:t>
      </w:r>
      <w:r w:rsidR="008B47A9">
        <w:rPr>
          <w:rFonts w:ascii="Calibri" w:eastAsia="Calibri" w:hAnsi="Calibri" w:cs="Calibri"/>
          <w:color w:val="212121"/>
          <w:shd w:val="clear" w:color="auto" w:fill="FFFFFF"/>
        </w:rPr>
        <w:t xml:space="preserve"> Furthermore, the Applicant reports that on the mental health units the census </w:t>
      </w:r>
      <w:r w:rsidR="00A94F8C">
        <w:rPr>
          <w:rFonts w:ascii="Calibri" w:eastAsia="Calibri" w:hAnsi="Calibri" w:cs="Calibri"/>
          <w:color w:val="212121"/>
          <w:shd w:val="clear" w:color="auto" w:fill="FFFFFF"/>
        </w:rPr>
        <w:t xml:space="preserve">can be </w:t>
      </w:r>
      <w:r w:rsidR="008B47A9">
        <w:rPr>
          <w:rFonts w:ascii="Calibri" w:eastAsia="Calibri" w:hAnsi="Calibri" w:cs="Calibri"/>
          <w:color w:val="212121"/>
          <w:shd w:val="clear" w:color="auto" w:fill="FFFFFF"/>
        </w:rPr>
        <w:t xml:space="preserve">reduced to account for increased acuity and the challenge of managing patients with aggressive tendencies. </w:t>
      </w:r>
      <w:r w:rsidR="00FD0249">
        <w:rPr>
          <w:rFonts w:ascii="Calibri" w:eastAsia="Calibri" w:hAnsi="Calibri" w:cs="Calibri"/>
          <w:color w:val="212121"/>
          <w:shd w:val="clear" w:color="auto" w:fill="FFFFFF"/>
        </w:rPr>
        <w:t xml:space="preserve">Table 6 shows that in 2022 the average daily census was 18.9 despite having the full 32 licensed capacity operational.  </w:t>
      </w:r>
      <w:r w:rsidR="00612DC8">
        <w:rPr>
          <w:rFonts w:ascii="Calibri" w:eastAsia="Calibri" w:hAnsi="Calibri" w:cs="Calibri"/>
          <w:color w:val="212121"/>
          <w:shd w:val="clear" w:color="auto" w:fill="FFFFFF"/>
        </w:rPr>
        <w:t>Therefore, a</w:t>
      </w:r>
      <w:r w:rsidR="00AB4AA7" w:rsidRPr="00AB4AA7">
        <w:rPr>
          <w:rFonts w:ascii="Calibri" w:eastAsia="Calibri" w:hAnsi="Calibri" w:cs="Calibri"/>
          <w:color w:val="212121"/>
          <w:shd w:val="clear" w:color="auto" w:fill="FFFFFF"/>
        </w:rPr>
        <w:t xml:space="preserve">dmissions to multi-bed rooms are frequently blocked </w:t>
      </w:r>
      <w:r w:rsidR="00247AAB">
        <w:rPr>
          <w:rFonts w:ascii="Calibri" w:eastAsia="Calibri" w:hAnsi="Calibri" w:cs="Calibri"/>
          <w:color w:val="212121"/>
          <w:shd w:val="clear" w:color="auto" w:fill="FFFFFF"/>
        </w:rPr>
        <w:t xml:space="preserve">due to one of the above criteria, </w:t>
      </w:r>
      <w:r w:rsidR="00AB4AA7" w:rsidRPr="00AB4AA7">
        <w:rPr>
          <w:rFonts w:ascii="Calibri" w:eastAsia="Calibri" w:hAnsi="Calibri" w:cs="Calibri"/>
          <w:color w:val="212121"/>
          <w:shd w:val="clear" w:color="auto" w:fill="FFFFFF"/>
        </w:rPr>
        <w:t xml:space="preserve">thereby preventing additional </w:t>
      </w:r>
      <w:r w:rsidR="00247AAB">
        <w:rPr>
          <w:rFonts w:ascii="Calibri" w:eastAsia="Calibri" w:hAnsi="Calibri" w:cs="Calibri"/>
          <w:color w:val="212121"/>
          <w:shd w:val="clear" w:color="auto" w:fill="FFFFFF"/>
        </w:rPr>
        <w:t>admissions to children</w:t>
      </w:r>
      <w:r w:rsidR="00AB4AA7" w:rsidRPr="00AB4AA7">
        <w:rPr>
          <w:rFonts w:ascii="Calibri" w:eastAsia="Calibri" w:hAnsi="Calibri" w:cs="Calibri"/>
          <w:color w:val="212121"/>
          <w:shd w:val="clear" w:color="auto" w:fill="FFFFFF"/>
        </w:rPr>
        <w:t>. On a daily basis, the Applicant reports the challenge to</w:t>
      </w:r>
      <w:r w:rsidR="00D53A96">
        <w:rPr>
          <w:rFonts w:ascii="Calibri" w:eastAsia="Calibri" w:hAnsi="Calibri" w:cs="Calibri"/>
          <w:color w:val="212121"/>
          <w:shd w:val="clear" w:color="auto" w:fill="FFFFFF"/>
        </w:rPr>
        <w:t xml:space="preserve"> </w:t>
      </w:r>
      <w:r w:rsidR="54E8D84A" w:rsidRPr="00AB4AA7">
        <w:rPr>
          <w:rFonts w:ascii="Calibri" w:eastAsia="Calibri" w:hAnsi="Calibri" w:cs="Calibri"/>
          <w:color w:val="212121"/>
          <w:shd w:val="clear" w:color="auto" w:fill="FFFFFF"/>
        </w:rPr>
        <w:t>serve a greater number of children</w:t>
      </w:r>
      <w:r w:rsidR="00AB4AA7" w:rsidRPr="00AB4AA7">
        <w:rPr>
          <w:rFonts w:ascii="Calibri" w:eastAsia="Calibri" w:hAnsi="Calibri" w:cs="Calibri"/>
          <w:color w:val="212121"/>
          <w:shd w:val="clear" w:color="auto" w:fill="FFFFFF"/>
        </w:rPr>
        <w:t xml:space="preserve">, whereby patients are moved from one room to another in an effort to serve </w:t>
      </w:r>
      <w:r w:rsidR="00972231">
        <w:rPr>
          <w:rFonts w:ascii="Calibri" w:eastAsia="Calibri" w:hAnsi="Calibri" w:cs="Calibri"/>
          <w:color w:val="212121"/>
          <w:shd w:val="clear" w:color="auto" w:fill="FFFFFF"/>
        </w:rPr>
        <w:t xml:space="preserve">a </w:t>
      </w:r>
      <w:r w:rsidR="00612DC8" w:rsidRPr="00AB4AA7">
        <w:rPr>
          <w:rFonts w:ascii="Calibri" w:eastAsia="Calibri" w:hAnsi="Calibri" w:cs="Calibri"/>
          <w:color w:val="212121"/>
          <w:shd w:val="clear" w:color="auto" w:fill="FFFFFF"/>
        </w:rPr>
        <w:t>greater number of children</w:t>
      </w:r>
      <w:r w:rsidR="00AB4AA7" w:rsidRPr="00AB4AA7">
        <w:rPr>
          <w:rFonts w:ascii="Calibri" w:eastAsia="Calibri" w:hAnsi="Calibri" w:cs="Calibri"/>
          <w:color w:val="212121"/>
          <w:shd w:val="clear" w:color="auto" w:fill="FFFFFF"/>
        </w:rPr>
        <w:t xml:space="preserve">; this diverts </w:t>
      </w:r>
      <w:r w:rsidR="00972231">
        <w:rPr>
          <w:rFonts w:ascii="Calibri" w:eastAsia="Calibri" w:hAnsi="Calibri" w:cs="Calibri"/>
          <w:color w:val="212121"/>
          <w:shd w:val="clear" w:color="auto" w:fill="FFFFFF"/>
        </w:rPr>
        <w:t xml:space="preserve">staff </w:t>
      </w:r>
      <w:r w:rsidR="00612DC8">
        <w:rPr>
          <w:rFonts w:ascii="Calibri" w:eastAsia="Calibri" w:hAnsi="Calibri" w:cs="Calibri"/>
          <w:color w:val="212121"/>
          <w:shd w:val="clear" w:color="auto" w:fill="FFFFFF"/>
        </w:rPr>
        <w:t xml:space="preserve">and other </w:t>
      </w:r>
      <w:r w:rsidR="00AB4AA7" w:rsidRPr="00AB4AA7">
        <w:rPr>
          <w:rFonts w:ascii="Calibri" w:eastAsia="Calibri" w:hAnsi="Calibri" w:cs="Calibri"/>
          <w:color w:val="212121"/>
          <w:shd w:val="clear" w:color="auto" w:fill="FFFFFF"/>
        </w:rPr>
        <w:t>resources from care delivery and negatively impacts patients and families.</w:t>
      </w:r>
      <w:r w:rsidR="00AB4AA7" w:rsidRPr="00AB4AA7">
        <w:rPr>
          <w:rFonts w:ascii="Calibri" w:eastAsia="Calibri" w:hAnsi="Calibri" w:cs="Calibri"/>
          <w:color w:val="212121"/>
          <w:shd w:val="clear" w:color="auto" w:fill="FFFFFF"/>
          <w:vertAlign w:val="superscript"/>
        </w:rPr>
        <w:footnoteReference w:id="21"/>
      </w:r>
      <w:r w:rsidR="00247AAB">
        <w:rPr>
          <w:rFonts w:ascii="Calibri" w:eastAsia="Calibri" w:hAnsi="Calibri" w:cs="Calibri"/>
          <w:color w:val="212121"/>
          <w:shd w:val="clear" w:color="auto" w:fill="FFFFFF"/>
        </w:rPr>
        <w:t xml:space="preserve"> </w:t>
      </w:r>
      <w:r w:rsidR="00612DC8">
        <w:rPr>
          <w:rFonts w:ascii="Calibri" w:eastAsia="Calibri" w:hAnsi="Calibri" w:cs="Calibri"/>
          <w:color w:val="212121"/>
          <w:shd w:val="clear" w:color="auto" w:fill="FFFFFF"/>
        </w:rPr>
        <w:t>R</w:t>
      </w:r>
      <w:r w:rsidR="00234BF3">
        <w:rPr>
          <w:rFonts w:ascii="Calibri" w:eastAsia="Calibri" w:hAnsi="Calibri" w:cs="Calibri"/>
          <w:color w:val="212121"/>
          <w:shd w:val="clear" w:color="auto" w:fill="FFFFFF"/>
        </w:rPr>
        <w:t xml:space="preserve">oom matching and blocking also </w:t>
      </w:r>
      <w:r w:rsidR="00247AAB">
        <w:rPr>
          <w:rFonts w:ascii="Calibri" w:eastAsia="Calibri" w:hAnsi="Calibri" w:cs="Calibri"/>
          <w:color w:val="212121"/>
          <w:shd w:val="clear" w:color="auto" w:fill="FFFFFF"/>
        </w:rPr>
        <w:t xml:space="preserve">contributes to Franciscan not being able to </w:t>
      </w:r>
      <w:r w:rsidR="00FD0249">
        <w:rPr>
          <w:rFonts w:ascii="Calibri" w:eastAsia="Calibri" w:hAnsi="Calibri" w:cs="Calibri"/>
          <w:color w:val="212121"/>
          <w:shd w:val="clear" w:color="auto" w:fill="FFFFFF"/>
        </w:rPr>
        <w:t>fill</w:t>
      </w:r>
      <w:r w:rsidR="00247AAB">
        <w:rPr>
          <w:rFonts w:ascii="Calibri" w:eastAsia="Calibri" w:hAnsi="Calibri" w:cs="Calibri"/>
          <w:color w:val="212121"/>
          <w:shd w:val="clear" w:color="auto" w:fill="FFFFFF"/>
        </w:rPr>
        <w:t xml:space="preserve"> </w:t>
      </w:r>
      <w:r w:rsidR="00FD0249">
        <w:rPr>
          <w:rFonts w:ascii="Calibri" w:eastAsia="Calibri" w:hAnsi="Calibri" w:cs="Calibri"/>
          <w:color w:val="212121"/>
          <w:shd w:val="clear" w:color="auto" w:fill="FFFFFF"/>
        </w:rPr>
        <w:t>the full complement</w:t>
      </w:r>
      <w:r w:rsidR="00247AAB">
        <w:rPr>
          <w:rFonts w:ascii="Calibri" w:eastAsia="Calibri" w:hAnsi="Calibri" w:cs="Calibri"/>
          <w:color w:val="212121"/>
          <w:shd w:val="clear" w:color="auto" w:fill="FFFFFF"/>
        </w:rPr>
        <w:t xml:space="preserve"> of its licensed beds</w:t>
      </w:r>
      <w:r w:rsidR="00234BF3">
        <w:rPr>
          <w:rFonts w:ascii="Calibri" w:eastAsia="Calibri" w:hAnsi="Calibri" w:cs="Calibri"/>
          <w:color w:val="212121"/>
          <w:shd w:val="clear" w:color="auto" w:fill="FFFFFF"/>
        </w:rPr>
        <w:t>.</w:t>
      </w:r>
      <w:r w:rsidR="00972231">
        <w:rPr>
          <w:rFonts w:ascii="Calibri" w:eastAsia="Calibri" w:hAnsi="Calibri" w:cs="Calibri"/>
          <w:color w:val="212121"/>
          <w:shd w:val="clear" w:color="auto" w:fill="FFFFFF"/>
        </w:rPr>
        <w:t xml:space="preserve"> </w:t>
      </w:r>
    </w:p>
    <w:p w14:paraId="0DB1BE12" w14:textId="77777777" w:rsidR="006B6B12" w:rsidRDefault="006B6B12" w:rsidP="00E347B4">
      <w:pPr>
        <w:rPr>
          <w:rFonts w:ascii="Calibri" w:eastAsia="Calibri" w:hAnsi="Calibri" w:cs="Calibri"/>
          <w:color w:val="212121"/>
          <w:shd w:val="clear" w:color="auto" w:fill="FFFFFF"/>
        </w:rPr>
      </w:pPr>
    </w:p>
    <w:p w14:paraId="3AEB4528" w14:textId="28B39632" w:rsidR="004B3679" w:rsidRDefault="001032D6" w:rsidP="0057360E">
      <w:pPr>
        <w:rPr>
          <w:rFonts w:ascii="Calibri" w:eastAsia="Calibri" w:hAnsi="Calibri" w:cs="Calibri"/>
          <w:color w:val="212121"/>
          <w:shd w:val="clear" w:color="auto" w:fill="FFFFFF"/>
        </w:rPr>
      </w:pPr>
      <w:r>
        <w:rPr>
          <w:rFonts w:ascii="Calibri" w:eastAsia="Calibri" w:hAnsi="Calibri" w:cs="Calibri"/>
          <w:b/>
          <w:bCs/>
          <w:color w:val="212121"/>
          <w:shd w:val="clear" w:color="auto" w:fill="FFFFFF"/>
        </w:rPr>
        <w:t xml:space="preserve">C. </w:t>
      </w:r>
      <w:r w:rsidR="006B6B12" w:rsidRPr="006B6B12">
        <w:rPr>
          <w:rFonts w:ascii="Calibri" w:eastAsia="Calibri" w:hAnsi="Calibri" w:cs="Calibri"/>
          <w:b/>
          <w:bCs/>
          <w:color w:val="212121"/>
          <w:shd w:val="clear" w:color="auto" w:fill="FFFFFF"/>
        </w:rPr>
        <w:t>Not Purpose-Built</w:t>
      </w:r>
      <w:r w:rsidR="006B6B12">
        <w:rPr>
          <w:rFonts w:ascii="Calibri" w:eastAsia="Calibri" w:hAnsi="Calibri" w:cs="Calibri"/>
          <w:b/>
          <w:bCs/>
          <w:color w:val="212121"/>
          <w:shd w:val="clear" w:color="auto" w:fill="FFFFFF"/>
        </w:rPr>
        <w:t>-</w:t>
      </w:r>
      <w:r w:rsidR="006B6B12" w:rsidRPr="006B6B12">
        <w:rPr>
          <w:rFonts w:ascii="Calibri" w:eastAsia="Calibri" w:hAnsi="Calibri" w:cs="Calibri"/>
          <w:color w:val="212121"/>
          <w:shd w:val="clear" w:color="auto" w:fill="FFFFFF"/>
        </w:rPr>
        <w:t xml:space="preserve"> The Applicant stresses the physical environment leads to challenges in care delivery. </w:t>
      </w:r>
      <w:r w:rsidR="00DC2B5B">
        <w:rPr>
          <w:rFonts w:ascii="Calibri" w:eastAsia="Calibri" w:hAnsi="Calibri" w:cs="Calibri"/>
          <w:color w:val="212121"/>
          <w:shd w:val="clear" w:color="auto" w:fill="FFFFFF"/>
        </w:rPr>
        <w:t>Areas of t</w:t>
      </w:r>
      <w:r w:rsidR="006B6B12" w:rsidRPr="006B6B12">
        <w:rPr>
          <w:rFonts w:ascii="Calibri" w:eastAsia="Calibri" w:hAnsi="Calibri" w:cs="Calibri"/>
          <w:color w:val="212121"/>
          <w:shd w:val="clear" w:color="auto" w:fill="FFFFFF"/>
        </w:rPr>
        <w:t>he existing facilities were not built for their current use</w:t>
      </w:r>
      <w:r w:rsidR="00DC2B5B">
        <w:rPr>
          <w:rFonts w:ascii="Calibri" w:eastAsia="Calibri" w:hAnsi="Calibri" w:cs="Calibri"/>
          <w:color w:val="212121"/>
          <w:shd w:val="clear" w:color="auto" w:fill="FFFFFF"/>
        </w:rPr>
        <w:t xml:space="preserve"> and</w:t>
      </w:r>
      <w:r w:rsidR="006B6B12" w:rsidRPr="006B6B12">
        <w:rPr>
          <w:rFonts w:ascii="Calibri" w:eastAsia="Calibri" w:hAnsi="Calibri" w:cs="Calibri"/>
          <w:color w:val="212121"/>
          <w:shd w:val="clear" w:color="auto" w:fill="FFFFFF"/>
        </w:rPr>
        <w:t xml:space="preserve"> have been modified from existing spaces</w:t>
      </w:r>
      <w:r w:rsidR="0006737F">
        <w:rPr>
          <w:rFonts w:ascii="Calibri" w:eastAsia="Calibri" w:hAnsi="Calibri" w:cs="Calibri"/>
          <w:color w:val="212121"/>
          <w:shd w:val="clear" w:color="auto" w:fill="FFFFFF"/>
        </w:rPr>
        <w:t>.</w:t>
      </w:r>
      <w:r w:rsidR="006B6B12" w:rsidRPr="006B6B12">
        <w:rPr>
          <w:rFonts w:ascii="Calibri" w:eastAsia="Calibri" w:hAnsi="Calibri" w:cs="Calibri"/>
          <w:color w:val="212121"/>
          <w:shd w:val="clear" w:color="auto" w:fill="FFFFFF"/>
        </w:rPr>
        <w:t xml:space="preserve"> </w:t>
      </w:r>
      <w:r w:rsidR="0006737F">
        <w:rPr>
          <w:rFonts w:ascii="Calibri" w:eastAsia="Calibri" w:hAnsi="Calibri" w:cs="Calibri"/>
          <w:color w:val="212121"/>
          <w:shd w:val="clear" w:color="auto" w:fill="FFFFFF"/>
        </w:rPr>
        <w:t>A</w:t>
      </w:r>
      <w:r w:rsidR="006B6B12" w:rsidRPr="006B6B12">
        <w:rPr>
          <w:rFonts w:ascii="Calibri" w:eastAsia="Calibri" w:hAnsi="Calibri" w:cs="Calibri"/>
          <w:color w:val="212121"/>
          <w:shd w:val="clear" w:color="auto" w:fill="FFFFFF"/>
        </w:rPr>
        <w:t xml:space="preserve">s such, </w:t>
      </w:r>
      <w:r w:rsidR="0006737F" w:rsidRPr="244EF1A5">
        <w:rPr>
          <w:rFonts w:ascii="Calibri" w:eastAsia="Calibri" w:hAnsi="Calibri" w:cs="Calibri"/>
          <w:color w:val="212121"/>
        </w:rPr>
        <w:t>issues relating to</w:t>
      </w:r>
      <w:r w:rsidR="006B6B12" w:rsidRPr="244EF1A5">
        <w:rPr>
          <w:rFonts w:ascii="Calibri" w:eastAsia="Calibri" w:hAnsi="Calibri" w:cs="Calibri"/>
          <w:color w:val="212121"/>
        </w:rPr>
        <w:t xml:space="preserve"> </w:t>
      </w:r>
      <w:r w:rsidR="006B6B12" w:rsidRPr="006B6B12">
        <w:rPr>
          <w:rFonts w:ascii="Calibri" w:eastAsia="Calibri" w:hAnsi="Calibri" w:cs="Calibri"/>
          <w:color w:val="212121"/>
          <w:shd w:val="clear" w:color="auto" w:fill="FFFFFF"/>
        </w:rPr>
        <w:t>light, physical distance, unique spaces for de-escalation and calming modalities</w:t>
      </w:r>
      <w:r w:rsidR="0057360E">
        <w:rPr>
          <w:rFonts w:ascii="Calibri" w:eastAsia="Calibri" w:hAnsi="Calibri" w:cs="Calibri"/>
          <w:color w:val="212121"/>
          <w:shd w:val="clear" w:color="auto" w:fill="FFFFFF"/>
        </w:rPr>
        <w:t xml:space="preserve">, and </w:t>
      </w:r>
      <w:r w:rsidR="0057360E" w:rsidRPr="0057360E">
        <w:rPr>
          <w:rFonts w:ascii="Calibri" w:eastAsia="Calibri" w:hAnsi="Calibri" w:cs="Calibri"/>
          <w:color w:val="212121"/>
          <w:shd w:val="clear" w:color="auto" w:fill="FFFFFF"/>
        </w:rPr>
        <w:t>physical environment</w:t>
      </w:r>
      <w:r w:rsidR="0057360E">
        <w:rPr>
          <w:rFonts w:ascii="Calibri" w:eastAsia="Calibri" w:hAnsi="Calibri" w:cs="Calibri"/>
          <w:color w:val="212121"/>
          <w:shd w:val="clear" w:color="auto" w:fill="FFFFFF"/>
        </w:rPr>
        <w:t xml:space="preserve"> </w:t>
      </w:r>
      <w:r w:rsidR="0057360E" w:rsidRPr="0057360E">
        <w:rPr>
          <w:rFonts w:ascii="Calibri" w:eastAsia="Calibri" w:hAnsi="Calibri" w:cs="Calibri"/>
          <w:color w:val="212121"/>
          <w:shd w:val="clear" w:color="auto" w:fill="FFFFFF"/>
        </w:rPr>
        <w:t xml:space="preserve">adjustments </w:t>
      </w:r>
      <w:r w:rsidR="0057360E" w:rsidRPr="244EF1A5">
        <w:rPr>
          <w:rFonts w:ascii="Calibri" w:eastAsia="Calibri" w:hAnsi="Calibri" w:cs="Calibri"/>
          <w:color w:val="212121"/>
        </w:rPr>
        <w:t xml:space="preserve">(all of which are of particular import for </w:t>
      </w:r>
      <w:r w:rsidR="00DC2B5B" w:rsidRPr="244EF1A5">
        <w:rPr>
          <w:rFonts w:ascii="Calibri" w:eastAsia="Calibri" w:hAnsi="Calibri" w:cs="Calibri"/>
          <w:color w:val="212121"/>
        </w:rPr>
        <w:t>children with mental health diagnoses</w:t>
      </w:r>
      <w:r w:rsidR="0057360E" w:rsidRPr="244EF1A5">
        <w:rPr>
          <w:rFonts w:ascii="Calibri" w:eastAsia="Calibri" w:hAnsi="Calibri" w:cs="Calibri"/>
          <w:color w:val="212121"/>
        </w:rPr>
        <w:t xml:space="preserve">) </w:t>
      </w:r>
      <w:r w:rsidR="006B6B12" w:rsidRPr="006B6B12">
        <w:rPr>
          <w:rFonts w:ascii="Calibri" w:eastAsia="Calibri" w:hAnsi="Calibri" w:cs="Calibri"/>
          <w:color w:val="212121"/>
          <w:shd w:val="clear" w:color="auto" w:fill="FFFFFF"/>
        </w:rPr>
        <w:t>are inadequate to provide the best level of care for the current high acuity of patients requiring in</w:t>
      </w:r>
      <w:r w:rsidR="0006737F">
        <w:rPr>
          <w:rFonts w:ascii="Calibri" w:eastAsia="Calibri" w:hAnsi="Calibri" w:cs="Calibri"/>
          <w:color w:val="212121"/>
          <w:shd w:val="clear" w:color="auto" w:fill="FFFFFF"/>
        </w:rPr>
        <w:t>-</w:t>
      </w:r>
      <w:r w:rsidR="006B6B12" w:rsidRPr="006B6B12">
        <w:rPr>
          <w:rFonts w:ascii="Calibri" w:eastAsia="Calibri" w:hAnsi="Calibri" w:cs="Calibri"/>
          <w:color w:val="212121"/>
          <w:shd w:val="clear" w:color="auto" w:fill="FFFFFF"/>
        </w:rPr>
        <w:t xml:space="preserve">patient care. </w:t>
      </w:r>
      <w:r w:rsidR="00B966F5" w:rsidRPr="244EF1A5">
        <w:rPr>
          <w:rFonts w:ascii="Calibri" w:eastAsia="Calibri" w:hAnsi="Calibri" w:cs="Calibri"/>
          <w:color w:val="212121"/>
        </w:rPr>
        <w:t>As an</w:t>
      </w:r>
      <w:r w:rsidR="00DC2B5B">
        <w:rPr>
          <w:rFonts w:ascii="Calibri" w:eastAsia="Calibri" w:hAnsi="Calibri" w:cs="Calibri"/>
          <w:color w:val="212121"/>
          <w:shd w:val="clear" w:color="auto" w:fill="FFFFFF"/>
        </w:rPr>
        <w:t xml:space="preserve"> example, t</w:t>
      </w:r>
      <w:r w:rsidR="006B6B12" w:rsidRPr="006B6B12">
        <w:rPr>
          <w:rFonts w:ascii="Calibri" w:eastAsia="Calibri" w:hAnsi="Calibri" w:cs="Calibri"/>
          <w:color w:val="212121"/>
          <w:shd w:val="clear" w:color="auto" w:fill="FFFFFF"/>
        </w:rPr>
        <w:t xml:space="preserve">he </w:t>
      </w:r>
      <w:r w:rsidR="00AE5014" w:rsidRPr="00AE5014">
        <w:rPr>
          <w:rFonts w:ascii="Calibri" w:eastAsia="Calibri" w:hAnsi="Calibri" w:cs="Calibri"/>
          <w:color w:val="212121"/>
          <w:shd w:val="clear" w:color="auto" w:fill="FFFFFF"/>
        </w:rPr>
        <w:t xml:space="preserve">Community Based Acute Treatment </w:t>
      </w:r>
      <w:r w:rsidR="00AE5014">
        <w:rPr>
          <w:rFonts w:ascii="Calibri" w:eastAsia="Calibri" w:hAnsi="Calibri" w:cs="Calibri"/>
          <w:color w:val="212121"/>
          <w:shd w:val="clear" w:color="auto" w:fill="FFFFFF"/>
        </w:rPr>
        <w:t>(“</w:t>
      </w:r>
      <w:r w:rsidR="006B6B12" w:rsidRPr="006B6B12">
        <w:rPr>
          <w:rFonts w:ascii="Calibri" w:eastAsia="Calibri" w:hAnsi="Calibri" w:cs="Calibri"/>
          <w:color w:val="212121"/>
          <w:shd w:val="clear" w:color="auto" w:fill="FFFFFF"/>
        </w:rPr>
        <w:t>CBAT</w:t>
      </w:r>
      <w:r w:rsidR="00AE5014">
        <w:rPr>
          <w:rFonts w:ascii="Calibri" w:eastAsia="Calibri" w:hAnsi="Calibri" w:cs="Calibri"/>
          <w:color w:val="212121"/>
          <w:shd w:val="clear" w:color="auto" w:fill="FFFFFF"/>
        </w:rPr>
        <w:t>”)</w:t>
      </w:r>
      <w:r w:rsidR="006B6B12" w:rsidRPr="006B6B12">
        <w:rPr>
          <w:rFonts w:ascii="Calibri" w:eastAsia="Calibri" w:hAnsi="Calibri" w:cs="Calibri"/>
          <w:color w:val="212121"/>
          <w:shd w:val="clear" w:color="auto" w:fill="FFFFFF"/>
        </w:rPr>
        <w:t xml:space="preserve"> unit </w:t>
      </w:r>
      <w:r w:rsidR="0057360E">
        <w:rPr>
          <w:rFonts w:ascii="Calibri" w:eastAsia="Calibri" w:hAnsi="Calibri" w:cs="Calibri"/>
          <w:color w:val="212121"/>
          <w:shd w:val="clear" w:color="auto" w:fill="FFFFFF"/>
        </w:rPr>
        <w:t xml:space="preserve">is </w:t>
      </w:r>
      <w:r w:rsidR="006B6B12" w:rsidRPr="006B6B12">
        <w:rPr>
          <w:rFonts w:ascii="Calibri" w:eastAsia="Calibri" w:hAnsi="Calibri" w:cs="Calibri"/>
          <w:color w:val="212121"/>
          <w:shd w:val="clear" w:color="auto" w:fill="FFFFFF"/>
        </w:rPr>
        <w:t xml:space="preserve">on multiple floors </w:t>
      </w:r>
      <w:r w:rsidR="0057360E">
        <w:rPr>
          <w:rFonts w:ascii="Calibri" w:eastAsia="Calibri" w:hAnsi="Calibri" w:cs="Calibri"/>
          <w:color w:val="212121"/>
          <w:shd w:val="clear" w:color="auto" w:fill="FFFFFF"/>
        </w:rPr>
        <w:t>of</w:t>
      </w:r>
      <w:r w:rsidR="006B6B12" w:rsidRPr="006B6B12">
        <w:rPr>
          <w:rFonts w:ascii="Calibri" w:eastAsia="Calibri" w:hAnsi="Calibri" w:cs="Calibri"/>
          <w:color w:val="212121"/>
          <w:shd w:val="clear" w:color="auto" w:fill="FFFFFF"/>
        </w:rPr>
        <w:t xml:space="preserve"> </w:t>
      </w:r>
      <w:r w:rsidR="0057360E">
        <w:rPr>
          <w:rFonts w:ascii="Calibri" w:eastAsia="Calibri" w:hAnsi="Calibri" w:cs="Calibri"/>
          <w:color w:val="212121"/>
          <w:shd w:val="clear" w:color="auto" w:fill="FFFFFF"/>
        </w:rPr>
        <w:t xml:space="preserve">what was </w:t>
      </w:r>
      <w:r w:rsidR="00DC2B5B">
        <w:rPr>
          <w:rFonts w:ascii="Calibri" w:eastAsia="Calibri" w:hAnsi="Calibri" w:cs="Calibri"/>
          <w:color w:val="212121"/>
          <w:shd w:val="clear" w:color="auto" w:fill="FFFFFF"/>
        </w:rPr>
        <w:t xml:space="preserve">originally </w:t>
      </w:r>
      <w:r w:rsidR="0057360E">
        <w:rPr>
          <w:rFonts w:ascii="Calibri" w:eastAsia="Calibri" w:hAnsi="Calibri" w:cs="Calibri"/>
          <w:color w:val="212121"/>
          <w:shd w:val="clear" w:color="auto" w:fill="FFFFFF"/>
        </w:rPr>
        <w:t>constructed as housing for</w:t>
      </w:r>
      <w:r w:rsidR="006B6B12" w:rsidRPr="006B6B12">
        <w:rPr>
          <w:rFonts w:ascii="Calibri" w:eastAsia="Calibri" w:hAnsi="Calibri" w:cs="Calibri"/>
          <w:color w:val="212121"/>
          <w:shd w:val="clear" w:color="auto" w:fill="FFFFFF"/>
        </w:rPr>
        <w:t xml:space="preserve"> Franciscan’s nuns. Consequently, the </w:t>
      </w:r>
      <w:r w:rsidR="004B3679">
        <w:rPr>
          <w:rFonts w:ascii="Calibri" w:eastAsia="Calibri" w:hAnsi="Calibri" w:cs="Calibri"/>
          <w:color w:val="212121"/>
          <w:shd w:val="clear" w:color="auto" w:fill="FFFFFF"/>
        </w:rPr>
        <w:t xml:space="preserve">multi-level </w:t>
      </w:r>
      <w:r w:rsidR="006B6B12" w:rsidRPr="006B6B12">
        <w:rPr>
          <w:rFonts w:ascii="Calibri" w:eastAsia="Calibri" w:hAnsi="Calibri" w:cs="Calibri"/>
          <w:color w:val="212121"/>
          <w:shd w:val="clear" w:color="auto" w:fill="FFFFFF"/>
        </w:rPr>
        <w:t xml:space="preserve">space </w:t>
      </w:r>
      <w:r w:rsidR="00FD0249">
        <w:rPr>
          <w:rFonts w:ascii="Calibri" w:eastAsia="Calibri" w:hAnsi="Calibri" w:cs="Calibri"/>
          <w:color w:val="212121"/>
          <w:shd w:val="clear" w:color="auto" w:fill="FFFFFF"/>
        </w:rPr>
        <w:t xml:space="preserve">poses </w:t>
      </w:r>
      <w:r w:rsidR="006B6B12" w:rsidRPr="006B6B12">
        <w:rPr>
          <w:rFonts w:ascii="Calibri" w:eastAsia="Calibri" w:hAnsi="Calibri" w:cs="Calibri"/>
          <w:color w:val="212121"/>
          <w:shd w:val="clear" w:color="auto" w:fill="FFFFFF"/>
        </w:rPr>
        <w:t>elevated risk of injury by patients</w:t>
      </w:r>
      <w:r w:rsidR="0057360E">
        <w:rPr>
          <w:rFonts w:ascii="Calibri" w:eastAsia="Calibri" w:hAnsi="Calibri" w:cs="Calibri"/>
          <w:color w:val="212121"/>
          <w:shd w:val="clear" w:color="auto" w:fill="FFFFFF"/>
        </w:rPr>
        <w:t xml:space="preserve"> and</w:t>
      </w:r>
      <w:r w:rsidR="006B6B12" w:rsidRPr="006B6B12">
        <w:rPr>
          <w:rFonts w:ascii="Calibri" w:eastAsia="Calibri" w:hAnsi="Calibri" w:cs="Calibri"/>
          <w:color w:val="212121"/>
          <w:shd w:val="clear" w:color="auto" w:fill="FFFFFF"/>
        </w:rPr>
        <w:t xml:space="preserve"> to decreased staff well-being since there is inadequate space for staff’s own coping and calming strategies</w:t>
      </w:r>
      <w:r w:rsidR="00FD0249">
        <w:rPr>
          <w:rFonts w:ascii="Calibri" w:eastAsia="Calibri" w:hAnsi="Calibri" w:cs="Calibri"/>
          <w:color w:val="212121"/>
          <w:shd w:val="clear" w:color="auto" w:fill="FFFFFF"/>
        </w:rPr>
        <w:t xml:space="preserve"> which contributes to staff burnout.</w:t>
      </w:r>
      <w:r w:rsidR="004B3679">
        <w:rPr>
          <w:rFonts w:ascii="Calibri" w:eastAsia="Calibri" w:hAnsi="Calibri" w:cs="Calibri"/>
          <w:color w:val="212121"/>
          <w:shd w:val="clear" w:color="auto" w:fill="FFFFFF"/>
        </w:rPr>
        <w:t xml:space="preserve"> Accordingly, the ability of staff to deliver safe effective care to children is hampered by inefficient therapeutic space. </w:t>
      </w:r>
    </w:p>
    <w:p w14:paraId="1C309405" w14:textId="771BBF10" w:rsidR="0006737F" w:rsidRDefault="004B3679" w:rsidP="006B6B12">
      <w:pPr>
        <w:rPr>
          <w:rFonts w:ascii="Calibri" w:eastAsia="Calibri" w:hAnsi="Calibri" w:cs="Calibri"/>
          <w:color w:val="212121"/>
          <w:shd w:val="clear" w:color="auto" w:fill="FFFFFF"/>
        </w:rPr>
      </w:pPr>
      <w:r>
        <w:rPr>
          <w:rFonts w:ascii="Calibri" w:eastAsia="Calibri" w:hAnsi="Calibri" w:cs="Calibri"/>
          <w:color w:val="212121"/>
          <w:shd w:val="clear" w:color="auto" w:fill="FFFFFF"/>
        </w:rPr>
        <w:t xml:space="preserve"> </w:t>
      </w:r>
    </w:p>
    <w:p w14:paraId="4E7263FD" w14:textId="7FBC5479" w:rsidR="006B02BE" w:rsidRDefault="0006737F" w:rsidP="00E347B4">
      <w:pPr>
        <w:rPr>
          <w:rFonts w:ascii="Calibri" w:eastAsia="Calibri" w:hAnsi="Calibri" w:cs="Calibri"/>
        </w:rPr>
      </w:pPr>
      <w:r>
        <w:rPr>
          <w:rFonts w:ascii="Calibri" w:eastAsia="Calibri" w:hAnsi="Calibri" w:cs="Calibri"/>
        </w:rPr>
        <w:t>T</w:t>
      </w:r>
      <w:r w:rsidR="005361B1">
        <w:rPr>
          <w:rFonts w:ascii="Calibri" w:eastAsia="Calibri" w:hAnsi="Calibri" w:cs="Calibri"/>
        </w:rPr>
        <w:t xml:space="preserve">he Applicant asserts, </w:t>
      </w:r>
      <w:r w:rsidR="005361B1" w:rsidRPr="005361B1">
        <w:rPr>
          <w:rFonts w:ascii="Calibri" w:eastAsia="Calibri" w:hAnsi="Calibri" w:cs="Calibri"/>
        </w:rPr>
        <w:t xml:space="preserve">a purpose-built facility </w:t>
      </w:r>
      <w:r>
        <w:rPr>
          <w:rFonts w:ascii="Calibri" w:eastAsia="Calibri" w:hAnsi="Calibri" w:cs="Calibri"/>
        </w:rPr>
        <w:t xml:space="preserve">that is designed </w:t>
      </w:r>
      <w:r w:rsidR="001032D6">
        <w:rPr>
          <w:rFonts w:ascii="Calibri" w:eastAsia="Calibri" w:hAnsi="Calibri" w:cs="Calibri"/>
        </w:rPr>
        <w:t xml:space="preserve">for pediatric patients </w:t>
      </w:r>
      <w:r>
        <w:rPr>
          <w:rFonts w:ascii="Calibri" w:eastAsia="Calibri" w:hAnsi="Calibri" w:cs="Calibri"/>
        </w:rPr>
        <w:t xml:space="preserve">using the most recently established best practices for the intended type of care to be delivered, </w:t>
      </w:r>
      <w:r w:rsidR="005361B1" w:rsidRPr="005361B1">
        <w:rPr>
          <w:rFonts w:ascii="Calibri" w:eastAsia="Calibri" w:hAnsi="Calibri" w:cs="Calibri"/>
        </w:rPr>
        <w:t xml:space="preserve">that has all private patient rooms, and a safe and effective therapeutic environment </w:t>
      </w:r>
      <w:r w:rsidR="005361B1">
        <w:rPr>
          <w:rFonts w:ascii="Calibri" w:eastAsia="Calibri" w:hAnsi="Calibri" w:cs="Calibri"/>
        </w:rPr>
        <w:t xml:space="preserve">will better serve </w:t>
      </w:r>
      <w:r w:rsidR="00B159A9">
        <w:rPr>
          <w:rFonts w:ascii="Calibri" w:eastAsia="Calibri" w:hAnsi="Calibri" w:cs="Calibri"/>
        </w:rPr>
        <w:t>t</w:t>
      </w:r>
      <w:r w:rsidR="00044F19" w:rsidRPr="001929C4">
        <w:rPr>
          <w:rFonts w:ascii="Calibri" w:eastAsia="Calibri" w:hAnsi="Calibri" w:cs="Calibri"/>
        </w:rPr>
        <w:t xml:space="preserve">he </w:t>
      </w:r>
      <w:r w:rsidR="005361B1">
        <w:rPr>
          <w:rFonts w:ascii="Calibri" w:eastAsia="Calibri" w:hAnsi="Calibri" w:cs="Calibri"/>
        </w:rPr>
        <w:t xml:space="preserve">highly </w:t>
      </w:r>
      <w:r w:rsidR="006B02BE" w:rsidRPr="006B02BE">
        <w:rPr>
          <w:rFonts w:ascii="Calibri" w:eastAsia="Calibri" w:hAnsi="Calibri" w:cs="Calibri"/>
        </w:rPr>
        <w:t xml:space="preserve">specialized </w:t>
      </w:r>
      <w:r w:rsidR="005361B1">
        <w:rPr>
          <w:rFonts w:ascii="Calibri" w:eastAsia="Calibri" w:hAnsi="Calibri" w:cs="Calibri"/>
        </w:rPr>
        <w:t xml:space="preserve">needs of </w:t>
      </w:r>
      <w:r w:rsidR="004B3679">
        <w:rPr>
          <w:rFonts w:ascii="Calibri" w:eastAsia="Calibri" w:hAnsi="Calibri" w:cs="Calibri"/>
        </w:rPr>
        <w:t xml:space="preserve">Franciscan’s </w:t>
      </w:r>
      <w:r w:rsidR="006B02BE" w:rsidRPr="006B02BE">
        <w:rPr>
          <w:rFonts w:ascii="Calibri" w:eastAsia="Calibri" w:hAnsi="Calibri" w:cs="Calibri"/>
        </w:rPr>
        <w:t>pediatric mental health</w:t>
      </w:r>
      <w:r w:rsidR="007E3133">
        <w:rPr>
          <w:rFonts w:ascii="Calibri" w:eastAsia="Calibri" w:hAnsi="Calibri" w:cs="Calibri"/>
        </w:rPr>
        <w:t xml:space="preserve"> and</w:t>
      </w:r>
      <w:r w:rsidR="006B02BE" w:rsidRPr="006B02BE">
        <w:rPr>
          <w:rFonts w:ascii="Calibri" w:eastAsia="Calibri" w:hAnsi="Calibri" w:cs="Calibri"/>
        </w:rPr>
        <w:t xml:space="preserve"> medically complex </w:t>
      </w:r>
      <w:r w:rsidR="007E3133">
        <w:rPr>
          <w:rFonts w:ascii="Calibri" w:eastAsia="Calibri" w:hAnsi="Calibri" w:cs="Calibri"/>
        </w:rPr>
        <w:t xml:space="preserve">post-acute </w:t>
      </w:r>
      <w:r w:rsidR="006B02BE" w:rsidRPr="006B02BE">
        <w:rPr>
          <w:rFonts w:ascii="Calibri" w:eastAsia="Calibri" w:hAnsi="Calibri" w:cs="Calibri"/>
        </w:rPr>
        <w:t xml:space="preserve">children, and </w:t>
      </w:r>
      <w:r w:rsidR="005361B1">
        <w:rPr>
          <w:rFonts w:ascii="Calibri" w:eastAsia="Calibri" w:hAnsi="Calibri" w:cs="Calibri"/>
        </w:rPr>
        <w:t xml:space="preserve">their specialized </w:t>
      </w:r>
      <w:r w:rsidR="00B159A9">
        <w:rPr>
          <w:rFonts w:ascii="Calibri" w:eastAsia="Calibri" w:hAnsi="Calibri" w:cs="Calibri"/>
        </w:rPr>
        <w:t xml:space="preserve">dental patients </w:t>
      </w:r>
      <w:r w:rsidR="005361B1">
        <w:rPr>
          <w:rFonts w:ascii="Calibri" w:eastAsia="Calibri" w:hAnsi="Calibri" w:cs="Calibri"/>
        </w:rPr>
        <w:t>(</w:t>
      </w:r>
      <w:r w:rsidR="00B159A9">
        <w:rPr>
          <w:rFonts w:ascii="Calibri" w:eastAsia="Calibri" w:hAnsi="Calibri" w:cs="Calibri"/>
        </w:rPr>
        <w:t xml:space="preserve">who have </w:t>
      </w:r>
      <w:r w:rsidR="001D3EEE">
        <w:rPr>
          <w:rFonts w:ascii="Calibri" w:eastAsia="Calibri" w:hAnsi="Calibri" w:cs="Calibri"/>
        </w:rPr>
        <w:t xml:space="preserve">sensitivities related to their medical and </w:t>
      </w:r>
      <w:r w:rsidR="006B02BE" w:rsidRPr="006B02BE">
        <w:rPr>
          <w:rFonts w:ascii="Calibri" w:eastAsia="Calibri" w:hAnsi="Calibri" w:cs="Calibri"/>
        </w:rPr>
        <w:t>mental health</w:t>
      </w:r>
      <w:r w:rsidR="001D3EEE">
        <w:rPr>
          <w:rFonts w:ascii="Calibri" w:eastAsia="Calibri" w:hAnsi="Calibri" w:cs="Calibri"/>
        </w:rPr>
        <w:t xml:space="preserve"> conditions</w:t>
      </w:r>
      <w:r w:rsidR="005361B1">
        <w:rPr>
          <w:rFonts w:ascii="Calibri" w:eastAsia="Calibri" w:hAnsi="Calibri" w:cs="Calibri"/>
        </w:rPr>
        <w:t>).</w:t>
      </w:r>
    </w:p>
    <w:p w14:paraId="40A5CF37" w14:textId="77777777" w:rsidR="0006737F" w:rsidRDefault="0006737F" w:rsidP="00E347B4">
      <w:pPr>
        <w:rPr>
          <w:rFonts w:ascii="Calibri" w:eastAsia="Calibri" w:hAnsi="Calibri" w:cs="Calibri"/>
        </w:rPr>
      </w:pPr>
    </w:p>
    <w:p w14:paraId="5BCC1FAC" w14:textId="340B5649" w:rsidR="00EB34B4" w:rsidRPr="001032D6" w:rsidRDefault="004723AC" w:rsidP="007F1D38">
      <w:pPr>
        <w:pStyle w:val="ListParagraph"/>
        <w:numPr>
          <w:ilvl w:val="0"/>
          <w:numId w:val="7"/>
        </w:numPr>
        <w:spacing w:line="240" w:lineRule="auto"/>
        <w:jc w:val="both"/>
        <w:rPr>
          <w:rFonts w:ascii="Calibri" w:eastAsia="Calibri" w:hAnsi="Calibri" w:cs="Calibri"/>
          <w:b/>
          <w:bCs/>
        </w:rPr>
      </w:pPr>
      <w:r w:rsidRPr="001032D6">
        <w:rPr>
          <w:rFonts w:ascii="Calibri" w:eastAsia="Calibri" w:hAnsi="Calibri" w:cs="Calibri"/>
          <w:b/>
          <w:bCs/>
          <w:sz w:val="24"/>
          <w:szCs w:val="24"/>
        </w:rPr>
        <w:lastRenderedPageBreak/>
        <w:t>Address the need for Pediatric Mental Health Services Through Expansion and Consolidation</w:t>
      </w:r>
      <w:r w:rsidR="00F00360" w:rsidRPr="001032D6">
        <w:rPr>
          <w:rFonts w:ascii="Calibri" w:eastAsia="Calibri" w:hAnsi="Calibri" w:cs="Calibri"/>
          <w:b/>
          <w:bCs/>
          <w:sz w:val="24"/>
          <w:szCs w:val="24"/>
        </w:rPr>
        <w:t xml:space="preserve"> </w:t>
      </w:r>
    </w:p>
    <w:p w14:paraId="31BF9692" w14:textId="69E16403" w:rsidR="008E5A5F" w:rsidRPr="005407E0" w:rsidRDefault="0006737F" w:rsidP="00DB7D54">
      <w:pPr>
        <w:spacing w:after="240"/>
        <w:rPr>
          <w:rFonts w:ascii="Calibri" w:hAnsi="Calibri" w:cs="Calibri"/>
        </w:rPr>
      </w:pPr>
      <w:r>
        <w:rPr>
          <w:rFonts w:ascii="Calibri" w:hAnsi="Calibri" w:cs="Calibri"/>
        </w:rPr>
        <w:t>T</w:t>
      </w:r>
      <w:r w:rsidR="008E5A5F" w:rsidRPr="005407E0">
        <w:rPr>
          <w:rFonts w:ascii="Calibri" w:hAnsi="Calibri" w:cs="Calibri"/>
        </w:rPr>
        <w:t xml:space="preserve">he </w:t>
      </w:r>
      <w:bookmarkStart w:id="58" w:name="_9kR3WTr26647GPBmsxjcoP9ginxIL3fZuzx9RH3"/>
      <w:bookmarkStart w:id="59" w:name="_9kR3WTr26648EMBmsxjcoP9ginxIL3fZuzx9RH3"/>
      <w:r w:rsidR="008E5A5F" w:rsidRPr="005407E0">
        <w:rPr>
          <w:rFonts w:ascii="Calibri" w:hAnsi="Calibri" w:cs="Calibri"/>
        </w:rPr>
        <w:t>American Academy of Pediatrics</w:t>
      </w:r>
      <w:bookmarkEnd w:id="58"/>
      <w:bookmarkEnd w:id="59"/>
      <w:r w:rsidR="008E5A5F" w:rsidRPr="005407E0">
        <w:rPr>
          <w:rFonts w:ascii="Calibri" w:hAnsi="Calibri" w:cs="Calibri"/>
        </w:rPr>
        <w:t xml:space="preserve">, the </w:t>
      </w:r>
      <w:bookmarkStart w:id="60" w:name="_9kR3WTr26647FOBmsxjcoP9ginxIL3SP273t48W"/>
      <w:bookmarkStart w:id="61" w:name="_9kR3WTr26648DLBmsxjcoP9ginxIL3SP273t48W"/>
      <w:r w:rsidR="008E5A5F" w:rsidRPr="005407E0">
        <w:rPr>
          <w:rFonts w:ascii="Calibri" w:hAnsi="Calibri" w:cs="Calibri"/>
        </w:rPr>
        <w:t>American Academy of Child and Adolescent Psychiatry</w:t>
      </w:r>
      <w:bookmarkEnd w:id="60"/>
      <w:bookmarkEnd w:id="61"/>
      <w:r w:rsidR="008E5A5F" w:rsidRPr="005407E0">
        <w:rPr>
          <w:rFonts w:ascii="Calibri" w:hAnsi="Calibri" w:cs="Calibri"/>
        </w:rPr>
        <w:t xml:space="preserve"> and the Children’s Hospital Association joint</w:t>
      </w:r>
      <w:r>
        <w:rPr>
          <w:rFonts w:ascii="Calibri" w:hAnsi="Calibri" w:cs="Calibri"/>
        </w:rPr>
        <w:t>ly</w:t>
      </w:r>
      <w:r w:rsidR="008E5A5F" w:rsidRPr="005407E0">
        <w:rPr>
          <w:rFonts w:ascii="Calibri" w:hAnsi="Calibri" w:cs="Calibri"/>
        </w:rPr>
        <w:t xml:space="preserve"> declar</w:t>
      </w:r>
      <w:r>
        <w:rPr>
          <w:rFonts w:ascii="Calibri" w:hAnsi="Calibri" w:cs="Calibri"/>
        </w:rPr>
        <w:t>ed</w:t>
      </w:r>
      <w:r w:rsidR="008E5A5F">
        <w:rPr>
          <w:rFonts w:ascii="Calibri" w:hAnsi="Calibri" w:cs="Calibri"/>
        </w:rPr>
        <w:t xml:space="preserve"> </w:t>
      </w:r>
      <w:r w:rsidR="008E5A5F" w:rsidRPr="005407E0">
        <w:rPr>
          <w:rFonts w:ascii="Calibri" w:hAnsi="Calibri" w:cs="Calibri"/>
        </w:rPr>
        <w:t>a National State of Emergency in Children’s Mental Health in October of 2021</w:t>
      </w:r>
      <w:r w:rsidR="008E5A5F">
        <w:rPr>
          <w:rFonts w:ascii="Calibri" w:hAnsi="Calibri" w:cs="Calibri"/>
        </w:rPr>
        <w:t xml:space="preserve"> after</w:t>
      </w:r>
      <w:r w:rsidR="008E5A5F" w:rsidRPr="005407E0">
        <w:rPr>
          <w:rFonts w:ascii="Calibri" w:hAnsi="Calibri" w:cs="Calibri"/>
        </w:rPr>
        <w:t xml:space="preserve"> decades of stigma, workforce shortfalls,</w:t>
      </w:r>
      <w:r w:rsidR="00713F0D">
        <w:rPr>
          <w:rStyle w:val="FootnoteReference"/>
          <w:rFonts w:ascii="Calibri" w:hAnsi="Calibri" w:cs="Calibri"/>
        </w:rPr>
        <w:footnoteReference w:id="22"/>
      </w:r>
      <w:r w:rsidR="008E5A5F" w:rsidRPr="005407E0">
        <w:rPr>
          <w:rFonts w:ascii="Calibri" w:hAnsi="Calibri" w:cs="Calibri"/>
        </w:rPr>
        <w:t xml:space="preserve"> institutional and system under-investment, and a lack of systems integration—all of which </w:t>
      </w:r>
      <w:r w:rsidR="00566437">
        <w:rPr>
          <w:rFonts w:ascii="Calibri" w:hAnsi="Calibri" w:cs="Calibri"/>
        </w:rPr>
        <w:t xml:space="preserve">were </w:t>
      </w:r>
      <w:r w:rsidR="008E5A5F" w:rsidRPr="005407E0">
        <w:rPr>
          <w:rFonts w:ascii="Calibri" w:hAnsi="Calibri" w:cs="Calibri"/>
        </w:rPr>
        <w:t>further exacerbated by the COVID-19 pandemic</w:t>
      </w:r>
      <w:r w:rsidR="008E5A5F" w:rsidRPr="005407E0">
        <w:rPr>
          <w:rFonts w:ascii="Calibri" w:hAnsi="Calibri" w:cs="Calibri"/>
          <w:vertAlign w:val="superscript"/>
        </w:rPr>
        <w:footnoteReference w:id="23"/>
      </w:r>
      <w:r w:rsidR="008E5A5F" w:rsidRPr="005407E0">
        <w:rPr>
          <w:rFonts w:ascii="Calibri" w:hAnsi="Calibri" w:cs="Calibri"/>
        </w:rPr>
        <w:t xml:space="preserve"> </w:t>
      </w:r>
      <w:r w:rsidR="00413A79" w:rsidRPr="005407E0">
        <w:rPr>
          <w:rFonts w:ascii="Calibri" w:hAnsi="Calibri" w:cs="Calibri"/>
        </w:rPr>
        <w:t>The Applicant also cites the Surgeon General’s report stating that pediatric mental health has reached a crisis point in Massachusetts and beyond.</w:t>
      </w:r>
      <w:r w:rsidR="00413A79" w:rsidRPr="005407E0">
        <w:rPr>
          <w:rFonts w:ascii="Calibri" w:hAnsi="Calibri" w:cs="Calibri"/>
          <w:vertAlign w:val="superscript"/>
        </w:rPr>
        <w:footnoteReference w:id="24"/>
      </w:r>
    </w:p>
    <w:p w14:paraId="1FDBCAA3" w14:textId="77E3DC2D" w:rsidR="00FE2B1C" w:rsidRPr="00DB7D54" w:rsidRDefault="008E5A5F" w:rsidP="00DB7D54">
      <w:pPr>
        <w:spacing w:after="240"/>
        <w:rPr>
          <w:rFonts w:ascii="Calibri" w:eastAsia="Calibri" w:hAnsi="Calibri" w:cs="Calibri"/>
          <w:lang w:val="en"/>
        </w:rPr>
      </w:pPr>
      <w:r>
        <w:rPr>
          <w:rFonts w:ascii="Calibri" w:eastAsia="Calibri" w:hAnsi="Calibri" w:cs="Calibri"/>
        </w:rPr>
        <w:t>C</w:t>
      </w:r>
      <w:r w:rsidRPr="005407E0">
        <w:rPr>
          <w:rFonts w:ascii="Calibri" w:eastAsia="Calibri" w:hAnsi="Calibri" w:cs="Calibri"/>
        </w:rPr>
        <w:t xml:space="preserve">hildren in the Commonwealth </w:t>
      </w:r>
      <w:r>
        <w:rPr>
          <w:rFonts w:ascii="Calibri" w:eastAsia="Calibri" w:hAnsi="Calibri" w:cs="Calibri"/>
        </w:rPr>
        <w:t xml:space="preserve">experience </w:t>
      </w:r>
      <w:r w:rsidRPr="005407E0">
        <w:rPr>
          <w:rFonts w:ascii="Calibri" w:eastAsia="Calibri" w:hAnsi="Calibri" w:cs="Calibri"/>
        </w:rPr>
        <w:t>long wait times for outpatient mental health services, neuropsychological testing, certain therapies</w:t>
      </w:r>
      <w:r>
        <w:rPr>
          <w:rFonts w:ascii="Calibri" w:eastAsia="Calibri" w:hAnsi="Calibri" w:cs="Calibri"/>
        </w:rPr>
        <w:t xml:space="preserve">, </w:t>
      </w:r>
      <w:r w:rsidRPr="001E5FC8">
        <w:rPr>
          <w:rFonts w:ascii="Calibri" w:eastAsia="Calibri" w:hAnsi="Calibri" w:cs="Calibri"/>
        </w:rPr>
        <w:t>and emergency room</w:t>
      </w:r>
      <w:r>
        <w:rPr>
          <w:rFonts w:ascii="Calibri" w:eastAsia="Calibri" w:hAnsi="Calibri" w:cs="Calibri"/>
        </w:rPr>
        <w:t xml:space="preserve"> boarding </w:t>
      </w:r>
      <w:r w:rsidRPr="001E5FC8">
        <w:rPr>
          <w:rFonts w:ascii="Calibri" w:eastAsia="Calibri" w:hAnsi="Calibri" w:cs="Calibri"/>
        </w:rPr>
        <w:t xml:space="preserve">awaiting placement to appropriate </w:t>
      </w:r>
      <w:r w:rsidR="00AE5014">
        <w:rPr>
          <w:rFonts w:ascii="Calibri" w:eastAsia="Calibri" w:hAnsi="Calibri" w:cs="Calibri"/>
        </w:rPr>
        <w:t xml:space="preserve">level of </w:t>
      </w:r>
      <w:r w:rsidRPr="001E5FC8">
        <w:rPr>
          <w:rFonts w:ascii="Calibri" w:eastAsia="Calibri" w:hAnsi="Calibri" w:cs="Calibri"/>
        </w:rPr>
        <w:t>mental health services.</w:t>
      </w:r>
      <w:r>
        <w:rPr>
          <w:rFonts w:ascii="Calibri" w:eastAsia="Calibri" w:hAnsi="Calibri" w:cs="Calibri"/>
        </w:rPr>
        <w:t xml:space="preserve"> </w:t>
      </w:r>
      <w:r w:rsidR="00AE5014">
        <w:rPr>
          <w:rFonts w:ascii="Calibri" w:hAnsi="Calibri" w:cs="Calibri"/>
        </w:rPr>
        <w:t xml:space="preserve">Within Massachusetts, </w:t>
      </w:r>
      <w:r w:rsidR="00AE5014" w:rsidRPr="6380A8AC">
        <w:rPr>
          <w:rFonts w:ascii="Calibri" w:hAnsi="Calibri" w:cs="Calibri"/>
          <w:i/>
          <w:iCs/>
        </w:rPr>
        <w:t>T</w:t>
      </w:r>
      <w:r w:rsidR="00AE5014" w:rsidRPr="6380A8AC">
        <w:rPr>
          <w:rFonts w:ascii="Calibri" w:eastAsia="Calibri" w:hAnsi="Calibri" w:cs="Calibri"/>
          <w:i/>
          <w:iCs/>
        </w:rPr>
        <w:t>he</w:t>
      </w:r>
      <w:r w:rsidR="00AE5014" w:rsidRPr="6380A8AC">
        <w:rPr>
          <w:rFonts w:ascii="Calibri" w:eastAsia="Calibri" w:hAnsi="Calibri" w:cs="Calibri"/>
        </w:rPr>
        <w:t xml:space="preserve"> </w:t>
      </w:r>
      <w:r w:rsidR="00AE5014" w:rsidRPr="6380A8AC">
        <w:rPr>
          <w:rFonts w:ascii="Calibri" w:eastAsia="DengXian" w:hAnsi="Calibri" w:cs="Calibri"/>
          <w:i/>
          <w:iCs/>
          <w:lang w:eastAsia="zh-CN"/>
        </w:rPr>
        <w:t>Roadmap for Behavioral Health Reform</w:t>
      </w:r>
      <w:r w:rsidR="00AE5014" w:rsidRPr="005407E0">
        <w:rPr>
          <w:rFonts w:ascii="Calibri" w:eastAsia="Calibri" w:hAnsi="Calibri" w:cs="Calibri"/>
        </w:rPr>
        <w:t xml:space="preserve"> states that </w:t>
      </w:r>
      <w:r w:rsidR="00AE5014">
        <w:rPr>
          <w:rFonts w:ascii="Calibri" w:eastAsia="Calibri" w:hAnsi="Calibri" w:cs="Calibri"/>
        </w:rPr>
        <w:t xml:space="preserve">this state </w:t>
      </w:r>
      <w:r w:rsidR="00AE5014" w:rsidRPr="005407E0">
        <w:rPr>
          <w:rFonts w:ascii="Calibri" w:eastAsia="Calibri" w:hAnsi="Calibri" w:cs="Calibri"/>
        </w:rPr>
        <w:t>requires critical system reforms in order to adequately address the growing mental health care needs of the patient community</w:t>
      </w:r>
      <w:r w:rsidR="00AE5014">
        <w:rPr>
          <w:rFonts w:ascii="Calibri" w:eastAsia="Calibri" w:hAnsi="Calibri" w:cs="Calibri"/>
        </w:rPr>
        <w:t>.</w:t>
      </w:r>
      <w:r w:rsidR="00AE5014" w:rsidRPr="005407E0">
        <w:rPr>
          <w:rFonts w:ascii="Calibri" w:eastAsia="Calibri" w:hAnsi="Calibri" w:cs="Calibri"/>
        </w:rPr>
        <w:t xml:space="preserve"> </w:t>
      </w:r>
      <w:r w:rsidRPr="005407E0">
        <w:rPr>
          <w:rFonts w:ascii="Calibri" w:eastAsia="Calibri" w:hAnsi="Calibri" w:cs="Calibri"/>
          <w:lang w:val="en"/>
        </w:rPr>
        <w:t>The COVID-19 pandemic resulted in greater need for access to inpatient adolescent and pediatric psychiatric services due to quarantine orders, remote learning and destabilization of families.</w:t>
      </w:r>
      <w:r w:rsidR="00FE2B1C" w:rsidRPr="005407E0">
        <w:rPr>
          <w:rFonts w:ascii="Calibri" w:eastAsia="Calibri" w:hAnsi="Calibri" w:cs="Calibri"/>
          <w:vertAlign w:val="superscript"/>
          <w:lang w:val="en"/>
        </w:rPr>
        <w:endnoteReference w:id="4"/>
      </w:r>
      <w:r w:rsidR="00FE2B1C" w:rsidRPr="005407E0">
        <w:rPr>
          <w:rFonts w:ascii="Calibri" w:eastAsia="Calibri" w:hAnsi="Calibri" w:cs="Calibri"/>
          <w:lang w:val="en"/>
        </w:rPr>
        <w:t xml:space="preserve"> </w:t>
      </w:r>
      <w:r w:rsidRPr="005407E0">
        <w:rPr>
          <w:rFonts w:ascii="Calibri" w:eastAsia="Calibri" w:hAnsi="Calibri" w:cs="Calibri"/>
        </w:rPr>
        <w:t xml:space="preserve">Compared with 2019, the proportion of mental health-related visits for children aged 5-11 and </w:t>
      </w:r>
      <w:r w:rsidRPr="00DB7D54">
        <w:rPr>
          <w:rFonts w:ascii="Calibri" w:eastAsia="Calibri" w:hAnsi="Calibri" w:cs="Calibri"/>
        </w:rPr>
        <w:t>12-17 years increased approximately 24% and 31%, respectively in 2020.</w:t>
      </w:r>
      <w:r w:rsidR="00FE2B1C" w:rsidRPr="00DB7D54">
        <w:rPr>
          <w:rFonts w:ascii="Calibri" w:eastAsia="Calibri" w:hAnsi="Calibri" w:cs="Calibri"/>
          <w:vertAlign w:val="superscript"/>
        </w:rPr>
        <w:endnoteReference w:id="5"/>
      </w:r>
      <w:r w:rsidR="00FE2B1C" w:rsidRPr="00DB7D54">
        <w:rPr>
          <w:rFonts w:ascii="Calibri" w:eastAsia="Calibri" w:hAnsi="Calibri" w:cs="Calibri"/>
          <w:vertAlign w:val="superscript"/>
        </w:rPr>
        <w:t>,</w:t>
      </w:r>
      <w:r w:rsidRPr="00DB7D54">
        <w:rPr>
          <w:rFonts w:ascii="Calibri" w:eastAsia="Calibri" w:hAnsi="Calibri" w:cs="Calibri"/>
        </w:rPr>
        <w:t xml:space="preserve"> </w:t>
      </w:r>
      <w:r w:rsidRPr="00DB7D54">
        <w:rPr>
          <w:rStyle w:val="FootnoteReference"/>
          <w:rFonts w:ascii="Calibri" w:eastAsia="Calibri" w:hAnsi="Calibri" w:cs="Calibri"/>
        </w:rPr>
        <w:footnoteReference w:id="25"/>
      </w:r>
      <w:r w:rsidRPr="00DB7D54">
        <w:rPr>
          <w:rFonts w:ascii="Calibri" w:eastAsia="Calibri" w:hAnsi="Calibri" w:cs="Calibri"/>
        </w:rPr>
        <w:t xml:space="preserve"> The Applicant asserts the mental health treatment needs of the patients treated by Franciscan are even more acute and complex than those contemplated across the </w:t>
      </w:r>
      <w:r w:rsidRPr="00060C17">
        <w:rPr>
          <w:rFonts w:ascii="Calibri" w:eastAsia="Calibri" w:hAnsi="Calibri" w:cs="Calibri"/>
          <w:i/>
          <w:iCs/>
        </w:rPr>
        <w:t>Roadmap for Behavioral Health Reform.</w:t>
      </w:r>
      <w:r w:rsidRPr="00DB7D54">
        <w:rPr>
          <w:rFonts w:ascii="Calibri" w:eastAsia="Calibri" w:hAnsi="Calibri" w:cs="Calibri"/>
        </w:rPr>
        <w:t xml:space="preserve"> </w:t>
      </w:r>
      <w:r w:rsidR="00181DDA" w:rsidRPr="00DB7D54">
        <w:rPr>
          <w:rFonts w:ascii="Calibri" w:eastAsia="Calibri" w:hAnsi="Calibri" w:cs="Calibri"/>
          <w:lang w:val="en"/>
        </w:rPr>
        <w:t>Franciscan has increasing demand for its pediatric mental health services.</w:t>
      </w:r>
      <w:r w:rsidR="00FE2B1C" w:rsidRPr="00DB7D54">
        <w:rPr>
          <w:rFonts w:ascii="Calibri" w:eastAsia="Calibri" w:hAnsi="Calibri" w:cs="Calibri"/>
          <w:vertAlign w:val="superscript"/>
        </w:rPr>
        <w:endnoteReference w:id="6"/>
      </w:r>
      <w:r w:rsidR="00FE2B1C" w:rsidRPr="00DB7D54">
        <w:rPr>
          <w:rFonts w:ascii="Calibri" w:eastAsia="Calibri" w:hAnsi="Calibri" w:cs="Calibri"/>
        </w:rPr>
        <w:t xml:space="preserve"> </w:t>
      </w:r>
      <w:r w:rsidR="00181DDA" w:rsidRPr="00DB7D54">
        <w:rPr>
          <w:rFonts w:ascii="Calibri" w:eastAsia="Calibri" w:hAnsi="Calibri" w:cs="Calibri"/>
        </w:rPr>
        <w:t xml:space="preserve">Despite Franciscan’s significant allocation of resources to mental health care, children </w:t>
      </w:r>
      <w:r w:rsidR="00181DDA" w:rsidRPr="00DB7D54">
        <w:rPr>
          <w:rFonts w:ascii="Calibri" w:eastAsia="Calibri" w:hAnsi="Calibri" w:cs="Calibri"/>
          <w:lang w:val="en"/>
        </w:rPr>
        <w:t xml:space="preserve">currently experience a 2-month waitlist for psychiatric care, a </w:t>
      </w:r>
      <w:r w:rsidR="00FE3C81" w:rsidRPr="00DB7D54">
        <w:rPr>
          <w:rFonts w:ascii="Calibri" w:eastAsia="Calibri" w:hAnsi="Calibri" w:cs="Calibri"/>
          <w:lang w:val="en"/>
        </w:rPr>
        <w:t>6–12-month</w:t>
      </w:r>
      <w:r w:rsidR="00181DDA" w:rsidRPr="00DB7D54">
        <w:rPr>
          <w:rFonts w:ascii="Calibri" w:eastAsia="Calibri" w:hAnsi="Calibri" w:cs="Calibri"/>
          <w:lang w:val="en"/>
        </w:rPr>
        <w:t xml:space="preserve"> waitlist for outpatient </w:t>
      </w:r>
      <w:r w:rsidR="00DB7D54" w:rsidRPr="00DB7D54">
        <w:rPr>
          <w:rFonts w:ascii="Calibri" w:eastAsia="Calibri" w:hAnsi="Calibri" w:cs="Calibri"/>
          <w:lang w:val="en"/>
        </w:rPr>
        <w:t>t</w:t>
      </w:r>
      <w:r w:rsidR="00181DDA" w:rsidRPr="00DB7D54">
        <w:rPr>
          <w:rFonts w:ascii="Calibri" w:eastAsia="Calibri" w:hAnsi="Calibri" w:cs="Calibri"/>
          <w:lang w:val="en"/>
        </w:rPr>
        <w:t>herapy, and a 9-12 month waitlist for neuropsychological testing.</w:t>
      </w:r>
      <w:r w:rsidR="00EC4496" w:rsidRPr="00DB7D54">
        <w:rPr>
          <w:rStyle w:val="FootnoteReference"/>
          <w:rFonts w:ascii="Calibri" w:eastAsia="Calibri" w:hAnsi="Calibri" w:cs="Calibri"/>
          <w:lang w:val="en"/>
        </w:rPr>
        <w:footnoteReference w:id="26"/>
      </w:r>
      <w:r w:rsidR="00181DDA" w:rsidRPr="00DB7D54">
        <w:rPr>
          <w:rFonts w:ascii="Calibri" w:eastAsia="Calibri" w:hAnsi="Calibri" w:cs="Calibri"/>
          <w:lang w:val="en"/>
        </w:rPr>
        <w:t xml:space="preserve"> </w:t>
      </w:r>
      <w:r w:rsidR="00266E9E" w:rsidRPr="00DB7D54">
        <w:rPr>
          <w:rFonts w:ascii="Calibri" w:eastAsia="Calibri" w:hAnsi="Calibri" w:cs="Calibri"/>
          <w:lang w:val="en"/>
        </w:rPr>
        <w:t xml:space="preserve">Further the percentage of </w:t>
      </w:r>
      <w:r w:rsidR="00266E9E" w:rsidRPr="00DB7D54">
        <w:rPr>
          <w:rFonts w:ascii="Calibri" w:eastAsia="Calibri" w:hAnsi="Calibri" w:cs="Calibri"/>
          <w:lang w:val="en"/>
        </w:rPr>
        <w:lastRenderedPageBreak/>
        <w:t>children with Mental Health diagnoses waiting greater than two hours in Observation in the BCH ED has increased from 9.1% to 27.4%.</w:t>
      </w:r>
      <w:r w:rsidR="00FE2B1C" w:rsidRPr="00DB7D54">
        <w:rPr>
          <w:rStyle w:val="EndnoteReference"/>
          <w:rFonts w:ascii="Calibri" w:eastAsia="Calibri" w:hAnsi="Calibri" w:cs="Calibri"/>
          <w:lang w:val="en"/>
        </w:rPr>
        <w:endnoteReference w:id="7"/>
      </w:r>
      <w:r w:rsidR="00794BF2" w:rsidRPr="00DB7D54">
        <w:rPr>
          <w:rFonts w:ascii="Calibri" w:eastAsia="Calibri" w:hAnsi="Calibri" w:cs="Calibri"/>
          <w:lang w:val="en"/>
        </w:rPr>
        <w:t xml:space="preserve"> </w:t>
      </w:r>
      <w:r w:rsidR="00970FEC">
        <w:rPr>
          <w:rFonts w:ascii="Calibri" w:eastAsia="Calibri" w:hAnsi="Calibri" w:cs="Calibri"/>
          <w:lang w:val="en"/>
        </w:rPr>
        <w:t xml:space="preserve"> </w:t>
      </w:r>
      <w:r w:rsidR="009E0F2C">
        <w:rPr>
          <w:rFonts w:ascii="Calibri" w:eastAsia="Calibri" w:hAnsi="Calibri" w:cs="Calibri"/>
          <w:lang w:val="en"/>
        </w:rPr>
        <w:t xml:space="preserve">The Proposed Project aims to improve upon </w:t>
      </w:r>
      <w:r w:rsidR="0079247A">
        <w:rPr>
          <w:rFonts w:ascii="Calibri" w:eastAsia="Calibri" w:hAnsi="Calibri" w:cs="Calibri"/>
          <w:lang w:val="en"/>
        </w:rPr>
        <w:t xml:space="preserve">access to </w:t>
      </w:r>
      <w:r w:rsidR="009E0F2C">
        <w:rPr>
          <w:rFonts w:ascii="Calibri" w:eastAsia="Calibri" w:hAnsi="Calibri" w:cs="Calibri"/>
          <w:lang w:val="en"/>
        </w:rPr>
        <w:t>these programs through</w:t>
      </w:r>
      <w:r w:rsidR="00211374">
        <w:rPr>
          <w:rFonts w:ascii="Calibri" w:eastAsia="Calibri" w:hAnsi="Calibri" w:cs="Calibri"/>
          <w:lang w:val="en"/>
        </w:rPr>
        <w:t xml:space="preserve"> efficiencies gained</w:t>
      </w:r>
      <w:r w:rsidR="008A3250">
        <w:rPr>
          <w:rFonts w:ascii="Calibri" w:eastAsia="Calibri" w:hAnsi="Calibri" w:cs="Calibri"/>
          <w:lang w:val="en"/>
        </w:rPr>
        <w:t>,</w:t>
      </w:r>
      <w:r w:rsidR="009E0F2C">
        <w:rPr>
          <w:rFonts w:ascii="Calibri" w:eastAsia="Calibri" w:hAnsi="Calibri" w:cs="Calibri"/>
          <w:lang w:val="en"/>
        </w:rPr>
        <w:t xml:space="preserve"> co</w:t>
      </w:r>
      <w:r w:rsidR="008A3250">
        <w:rPr>
          <w:rFonts w:ascii="Calibri" w:eastAsia="Calibri" w:hAnsi="Calibri" w:cs="Calibri"/>
          <w:lang w:val="en"/>
        </w:rPr>
        <w:t>-</w:t>
      </w:r>
      <w:r w:rsidR="009E0F2C">
        <w:rPr>
          <w:rFonts w:ascii="Calibri" w:eastAsia="Calibri" w:hAnsi="Calibri" w:cs="Calibri"/>
          <w:lang w:val="en"/>
        </w:rPr>
        <w:t>location</w:t>
      </w:r>
      <w:r w:rsidR="00023CFC">
        <w:rPr>
          <w:rFonts w:ascii="Calibri" w:eastAsia="Calibri" w:hAnsi="Calibri" w:cs="Calibri"/>
          <w:lang w:val="en"/>
        </w:rPr>
        <w:t xml:space="preserve"> of programs</w:t>
      </w:r>
      <w:r w:rsidR="009E0F2C">
        <w:rPr>
          <w:rFonts w:ascii="Calibri" w:eastAsia="Calibri" w:hAnsi="Calibri" w:cs="Calibri"/>
          <w:lang w:val="en"/>
        </w:rPr>
        <w:t xml:space="preserve"> </w:t>
      </w:r>
      <w:r w:rsidR="00211374">
        <w:rPr>
          <w:rFonts w:ascii="Calibri" w:eastAsia="Calibri" w:hAnsi="Calibri" w:cs="Calibri"/>
          <w:lang w:val="en"/>
        </w:rPr>
        <w:t xml:space="preserve">and </w:t>
      </w:r>
      <w:r w:rsidR="009E0F2C">
        <w:rPr>
          <w:rFonts w:ascii="Calibri" w:eastAsia="Calibri" w:hAnsi="Calibri" w:cs="Calibri"/>
          <w:lang w:val="en"/>
        </w:rPr>
        <w:t>staff</w:t>
      </w:r>
      <w:r w:rsidR="00023CFC">
        <w:rPr>
          <w:rFonts w:ascii="Calibri" w:eastAsia="Calibri" w:hAnsi="Calibri" w:cs="Calibri"/>
          <w:lang w:val="en"/>
        </w:rPr>
        <w:t xml:space="preserve"> as described herein.</w:t>
      </w:r>
      <w:r w:rsidR="00DC561A">
        <w:rPr>
          <w:rFonts w:ascii="Calibri" w:eastAsia="Calibri" w:hAnsi="Calibri" w:cs="Calibri"/>
          <w:lang w:val="en"/>
        </w:rPr>
        <w:t xml:space="preserve"> </w:t>
      </w:r>
    </w:p>
    <w:p w14:paraId="00048F9F" w14:textId="01E54D33" w:rsidR="00EB34B4" w:rsidRPr="00D523F2" w:rsidRDefault="00711940" w:rsidP="00EB34B4">
      <w:pPr>
        <w:rPr>
          <w:rFonts w:ascii="Calibri" w:eastAsia="Calibri" w:hAnsi="Calibri" w:cs="Calibri"/>
        </w:rPr>
      </w:pPr>
      <w:r w:rsidRPr="00711940">
        <w:rPr>
          <w:rFonts w:ascii="Calibri" w:eastAsia="Calibri" w:hAnsi="Calibri" w:cs="Calibri"/>
          <w:b/>
          <w:bCs/>
          <w:lang w:val="en"/>
        </w:rPr>
        <w:t>Current Programs Provided</w:t>
      </w:r>
      <w:r w:rsidR="00413A79">
        <w:rPr>
          <w:rFonts w:ascii="Calibri" w:eastAsia="Calibri" w:hAnsi="Calibri" w:cs="Calibri"/>
          <w:b/>
          <w:bCs/>
          <w:lang w:val="en"/>
        </w:rPr>
        <w:t xml:space="preserve"> by</w:t>
      </w:r>
      <w:r w:rsidR="00570A2B">
        <w:rPr>
          <w:rFonts w:ascii="Calibri" w:eastAsia="Calibri" w:hAnsi="Calibri" w:cs="Calibri"/>
          <w:b/>
          <w:bCs/>
          <w:lang w:val="en"/>
        </w:rPr>
        <w:t xml:space="preserve"> Franciscan and BCH-</w:t>
      </w:r>
      <w:r>
        <w:rPr>
          <w:rFonts w:ascii="Calibri" w:eastAsia="Calibri" w:hAnsi="Calibri" w:cs="Calibri"/>
          <w:lang w:val="en"/>
        </w:rPr>
        <w:t xml:space="preserve"> </w:t>
      </w:r>
      <w:r w:rsidR="00EB34B4" w:rsidRPr="00D523F2">
        <w:rPr>
          <w:rFonts w:ascii="Calibri" w:eastAsia="Calibri" w:hAnsi="Calibri" w:cs="Calibri"/>
          <w:lang w:val="en"/>
        </w:rPr>
        <w:t>Franciscan provides services through a 32-bed inpatient psychiatric unit, an 18-bed</w:t>
      </w:r>
      <w:r w:rsidR="00EB34B4">
        <w:rPr>
          <w:rFonts w:ascii="Calibri" w:eastAsia="Calibri" w:hAnsi="Calibri" w:cs="Calibri"/>
          <w:lang w:val="en"/>
        </w:rPr>
        <w:t xml:space="preserve"> </w:t>
      </w:r>
      <w:r w:rsidR="00AE5014">
        <w:rPr>
          <w:rFonts w:ascii="Calibri" w:eastAsia="Calibri" w:hAnsi="Calibri" w:cs="Calibri"/>
          <w:lang w:val="en"/>
        </w:rPr>
        <w:t>CBAT</w:t>
      </w:r>
      <w:r w:rsidR="00EB34B4" w:rsidRPr="00D523F2">
        <w:rPr>
          <w:rFonts w:ascii="Calibri" w:eastAsia="Calibri" w:hAnsi="Calibri" w:cs="Calibri"/>
          <w:lang w:val="en"/>
        </w:rPr>
        <w:t xml:space="preserve"> program, and outpatient mental health programs on its Brighton campus</w:t>
      </w:r>
      <w:r w:rsidR="00C1433A">
        <w:rPr>
          <w:rFonts w:ascii="Calibri" w:eastAsia="Calibri" w:hAnsi="Calibri" w:cs="Calibri"/>
          <w:lang w:val="en"/>
        </w:rPr>
        <w:t>, and the Kennedy School</w:t>
      </w:r>
      <w:r w:rsidR="00EB34B4" w:rsidRPr="00D523F2">
        <w:rPr>
          <w:rFonts w:ascii="Calibri" w:eastAsia="Calibri" w:hAnsi="Calibri" w:cs="Calibri"/>
          <w:lang w:val="en"/>
        </w:rPr>
        <w:t xml:space="preserve">. </w:t>
      </w:r>
      <w:r w:rsidR="00EB34B4" w:rsidRPr="00D523F2">
        <w:rPr>
          <w:rFonts w:ascii="Calibri" w:eastAsia="Calibri" w:hAnsi="Calibri" w:cs="Calibri"/>
        </w:rPr>
        <w:t>F</w:t>
      </w:r>
      <w:r w:rsidR="00EB34B4">
        <w:rPr>
          <w:rFonts w:ascii="Calibri" w:eastAsia="Calibri" w:hAnsi="Calibri" w:cs="Calibri"/>
        </w:rPr>
        <w:t>ranciscan</w:t>
      </w:r>
      <w:r w:rsidR="00EB34B4" w:rsidRPr="00D523F2">
        <w:rPr>
          <w:rFonts w:ascii="Calibri" w:eastAsia="Calibri" w:hAnsi="Calibri" w:cs="Calibri"/>
        </w:rPr>
        <w:t>’s mental health patient population includes patients with a diverse range of mental health conditions</w:t>
      </w:r>
      <w:r w:rsidR="00EB34B4">
        <w:rPr>
          <w:rFonts w:ascii="Calibri" w:eastAsia="Calibri" w:hAnsi="Calibri" w:cs="Calibri"/>
        </w:rPr>
        <w:t>.</w:t>
      </w:r>
      <w:r w:rsidR="00EB34B4">
        <w:rPr>
          <w:rStyle w:val="FootnoteReference"/>
          <w:rFonts w:ascii="Calibri" w:eastAsia="Calibri" w:hAnsi="Calibri" w:cs="Calibri"/>
        </w:rPr>
        <w:footnoteReference w:id="27"/>
      </w:r>
      <w:r w:rsidR="00C1433A">
        <w:rPr>
          <w:rFonts w:ascii="Calibri" w:eastAsia="Calibri" w:hAnsi="Calibri" w:cs="Calibri"/>
        </w:rPr>
        <w:t xml:space="preserve"> </w:t>
      </w:r>
    </w:p>
    <w:p w14:paraId="4A0666E8" w14:textId="77777777" w:rsidR="00EB34B4" w:rsidRPr="00D523F2" w:rsidRDefault="00EB34B4" w:rsidP="00EB34B4">
      <w:pPr>
        <w:rPr>
          <w:rFonts w:ascii="Calibri" w:eastAsia="Calibri" w:hAnsi="Calibri" w:cs="Calibri"/>
        </w:rPr>
      </w:pPr>
    </w:p>
    <w:p w14:paraId="233F3A8E" w14:textId="5DD29AC9" w:rsidR="00EB34B4" w:rsidRPr="00D523F2" w:rsidRDefault="00EB34B4" w:rsidP="00EB34B4">
      <w:pPr>
        <w:rPr>
          <w:rFonts w:ascii="Calibri" w:eastAsia="Calibri" w:hAnsi="Calibri" w:cs="Calibri"/>
        </w:rPr>
      </w:pPr>
      <w:r w:rsidRPr="00D523F2">
        <w:rPr>
          <w:rFonts w:ascii="Calibri" w:eastAsia="Calibri" w:hAnsi="Calibri" w:cs="Calibri"/>
        </w:rPr>
        <w:t xml:space="preserve">The </w:t>
      </w:r>
      <w:r>
        <w:rPr>
          <w:rFonts w:ascii="Calibri" w:eastAsia="Calibri" w:hAnsi="Calibri" w:cs="Calibri"/>
        </w:rPr>
        <w:t xml:space="preserve">inpatient and CBAT </w:t>
      </w:r>
      <w:r w:rsidRPr="00D523F2">
        <w:rPr>
          <w:rFonts w:ascii="Calibri" w:eastAsia="Calibri" w:hAnsi="Calibri" w:cs="Calibri"/>
        </w:rPr>
        <w:t>programs</w:t>
      </w:r>
      <w:r>
        <w:rPr>
          <w:rFonts w:ascii="Calibri" w:eastAsia="Calibri" w:hAnsi="Calibri" w:cs="Calibri"/>
        </w:rPr>
        <w:t>’</w:t>
      </w:r>
      <w:r w:rsidRPr="00D523F2">
        <w:rPr>
          <w:rFonts w:ascii="Calibri" w:eastAsia="Calibri" w:hAnsi="Calibri" w:cs="Calibri"/>
        </w:rPr>
        <w:t xml:space="preserve"> treatment goals include restoration of safety, management of high-risk behaviors, acute stabilization of mood and other symptoms, restoration of self-image and reduction of suicidal thoughts and behaviors. In recent years, F</w:t>
      </w:r>
      <w:r>
        <w:rPr>
          <w:rFonts w:ascii="Calibri" w:eastAsia="Calibri" w:hAnsi="Calibri" w:cs="Calibri"/>
        </w:rPr>
        <w:t>ranciscan</w:t>
      </w:r>
      <w:r w:rsidRPr="00D523F2">
        <w:rPr>
          <w:rFonts w:ascii="Calibri" w:eastAsia="Calibri" w:hAnsi="Calibri" w:cs="Calibri"/>
        </w:rPr>
        <w:t xml:space="preserve"> has </w:t>
      </w:r>
      <w:r>
        <w:rPr>
          <w:rFonts w:ascii="Calibri" w:eastAsia="Calibri" w:hAnsi="Calibri" w:cs="Calibri"/>
        </w:rPr>
        <w:t>observed</w:t>
      </w:r>
      <w:r w:rsidRPr="00D523F2">
        <w:rPr>
          <w:rFonts w:ascii="Calibri" w:eastAsia="Calibri" w:hAnsi="Calibri" w:cs="Calibri"/>
        </w:rPr>
        <w:t xml:space="preserve"> increased acuity in its CBAT program, with CBAT serving as a diversion from emergency department stays and boarding</w:t>
      </w:r>
      <w:r>
        <w:rPr>
          <w:rFonts w:ascii="Calibri" w:eastAsia="Calibri" w:hAnsi="Calibri" w:cs="Calibri"/>
        </w:rPr>
        <w:t>, si</w:t>
      </w:r>
      <w:r w:rsidRPr="00D523F2">
        <w:rPr>
          <w:rFonts w:ascii="Calibri" w:eastAsia="Calibri" w:hAnsi="Calibri" w:cs="Calibri"/>
        </w:rPr>
        <w:t>t</w:t>
      </w:r>
      <w:r>
        <w:rPr>
          <w:rFonts w:ascii="Calibri" w:eastAsia="Calibri" w:hAnsi="Calibri" w:cs="Calibri"/>
        </w:rPr>
        <w:t>e</w:t>
      </w:r>
      <w:r w:rsidRPr="00D523F2">
        <w:rPr>
          <w:rFonts w:ascii="Calibri" w:eastAsia="Calibri" w:hAnsi="Calibri" w:cs="Calibri"/>
        </w:rPr>
        <w:t>s that are unable to provide a therapeutic environment. Referrals and admissions originate from throughout Massachusetts from a variety of settings including (1) Emergency departments and acute inpatient psychiatric units, (2) other CBAT programs, (3) outpatient sites and (4) school-based services. For children and adolescents in crisis, Franciscan’s 32-bed inpatient mental health program and its CBAT program both admit from over 50 different emergency rooms and crisis teams across the state and including from all of BCH’s mental health programs.</w:t>
      </w:r>
      <w:r w:rsidRPr="00D523F2">
        <w:rPr>
          <w:rFonts w:ascii="Calibri" w:eastAsia="Calibri" w:hAnsi="Calibri" w:cs="Calibri"/>
          <w:vertAlign w:val="superscript"/>
        </w:rPr>
        <w:footnoteReference w:id="28"/>
      </w:r>
    </w:p>
    <w:p w14:paraId="4BB61E25" w14:textId="77777777" w:rsidR="00EB34B4" w:rsidRPr="00D523F2" w:rsidRDefault="00EB34B4" w:rsidP="00EB34B4">
      <w:pPr>
        <w:rPr>
          <w:rFonts w:ascii="Calibri" w:eastAsia="Calibri" w:hAnsi="Calibri" w:cs="Calibri"/>
          <w:lang w:val="en"/>
        </w:rPr>
      </w:pPr>
    </w:p>
    <w:p w14:paraId="750FED81" w14:textId="1E3CD08A" w:rsidR="00EB34B4" w:rsidRPr="008A3250" w:rsidRDefault="00EB34B4" w:rsidP="008A3250">
      <w:pPr>
        <w:spacing w:after="240"/>
        <w:rPr>
          <w:rFonts w:ascii="Calibri" w:eastAsia="Calibri" w:hAnsi="Calibri" w:cs="Calibri"/>
        </w:rPr>
      </w:pPr>
      <w:r w:rsidRPr="00D523F2">
        <w:rPr>
          <w:rFonts w:ascii="Calibri" w:eastAsia="Calibri" w:hAnsi="Calibri" w:cs="Calibri"/>
          <w:lang w:val="en"/>
        </w:rPr>
        <w:t>BCH also operates clinically integrated programs across the continuum of care. On its Longwood campus, BCH provides services through its 16-bed inpatient psychiatric unit and outpatient mental health programs. BCH</w:t>
      </w:r>
      <w:r w:rsidR="00801DAD">
        <w:rPr>
          <w:rFonts w:ascii="Calibri" w:eastAsia="Calibri" w:hAnsi="Calibri" w:cs="Calibri"/>
          <w:lang w:val="en"/>
        </w:rPr>
        <w:t>’s Waltham site</w:t>
      </w:r>
      <w:r w:rsidRPr="00D523F2">
        <w:rPr>
          <w:rFonts w:ascii="Calibri" w:eastAsia="Calibri" w:hAnsi="Calibri" w:cs="Calibri"/>
          <w:lang w:val="en"/>
        </w:rPr>
        <w:t xml:space="preserve"> currently operates outpatient mental health programs, a 12-bed CBAT program, and a 12-bed inpatient adolescent and pediatric psychiatric unit</w:t>
      </w:r>
      <w:r w:rsidR="00801DAD">
        <w:rPr>
          <w:rFonts w:ascii="Calibri" w:eastAsia="Calibri" w:hAnsi="Calibri" w:cs="Calibri"/>
          <w:lang w:val="en"/>
        </w:rPr>
        <w:t>.</w:t>
      </w:r>
      <w:r w:rsidR="00801DAD">
        <w:rPr>
          <w:rStyle w:val="FootnoteReference"/>
          <w:rFonts w:ascii="Calibri" w:eastAsia="Calibri" w:hAnsi="Calibri" w:cs="Calibri"/>
          <w:lang w:val="en"/>
        </w:rPr>
        <w:footnoteReference w:id="29"/>
      </w:r>
      <w:r w:rsidR="003C3F6E">
        <w:rPr>
          <w:rFonts w:ascii="Calibri" w:eastAsia="Calibri" w:hAnsi="Calibri" w:cs="Calibri"/>
          <w:lang w:val="en"/>
        </w:rPr>
        <w:t xml:space="preserve"> </w:t>
      </w:r>
      <w:r w:rsidR="008A3250">
        <w:rPr>
          <w:rFonts w:ascii="Calibri" w:eastAsia="Calibri" w:hAnsi="Calibri" w:cs="Calibri"/>
          <w:lang w:val="en"/>
        </w:rPr>
        <w:t xml:space="preserve">BCH </w:t>
      </w:r>
      <w:r w:rsidR="003C3F6E" w:rsidRPr="003C3F6E">
        <w:rPr>
          <w:rFonts w:ascii="Calibri" w:eastAsia="Calibri" w:hAnsi="Calibri" w:cs="Calibri"/>
        </w:rPr>
        <w:t>uses 45 inpatient beds for children and adolescents with severe co-occurring medical and psychiatric disorders.</w:t>
      </w:r>
      <w:r w:rsidR="003C3F6E">
        <w:rPr>
          <w:rFonts w:ascii="Calibri" w:eastAsia="Calibri" w:hAnsi="Calibri" w:cs="Calibri"/>
        </w:rPr>
        <w:t xml:space="preserve"> </w:t>
      </w:r>
      <w:r w:rsidRPr="00D523F2">
        <w:rPr>
          <w:rFonts w:ascii="Calibri" w:eastAsia="Calibri" w:hAnsi="Calibri" w:cs="Calibri"/>
          <w:lang w:val="en"/>
        </w:rPr>
        <w:t>As part of a larger Substantial Expenditure DoN project, the Department approved the establishment of a partial hospitalization program which has not yet opened in Waltham.</w:t>
      </w:r>
      <w:r w:rsidR="00B73799">
        <w:rPr>
          <w:rStyle w:val="EndnoteReference"/>
          <w:rFonts w:ascii="Calibri" w:eastAsia="Calibri" w:hAnsi="Calibri" w:cs="Calibri"/>
          <w:lang w:val="en"/>
        </w:rPr>
        <w:endnoteReference w:id="8"/>
      </w:r>
      <w:r w:rsidR="00B73799" w:rsidRPr="00D523F2">
        <w:rPr>
          <w:rFonts w:ascii="Calibri" w:eastAsia="Calibri" w:hAnsi="Calibri" w:cs="Calibri"/>
          <w:lang w:val="en"/>
        </w:rPr>
        <w:t xml:space="preserve"> </w:t>
      </w:r>
      <w:r>
        <w:rPr>
          <w:rFonts w:ascii="Calibri" w:eastAsia="Calibri" w:hAnsi="Calibri" w:cs="Calibri"/>
          <w:lang w:val="en"/>
        </w:rPr>
        <w:t>As part of this Proposed Project, t</w:t>
      </w:r>
      <w:r w:rsidRPr="00D523F2">
        <w:rPr>
          <w:rFonts w:ascii="Calibri" w:eastAsia="Calibri" w:hAnsi="Calibri" w:cs="Calibri"/>
          <w:lang w:val="en"/>
        </w:rPr>
        <w:t xml:space="preserve">he Applicant is seeking to consolidate its mental health programs </w:t>
      </w:r>
      <w:r>
        <w:rPr>
          <w:rFonts w:ascii="Calibri" w:eastAsia="Calibri" w:hAnsi="Calibri" w:cs="Calibri"/>
          <w:lang w:val="en"/>
        </w:rPr>
        <w:t xml:space="preserve">currently located in Waltham </w:t>
      </w:r>
      <w:r w:rsidRPr="00D523F2">
        <w:rPr>
          <w:rFonts w:ascii="Calibri" w:eastAsia="Calibri" w:hAnsi="Calibri" w:cs="Calibri"/>
          <w:lang w:val="en"/>
        </w:rPr>
        <w:t>(the partial hospitalization program and the licensed 12-bed psychiatric unit) by moving them to Franciscan</w:t>
      </w:r>
      <w:r w:rsidR="00B7689B">
        <w:rPr>
          <w:rFonts w:ascii="Calibri" w:eastAsia="Calibri" w:hAnsi="Calibri" w:cs="Calibri"/>
          <w:lang w:val="en"/>
        </w:rPr>
        <w:t xml:space="preserve"> upon completion of the new facility</w:t>
      </w:r>
      <w:r w:rsidRPr="00D523F2">
        <w:rPr>
          <w:rFonts w:ascii="Calibri" w:eastAsia="Calibri" w:hAnsi="Calibri" w:cs="Calibri"/>
          <w:lang w:val="en"/>
        </w:rPr>
        <w:t>.</w:t>
      </w:r>
      <w:r w:rsidR="00013D82">
        <w:rPr>
          <w:rFonts w:ascii="Calibri" w:eastAsia="Calibri" w:hAnsi="Calibri" w:cs="Calibri"/>
          <w:lang w:val="en"/>
        </w:rPr>
        <w:t xml:space="preserve"> </w:t>
      </w:r>
    </w:p>
    <w:p w14:paraId="7529EA02" w14:textId="037ABCAE" w:rsidR="00570A2B" w:rsidRPr="00570A2B" w:rsidRDefault="79F381D1" w:rsidP="00570A2B">
      <w:pPr>
        <w:rPr>
          <w:rFonts w:ascii="Calibri" w:eastAsia="Calibri" w:hAnsi="Calibri" w:cs="Calibri"/>
        </w:rPr>
      </w:pPr>
      <w:r w:rsidRPr="6F80FCDD">
        <w:rPr>
          <w:rFonts w:ascii="Calibri" w:eastAsia="Calibri" w:hAnsi="Calibri" w:cs="Calibri"/>
        </w:rPr>
        <w:lastRenderedPageBreak/>
        <w:t>B</w:t>
      </w:r>
      <w:r w:rsidR="7F89DB00" w:rsidRPr="00570A2B">
        <w:rPr>
          <w:rFonts w:ascii="Calibri" w:eastAsia="Calibri" w:hAnsi="Calibri" w:cs="Calibri"/>
        </w:rPr>
        <w:t xml:space="preserve">oth entities have developed, and supplemented programmatic funding for school-based </w:t>
      </w:r>
      <w:r w:rsidR="06A17EEA">
        <w:rPr>
          <w:rFonts w:ascii="Calibri" w:eastAsia="Calibri" w:hAnsi="Calibri" w:cs="Calibri"/>
        </w:rPr>
        <w:t xml:space="preserve">mental health programs </w:t>
      </w:r>
      <w:r w:rsidR="7F89DB00" w:rsidRPr="00570A2B">
        <w:rPr>
          <w:rFonts w:ascii="Calibri" w:eastAsia="Calibri" w:hAnsi="Calibri" w:cs="Calibri"/>
        </w:rPr>
        <w:t xml:space="preserve">in the </w:t>
      </w:r>
      <w:bookmarkStart w:id="63" w:name="_9kMHG5YVt4886CKRG4A72egzrzrcXt6ECH"/>
      <w:r w:rsidR="7F89DB00" w:rsidRPr="00570A2B">
        <w:rPr>
          <w:rFonts w:ascii="Calibri" w:eastAsia="Calibri" w:hAnsi="Calibri" w:cs="Calibri"/>
        </w:rPr>
        <w:t>Boston Public Schools</w:t>
      </w:r>
      <w:bookmarkEnd w:id="63"/>
      <w:r w:rsidR="7F89DB00" w:rsidRPr="00570A2B">
        <w:rPr>
          <w:rFonts w:ascii="Calibri" w:eastAsia="Calibri" w:hAnsi="Calibri" w:cs="Calibri"/>
        </w:rPr>
        <w:t xml:space="preserve"> to address children’s mental health needs and improve equitable </w:t>
      </w:r>
      <w:r w:rsidR="008A3250">
        <w:rPr>
          <w:rFonts w:ascii="Calibri" w:eastAsia="Calibri" w:hAnsi="Calibri" w:cs="Calibri"/>
        </w:rPr>
        <w:t xml:space="preserve">early </w:t>
      </w:r>
      <w:r w:rsidR="7F89DB00" w:rsidRPr="00570A2B">
        <w:rPr>
          <w:rFonts w:ascii="Calibri" w:eastAsia="Calibri" w:hAnsi="Calibri" w:cs="Calibri"/>
        </w:rPr>
        <w:t>access for those who are underserved.</w:t>
      </w:r>
      <w:r w:rsidR="06A17EEA" w:rsidRPr="0071798F">
        <w:rPr>
          <w:rFonts w:ascii="Calibri" w:eastAsia="Calibri" w:hAnsi="Calibri" w:cs="Calibri"/>
        </w:rPr>
        <w:t xml:space="preserve"> Franciscan provides direct care services in the Kennedy School and in 18 Boston Public Schools.</w:t>
      </w:r>
      <w:r w:rsidR="0071798F" w:rsidRPr="0071798F">
        <w:rPr>
          <w:rFonts w:ascii="Calibri" w:eastAsia="Calibri" w:hAnsi="Calibri" w:cs="Calibri"/>
          <w:vertAlign w:val="superscript"/>
        </w:rPr>
        <w:footnoteReference w:id="30"/>
      </w:r>
      <w:r w:rsidR="06A17EEA" w:rsidRPr="0071798F">
        <w:rPr>
          <w:rFonts w:ascii="Calibri" w:eastAsia="Calibri" w:hAnsi="Calibri" w:cs="Calibri"/>
        </w:rPr>
        <w:t xml:space="preserve"> </w:t>
      </w:r>
      <w:r w:rsidR="008A3250" w:rsidRPr="00570A2B">
        <w:rPr>
          <w:rFonts w:ascii="Calibri" w:eastAsia="Calibri" w:hAnsi="Calibri" w:cs="Calibri"/>
        </w:rPr>
        <w:t>The Applicant stresses that the goal of these programs is early intervention and treatment to avert the need for more intensive levels of treatment</w:t>
      </w:r>
      <w:r w:rsidR="008A3250">
        <w:rPr>
          <w:rFonts w:ascii="Calibri" w:eastAsia="Calibri" w:hAnsi="Calibri" w:cs="Calibri"/>
        </w:rPr>
        <w:t xml:space="preserve"> including inpatient care</w:t>
      </w:r>
      <w:r w:rsidR="008A3250" w:rsidRPr="00570A2B">
        <w:rPr>
          <w:rFonts w:ascii="Calibri" w:eastAsia="Calibri" w:hAnsi="Calibri" w:cs="Calibri"/>
        </w:rPr>
        <w:t>.</w:t>
      </w:r>
      <w:r w:rsidR="008A3250" w:rsidRPr="00570A2B">
        <w:rPr>
          <w:rFonts w:ascii="Calibri" w:eastAsia="Calibri" w:hAnsi="Calibri" w:cs="Calibri"/>
          <w:vertAlign w:val="superscript"/>
        </w:rPr>
        <w:footnoteReference w:id="31"/>
      </w:r>
      <w:r w:rsidR="008A3250" w:rsidRPr="00570A2B">
        <w:rPr>
          <w:rFonts w:ascii="Calibri" w:eastAsia="Calibri" w:hAnsi="Calibri" w:cs="Calibri"/>
        </w:rPr>
        <w:t xml:space="preserve"> </w:t>
      </w:r>
      <w:r w:rsidR="7F89DB00">
        <w:rPr>
          <w:rFonts w:ascii="Calibri" w:eastAsia="Calibri" w:hAnsi="Calibri" w:cs="Calibri"/>
        </w:rPr>
        <w:t>While t</w:t>
      </w:r>
      <w:r w:rsidR="7F89DB00" w:rsidRPr="00570A2B">
        <w:rPr>
          <w:rFonts w:ascii="Calibri" w:eastAsia="Calibri" w:hAnsi="Calibri" w:cs="Calibri"/>
        </w:rPr>
        <w:t xml:space="preserve">hese school-based services are not a component of this Proposed Project since there are no associated Capital Expenditures, they are an essential component of the Applicant’s continuum of care that the applicant is dedicated to investing in to strengthen and expand with improved integration. </w:t>
      </w:r>
    </w:p>
    <w:p w14:paraId="2A8DDD9E" w14:textId="77777777" w:rsidR="00570A2B" w:rsidRDefault="00570A2B" w:rsidP="00EB34B4">
      <w:pPr>
        <w:rPr>
          <w:rFonts w:ascii="Calibri" w:eastAsia="Calibri" w:hAnsi="Calibri" w:cs="Calibri"/>
        </w:rPr>
      </w:pPr>
    </w:p>
    <w:p w14:paraId="3934D74B" w14:textId="61537F89" w:rsidR="00A41681" w:rsidRDefault="00BF020D" w:rsidP="00D523F2">
      <w:pPr>
        <w:rPr>
          <w:rFonts w:ascii="Calibri" w:eastAsia="Calibri" w:hAnsi="Calibri" w:cs="Calibri"/>
        </w:rPr>
      </w:pPr>
      <w:r w:rsidRPr="00BF020D">
        <w:rPr>
          <w:rFonts w:ascii="Calibri" w:eastAsia="Calibri" w:hAnsi="Calibri" w:cs="Calibri"/>
          <w:b/>
          <w:bCs/>
          <w:lang w:val="en"/>
        </w:rPr>
        <w:t xml:space="preserve">The </w:t>
      </w:r>
      <w:r>
        <w:rPr>
          <w:rFonts w:ascii="Calibri" w:eastAsia="Calibri" w:hAnsi="Calibri" w:cs="Calibri"/>
          <w:b/>
          <w:bCs/>
          <w:lang w:val="en"/>
        </w:rPr>
        <w:t>N</w:t>
      </w:r>
      <w:r w:rsidRPr="00BF020D">
        <w:rPr>
          <w:rFonts w:ascii="Calibri" w:eastAsia="Calibri" w:hAnsi="Calibri" w:cs="Calibri"/>
          <w:b/>
          <w:bCs/>
          <w:lang w:val="en"/>
        </w:rPr>
        <w:t xml:space="preserve">eed for Consolidation </w:t>
      </w:r>
      <w:r w:rsidR="00AC7FE5">
        <w:rPr>
          <w:rFonts w:ascii="Calibri" w:eastAsia="Calibri" w:hAnsi="Calibri" w:cs="Calibri"/>
          <w:b/>
          <w:bCs/>
          <w:lang w:val="en"/>
        </w:rPr>
        <w:t xml:space="preserve">and </w:t>
      </w:r>
      <w:r w:rsidR="00AC7FE5" w:rsidRPr="00AC7FE5">
        <w:rPr>
          <w:rFonts w:ascii="Calibri" w:eastAsia="Calibri" w:hAnsi="Calibri" w:cs="Calibri"/>
          <w:b/>
          <w:bCs/>
          <w:lang w:val="en"/>
        </w:rPr>
        <w:t xml:space="preserve">Expansion </w:t>
      </w:r>
      <w:r w:rsidRPr="00BF020D">
        <w:rPr>
          <w:rFonts w:ascii="Calibri" w:eastAsia="Calibri" w:hAnsi="Calibri" w:cs="Calibri"/>
          <w:b/>
          <w:bCs/>
          <w:lang w:val="en"/>
        </w:rPr>
        <w:t>of Mental Health Services to One Location</w:t>
      </w:r>
    </w:p>
    <w:p w14:paraId="6C43C089" w14:textId="15E4A926" w:rsidR="00D523F2" w:rsidRDefault="21138280" w:rsidP="00103961">
      <w:pPr>
        <w:rPr>
          <w:rFonts w:ascii="Calibri" w:eastAsia="Calibri" w:hAnsi="Calibri" w:cs="Calibri"/>
        </w:rPr>
      </w:pPr>
      <w:r w:rsidRPr="005407E0">
        <w:rPr>
          <w:rFonts w:ascii="Calibri" w:eastAsia="Calibri" w:hAnsi="Calibri" w:cs="Calibri"/>
        </w:rPr>
        <w:t>Franciscan’s most recent Community Health Needs Assessment (“CHNA”), conducted over the spring/summer of 2021, concluded that access to mental health care is a pressing concern in the community, particularly among children.</w:t>
      </w:r>
      <w:r w:rsidR="00B73799" w:rsidRPr="005407E0">
        <w:rPr>
          <w:rFonts w:ascii="Calibri" w:eastAsia="Calibri" w:hAnsi="Calibri" w:cs="Calibri"/>
          <w:vertAlign w:val="superscript"/>
        </w:rPr>
        <w:endnoteReference w:id="9"/>
      </w:r>
      <w:r w:rsidR="7C4B4F30" w:rsidRPr="005407E0">
        <w:rPr>
          <w:rFonts w:ascii="Calibri" w:eastAsia="Calibri" w:hAnsi="Calibri" w:cs="Calibri"/>
        </w:rPr>
        <w:t xml:space="preserve"> </w:t>
      </w:r>
      <w:r w:rsidRPr="005407E0">
        <w:rPr>
          <w:rFonts w:ascii="Calibri" w:eastAsia="Calibri" w:hAnsi="Calibri" w:cs="Calibri"/>
        </w:rPr>
        <w:t xml:space="preserve">Similarly, </w:t>
      </w:r>
      <w:bookmarkStart w:id="64" w:name="_9kR3WTr26649EMcjQIEEOaN43CE3ARqRrzJGld1"/>
      <w:r w:rsidRPr="005407E0">
        <w:rPr>
          <w:rFonts w:ascii="Calibri" w:eastAsia="Calibri" w:hAnsi="Calibri" w:cs="Calibri"/>
        </w:rPr>
        <w:t>BCH’s 2019 C</w:t>
      </w:r>
      <w:bookmarkEnd w:id="64"/>
      <w:r w:rsidRPr="005407E0">
        <w:rPr>
          <w:rFonts w:ascii="Calibri" w:eastAsia="Calibri" w:hAnsi="Calibri" w:cs="Calibri"/>
        </w:rPr>
        <w:t>HNA also concluded that mental health issues continue to be a high-priority concern, with about 7.5% of respondents aged 18 or under reporting to the Boston CHNA Community Survey that they had needed mental health services but had not been able to access them.</w:t>
      </w:r>
      <w:r w:rsidR="00B73799" w:rsidRPr="005407E0">
        <w:rPr>
          <w:rFonts w:ascii="Calibri" w:eastAsia="Calibri" w:hAnsi="Calibri" w:cs="Calibri"/>
          <w:vertAlign w:val="superscript"/>
        </w:rPr>
        <w:endnoteReference w:id="10"/>
      </w:r>
      <w:r w:rsidR="7C4B4F30" w:rsidRPr="005407E0">
        <w:rPr>
          <w:rFonts w:ascii="Calibri" w:eastAsia="Calibri" w:hAnsi="Calibri" w:cs="Calibri"/>
        </w:rPr>
        <w:t xml:space="preserve"> </w:t>
      </w:r>
    </w:p>
    <w:p w14:paraId="3174C177" w14:textId="77777777" w:rsidR="00B7689B" w:rsidRDefault="00B7689B" w:rsidP="00103961">
      <w:pPr>
        <w:rPr>
          <w:rFonts w:ascii="Calibri" w:eastAsia="Calibri" w:hAnsi="Calibri" w:cs="Calibri"/>
          <w:lang w:val="en"/>
        </w:rPr>
      </w:pPr>
    </w:p>
    <w:p w14:paraId="73A55E49" w14:textId="47EB2E84" w:rsidR="00BE4DAD" w:rsidRDefault="13D8404D" w:rsidP="00103961">
      <w:pPr>
        <w:rPr>
          <w:rFonts w:ascii="Calibri" w:eastAsia="Calibri" w:hAnsi="Calibri" w:cs="Calibri"/>
          <w:lang w:val="en"/>
        </w:rPr>
      </w:pPr>
      <w:r w:rsidRPr="6F80FCDD">
        <w:rPr>
          <w:rFonts w:ascii="Calibri" w:eastAsia="Calibri" w:hAnsi="Calibri" w:cs="Calibri"/>
          <w:lang w:val="en"/>
        </w:rPr>
        <w:t>As noted in the Background</w:t>
      </w:r>
      <w:r w:rsidR="008A3250">
        <w:rPr>
          <w:rFonts w:ascii="Calibri" w:eastAsia="Calibri" w:hAnsi="Calibri" w:cs="Calibri"/>
          <w:lang w:val="en"/>
        </w:rPr>
        <w:t xml:space="preserve"> section</w:t>
      </w:r>
      <w:r w:rsidRPr="6F80FCDD">
        <w:rPr>
          <w:rFonts w:ascii="Calibri" w:eastAsia="Calibri" w:hAnsi="Calibri" w:cs="Calibri"/>
          <w:lang w:val="en"/>
        </w:rPr>
        <w:t xml:space="preserve">, the Proposed Project is a Substantial Capital Expenditure Project </w:t>
      </w:r>
      <w:r w:rsidR="7F84B98D" w:rsidRPr="6F80FCDD">
        <w:rPr>
          <w:rFonts w:ascii="Calibri" w:eastAsia="Calibri" w:hAnsi="Calibri" w:cs="Calibri"/>
          <w:lang w:val="en"/>
        </w:rPr>
        <w:t xml:space="preserve">that will replace the current </w:t>
      </w:r>
      <w:r w:rsidR="000E10E9">
        <w:rPr>
          <w:rFonts w:ascii="Calibri" w:eastAsia="Calibri" w:hAnsi="Calibri" w:cs="Calibri"/>
          <w:lang w:val="en"/>
        </w:rPr>
        <w:t xml:space="preserve">mental </w:t>
      </w:r>
      <w:r w:rsidR="7F84B98D" w:rsidRPr="6F80FCDD">
        <w:rPr>
          <w:rFonts w:ascii="Calibri" w:eastAsia="Calibri" w:hAnsi="Calibri" w:cs="Calibri"/>
          <w:lang w:val="en"/>
        </w:rPr>
        <w:t xml:space="preserve">health </w:t>
      </w:r>
      <w:r w:rsidR="75C1251C" w:rsidRPr="6F80FCDD">
        <w:rPr>
          <w:rFonts w:ascii="Calibri" w:eastAsia="Calibri" w:hAnsi="Calibri" w:cs="Calibri"/>
          <w:lang w:val="en"/>
        </w:rPr>
        <w:t xml:space="preserve">clinical spaces </w:t>
      </w:r>
      <w:r w:rsidR="7F84B98D" w:rsidRPr="6F80FCDD">
        <w:rPr>
          <w:rFonts w:ascii="Calibri" w:eastAsia="Calibri" w:hAnsi="Calibri" w:cs="Calibri"/>
          <w:lang w:val="en"/>
        </w:rPr>
        <w:t>with purpose</w:t>
      </w:r>
      <w:r w:rsidR="15B609F2" w:rsidRPr="6F80FCDD">
        <w:rPr>
          <w:rFonts w:ascii="Calibri" w:eastAsia="Calibri" w:hAnsi="Calibri" w:cs="Calibri"/>
          <w:lang w:val="en"/>
        </w:rPr>
        <w:t>-</w:t>
      </w:r>
      <w:r w:rsidR="7F84B98D" w:rsidRPr="6F80FCDD">
        <w:rPr>
          <w:rFonts w:ascii="Calibri" w:eastAsia="Calibri" w:hAnsi="Calibri" w:cs="Calibri"/>
          <w:lang w:val="en"/>
        </w:rPr>
        <w:t xml:space="preserve">built clinical spaces, thereby allowing for </w:t>
      </w:r>
      <w:r w:rsidR="7EA384FE" w:rsidRPr="6F80FCDD">
        <w:rPr>
          <w:rFonts w:ascii="Calibri" w:eastAsia="Calibri" w:hAnsi="Calibri" w:cs="Calibri"/>
          <w:lang w:val="en"/>
        </w:rPr>
        <w:t xml:space="preserve">both </w:t>
      </w:r>
      <w:r w:rsidR="7F84B98D" w:rsidRPr="6F80FCDD">
        <w:rPr>
          <w:rFonts w:ascii="Calibri" w:eastAsia="Calibri" w:hAnsi="Calibri" w:cs="Calibri"/>
          <w:lang w:val="en"/>
        </w:rPr>
        <w:t>consolidation of existing approved programs and services into one location</w:t>
      </w:r>
      <w:r w:rsidR="003B5F5E">
        <w:rPr>
          <w:rFonts w:ascii="Calibri" w:eastAsia="Calibri" w:hAnsi="Calibri" w:cs="Calibri"/>
          <w:lang w:val="en"/>
        </w:rPr>
        <w:t>,</w:t>
      </w:r>
      <w:r w:rsidR="7EA384FE" w:rsidRPr="6F80FCDD">
        <w:rPr>
          <w:rFonts w:ascii="Calibri" w:eastAsia="Calibri" w:hAnsi="Calibri" w:cs="Calibri"/>
          <w:lang w:val="en"/>
        </w:rPr>
        <w:t xml:space="preserve"> as well as enable full operation of </w:t>
      </w:r>
      <w:r w:rsidR="003967E5">
        <w:rPr>
          <w:rFonts w:ascii="Calibri" w:eastAsia="Calibri" w:hAnsi="Calibri" w:cs="Calibri"/>
          <w:lang w:val="en"/>
        </w:rPr>
        <w:t xml:space="preserve">all </w:t>
      </w:r>
      <w:r w:rsidR="7EA384FE" w:rsidRPr="6F80FCDD">
        <w:rPr>
          <w:rFonts w:ascii="Calibri" w:eastAsia="Calibri" w:hAnsi="Calibri" w:cs="Calibri"/>
          <w:lang w:val="en"/>
        </w:rPr>
        <w:t>approved</w:t>
      </w:r>
      <w:r w:rsidR="003967E5">
        <w:rPr>
          <w:rFonts w:ascii="Calibri" w:eastAsia="Calibri" w:hAnsi="Calibri" w:cs="Calibri"/>
          <w:lang w:val="en"/>
        </w:rPr>
        <w:t xml:space="preserve"> licensed</w:t>
      </w:r>
      <w:r w:rsidR="7EA384FE" w:rsidRPr="6F80FCDD">
        <w:rPr>
          <w:rFonts w:ascii="Calibri" w:eastAsia="Calibri" w:hAnsi="Calibri" w:cs="Calibri"/>
          <w:lang w:val="en"/>
        </w:rPr>
        <w:t xml:space="preserve"> beds and </w:t>
      </w:r>
      <w:r w:rsidR="003B5F5E">
        <w:rPr>
          <w:rFonts w:ascii="Calibri" w:eastAsia="Calibri" w:hAnsi="Calibri" w:cs="Calibri"/>
          <w:lang w:val="en"/>
        </w:rPr>
        <w:t xml:space="preserve">service </w:t>
      </w:r>
      <w:r w:rsidR="7EA384FE" w:rsidRPr="6F80FCDD">
        <w:rPr>
          <w:rFonts w:ascii="Calibri" w:eastAsia="Calibri" w:hAnsi="Calibri" w:cs="Calibri"/>
          <w:lang w:val="en"/>
        </w:rPr>
        <w:t>expansion to address needs</w:t>
      </w:r>
      <w:r w:rsidR="7F84B98D" w:rsidRPr="6F80FCDD">
        <w:rPr>
          <w:rFonts w:ascii="Calibri" w:eastAsia="Calibri" w:hAnsi="Calibri" w:cs="Calibri"/>
          <w:lang w:val="en"/>
        </w:rPr>
        <w:t xml:space="preserve">. </w:t>
      </w:r>
      <w:r w:rsidR="003B5F5E">
        <w:rPr>
          <w:rFonts w:ascii="Calibri" w:eastAsia="Calibri" w:hAnsi="Calibri" w:cs="Calibri"/>
          <w:lang w:val="en"/>
        </w:rPr>
        <w:t>Through the Proposed Project, t</w:t>
      </w:r>
      <w:r w:rsidR="727BE976" w:rsidRPr="6F80FCDD">
        <w:rPr>
          <w:rFonts w:ascii="Calibri" w:eastAsia="Calibri" w:hAnsi="Calibri" w:cs="Calibri"/>
          <w:lang w:val="en"/>
        </w:rPr>
        <w:t xml:space="preserve">he Applicant </w:t>
      </w:r>
      <w:r w:rsidR="05E25243" w:rsidRPr="6F80FCDD">
        <w:rPr>
          <w:rFonts w:ascii="Calibri" w:eastAsia="Calibri" w:hAnsi="Calibri" w:cs="Calibri"/>
          <w:lang w:val="en"/>
        </w:rPr>
        <w:t xml:space="preserve">will </w:t>
      </w:r>
      <w:r w:rsidR="727BE976" w:rsidRPr="6F80FCDD">
        <w:rPr>
          <w:rFonts w:ascii="Calibri" w:eastAsia="Calibri" w:hAnsi="Calibri" w:cs="Calibri"/>
          <w:lang w:val="en"/>
        </w:rPr>
        <w:t xml:space="preserve">address gaps in </w:t>
      </w:r>
      <w:r w:rsidR="003B5F5E">
        <w:rPr>
          <w:rFonts w:ascii="Calibri" w:eastAsia="Calibri" w:hAnsi="Calibri" w:cs="Calibri"/>
          <w:lang w:val="en"/>
        </w:rPr>
        <w:t xml:space="preserve">mental health </w:t>
      </w:r>
      <w:r w:rsidR="727BE976" w:rsidRPr="6F80FCDD">
        <w:rPr>
          <w:rFonts w:ascii="Calibri" w:eastAsia="Calibri" w:hAnsi="Calibri" w:cs="Calibri"/>
          <w:lang w:val="en"/>
        </w:rPr>
        <w:t>service</w:t>
      </w:r>
      <w:r w:rsidR="7EA384FE" w:rsidRPr="6F80FCDD">
        <w:rPr>
          <w:rFonts w:ascii="Calibri" w:eastAsia="Calibri" w:hAnsi="Calibri" w:cs="Calibri"/>
          <w:lang w:val="en"/>
        </w:rPr>
        <w:t>s</w:t>
      </w:r>
      <w:r w:rsidR="381EF975" w:rsidRPr="6F80FCDD">
        <w:rPr>
          <w:rFonts w:ascii="Calibri" w:eastAsia="Calibri" w:hAnsi="Calibri" w:cs="Calibri"/>
          <w:lang w:val="en"/>
        </w:rPr>
        <w:t>,</w:t>
      </w:r>
      <w:r w:rsidR="7EA384FE" w:rsidRPr="6F80FCDD">
        <w:rPr>
          <w:rFonts w:ascii="Calibri" w:eastAsia="Calibri" w:hAnsi="Calibri" w:cs="Calibri"/>
          <w:lang w:val="en"/>
        </w:rPr>
        <w:t xml:space="preserve"> </w:t>
      </w:r>
      <w:r w:rsidR="5459A044" w:rsidRPr="6F80FCDD">
        <w:rPr>
          <w:rFonts w:ascii="Calibri" w:eastAsia="Calibri" w:hAnsi="Calibri" w:cs="Calibri"/>
          <w:lang w:val="en"/>
        </w:rPr>
        <w:t xml:space="preserve">described below, </w:t>
      </w:r>
      <w:r w:rsidR="7F84B98D" w:rsidRPr="6F80FCDD">
        <w:rPr>
          <w:rFonts w:ascii="Calibri" w:eastAsia="Calibri" w:hAnsi="Calibri" w:cs="Calibri"/>
          <w:lang w:val="en"/>
        </w:rPr>
        <w:t>including</w:t>
      </w:r>
      <w:r w:rsidR="11C372D0" w:rsidRPr="6F80FCDD">
        <w:rPr>
          <w:rFonts w:ascii="Calibri" w:eastAsia="Calibri" w:hAnsi="Calibri" w:cs="Calibri"/>
          <w:lang w:val="en"/>
        </w:rPr>
        <w:t xml:space="preserve"> the transfer </w:t>
      </w:r>
      <w:r w:rsidR="44F8CF37" w:rsidRPr="6F80FCDD">
        <w:rPr>
          <w:rFonts w:ascii="Calibri" w:eastAsia="Calibri" w:hAnsi="Calibri" w:cs="Calibri"/>
          <w:lang w:val="en"/>
        </w:rPr>
        <w:t>of 12 operational pediatric psychiatric beds and a partial hospitalization program from BCH-Waltham</w:t>
      </w:r>
      <w:r w:rsidR="7F84B98D" w:rsidRPr="6F80FCDD">
        <w:rPr>
          <w:rFonts w:ascii="Calibri" w:eastAsia="Calibri" w:hAnsi="Calibri" w:cs="Calibri"/>
          <w:lang w:val="en"/>
        </w:rPr>
        <w:t>.</w:t>
      </w:r>
    </w:p>
    <w:p w14:paraId="08A68B93" w14:textId="77777777" w:rsidR="00E26B75" w:rsidRDefault="00E26B75" w:rsidP="00103961">
      <w:pPr>
        <w:rPr>
          <w:rFonts w:ascii="Calibri" w:eastAsia="Calibri" w:hAnsi="Calibri" w:cs="Calibri"/>
          <w:lang w:val="en"/>
        </w:rPr>
      </w:pPr>
    </w:p>
    <w:p w14:paraId="289CCB98" w14:textId="7B5E7CF4" w:rsidR="00BF6714" w:rsidRDefault="00BF6714" w:rsidP="00103961">
      <w:pPr>
        <w:rPr>
          <w:rFonts w:ascii="Calibri" w:eastAsia="Calibri" w:hAnsi="Calibri" w:cs="Calibri"/>
        </w:rPr>
      </w:pPr>
      <w:r>
        <w:rPr>
          <w:rFonts w:ascii="Calibri" w:eastAsia="Calibri" w:hAnsi="Calibri" w:cs="Calibri"/>
          <w:lang w:val="en"/>
        </w:rPr>
        <w:t xml:space="preserve">Following project </w:t>
      </w:r>
      <w:r w:rsidR="00F505CA">
        <w:rPr>
          <w:rFonts w:ascii="Calibri" w:eastAsia="Calibri" w:hAnsi="Calibri" w:cs="Calibri"/>
          <w:lang w:val="en"/>
        </w:rPr>
        <w:t>completion,</w:t>
      </w:r>
      <w:r>
        <w:rPr>
          <w:rFonts w:ascii="Calibri" w:eastAsia="Calibri" w:hAnsi="Calibri" w:cs="Calibri"/>
          <w:lang w:val="en"/>
        </w:rPr>
        <w:t xml:space="preserve"> </w:t>
      </w:r>
      <w:r w:rsidR="72DC7D41" w:rsidRPr="6F28A89E">
        <w:rPr>
          <w:rFonts w:ascii="Calibri" w:eastAsia="Calibri" w:hAnsi="Calibri" w:cs="Calibri"/>
          <w:lang w:val="en"/>
        </w:rPr>
        <w:t xml:space="preserve">as Table 1 shows, </w:t>
      </w:r>
      <w:r w:rsidR="004817AC">
        <w:rPr>
          <w:rFonts w:ascii="Calibri" w:eastAsia="Calibri" w:hAnsi="Calibri" w:cs="Calibri"/>
          <w:lang w:val="en"/>
        </w:rPr>
        <w:t xml:space="preserve">the number of licensed pediatric </w:t>
      </w:r>
      <w:r w:rsidR="00AC7FE5">
        <w:rPr>
          <w:rFonts w:ascii="Calibri" w:eastAsia="Calibri" w:hAnsi="Calibri" w:cs="Calibri"/>
          <w:lang w:val="en"/>
        </w:rPr>
        <w:t>mental health</w:t>
      </w:r>
      <w:r w:rsidR="004817AC">
        <w:rPr>
          <w:rFonts w:ascii="Calibri" w:eastAsia="Calibri" w:hAnsi="Calibri" w:cs="Calibri"/>
          <w:lang w:val="en"/>
        </w:rPr>
        <w:t xml:space="preserve"> beds will increase from 32 to</w:t>
      </w:r>
      <w:r w:rsidR="002B49DB">
        <w:rPr>
          <w:rFonts w:ascii="Calibri" w:eastAsia="Calibri" w:hAnsi="Calibri" w:cs="Calibri"/>
          <w:lang w:val="en"/>
        </w:rPr>
        <w:t xml:space="preserve"> </w:t>
      </w:r>
      <w:r w:rsidRPr="00BF6714">
        <w:rPr>
          <w:rFonts w:ascii="Calibri" w:eastAsia="Calibri" w:hAnsi="Calibri" w:cs="Calibri"/>
        </w:rPr>
        <w:t xml:space="preserve">56 </w:t>
      </w:r>
      <w:r w:rsidR="002B49DB">
        <w:rPr>
          <w:rFonts w:ascii="Calibri" w:eastAsia="Calibri" w:hAnsi="Calibri" w:cs="Calibri"/>
        </w:rPr>
        <w:t>configured as follows</w:t>
      </w:r>
      <w:r w:rsidRPr="00BF6714">
        <w:rPr>
          <w:rFonts w:ascii="Calibri" w:eastAsia="Calibri" w:hAnsi="Calibri" w:cs="Calibri"/>
        </w:rPr>
        <w:t>:</w:t>
      </w:r>
    </w:p>
    <w:p w14:paraId="3E9F7C71" w14:textId="77777777" w:rsidR="00AC7FE5" w:rsidRPr="00BF6714" w:rsidRDefault="00AC7FE5" w:rsidP="00103961">
      <w:pPr>
        <w:rPr>
          <w:rFonts w:ascii="Calibri" w:eastAsia="Calibri" w:hAnsi="Calibri" w:cs="Calibri"/>
        </w:rPr>
      </w:pPr>
    </w:p>
    <w:p w14:paraId="223B49A8" w14:textId="67C55E85" w:rsidR="00BF6714" w:rsidRPr="00BF6714" w:rsidRDefault="00BF6714" w:rsidP="007F1D38">
      <w:pPr>
        <w:numPr>
          <w:ilvl w:val="1"/>
          <w:numId w:val="4"/>
        </w:numPr>
        <w:rPr>
          <w:rFonts w:ascii="Calibri" w:eastAsia="Calibri" w:hAnsi="Calibri" w:cs="Calibri"/>
        </w:rPr>
      </w:pPr>
      <w:r w:rsidRPr="00BF6714">
        <w:rPr>
          <w:rFonts w:ascii="Calibri" w:eastAsia="Calibri" w:hAnsi="Calibri" w:cs="Calibri"/>
        </w:rPr>
        <w:t>48 pediatric mental health beds</w:t>
      </w:r>
      <w:r w:rsidR="002B49DB">
        <w:rPr>
          <w:rFonts w:ascii="Calibri" w:eastAsia="Calibri" w:hAnsi="Calibri" w:cs="Calibri"/>
        </w:rPr>
        <w:t xml:space="preserve"> (including the consolidation of 12 beds from BCH Waltham)</w:t>
      </w:r>
    </w:p>
    <w:p w14:paraId="578577CA" w14:textId="42EFEAB8" w:rsidR="00BF6714" w:rsidRPr="00BF6714" w:rsidRDefault="00BF6714" w:rsidP="007F1D38">
      <w:pPr>
        <w:numPr>
          <w:ilvl w:val="1"/>
          <w:numId w:val="4"/>
        </w:numPr>
        <w:rPr>
          <w:rFonts w:ascii="Calibri" w:eastAsia="Calibri" w:hAnsi="Calibri" w:cs="Calibri"/>
        </w:rPr>
      </w:pPr>
      <w:r w:rsidRPr="00BF6714">
        <w:rPr>
          <w:rFonts w:ascii="Calibri" w:eastAsia="Calibri" w:hAnsi="Calibri" w:cs="Calibri"/>
        </w:rPr>
        <w:t xml:space="preserve">8 pediatric </w:t>
      </w:r>
      <w:r w:rsidR="009919CD">
        <w:rPr>
          <w:rFonts w:ascii="Calibri" w:eastAsia="Calibri" w:hAnsi="Calibri" w:cs="Calibri"/>
        </w:rPr>
        <w:t xml:space="preserve">IDD </w:t>
      </w:r>
      <w:r w:rsidRPr="00BF6714">
        <w:rPr>
          <w:rFonts w:ascii="Calibri" w:eastAsia="Calibri" w:hAnsi="Calibri" w:cs="Calibri"/>
        </w:rPr>
        <w:t xml:space="preserve">Autism/Neurodevelopmental disability beds </w:t>
      </w:r>
      <w:r w:rsidR="002B49DB">
        <w:rPr>
          <w:rFonts w:ascii="Calibri" w:eastAsia="Calibri" w:hAnsi="Calibri" w:cs="Calibri"/>
        </w:rPr>
        <w:t xml:space="preserve">which is a </w:t>
      </w:r>
      <w:r w:rsidRPr="00BF6714">
        <w:rPr>
          <w:rFonts w:ascii="Calibri" w:eastAsia="Calibri" w:hAnsi="Calibri" w:cs="Calibri"/>
        </w:rPr>
        <w:t xml:space="preserve">new </w:t>
      </w:r>
      <w:r w:rsidR="002B49DB">
        <w:rPr>
          <w:rFonts w:ascii="Calibri" w:eastAsia="Calibri" w:hAnsi="Calibri" w:cs="Calibri"/>
        </w:rPr>
        <w:t xml:space="preserve">specialty </w:t>
      </w:r>
      <w:r w:rsidRPr="00BF6714">
        <w:rPr>
          <w:rFonts w:ascii="Calibri" w:eastAsia="Calibri" w:hAnsi="Calibri" w:cs="Calibri"/>
        </w:rPr>
        <w:t>program</w:t>
      </w:r>
      <w:r w:rsidR="004817AC">
        <w:rPr>
          <w:rFonts w:ascii="Calibri" w:eastAsia="Calibri" w:hAnsi="Calibri" w:cs="Calibri"/>
        </w:rPr>
        <w:t>.</w:t>
      </w:r>
    </w:p>
    <w:p w14:paraId="77AE59AF" w14:textId="77777777" w:rsidR="0079060B" w:rsidRDefault="0079060B" w:rsidP="00103961">
      <w:pPr>
        <w:rPr>
          <w:rFonts w:ascii="Calibri" w:eastAsia="Calibri" w:hAnsi="Calibri" w:cs="Calibri"/>
          <w:highlight w:val="yellow"/>
          <w:lang w:val="en"/>
        </w:rPr>
      </w:pPr>
    </w:p>
    <w:p w14:paraId="20790571" w14:textId="38C1A623" w:rsidR="0079060B" w:rsidRPr="0079060B" w:rsidRDefault="00103961" w:rsidP="00103961">
      <w:pPr>
        <w:rPr>
          <w:rFonts w:ascii="Calibri" w:eastAsia="Calibri" w:hAnsi="Calibri" w:cs="Calibri"/>
        </w:rPr>
      </w:pPr>
      <w:r w:rsidRPr="3655DEAD">
        <w:rPr>
          <w:rFonts w:ascii="Calibri" w:eastAsia="Calibri" w:hAnsi="Calibri" w:cs="Calibri"/>
        </w:rPr>
        <w:lastRenderedPageBreak/>
        <w:t>The Applicant asserts that p</w:t>
      </w:r>
      <w:r w:rsidR="0079060B" w:rsidRPr="3655DEAD">
        <w:rPr>
          <w:rFonts w:ascii="Calibri" w:eastAsia="Calibri" w:hAnsi="Calibri" w:cs="Calibri"/>
        </w:rPr>
        <w:t xml:space="preserve">atients with autism require significant levels of specialized provider expertise and education. This population often has </w:t>
      </w:r>
      <w:r w:rsidRPr="3655DEAD">
        <w:rPr>
          <w:rFonts w:ascii="Calibri" w:eastAsia="Calibri" w:hAnsi="Calibri" w:cs="Calibri"/>
        </w:rPr>
        <w:t xml:space="preserve">extended </w:t>
      </w:r>
      <w:r w:rsidR="0079060B" w:rsidRPr="3655DEAD">
        <w:rPr>
          <w:rFonts w:ascii="Calibri" w:eastAsia="Calibri" w:hAnsi="Calibri" w:cs="Calibri"/>
        </w:rPr>
        <w:t>length</w:t>
      </w:r>
      <w:r w:rsidRPr="3655DEAD">
        <w:rPr>
          <w:rFonts w:ascii="Calibri" w:eastAsia="Calibri" w:hAnsi="Calibri" w:cs="Calibri"/>
        </w:rPr>
        <w:t>s</w:t>
      </w:r>
      <w:r w:rsidR="0079060B" w:rsidRPr="3655DEAD">
        <w:rPr>
          <w:rFonts w:ascii="Calibri" w:eastAsia="Calibri" w:hAnsi="Calibri" w:cs="Calibri"/>
        </w:rPr>
        <w:t xml:space="preserve"> of stay (100+ days), higher use of restraints and </w:t>
      </w:r>
      <w:r w:rsidRPr="3655DEAD">
        <w:rPr>
          <w:rFonts w:ascii="Calibri" w:eastAsia="Calibri" w:hAnsi="Calibri" w:cs="Calibri"/>
        </w:rPr>
        <w:t xml:space="preserve">an </w:t>
      </w:r>
      <w:r w:rsidR="0079060B" w:rsidRPr="3655DEAD">
        <w:rPr>
          <w:rFonts w:ascii="Calibri" w:eastAsia="Calibri" w:hAnsi="Calibri" w:cs="Calibri"/>
        </w:rPr>
        <w:t>increased patient/staff safety risk. The 8 dedicated IDD beds in the Proposed Project will provide a more optimal and lower cost setting of care</w:t>
      </w:r>
      <w:r w:rsidR="00D620CC" w:rsidRPr="3655DEAD">
        <w:rPr>
          <w:rFonts w:ascii="Calibri" w:eastAsia="Calibri" w:hAnsi="Calibri" w:cs="Calibri"/>
        </w:rPr>
        <w:t xml:space="preserve"> than an acute hospital admission</w:t>
      </w:r>
      <w:r w:rsidR="0079060B" w:rsidRPr="3655DEAD">
        <w:rPr>
          <w:rFonts w:ascii="Calibri" w:eastAsia="Calibri" w:hAnsi="Calibri" w:cs="Calibri"/>
        </w:rPr>
        <w:t>. In addition, the Proposed Project includes a</w:t>
      </w:r>
      <w:r w:rsidR="003B5F5E">
        <w:rPr>
          <w:rFonts w:ascii="Calibri" w:eastAsia="Calibri" w:hAnsi="Calibri" w:cs="Calibri"/>
        </w:rPr>
        <w:t>n</w:t>
      </w:r>
      <w:r w:rsidR="0079060B" w:rsidRPr="3655DEAD">
        <w:rPr>
          <w:rFonts w:ascii="Calibri" w:eastAsia="Calibri" w:hAnsi="Calibri" w:cs="Calibri"/>
        </w:rPr>
        <w:t xml:space="preserve"> IDD </w:t>
      </w:r>
      <w:r w:rsidR="003B5F5E" w:rsidRPr="3655DEAD">
        <w:rPr>
          <w:rFonts w:ascii="Calibri" w:eastAsia="Calibri" w:hAnsi="Calibri" w:cs="Calibri"/>
        </w:rPr>
        <w:t xml:space="preserve">partial </w:t>
      </w:r>
      <w:r w:rsidR="0079060B" w:rsidRPr="3655DEAD">
        <w:rPr>
          <w:rFonts w:ascii="Calibri" w:eastAsia="Calibri" w:hAnsi="Calibri" w:cs="Calibri"/>
        </w:rPr>
        <w:t xml:space="preserve">hospitalization program. Pairing inpatient care with a partial </w:t>
      </w:r>
      <w:r w:rsidR="003B5F5E">
        <w:rPr>
          <w:rFonts w:ascii="Calibri" w:eastAsia="Calibri" w:hAnsi="Calibri" w:cs="Calibri"/>
        </w:rPr>
        <w:t xml:space="preserve">hospitalization </w:t>
      </w:r>
      <w:r w:rsidR="0079060B" w:rsidRPr="3655DEAD">
        <w:rPr>
          <w:rFonts w:ascii="Calibri" w:eastAsia="Calibri" w:hAnsi="Calibri" w:cs="Calibri"/>
        </w:rPr>
        <w:t xml:space="preserve">program is a crucial </w:t>
      </w:r>
      <w:r w:rsidR="00D620CC" w:rsidRPr="3655DEAD">
        <w:rPr>
          <w:rFonts w:ascii="Calibri" w:eastAsia="Calibri" w:hAnsi="Calibri" w:cs="Calibri"/>
        </w:rPr>
        <w:t xml:space="preserve">transition </w:t>
      </w:r>
      <w:r w:rsidR="0079060B" w:rsidRPr="3655DEAD">
        <w:rPr>
          <w:rFonts w:ascii="Calibri" w:eastAsia="Calibri" w:hAnsi="Calibri" w:cs="Calibri"/>
        </w:rPr>
        <w:t xml:space="preserve">component of care </w:t>
      </w:r>
      <w:r w:rsidR="00D620CC" w:rsidRPr="3655DEAD">
        <w:rPr>
          <w:rFonts w:ascii="Calibri" w:eastAsia="Calibri" w:hAnsi="Calibri" w:cs="Calibri"/>
        </w:rPr>
        <w:t xml:space="preserve">that supports </w:t>
      </w:r>
      <w:r w:rsidR="0079060B" w:rsidRPr="3655DEAD">
        <w:rPr>
          <w:rFonts w:ascii="Calibri" w:eastAsia="Calibri" w:hAnsi="Calibri" w:cs="Calibri"/>
        </w:rPr>
        <w:t xml:space="preserve">the patient’s re-entry into the home. </w:t>
      </w:r>
    </w:p>
    <w:p w14:paraId="5DD28416" w14:textId="77777777" w:rsidR="0079060B" w:rsidRPr="0079060B" w:rsidRDefault="0079060B" w:rsidP="00103961">
      <w:pPr>
        <w:rPr>
          <w:rFonts w:ascii="Calibri" w:eastAsia="Calibri" w:hAnsi="Calibri" w:cs="Calibri"/>
          <w:highlight w:val="yellow"/>
        </w:rPr>
      </w:pPr>
    </w:p>
    <w:p w14:paraId="70221722" w14:textId="17A4F14D" w:rsidR="0079060B" w:rsidRPr="0079060B" w:rsidRDefault="282D68FC" w:rsidP="00103961">
      <w:pPr>
        <w:rPr>
          <w:rFonts w:ascii="Calibri" w:eastAsia="Calibri" w:hAnsi="Calibri" w:cs="Calibri"/>
        </w:rPr>
      </w:pPr>
      <w:r w:rsidRPr="0079060B">
        <w:rPr>
          <w:rFonts w:ascii="Calibri" w:eastAsia="Calibri" w:hAnsi="Calibri" w:cs="Calibri"/>
        </w:rPr>
        <w:t>To further meet the needs of patients and families, the Proposed Project will add a med-psych partial hospitalization program. The program will provide pediatric patients with intensive mental health services during the day and allow patients to return home in the evening</w:t>
      </w:r>
      <w:r w:rsidR="28428406">
        <w:rPr>
          <w:rFonts w:ascii="Calibri" w:eastAsia="Calibri" w:hAnsi="Calibri" w:cs="Calibri"/>
        </w:rPr>
        <w:t>.</w:t>
      </w:r>
      <w:r w:rsidRPr="0079060B">
        <w:rPr>
          <w:rFonts w:ascii="Calibri" w:eastAsia="Calibri" w:hAnsi="Calibri" w:cs="Calibri"/>
        </w:rPr>
        <w:t xml:space="preserve"> The program is envisioned to treat conditions such as somatic symptom and related disorders, eating disorders, and chronic medical illnesses (diabetes, seizures, etc.) complicated by psychiatric conditions like depression, anxiety, or non-adherence (commonly experienced by youth ages 12-17 years). </w:t>
      </w:r>
      <w:r w:rsidR="7EA86575">
        <w:rPr>
          <w:rFonts w:ascii="Calibri" w:eastAsia="Calibri" w:hAnsi="Calibri" w:cs="Calibri"/>
        </w:rPr>
        <w:t xml:space="preserve">The Applicant hopes </w:t>
      </w:r>
      <w:r w:rsidR="28428406">
        <w:rPr>
          <w:rFonts w:ascii="Calibri" w:eastAsia="Calibri" w:hAnsi="Calibri" w:cs="Calibri"/>
        </w:rPr>
        <w:t>that t</w:t>
      </w:r>
      <w:r w:rsidRPr="0079060B">
        <w:rPr>
          <w:rFonts w:ascii="Calibri" w:eastAsia="Calibri" w:hAnsi="Calibri" w:cs="Calibri"/>
        </w:rPr>
        <w:t xml:space="preserve">he creation of </w:t>
      </w:r>
      <w:r w:rsidR="28428406">
        <w:rPr>
          <w:rFonts w:ascii="Calibri" w:eastAsia="Calibri" w:hAnsi="Calibri" w:cs="Calibri"/>
        </w:rPr>
        <w:t xml:space="preserve">this </w:t>
      </w:r>
      <w:r w:rsidRPr="0079060B">
        <w:rPr>
          <w:rFonts w:ascii="Calibri" w:eastAsia="Calibri" w:hAnsi="Calibri" w:cs="Calibri"/>
        </w:rPr>
        <w:t xml:space="preserve">med-psych partial hospitalization program will help </w:t>
      </w:r>
      <w:r w:rsidR="28428406">
        <w:rPr>
          <w:rFonts w:ascii="Calibri" w:eastAsia="Calibri" w:hAnsi="Calibri" w:cs="Calibri"/>
        </w:rPr>
        <w:t xml:space="preserve">reduce the </w:t>
      </w:r>
      <w:r w:rsidRPr="0079060B">
        <w:rPr>
          <w:rFonts w:ascii="Calibri" w:eastAsia="Calibri" w:hAnsi="Calibri" w:cs="Calibri"/>
        </w:rPr>
        <w:t>need for children</w:t>
      </w:r>
      <w:r w:rsidR="28428406">
        <w:rPr>
          <w:rFonts w:ascii="Calibri" w:eastAsia="Calibri" w:hAnsi="Calibri" w:cs="Calibri"/>
        </w:rPr>
        <w:t>’s</w:t>
      </w:r>
      <w:r w:rsidRPr="0079060B">
        <w:rPr>
          <w:rFonts w:ascii="Calibri" w:eastAsia="Calibri" w:hAnsi="Calibri" w:cs="Calibri"/>
        </w:rPr>
        <w:t xml:space="preserve"> </w:t>
      </w:r>
      <w:r w:rsidR="28428406">
        <w:rPr>
          <w:rFonts w:ascii="Calibri" w:eastAsia="Calibri" w:hAnsi="Calibri" w:cs="Calibri"/>
        </w:rPr>
        <w:t xml:space="preserve">extended stays in emergency </w:t>
      </w:r>
      <w:r w:rsidRPr="0079060B">
        <w:rPr>
          <w:rFonts w:ascii="Calibri" w:eastAsia="Calibri" w:hAnsi="Calibri" w:cs="Calibri"/>
        </w:rPr>
        <w:t>department</w:t>
      </w:r>
      <w:r w:rsidR="28428406">
        <w:rPr>
          <w:rFonts w:ascii="Calibri" w:eastAsia="Calibri" w:hAnsi="Calibri" w:cs="Calibri"/>
        </w:rPr>
        <w:t>s</w:t>
      </w:r>
      <w:r w:rsidR="7EA86575">
        <w:rPr>
          <w:rFonts w:ascii="Calibri" w:eastAsia="Calibri" w:hAnsi="Calibri" w:cs="Calibri"/>
        </w:rPr>
        <w:t>,</w:t>
      </w:r>
      <w:r w:rsidRPr="0079060B">
        <w:rPr>
          <w:rFonts w:ascii="Calibri" w:eastAsia="Calibri" w:hAnsi="Calibri" w:cs="Calibri"/>
        </w:rPr>
        <w:t xml:space="preserve"> and </w:t>
      </w:r>
      <w:r w:rsidR="7EA86575">
        <w:rPr>
          <w:rFonts w:ascii="Calibri" w:eastAsia="Calibri" w:hAnsi="Calibri" w:cs="Calibri"/>
        </w:rPr>
        <w:t xml:space="preserve">that it </w:t>
      </w:r>
      <w:r w:rsidRPr="0079060B">
        <w:rPr>
          <w:rFonts w:ascii="Calibri" w:eastAsia="Calibri" w:hAnsi="Calibri" w:cs="Calibri"/>
        </w:rPr>
        <w:t>will provide step-down options for children requiring an intensive level of ongoing care upon discharge.</w:t>
      </w:r>
      <w:r w:rsidR="7EA384FE">
        <w:rPr>
          <w:rFonts w:ascii="Calibri" w:eastAsia="Calibri" w:hAnsi="Calibri" w:cs="Calibri"/>
        </w:rPr>
        <w:t xml:space="preserve"> Data provided by the Applicant show a significant increase (340%) in inpatient care and boarding </w:t>
      </w:r>
      <w:r w:rsidR="3195A253" w:rsidRPr="6F80FCDD">
        <w:rPr>
          <w:rFonts w:ascii="Calibri" w:eastAsia="Calibri" w:hAnsi="Calibri" w:cs="Calibri"/>
        </w:rPr>
        <w:t xml:space="preserve">at BCH </w:t>
      </w:r>
      <w:r w:rsidR="7EA384FE">
        <w:rPr>
          <w:rFonts w:ascii="Calibri" w:eastAsia="Calibri" w:hAnsi="Calibri" w:cs="Calibri"/>
        </w:rPr>
        <w:t>since 2018.</w:t>
      </w:r>
      <w:r w:rsidR="00F505CA">
        <w:rPr>
          <w:rStyle w:val="FootnoteReference"/>
          <w:rFonts w:ascii="Calibri" w:eastAsia="Calibri" w:hAnsi="Calibri" w:cs="Calibri"/>
        </w:rPr>
        <w:footnoteReference w:id="32"/>
      </w:r>
      <w:r w:rsidR="7EA384FE">
        <w:rPr>
          <w:rFonts w:ascii="Calibri" w:eastAsia="Calibri" w:hAnsi="Calibri" w:cs="Calibri"/>
        </w:rPr>
        <w:t xml:space="preserve"> </w:t>
      </w:r>
    </w:p>
    <w:p w14:paraId="66DE56B4" w14:textId="77777777" w:rsidR="0079060B" w:rsidRPr="0079060B" w:rsidRDefault="0079060B" w:rsidP="0079060B">
      <w:pPr>
        <w:rPr>
          <w:rFonts w:ascii="Calibri" w:eastAsia="Calibri" w:hAnsi="Calibri" w:cs="Calibri"/>
          <w:highlight w:val="yellow"/>
        </w:rPr>
      </w:pPr>
    </w:p>
    <w:p w14:paraId="2676FD2D" w14:textId="3DB5BAD6" w:rsidR="00C366AC" w:rsidRDefault="5AC1E38C" w:rsidP="00D523F2">
      <w:pPr>
        <w:rPr>
          <w:rFonts w:ascii="Calibri" w:eastAsia="Calibri" w:hAnsi="Calibri" w:cs="Calibri"/>
          <w:lang w:val="en"/>
        </w:rPr>
      </w:pPr>
      <w:r>
        <w:rPr>
          <w:rFonts w:ascii="Calibri" w:eastAsia="Calibri" w:hAnsi="Calibri" w:cs="Calibri"/>
          <w:lang w:val="en"/>
        </w:rPr>
        <w:t xml:space="preserve">Table </w:t>
      </w:r>
      <w:r w:rsidR="0E2E093C">
        <w:rPr>
          <w:rFonts w:ascii="Calibri" w:eastAsia="Calibri" w:hAnsi="Calibri" w:cs="Calibri"/>
          <w:lang w:val="en"/>
        </w:rPr>
        <w:t>6</w:t>
      </w:r>
      <w:r>
        <w:rPr>
          <w:rFonts w:ascii="Calibri" w:eastAsia="Calibri" w:hAnsi="Calibri" w:cs="Calibri"/>
          <w:lang w:val="en"/>
        </w:rPr>
        <w:t xml:space="preserve"> depicts the Applicant</w:t>
      </w:r>
      <w:r w:rsidR="455C1C08">
        <w:rPr>
          <w:rFonts w:ascii="Calibri" w:eastAsia="Calibri" w:hAnsi="Calibri" w:cs="Calibri"/>
          <w:lang w:val="en"/>
        </w:rPr>
        <w:t>’</w:t>
      </w:r>
      <w:r>
        <w:rPr>
          <w:rFonts w:ascii="Calibri" w:eastAsia="Calibri" w:hAnsi="Calibri" w:cs="Calibri"/>
          <w:lang w:val="en"/>
        </w:rPr>
        <w:t xml:space="preserve">s projections for </w:t>
      </w:r>
      <w:proofErr w:type="gramStart"/>
      <w:r>
        <w:rPr>
          <w:rFonts w:ascii="Calibri" w:eastAsia="Calibri" w:hAnsi="Calibri" w:cs="Calibri"/>
          <w:lang w:val="en"/>
        </w:rPr>
        <w:t>Franciscans</w:t>
      </w:r>
      <w:r w:rsidR="38858566">
        <w:rPr>
          <w:rFonts w:ascii="Calibri" w:eastAsia="Calibri" w:hAnsi="Calibri" w:cs="Calibri"/>
          <w:lang w:val="en"/>
        </w:rPr>
        <w:t>’</w:t>
      </w:r>
      <w:proofErr w:type="gramEnd"/>
      <w:r>
        <w:rPr>
          <w:rFonts w:ascii="Calibri" w:eastAsia="Calibri" w:hAnsi="Calibri" w:cs="Calibri"/>
          <w:lang w:val="en"/>
        </w:rPr>
        <w:t xml:space="preserve"> consolidated </w:t>
      </w:r>
      <w:r w:rsidR="000E10E9">
        <w:rPr>
          <w:rFonts w:ascii="Calibri" w:eastAsia="Calibri" w:hAnsi="Calibri" w:cs="Calibri"/>
          <w:lang w:val="en"/>
        </w:rPr>
        <w:t xml:space="preserve">mental </w:t>
      </w:r>
      <w:r w:rsidR="003B5F5E">
        <w:rPr>
          <w:rFonts w:ascii="Calibri" w:eastAsia="Calibri" w:hAnsi="Calibri" w:cs="Calibri"/>
          <w:lang w:val="en"/>
        </w:rPr>
        <w:t>h</w:t>
      </w:r>
      <w:r>
        <w:rPr>
          <w:rFonts w:ascii="Calibri" w:eastAsia="Calibri" w:hAnsi="Calibri" w:cs="Calibri"/>
          <w:lang w:val="en"/>
        </w:rPr>
        <w:t xml:space="preserve">ealth </w:t>
      </w:r>
      <w:r w:rsidR="2BB1701A">
        <w:rPr>
          <w:rFonts w:ascii="Calibri" w:eastAsia="Calibri" w:hAnsi="Calibri" w:cs="Calibri"/>
          <w:lang w:val="en"/>
        </w:rPr>
        <w:t>programs but</w:t>
      </w:r>
      <w:r w:rsidR="5BC702BD">
        <w:rPr>
          <w:rFonts w:ascii="Calibri" w:eastAsia="Calibri" w:hAnsi="Calibri" w:cs="Calibri"/>
          <w:lang w:val="en"/>
        </w:rPr>
        <w:t xml:space="preserve"> does not differentiate between the Psychiatric and the Neuro-psychiatric Unit beds. </w:t>
      </w:r>
      <w:r w:rsidR="28B4AC61">
        <w:rPr>
          <w:rFonts w:ascii="Calibri" w:eastAsia="Calibri" w:hAnsi="Calibri" w:cs="Calibri"/>
          <w:lang w:val="en"/>
        </w:rPr>
        <w:t xml:space="preserve">With the implementation of the Proposed project many more children will be served on a daily basis.  </w:t>
      </w:r>
      <w:r w:rsidR="323CFA99">
        <w:rPr>
          <w:rFonts w:ascii="Calibri" w:eastAsia="Calibri" w:hAnsi="Calibri" w:cs="Calibri"/>
          <w:lang w:val="en"/>
        </w:rPr>
        <w:t>The percentage increase in pediatric inpatients served is projected to double.</w:t>
      </w:r>
      <w:r w:rsidR="00302E5E">
        <w:rPr>
          <w:rStyle w:val="FootnoteReference"/>
          <w:rFonts w:ascii="Calibri" w:eastAsia="Calibri" w:hAnsi="Calibri" w:cs="Calibri"/>
          <w:lang w:val="en"/>
        </w:rPr>
        <w:footnoteReference w:id="33"/>
      </w:r>
      <w:r w:rsidR="18884301">
        <w:rPr>
          <w:rFonts w:ascii="Calibri" w:eastAsia="Calibri" w:hAnsi="Calibri" w:cs="Calibri"/>
          <w:lang w:val="en"/>
        </w:rPr>
        <w:t xml:space="preserve"> </w:t>
      </w:r>
    </w:p>
    <w:p w14:paraId="15935785" w14:textId="77777777" w:rsidR="00FE2B1C" w:rsidRDefault="00FE2B1C" w:rsidP="00D523F2">
      <w:pPr>
        <w:rPr>
          <w:rFonts w:ascii="Calibri" w:eastAsia="Calibri" w:hAnsi="Calibri" w:cs="Calibri"/>
          <w:lang w:val="en"/>
        </w:rPr>
      </w:pPr>
    </w:p>
    <w:p w14:paraId="6FE15D63" w14:textId="44F1B67B" w:rsidR="00FE2B1C" w:rsidRPr="00FE2B1C" w:rsidRDefault="00FE2B1C" w:rsidP="00FE2B1C">
      <w:pPr>
        <w:jc w:val="center"/>
        <w:rPr>
          <w:rFonts w:ascii="Calibri" w:eastAsia="Calibri" w:hAnsi="Calibri" w:cs="Calibri"/>
          <w:b/>
          <w:bCs/>
          <w:lang w:val="en"/>
        </w:rPr>
      </w:pPr>
      <w:r w:rsidRPr="00FE2B1C">
        <w:rPr>
          <w:rFonts w:ascii="Calibri" w:eastAsia="Calibri" w:hAnsi="Calibri" w:cs="Calibri"/>
          <w:b/>
          <w:bCs/>
          <w:lang w:val="en"/>
        </w:rPr>
        <w:t xml:space="preserve">Table </w:t>
      </w:r>
      <w:r w:rsidR="00FF7025">
        <w:rPr>
          <w:rFonts w:ascii="Calibri" w:eastAsia="Calibri" w:hAnsi="Calibri" w:cs="Calibri"/>
          <w:b/>
          <w:bCs/>
          <w:lang w:val="en"/>
        </w:rPr>
        <w:t>6</w:t>
      </w:r>
      <w:r w:rsidRPr="00FE2B1C">
        <w:rPr>
          <w:rFonts w:ascii="Calibri" w:eastAsia="Calibri" w:hAnsi="Calibri" w:cs="Calibri"/>
          <w:b/>
          <w:bCs/>
          <w:lang w:val="en"/>
        </w:rPr>
        <w:t xml:space="preserve">: Projections For Franciscans Consolidated </w:t>
      </w:r>
      <w:r w:rsidR="00302E5E">
        <w:rPr>
          <w:rFonts w:ascii="Calibri" w:eastAsia="Calibri" w:hAnsi="Calibri" w:cs="Calibri"/>
          <w:b/>
          <w:bCs/>
          <w:lang w:val="en"/>
        </w:rPr>
        <w:t xml:space="preserve">Mental </w:t>
      </w:r>
      <w:r w:rsidRPr="00FE2B1C">
        <w:rPr>
          <w:rFonts w:ascii="Calibri" w:eastAsia="Calibri" w:hAnsi="Calibri" w:cs="Calibri"/>
          <w:b/>
          <w:bCs/>
          <w:lang w:val="en"/>
        </w:rPr>
        <w:t>Health Programs</w:t>
      </w:r>
    </w:p>
    <w:p w14:paraId="0CC3D42F" w14:textId="77777777" w:rsidR="00C366AC" w:rsidRDefault="00C366AC" w:rsidP="00D523F2">
      <w:pPr>
        <w:rPr>
          <w:rFonts w:ascii="Calibri" w:eastAsia="Calibri" w:hAnsi="Calibri" w:cs="Calibri"/>
          <w:lang w:val="en"/>
        </w:rPr>
      </w:pPr>
    </w:p>
    <w:tbl>
      <w:tblPr>
        <w:tblW w:w="7727" w:type="dxa"/>
        <w:jc w:val="center"/>
        <w:tblLook w:val="04A0" w:firstRow="1" w:lastRow="0" w:firstColumn="1" w:lastColumn="0" w:noHBand="0" w:noVBand="1"/>
      </w:tblPr>
      <w:tblGrid>
        <w:gridCol w:w="2927"/>
        <w:gridCol w:w="848"/>
        <w:gridCol w:w="1072"/>
        <w:gridCol w:w="960"/>
        <w:gridCol w:w="960"/>
        <w:gridCol w:w="960"/>
      </w:tblGrid>
      <w:tr w:rsidR="00FE2B1C" w:rsidRPr="00C366AC" w14:paraId="0AC3C835" w14:textId="77777777" w:rsidTr="00DE78E3">
        <w:trPr>
          <w:cantSplit/>
          <w:trHeight w:val="310"/>
          <w:tblHeader/>
          <w:jc w:val="center"/>
        </w:trPr>
        <w:tc>
          <w:tcPr>
            <w:tcW w:w="2927" w:type="dxa"/>
            <w:tcBorders>
              <w:top w:val="single" w:sz="4" w:space="0" w:color="auto"/>
              <w:left w:val="single" w:sz="4" w:space="0" w:color="auto"/>
              <w:bottom w:val="single" w:sz="4" w:space="0" w:color="auto"/>
              <w:right w:val="single" w:sz="4" w:space="0" w:color="auto"/>
            </w:tcBorders>
            <w:shd w:val="clear" w:color="000000" w:fill="D9FFFF"/>
            <w:noWrap/>
            <w:vAlign w:val="bottom"/>
            <w:hideMark/>
          </w:tcPr>
          <w:p w14:paraId="594B1684" w14:textId="77777777" w:rsidR="00FE2B1C" w:rsidRPr="00C366AC" w:rsidRDefault="00FE2B1C" w:rsidP="00C366AC">
            <w:pPr>
              <w:rPr>
                <w:rFonts w:ascii="Calibri" w:eastAsia="Times New Roman" w:hAnsi="Calibri" w:cs="Calibri"/>
                <w:b/>
                <w:bCs/>
                <w:color w:val="000000"/>
              </w:rPr>
            </w:pPr>
            <w:r w:rsidRPr="00C366AC">
              <w:rPr>
                <w:rFonts w:ascii="Calibri" w:eastAsia="Times New Roman" w:hAnsi="Calibri" w:cs="Calibri"/>
                <w:b/>
                <w:bCs/>
                <w:color w:val="000000"/>
              </w:rPr>
              <w:t>Average Daily Census</w:t>
            </w:r>
          </w:p>
        </w:tc>
        <w:tc>
          <w:tcPr>
            <w:tcW w:w="848" w:type="dxa"/>
            <w:tcBorders>
              <w:top w:val="single" w:sz="4" w:space="0" w:color="auto"/>
              <w:left w:val="nil"/>
              <w:bottom w:val="single" w:sz="4" w:space="0" w:color="auto"/>
              <w:right w:val="single" w:sz="4" w:space="0" w:color="auto"/>
            </w:tcBorders>
            <w:shd w:val="clear" w:color="000000" w:fill="D9FFFF"/>
            <w:noWrap/>
            <w:vAlign w:val="bottom"/>
            <w:hideMark/>
          </w:tcPr>
          <w:p w14:paraId="46FAD3EE" w14:textId="0553CCEA" w:rsidR="00FE2B1C" w:rsidRPr="00C366AC" w:rsidRDefault="008B47A9" w:rsidP="00C366AC">
            <w:pPr>
              <w:jc w:val="center"/>
              <w:rPr>
                <w:rFonts w:ascii="Calibri" w:eastAsia="Times New Roman" w:hAnsi="Calibri" w:cs="Calibri"/>
                <w:b/>
                <w:bCs/>
                <w:color w:val="000000"/>
              </w:rPr>
            </w:pPr>
            <w:r>
              <w:rPr>
                <w:rFonts w:ascii="Calibri" w:eastAsia="Times New Roman" w:hAnsi="Calibri" w:cs="Calibri"/>
                <w:b/>
                <w:bCs/>
                <w:color w:val="000000"/>
              </w:rPr>
              <w:t xml:space="preserve">FY </w:t>
            </w:r>
            <w:r w:rsidR="00FE2B1C" w:rsidRPr="00C366AC">
              <w:rPr>
                <w:rFonts w:ascii="Calibri" w:eastAsia="Times New Roman" w:hAnsi="Calibri" w:cs="Calibri"/>
                <w:b/>
                <w:bCs/>
                <w:color w:val="000000"/>
              </w:rPr>
              <w:t>22</w:t>
            </w:r>
          </w:p>
        </w:tc>
        <w:tc>
          <w:tcPr>
            <w:tcW w:w="1072" w:type="dxa"/>
            <w:tcBorders>
              <w:top w:val="single" w:sz="4" w:space="0" w:color="auto"/>
              <w:left w:val="nil"/>
              <w:bottom w:val="single" w:sz="4" w:space="0" w:color="auto"/>
              <w:right w:val="single" w:sz="4" w:space="0" w:color="auto"/>
            </w:tcBorders>
            <w:shd w:val="clear" w:color="000000" w:fill="D9FFFF"/>
            <w:noWrap/>
            <w:vAlign w:val="bottom"/>
            <w:hideMark/>
          </w:tcPr>
          <w:p w14:paraId="1FA12CA7" w14:textId="445A9C9C" w:rsidR="00FE2B1C" w:rsidRPr="00C366AC" w:rsidRDefault="009937F9" w:rsidP="00C366AC">
            <w:pPr>
              <w:jc w:val="center"/>
              <w:rPr>
                <w:rFonts w:ascii="Calibri" w:eastAsia="Times New Roman" w:hAnsi="Calibri" w:cs="Calibri"/>
                <w:b/>
                <w:bCs/>
                <w:color w:val="000000"/>
              </w:rPr>
            </w:pPr>
            <w:r>
              <w:rPr>
                <w:rFonts w:ascii="Calibri" w:eastAsia="Times New Roman" w:hAnsi="Calibri" w:cs="Calibri"/>
                <w:b/>
                <w:bCs/>
                <w:color w:val="000000"/>
              </w:rPr>
              <w:t xml:space="preserve">FY </w:t>
            </w:r>
            <w:r w:rsidR="008B47A9">
              <w:rPr>
                <w:rFonts w:ascii="Calibri" w:eastAsia="Times New Roman" w:hAnsi="Calibri" w:cs="Calibri"/>
                <w:b/>
                <w:bCs/>
                <w:color w:val="000000"/>
              </w:rPr>
              <w:t>28</w:t>
            </w:r>
          </w:p>
        </w:tc>
        <w:tc>
          <w:tcPr>
            <w:tcW w:w="960" w:type="dxa"/>
            <w:tcBorders>
              <w:top w:val="single" w:sz="4" w:space="0" w:color="auto"/>
              <w:left w:val="nil"/>
              <w:bottom w:val="single" w:sz="4" w:space="0" w:color="auto"/>
              <w:right w:val="single" w:sz="4" w:space="0" w:color="auto"/>
            </w:tcBorders>
            <w:shd w:val="clear" w:color="000000" w:fill="D9FFFF"/>
            <w:noWrap/>
            <w:vAlign w:val="bottom"/>
            <w:hideMark/>
          </w:tcPr>
          <w:p w14:paraId="053AB852" w14:textId="60D22D4F" w:rsidR="00FE2B1C" w:rsidRPr="00C366AC" w:rsidRDefault="009937F9" w:rsidP="00C366AC">
            <w:pPr>
              <w:jc w:val="center"/>
              <w:rPr>
                <w:rFonts w:ascii="Calibri" w:eastAsia="Times New Roman" w:hAnsi="Calibri" w:cs="Calibri"/>
                <w:b/>
                <w:bCs/>
                <w:color w:val="000000"/>
              </w:rPr>
            </w:pPr>
            <w:r>
              <w:rPr>
                <w:rFonts w:ascii="Calibri" w:eastAsia="Times New Roman" w:hAnsi="Calibri" w:cs="Calibri"/>
                <w:b/>
                <w:bCs/>
                <w:color w:val="000000"/>
              </w:rPr>
              <w:t>FY</w:t>
            </w:r>
            <w:r w:rsidR="00FE2B1C" w:rsidRPr="00C366AC">
              <w:rPr>
                <w:rFonts w:ascii="Calibri" w:eastAsia="Times New Roman" w:hAnsi="Calibri" w:cs="Calibri"/>
                <w:b/>
                <w:bCs/>
                <w:color w:val="000000"/>
              </w:rPr>
              <w:t xml:space="preserve"> 2</w:t>
            </w:r>
            <w:r>
              <w:rPr>
                <w:rFonts w:ascii="Calibri" w:eastAsia="Times New Roman" w:hAnsi="Calibri" w:cs="Calibri"/>
                <w:b/>
                <w:bCs/>
                <w:color w:val="000000"/>
              </w:rPr>
              <w:t>9</w:t>
            </w:r>
          </w:p>
        </w:tc>
        <w:tc>
          <w:tcPr>
            <w:tcW w:w="960" w:type="dxa"/>
            <w:tcBorders>
              <w:top w:val="single" w:sz="4" w:space="0" w:color="auto"/>
              <w:left w:val="nil"/>
              <w:bottom w:val="single" w:sz="4" w:space="0" w:color="auto"/>
              <w:right w:val="single" w:sz="4" w:space="0" w:color="auto"/>
            </w:tcBorders>
            <w:shd w:val="clear" w:color="000000" w:fill="D9FFFF"/>
            <w:noWrap/>
            <w:vAlign w:val="bottom"/>
            <w:hideMark/>
          </w:tcPr>
          <w:p w14:paraId="38BDD75D" w14:textId="65B90EF0" w:rsidR="00FE2B1C" w:rsidRPr="00C366AC" w:rsidRDefault="009937F9" w:rsidP="00C366AC">
            <w:pPr>
              <w:jc w:val="center"/>
              <w:rPr>
                <w:rFonts w:ascii="Calibri" w:eastAsia="Times New Roman" w:hAnsi="Calibri" w:cs="Calibri"/>
                <w:b/>
                <w:bCs/>
                <w:color w:val="000000"/>
              </w:rPr>
            </w:pPr>
            <w:r>
              <w:rPr>
                <w:rFonts w:ascii="Calibri" w:eastAsia="Times New Roman" w:hAnsi="Calibri" w:cs="Calibri"/>
                <w:b/>
                <w:bCs/>
                <w:color w:val="000000"/>
              </w:rPr>
              <w:t>FY</w:t>
            </w:r>
            <w:r w:rsidR="00FE2B1C" w:rsidRPr="00C366AC">
              <w:rPr>
                <w:rFonts w:ascii="Calibri" w:eastAsia="Times New Roman" w:hAnsi="Calibri" w:cs="Calibri"/>
                <w:b/>
                <w:bCs/>
                <w:color w:val="000000"/>
              </w:rPr>
              <w:t xml:space="preserve"> 3</w:t>
            </w:r>
            <w:r>
              <w:rPr>
                <w:rFonts w:ascii="Calibri" w:eastAsia="Times New Roman" w:hAnsi="Calibri" w:cs="Calibri"/>
                <w:b/>
                <w:bCs/>
                <w:color w:val="000000"/>
              </w:rPr>
              <w:t>0</w:t>
            </w:r>
          </w:p>
        </w:tc>
        <w:tc>
          <w:tcPr>
            <w:tcW w:w="960" w:type="dxa"/>
            <w:tcBorders>
              <w:top w:val="single" w:sz="4" w:space="0" w:color="auto"/>
              <w:left w:val="nil"/>
              <w:bottom w:val="single" w:sz="4" w:space="0" w:color="auto"/>
              <w:right w:val="single" w:sz="4" w:space="0" w:color="auto"/>
            </w:tcBorders>
            <w:shd w:val="clear" w:color="000000" w:fill="D9FFFF"/>
            <w:noWrap/>
            <w:vAlign w:val="bottom"/>
            <w:hideMark/>
          </w:tcPr>
          <w:p w14:paraId="65FBDFC0" w14:textId="125EADE8" w:rsidR="00FE2B1C" w:rsidRPr="00C366AC" w:rsidRDefault="00FE2B1C" w:rsidP="00C366AC">
            <w:pPr>
              <w:jc w:val="center"/>
              <w:rPr>
                <w:rFonts w:ascii="Calibri" w:eastAsia="Times New Roman" w:hAnsi="Calibri" w:cs="Calibri"/>
                <w:b/>
                <w:bCs/>
                <w:color w:val="000000"/>
              </w:rPr>
            </w:pPr>
            <w:r w:rsidRPr="00C366AC">
              <w:rPr>
                <w:rFonts w:ascii="Calibri" w:eastAsia="Times New Roman" w:hAnsi="Calibri" w:cs="Calibri"/>
                <w:b/>
                <w:bCs/>
                <w:color w:val="000000"/>
              </w:rPr>
              <w:t xml:space="preserve"> </w:t>
            </w:r>
            <w:r w:rsidR="009937F9">
              <w:rPr>
                <w:rFonts w:ascii="Calibri" w:eastAsia="Times New Roman" w:hAnsi="Calibri" w:cs="Calibri"/>
                <w:b/>
                <w:bCs/>
                <w:color w:val="000000"/>
              </w:rPr>
              <w:t>F</w:t>
            </w:r>
            <w:r w:rsidRPr="00C366AC">
              <w:rPr>
                <w:rFonts w:ascii="Calibri" w:eastAsia="Times New Roman" w:hAnsi="Calibri" w:cs="Calibri"/>
                <w:b/>
                <w:bCs/>
                <w:color w:val="000000"/>
              </w:rPr>
              <w:t xml:space="preserve">Y </w:t>
            </w:r>
            <w:r w:rsidR="009937F9">
              <w:rPr>
                <w:rFonts w:ascii="Calibri" w:eastAsia="Times New Roman" w:hAnsi="Calibri" w:cs="Calibri"/>
                <w:b/>
                <w:bCs/>
                <w:color w:val="000000"/>
              </w:rPr>
              <w:t>31</w:t>
            </w:r>
          </w:p>
        </w:tc>
      </w:tr>
      <w:tr w:rsidR="00FE2B1C" w:rsidRPr="00C366AC" w14:paraId="5D395C1A" w14:textId="77777777" w:rsidTr="00DE78E3">
        <w:trPr>
          <w:cantSplit/>
          <w:trHeight w:val="310"/>
          <w:jc w:val="center"/>
        </w:trPr>
        <w:tc>
          <w:tcPr>
            <w:tcW w:w="2927" w:type="dxa"/>
            <w:tcBorders>
              <w:top w:val="nil"/>
              <w:left w:val="single" w:sz="4" w:space="0" w:color="auto"/>
              <w:bottom w:val="single" w:sz="4" w:space="0" w:color="auto"/>
              <w:right w:val="single" w:sz="4" w:space="0" w:color="auto"/>
            </w:tcBorders>
            <w:shd w:val="clear" w:color="auto" w:fill="auto"/>
            <w:noWrap/>
            <w:vAlign w:val="bottom"/>
            <w:hideMark/>
          </w:tcPr>
          <w:p w14:paraId="13E44B9C" w14:textId="0345D0C3" w:rsidR="00FE2B1C" w:rsidRPr="00C366AC" w:rsidRDefault="009937F9" w:rsidP="00C366AC">
            <w:pPr>
              <w:rPr>
                <w:rFonts w:ascii="Calibri" w:eastAsia="Times New Roman" w:hAnsi="Calibri" w:cs="Calibri"/>
                <w:color w:val="000000"/>
              </w:rPr>
            </w:pPr>
            <w:r>
              <w:rPr>
                <w:rFonts w:ascii="Calibri" w:eastAsia="Times New Roman" w:hAnsi="Calibri" w:cs="Calibri"/>
                <w:color w:val="000000"/>
              </w:rPr>
              <w:t>Mental</w:t>
            </w:r>
            <w:r w:rsidR="00FE2B1C" w:rsidRPr="00C366AC">
              <w:rPr>
                <w:rFonts w:ascii="Calibri" w:eastAsia="Times New Roman" w:hAnsi="Calibri" w:cs="Calibri"/>
                <w:color w:val="000000"/>
              </w:rPr>
              <w:t xml:space="preserve"> Health</w:t>
            </w:r>
            <w:r w:rsidR="00866D36">
              <w:rPr>
                <w:rFonts w:ascii="Calibri" w:eastAsia="Times New Roman" w:hAnsi="Calibri" w:cs="Calibri"/>
                <w:color w:val="000000"/>
              </w:rPr>
              <w:t xml:space="preserve"> Inpatient</w:t>
            </w:r>
          </w:p>
        </w:tc>
        <w:tc>
          <w:tcPr>
            <w:tcW w:w="848" w:type="dxa"/>
            <w:tcBorders>
              <w:top w:val="nil"/>
              <w:left w:val="nil"/>
              <w:bottom w:val="single" w:sz="4" w:space="0" w:color="auto"/>
              <w:right w:val="single" w:sz="4" w:space="0" w:color="auto"/>
            </w:tcBorders>
            <w:shd w:val="clear" w:color="auto" w:fill="auto"/>
            <w:noWrap/>
            <w:vAlign w:val="bottom"/>
            <w:hideMark/>
          </w:tcPr>
          <w:p w14:paraId="711FA656"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18.9</w:t>
            </w:r>
          </w:p>
        </w:tc>
        <w:tc>
          <w:tcPr>
            <w:tcW w:w="1072" w:type="dxa"/>
            <w:tcBorders>
              <w:top w:val="nil"/>
              <w:left w:val="nil"/>
              <w:bottom w:val="single" w:sz="4" w:space="0" w:color="auto"/>
              <w:right w:val="single" w:sz="4" w:space="0" w:color="auto"/>
            </w:tcBorders>
            <w:shd w:val="clear" w:color="auto" w:fill="auto"/>
            <w:noWrap/>
            <w:vAlign w:val="bottom"/>
            <w:hideMark/>
          </w:tcPr>
          <w:p w14:paraId="663D2036"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35.9</w:t>
            </w:r>
          </w:p>
        </w:tc>
        <w:tc>
          <w:tcPr>
            <w:tcW w:w="960" w:type="dxa"/>
            <w:tcBorders>
              <w:top w:val="nil"/>
              <w:left w:val="nil"/>
              <w:bottom w:val="single" w:sz="4" w:space="0" w:color="auto"/>
              <w:right w:val="single" w:sz="4" w:space="0" w:color="auto"/>
            </w:tcBorders>
            <w:shd w:val="clear" w:color="auto" w:fill="auto"/>
            <w:noWrap/>
            <w:vAlign w:val="bottom"/>
            <w:hideMark/>
          </w:tcPr>
          <w:p w14:paraId="520991E8"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43.1</w:t>
            </w:r>
          </w:p>
        </w:tc>
        <w:tc>
          <w:tcPr>
            <w:tcW w:w="960" w:type="dxa"/>
            <w:tcBorders>
              <w:top w:val="nil"/>
              <w:left w:val="nil"/>
              <w:bottom w:val="single" w:sz="4" w:space="0" w:color="auto"/>
              <w:right w:val="single" w:sz="4" w:space="0" w:color="auto"/>
            </w:tcBorders>
            <w:shd w:val="clear" w:color="auto" w:fill="auto"/>
            <w:noWrap/>
            <w:vAlign w:val="bottom"/>
            <w:hideMark/>
          </w:tcPr>
          <w:p w14:paraId="542F4666"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50.4</w:t>
            </w:r>
          </w:p>
        </w:tc>
        <w:tc>
          <w:tcPr>
            <w:tcW w:w="960" w:type="dxa"/>
            <w:tcBorders>
              <w:top w:val="nil"/>
              <w:left w:val="nil"/>
              <w:bottom w:val="single" w:sz="4" w:space="0" w:color="auto"/>
              <w:right w:val="single" w:sz="4" w:space="0" w:color="auto"/>
            </w:tcBorders>
            <w:shd w:val="clear" w:color="auto" w:fill="auto"/>
            <w:noWrap/>
            <w:vAlign w:val="bottom"/>
            <w:hideMark/>
          </w:tcPr>
          <w:p w14:paraId="34AC9E15"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50.4</w:t>
            </w:r>
          </w:p>
        </w:tc>
      </w:tr>
      <w:tr w:rsidR="00FE2B1C" w:rsidRPr="00C366AC" w14:paraId="661CA02A" w14:textId="77777777" w:rsidTr="00DE78E3">
        <w:trPr>
          <w:cantSplit/>
          <w:trHeight w:val="310"/>
          <w:jc w:val="center"/>
        </w:trPr>
        <w:tc>
          <w:tcPr>
            <w:tcW w:w="2927" w:type="dxa"/>
            <w:tcBorders>
              <w:top w:val="nil"/>
              <w:left w:val="single" w:sz="4" w:space="0" w:color="auto"/>
              <w:bottom w:val="single" w:sz="4" w:space="0" w:color="auto"/>
              <w:right w:val="single" w:sz="4" w:space="0" w:color="auto"/>
            </w:tcBorders>
            <w:shd w:val="clear" w:color="auto" w:fill="auto"/>
            <w:noWrap/>
            <w:vAlign w:val="bottom"/>
            <w:hideMark/>
          </w:tcPr>
          <w:p w14:paraId="7C8F2E6E" w14:textId="4EA39715" w:rsidR="00FE2B1C" w:rsidRPr="00C366AC" w:rsidRDefault="00FE2B1C" w:rsidP="00C366AC">
            <w:pPr>
              <w:rPr>
                <w:rFonts w:ascii="Calibri" w:eastAsia="Times New Roman" w:hAnsi="Calibri" w:cs="Calibri"/>
                <w:color w:val="000000"/>
              </w:rPr>
            </w:pPr>
            <w:r w:rsidRPr="00C366AC">
              <w:rPr>
                <w:rFonts w:ascii="Calibri" w:eastAsia="Times New Roman" w:hAnsi="Calibri" w:cs="Calibri"/>
                <w:color w:val="000000"/>
              </w:rPr>
              <w:t>CBAT</w:t>
            </w:r>
            <w:r w:rsidR="00A35F52">
              <w:rPr>
                <w:rFonts w:ascii="Calibri" w:eastAsia="Times New Roman" w:hAnsi="Calibri" w:cs="Calibri"/>
                <w:color w:val="000000"/>
              </w:rPr>
              <w:t>*</w:t>
            </w:r>
          </w:p>
        </w:tc>
        <w:tc>
          <w:tcPr>
            <w:tcW w:w="848" w:type="dxa"/>
            <w:tcBorders>
              <w:top w:val="nil"/>
              <w:left w:val="nil"/>
              <w:bottom w:val="single" w:sz="4" w:space="0" w:color="auto"/>
              <w:right w:val="single" w:sz="4" w:space="0" w:color="auto"/>
            </w:tcBorders>
            <w:shd w:val="clear" w:color="auto" w:fill="auto"/>
            <w:noWrap/>
            <w:vAlign w:val="bottom"/>
            <w:hideMark/>
          </w:tcPr>
          <w:p w14:paraId="2536CD9A"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12.6</w:t>
            </w:r>
          </w:p>
        </w:tc>
        <w:tc>
          <w:tcPr>
            <w:tcW w:w="1072" w:type="dxa"/>
            <w:tcBorders>
              <w:top w:val="nil"/>
              <w:left w:val="nil"/>
              <w:bottom w:val="single" w:sz="4" w:space="0" w:color="auto"/>
              <w:right w:val="single" w:sz="4" w:space="0" w:color="auto"/>
            </w:tcBorders>
            <w:shd w:val="clear" w:color="auto" w:fill="auto"/>
            <w:noWrap/>
            <w:vAlign w:val="bottom"/>
            <w:hideMark/>
          </w:tcPr>
          <w:p w14:paraId="427A448B"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12.6</w:t>
            </w:r>
          </w:p>
        </w:tc>
        <w:tc>
          <w:tcPr>
            <w:tcW w:w="960" w:type="dxa"/>
            <w:tcBorders>
              <w:top w:val="nil"/>
              <w:left w:val="nil"/>
              <w:bottom w:val="single" w:sz="4" w:space="0" w:color="auto"/>
              <w:right w:val="single" w:sz="4" w:space="0" w:color="auto"/>
            </w:tcBorders>
            <w:shd w:val="clear" w:color="auto" w:fill="auto"/>
            <w:noWrap/>
            <w:vAlign w:val="bottom"/>
            <w:hideMark/>
          </w:tcPr>
          <w:p w14:paraId="67A459CB"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12.6</w:t>
            </w:r>
          </w:p>
        </w:tc>
        <w:tc>
          <w:tcPr>
            <w:tcW w:w="960" w:type="dxa"/>
            <w:tcBorders>
              <w:top w:val="nil"/>
              <w:left w:val="nil"/>
              <w:bottom w:val="single" w:sz="4" w:space="0" w:color="auto"/>
              <w:right w:val="single" w:sz="4" w:space="0" w:color="auto"/>
            </w:tcBorders>
            <w:shd w:val="clear" w:color="auto" w:fill="auto"/>
            <w:noWrap/>
            <w:vAlign w:val="bottom"/>
            <w:hideMark/>
          </w:tcPr>
          <w:p w14:paraId="27159DA9"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12.6</w:t>
            </w:r>
          </w:p>
        </w:tc>
        <w:tc>
          <w:tcPr>
            <w:tcW w:w="960" w:type="dxa"/>
            <w:tcBorders>
              <w:top w:val="nil"/>
              <w:left w:val="nil"/>
              <w:bottom w:val="single" w:sz="4" w:space="0" w:color="auto"/>
              <w:right w:val="single" w:sz="4" w:space="0" w:color="auto"/>
            </w:tcBorders>
            <w:shd w:val="clear" w:color="auto" w:fill="auto"/>
            <w:noWrap/>
            <w:vAlign w:val="bottom"/>
            <w:hideMark/>
          </w:tcPr>
          <w:p w14:paraId="034E18DE"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12.6</w:t>
            </w:r>
          </w:p>
        </w:tc>
      </w:tr>
      <w:tr w:rsidR="00FE2B1C" w:rsidRPr="00C366AC" w14:paraId="1971BF41" w14:textId="77777777" w:rsidTr="00DE78E3">
        <w:trPr>
          <w:cantSplit/>
          <w:trHeight w:val="310"/>
          <w:jc w:val="center"/>
        </w:trPr>
        <w:tc>
          <w:tcPr>
            <w:tcW w:w="2927" w:type="dxa"/>
            <w:tcBorders>
              <w:top w:val="nil"/>
              <w:left w:val="single" w:sz="4" w:space="0" w:color="auto"/>
              <w:bottom w:val="single" w:sz="4" w:space="0" w:color="auto"/>
              <w:right w:val="single" w:sz="4" w:space="0" w:color="auto"/>
            </w:tcBorders>
            <w:shd w:val="clear" w:color="auto" w:fill="auto"/>
            <w:noWrap/>
            <w:vAlign w:val="bottom"/>
            <w:hideMark/>
          </w:tcPr>
          <w:p w14:paraId="733948D8" w14:textId="74E7D1A0" w:rsidR="00FE2B1C" w:rsidRPr="00C366AC" w:rsidRDefault="00FE2B1C" w:rsidP="00C366AC">
            <w:pPr>
              <w:rPr>
                <w:rFonts w:ascii="Calibri" w:eastAsia="Times New Roman" w:hAnsi="Calibri" w:cs="Calibri"/>
                <w:color w:val="000000"/>
              </w:rPr>
            </w:pPr>
            <w:r w:rsidRPr="00C366AC">
              <w:rPr>
                <w:rFonts w:ascii="Calibri" w:eastAsia="Times New Roman" w:hAnsi="Calibri" w:cs="Calibri"/>
                <w:color w:val="000000"/>
              </w:rPr>
              <w:t>Partial Hospitalization</w:t>
            </w:r>
            <w:r w:rsidR="00A35F52">
              <w:rPr>
                <w:rFonts w:ascii="Calibri" w:eastAsia="Times New Roman" w:hAnsi="Calibri" w:cs="Calibri"/>
                <w:color w:val="000000"/>
              </w:rPr>
              <w:t>*</w:t>
            </w:r>
          </w:p>
        </w:tc>
        <w:tc>
          <w:tcPr>
            <w:tcW w:w="848" w:type="dxa"/>
            <w:tcBorders>
              <w:top w:val="nil"/>
              <w:left w:val="nil"/>
              <w:bottom w:val="single" w:sz="4" w:space="0" w:color="auto"/>
              <w:right w:val="single" w:sz="4" w:space="0" w:color="auto"/>
            </w:tcBorders>
            <w:shd w:val="clear" w:color="auto" w:fill="auto"/>
            <w:noWrap/>
            <w:vAlign w:val="bottom"/>
            <w:hideMark/>
          </w:tcPr>
          <w:p w14:paraId="2DA96969"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0</w:t>
            </w:r>
          </w:p>
        </w:tc>
        <w:tc>
          <w:tcPr>
            <w:tcW w:w="1072" w:type="dxa"/>
            <w:tcBorders>
              <w:top w:val="nil"/>
              <w:left w:val="nil"/>
              <w:bottom w:val="single" w:sz="4" w:space="0" w:color="auto"/>
              <w:right w:val="single" w:sz="4" w:space="0" w:color="auto"/>
            </w:tcBorders>
            <w:shd w:val="clear" w:color="auto" w:fill="auto"/>
            <w:noWrap/>
            <w:vAlign w:val="bottom"/>
            <w:hideMark/>
          </w:tcPr>
          <w:p w14:paraId="573DA39B"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10.4</w:t>
            </w:r>
          </w:p>
        </w:tc>
        <w:tc>
          <w:tcPr>
            <w:tcW w:w="960" w:type="dxa"/>
            <w:tcBorders>
              <w:top w:val="nil"/>
              <w:left w:val="nil"/>
              <w:bottom w:val="single" w:sz="4" w:space="0" w:color="auto"/>
              <w:right w:val="single" w:sz="4" w:space="0" w:color="auto"/>
            </w:tcBorders>
            <w:shd w:val="clear" w:color="auto" w:fill="auto"/>
            <w:noWrap/>
            <w:vAlign w:val="bottom"/>
            <w:hideMark/>
          </w:tcPr>
          <w:p w14:paraId="72BA4F91"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20.8</w:t>
            </w:r>
          </w:p>
        </w:tc>
        <w:tc>
          <w:tcPr>
            <w:tcW w:w="960" w:type="dxa"/>
            <w:tcBorders>
              <w:top w:val="nil"/>
              <w:left w:val="nil"/>
              <w:bottom w:val="single" w:sz="4" w:space="0" w:color="auto"/>
              <w:right w:val="single" w:sz="4" w:space="0" w:color="auto"/>
            </w:tcBorders>
            <w:shd w:val="clear" w:color="auto" w:fill="auto"/>
            <w:noWrap/>
            <w:vAlign w:val="bottom"/>
            <w:hideMark/>
          </w:tcPr>
          <w:p w14:paraId="708B5AD8"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20.8</w:t>
            </w:r>
          </w:p>
        </w:tc>
        <w:tc>
          <w:tcPr>
            <w:tcW w:w="960" w:type="dxa"/>
            <w:tcBorders>
              <w:top w:val="nil"/>
              <w:left w:val="nil"/>
              <w:bottom w:val="single" w:sz="4" w:space="0" w:color="auto"/>
              <w:right w:val="single" w:sz="4" w:space="0" w:color="auto"/>
            </w:tcBorders>
            <w:shd w:val="clear" w:color="auto" w:fill="auto"/>
            <w:noWrap/>
            <w:vAlign w:val="bottom"/>
            <w:hideMark/>
          </w:tcPr>
          <w:p w14:paraId="2D290356" w14:textId="77777777" w:rsidR="00FE2B1C" w:rsidRPr="00C366AC" w:rsidRDefault="00FE2B1C" w:rsidP="00C366AC">
            <w:pPr>
              <w:jc w:val="right"/>
              <w:rPr>
                <w:rFonts w:ascii="Calibri" w:eastAsia="Times New Roman" w:hAnsi="Calibri" w:cs="Calibri"/>
                <w:color w:val="000000"/>
              </w:rPr>
            </w:pPr>
            <w:r w:rsidRPr="00C366AC">
              <w:rPr>
                <w:rFonts w:ascii="Calibri" w:eastAsia="Times New Roman" w:hAnsi="Calibri" w:cs="Calibri"/>
                <w:color w:val="000000"/>
              </w:rPr>
              <w:t>20.8</w:t>
            </w:r>
          </w:p>
        </w:tc>
      </w:tr>
    </w:tbl>
    <w:p w14:paraId="26AA572B" w14:textId="34A045EC" w:rsidR="00C366AC" w:rsidRDefault="00DE78E3" w:rsidP="00D523F2">
      <w:pPr>
        <w:rPr>
          <w:rFonts w:ascii="Calibri" w:eastAsia="Times New Roman" w:hAnsi="Calibri" w:cs="Calibri"/>
          <w:color w:val="000000"/>
        </w:rPr>
      </w:pPr>
      <w:r>
        <w:rPr>
          <w:rFonts w:ascii="Calibri" w:eastAsia="Times New Roman" w:hAnsi="Calibri" w:cs="Calibri"/>
          <w:color w:val="000000"/>
        </w:rPr>
        <w:t>*</w:t>
      </w:r>
      <w:r w:rsidRPr="00A35F52">
        <w:rPr>
          <w:rFonts w:ascii="Calibri" w:eastAsia="Times New Roman" w:hAnsi="Calibri" w:cs="Calibri"/>
          <w:color w:val="000000"/>
        </w:rPr>
        <w:t>Programs not licensed by the Department</w:t>
      </w:r>
    </w:p>
    <w:p w14:paraId="448F35F4" w14:textId="77777777" w:rsidR="00DE78E3" w:rsidRDefault="00DE78E3" w:rsidP="00D523F2">
      <w:pPr>
        <w:rPr>
          <w:rFonts w:ascii="Calibri" w:eastAsia="Calibri" w:hAnsi="Calibri" w:cs="Calibri"/>
          <w:lang w:val="en"/>
        </w:rPr>
      </w:pPr>
    </w:p>
    <w:p w14:paraId="6DAB96F5" w14:textId="1FF61361" w:rsidR="008F5EEB" w:rsidRPr="005F5D43" w:rsidRDefault="005B3F5C" w:rsidP="007F1D38">
      <w:pPr>
        <w:pStyle w:val="ListParagraph"/>
        <w:numPr>
          <w:ilvl w:val="0"/>
          <w:numId w:val="7"/>
        </w:numPr>
        <w:rPr>
          <w:rFonts w:ascii="Calibri" w:eastAsia="Calibri" w:hAnsi="Calibri" w:cs="Calibri"/>
          <w:b/>
          <w:bCs/>
          <w:sz w:val="24"/>
          <w:szCs w:val="24"/>
          <w:lang w:val="en"/>
        </w:rPr>
      </w:pPr>
      <w:r w:rsidRPr="008B22EE">
        <w:rPr>
          <w:rFonts w:ascii="Calibri" w:eastAsia="Calibri" w:hAnsi="Calibri" w:cs="Calibri"/>
        </w:rPr>
        <w:t xml:space="preserve"> </w:t>
      </w:r>
      <w:r w:rsidR="008B22EE" w:rsidRPr="005F5D43">
        <w:rPr>
          <w:rFonts w:ascii="Calibri" w:eastAsia="Calibri" w:hAnsi="Calibri" w:cs="Calibri"/>
          <w:b/>
          <w:bCs/>
          <w:sz w:val="24"/>
          <w:szCs w:val="24"/>
        </w:rPr>
        <w:t xml:space="preserve">Address </w:t>
      </w:r>
      <w:r w:rsidRPr="005F5D43">
        <w:rPr>
          <w:rFonts w:ascii="Calibri" w:eastAsia="Calibri" w:hAnsi="Calibri" w:cs="Calibri"/>
          <w:b/>
          <w:bCs/>
          <w:sz w:val="24"/>
          <w:szCs w:val="24"/>
        </w:rPr>
        <w:t>Post-Acute Medical Rehabilitation Services</w:t>
      </w:r>
      <w:r w:rsidR="008B22EE" w:rsidRPr="005F5D43">
        <w:rPr>
          <w:rFonts w:ascii="Calibri" w:eastAsia="Calibri" w:hAnsi="Calibri" w:cs="Calibri"/>
          <w:b/>
          <w:bCs/>
          <w:sz w:val="24"/>
          <w:szCs w:val="24"/>
        </w:rPr>
        <w:t xml:space="preserve"> Needs</w:t>
      </w:r>
    </w:p>
    <w:p w14:paraId="1DEC40CF" w14:textId="5456732B" w:rsidR="008B22EE" w:rsidRPr="008B22EE" w:rsidRDefault="69FCC632" w:rsidP="00FD624E">
      <w:pPr>
        <w:keepNext/>
        <w:rPr>
          <w:rFonts w:ascii="Calibri" w:eastAsia="Calibri" w:hAnsi="Calibri" w:cs="Calibri"/>
        </w:rPr>
      </w:pPr>
      <w:r w:rsidRPr="008B22EE">
        <w:rPr>
          <w:rFonts w:ascii="Calibri" w:eastAsia="Calibri" w:hAnsi="Calibri" w:cs="Calibri"/>
        </w:rPr>
        <w:t>The Children’s Hospital Association estimates that children with complex medical needs will grow at a rate of 5% annually.</w:t>
      </w:r>
      <w:r w:rsidR="008B22EE" w:rsidRPr="008B22EE">
        <w:rPr>
          <w:rFonts w:ascii="Calibri" w:eastAsia="Calibri" w:hAnsi="Calibri" w:cs="Calibri"/>
          <w:vertAlign w:val="superscript"/>
        </w:rPr>
        <w:endnoteReference w:id="11"/>
      </w:r>
      <w:r w:rsidRPr="008B22EE">
        <w:rPr>
          <w:rFonts w:ascii="Calibri" w:eastAsia="Calibri" w:hAnsi="Calibri" w:cs="Calibri"/>
        </w:rPr>
        <w:t xml:space="preserve"> Recognizing that children with medical complexity (CMC) needs are a high-need population, with significant use of health and social services, the Health Policy</w:t>
      </w:r>
      <w:r>
        <w:rPr>
          <w:rFonts w:ascii="Calibri" w:eastAsia="Calibri" w:hAnsi="Calibri" w:cs="Calibri"/>
        </w:rPr>
        <w:t xml:space="preserve"> </w:t>
      </w:r>
      <w:r>
        <w:rPr>
          <w:rFonts w:ascii="Calibri" w:eastAsia="Calibri" w:hAnsi="Calibri" w:cs="Calibri"/>
        </w:rPr>
        <w:lastRenderedPageBreak/>
        <w:t>C</w:t>
      </w:r>
      <w:r w:rsidRPr="008B22EE">
        <w:rPr>
          <w:rFonts w:ascii="Calibri" w:eastAsia="Calibri" w:hAnsi="Calibri" w:cs="Calibri"/>
        </w:rPr>
        <w:t>ommission was tasked with evaluating the status of the systems serving children with complex medical needs.</w:t>
      </w:r>
      <w:r w:rsidR="008B22EE" w:rsidRPr="008B22EE">
        <w:rPr>
          <w:rFonts w:ascii="Calibri" w:eastAsia="Calibri" w:hAnsi="Calibri" w:cs="Calibri"/>
          <w:vertAlign w:val="superscript"/>
        </w:rPr>
        <w:footnoteReference w:id="34"/>
      </w:r>
      <w:r w:rsidRPr="008B22EE">
        <w:rPr>
          <w:rFonts w:ascii="Calibri" w:eastAsia="Calibri" w:hAnsi="Calibri" w:cs="Calibri"/>
        </w:rPr>
        <w:t xml:space="preserve"> Key findings of the report include: </w:t>
      </w:r>
    </w:p>
    <w:p w14:paraId="0B7F0557" w14:textId="6E776184" w:rsidR="008B22EE" w:rsidRPr="008B22EE" w:rsidRDefault="008B22EE" w:rsidP="007F1D38">
      <w:pPr>
        <w:keepNext/>
        <w:numPr>
          <w:ilvl w:val="0"/>
          <w:numId w:val="3"/>
        </w:numPr>
        <w:rPr>
          <w:rFonts w:ascii="Calibri" w:eastAsia="Calibri" w:hAnsi="Calibri" w:cs="Calibri"/>
        </w:rPr>
      </w:pPr>
      <w:r w:rsidRPr="008B22EE">
        <w:rPr>
          <w:rFonts w:ascii="Calibri" w:eastAsia="Calibri" w:hAnsi="Calibri" w:cs="Calibri"/>
        </w:rPr>
        <w:t xml:space="preserve">4.5% of commercially insured children and 6.4% of children with MassHealth MCO/ACO coverage are children with </w:t>
      </w:r>
      <w:r w:rsidR="005D75B4">
        <w:rPr>
          <w:rFonts w:ascii="Calibri" w:eastAsia="Calibri" w:hAnsi="Calibri" w:cs="Calibri"/>
        </w:rPr>
        <w:t>complex medical needs</w:t>
      </w:r>
      <w:r w:rsidRPr="008B22EE">
        <w:rPr>
          <w:rFonts w:ascii="Calibri" w:eastAsia="Calibri" w:hAnsi="Calibri" w:cs="Calibri"/>
        </w:rPr>
        <w:t>.</w:t>
      </w:r>
    </w:p>
    <w:p w14:paraId="22FCA0AA" w14:textId="59981495" w:rsidR="008B22EE" w:rsidRPr="008B22EE" w:rsidRDefault="008B22EE" w:rsidP="007F1D38">
      <w:pPr>
        <w:keepNext/>
        <w:numPr>
          <w:ilvl w:val="0"/>
          <w:numId w:val="3"/>
        </w:numPr>
        <w:rPr>
          <w:rFonts w:ascii="Calibri" w:eastAsia="Calibri" w:hAnsi="Calibri" w:cs="Calibri"/>
        </w:rPr>
      </w:pPr>
      <w:r w:rsidRPr="008B22EE">
        <w:rPr>
          <w:rFonts w:ascii="Calibri" w:eastAsia="Calibri" w:hAnsi="Calibri" w:cs="Calibri"/>
        </w:rPr>
        <w:t xml:space="preserve">About half of </w:t>
      </w:r>
      <w:r w:rsidR="002E6C0E">
        <w:rPr>
          <w:rFonts w:ascii="Calibri" w:eastAsia="Calibri" w:hAnsi="Calibri" w:cs="Calibri"/>
        </w:rPr>
        <w:t>children with complex medical needs</w:t>
      </w:r>
      <w:r w:rsidRPr="008B22EE">
        <w:rPr>
          <w:rFonts w:ascii="Calibri" w:eastAsia="Calibri" w:hAnsi="Calibri" w:cs="Calibri"/>
        </w:rPr>
        <w:t xml:space="preserve"> in Massachusetts have commercial insurance, and about half are covered by MassHealth. Preliminary findings do not capture children with primary commercial and secondary MassHealth coverage.</w:t>
      </w:r>
    </w:p>
    <w:p w14:paraId="50AC6D3A" w14:textId="4A926E60" w:rsidR="008B22EE" w:rsidRPr="008B22EE" w:rsidRDefault="00817AFB" w:rsidP="007F1D38">
      <w:pPr>
        <w:keepNext/>
        <w:numPr>
          <w:ilvl w:val="0"/>
          <w:numId w:val="3"/>
        </w:numPr>
        <w:rPr>
          <w:rFonts w:ascii="Calibri" w:eastAsia="Calibri" w:hAnsi="Calibri" w:cs="Calibri"/>
        </w:rPr>
      </w:pPr>
      <w:r>
        <w:rPr>
          <w:rFonts w:ascii="Calibri" w:eastAsia="Calibri" w:hAnsi="Calibri" w:cs="Calibri"/>
        </w:rPr>
        <w:t>C</w:t>
      </w:r>
      <w:r w:rsidR="002E6C0E">
        <w:rPr>
          <w:rFonts w:ascii="Calibri" w:eastAsia="Calibri" w:hAnsi="Calibri" w:cs="Calibri"/>
        </w:rPr>
        <w:t>hildren with complex medical needs</w:t>
      </w:r>
      <w:r w:rsidR="002E6C0E" w:rsidRPr="008B22EE">
        <w:rPr>
          <w:rFonts w:ascii="Calibri" w:eastAsia="Calibri" w:hAnsi="Calibri" w:cs="Calibri"/>
        </w:rPr>
        <w:t xml:space="preserve"> </w:t>
      </w:r>
      <w:r w:rsidR="008B22EE" w:rsidRPr="008B22EE">
        <w:rPr>
          <w:rFonts w:ascii="Calibri" w:eastAsia="Calibri" w:hAnsi="Calibri" w:cs="Calibri"/>
        </w:rPr>
        <w:t xml:space="preserve">who are hospitalized have nearly double the length of inpatient stay of healthier children who are hospitalized (6.5 vs. 3.6 days). </w:t>
      </w:r>
    </w:p>
    <w:p w14:paraId="01E73140" w14:textId="0771C4A9" w:rsidR="008B22EE" w:rsidRPr="008B22EE" w:rsidRDefault="002E6C0E" w:rsidP="007F1D38">
      <w:pPr>
        <w:keepNext/>
        <w:numPr>
          <w:ilvl w:val="0"/>
          <w:numId w:val="3"/>
        </w:numPr>
        <w:rPr>
          <w:rFonts w:ascii="Calibri" w:eastAsia="Calibri" w:hAnsi="Calibri" w:cs="Calibri"/>
        </w:rPr>
      </w:pPr>
      <w:r>
        <w:rPr>
          <w:rFonts w:ascii="Calibri" w:eastAsia="Calibri" w:hAnsi="Calibri" w:cs="Calibri"/>
        </w:rPr>
        <w:t>T</w:t>
      </w:r>
      <w:r w:rsidR="008B22EE" w:rsidRPr="008B22EE">
        <w:rPr>
          <w:rFonts w:ascii="Calibri" w:eastAsia="Calibri" w:hAnsi="Calibri" w:cs="Calibri"/>
        </w:rPr>
        <w:t>here is a shortage of pediatric specialists who accept MassHealth</w:t>
      </w:r>
      <w:r w:rsidR="003B5F5E">
        <w:rPr>
          <w:rFonts w:ascii="Calibri" w:eastAsia="Calibri" w:hAnsi="Calibri" w:cs="Calibri"/>
        </w:rPr>
        <w:t>;</w:t>
      </w:r>
      <w:r w:rsidR="008B22EE" w:rsidRPr="008B22EE">
        <w:rPr>
          <w:rFonts w:ascii="Calibri" w:eastAsia="Calibri" w:hAnsi="Calibri" w:cs="Calibri"/>
        </w:rPr>
        <w:t xml:space="preserve"> and since they require specialty and sub-specialty treatment or inpatient care, they are disproportionately admitted for inpatient hospitalization compared to children from higher income families.</w:t>
      </w:r>
    </w:p>
    <w:p w14:paraId="1D591C4C" w14:textId="15218DA4" w:rsidR="008B22EE" w:rsidRDefault="69FCC632" w:rsidP="007F1D38">
      <w:pPr>
        <w:keepNext/>
        <w:numPr>
          <w:ilvl w:val="0"/>
          <w:numId w:val="3"/>
        </w:numPr>
        <w:rPr>
          <w:rFonts w:ascii="Calibri" w:eastAsia="Calibri" w:hAnsi="Calibri" w:cs="Calibri"/>
        </w:rPr>
      </w:pPr>
      <w:r w:rsidRPr="008B22EE">
        <w:rPr>
          <w:rFonts w:ascii="Calibri" w:eastAsia="Calibri" w:hAnsi="Calibri" w:cs="Calibri"/>
        </w:rPr>
        <w:t xml:space="preserve">Annual commercial spending for </w:t>
      </w:r>
      <w:r w:rsidR="3CC26D61">
        <w:rPr>
          <w:rFonts w:ascii="Calibri" w:eastAsia="Calibri" w:hAnsi="Calibri" w:cs="Calibri"/>
        </w:rPr>
        <w:t>children with complex medical needs</w:t>
      </w:r>
      <w:r w:rsidRPr="008B22EE">
        <w:rPr>
          <w:rFonts w:ascii="Calibri" w:eastAsia="Calibri" w:hAnsi="Calibri" w:cs="Calibri"/>
        </w:rPr>
        <w:t xml:space="preserve"> is 18 times that of healthier children ($30,578 vs. $1,691), and annual MassHealth MCO/ACO spending for </w:t>
      </w:r>
      <w:r w:rsidR="3CC26D61">
        <w:rPr>
          <w:rFonts w:ascii="Calibri" w:eastAsia="Calibri" w:hAnsi="Calibri" w:cs="Calibri"/>
        </w:rPr>
        <w:t>children with complex medical needs</w:t>
      </w:r>
      <w:r w:rsidRPr="008B22EE">
        <w:rPr>
          <w:rFonts w:ascii="Calibri" w:eastAsia="Calibri" w:hAnsi="Calibri" w:cs="Calibri"/>
        </w:rPr>
        <w:t xml:space="preserve"> is 16 times that of healthier children ($22,439 vs. $1,435).</w:t>
      </w:r>
      <w:r w:rsidR="008B22EE" w:rsidRPr="008B22EE">
        <w:rPr>
          <w:rFonts w:ascii="Calibri" w:eastAsia="Calibri" w:hAnsi="Calibri" w:cs="Calibri"/>
          <w:vertAlign w:val="superscript"/>
        </w:rPr>
        <w:endnoteReference w:id="12"/>
      </w:r>
    </w:p>
    <w:p w14:paraId="27068681" w14:textId="77777777" w:rsidR="00FD624E" w:rsidRDefault="00FD624E" w:rsidP="00597DFF">
      <w:pPr>
        <w:keepNext/>
        <w:ind w:left="720"/>
        <w:rPr>
          <w:rFonts w:ascii="Calibri" w:eastAsia="Calibri" w:hAnsi="Calibri" w:cs="Calibri"/>
        </w:rPr>
      </w:pPr>
    </w:p>
    <w:p w14:paraId="1847938D" w14:textId="5B355A50" w:rsidR="00FD624E" w:rsidRPr="008B22EE" w:rsidRDefault="732C4E6E" w:rsidP="00597DFF">
      <w:pPr>
        <w:rPr>
          <w:rFonts w:ascii="Calibri" w:eastAsia="Calibri" w:hAnsi="Calibri" w:cs="Calibri"/>
        </w:rPr>
      </w:pPr>
      <w:r w:rsidRPr="00FD624E">
        <w:rPr>
          <w:rFonts w:ascii="Calibri" w:eastAsia="Calibri" w:hAnsi="Calibri" w:cs="Calibri"/>
        </w:rPr>
        <w:t>Research funded by the Patient Centered Outcomes Research Institute (“PCORI”) has also identified care coordination as a priority item.</w:t>
      </w:r>
      <w:r w:rsidR="00FD624E" w:rsidRPr="002844A6">
        <w:rPr>
          <w:vertAlign w:val="superscript"/>
        </w:rPr>
        <w:footnoteReference w:id="35"/>
      </w:r>
      <w:r>
        <w:rPr>
          <w:rFonts w:ascii="Calibri" w:eastAsia="Calibri" w:hAnsi="Calibri" w:cs="Calibri"/>
        </w:rPr>
        <w:t xml:space="preserve"> </w:t>
      </w:r>
    </w:p>
    <w:p w14:paraId="7E9F645A" w14:textId="77777777" w:rsidR="008B22EE" w:rsidRPr="008B22EE" w:rsidRDefault="008B22EE" w:rsidP="008B22EE">
      <w:pPr>
        <w:keepNext/>
        <w:rPr>
          <w:rFonts w:ascii="Calibri" w:eastAsia="Calibri" w:hAnsi="Calibri" w:cs="Calibri"/>
        </w:rPr>
      </w:pPr>
    </w:p>
    <w:p w14:paraId="166396FA" w14:textId="3292406B" w:rsidR="008B22EE" w:rsidRPr="008B22EE" w:rsidRDefault="15B609F2" w:rsidP="008B22EE">
      <w:pPr>
        <w:keepNext/>
        <w:rPr>
          <w:rFonts w:ascii="Calibri" w:eastAsia="Calibri" w:hAnsi="Calibri" w:cs="Calibri"/>
        </w:rPr>
      </w:pPr>
      <w:r w:rsidRPr="00794BF2">
        <w:rPr>
          <w:rFonts w:ascii="Calibri" w:eastAsia="Calibri" w:hAnsi="Calibri" w:cs="Calibri"/>
        </w:rPr>
        <w:t>BCH receives approximately 36% of admissions statewide for children and adolescents with complex medical needs.</w:t>
      </w:r>
      <w:r w:rsidR="00794BF2" w:rsidRPr="00794BF2">
        <w:rPr>
          <w:rFonts w:ascii="Calibri" w:eastAsia="Calibri" w:hAnsi="Calibri" w:cs="Calibri"/>
          <w:vertAlign w:val="superscript"/>
        </w:rPr>
        <w:footnoteReference w:id="36"/>
      </w:r>
      <w:r w:rsidRPr="00794BF2">
        <w:rPr>
          <w:rFonts w:ascii="Calibri" w:eastAsia="Calibri" w:hAnsi="Calibri" w:cs="Calibri"/>
        </w:rPr>
        <w:t xml:space="preserve"> </w:t>
      </w:r>
      <w:r w:rsidR="69FCC632" w:rsidRPr="008B22EE">
        <w:rPr>
          <w:rFonts w:ascii="Calibri" w:eastAsia="Calibri" w:hAnsi="Calibri" w:cs="Calibri"/>
        </w:rPr>
        <w:t xml:space="preserve">Given the high concentration of </w:t>
      </w:r>
      <w:r w:rsidR="77636420">
        <w:rPr>
          <w:rFonts w:ascii="Calibri" w:eastAsia="Calibri" w:hAnsi="Calibri" w:cs="Calibri"/>
        </w:rPr>
        <w:t>c</w:t>
      </w:r>
      <w:r w:rsidR="3CC26D61">
        <w:rPr>
          <w:rFonts w:ascii="Calibri" w:eastAsia="Calibri" w:hAnsi="Calibri" w:cs="Calibri"/>
        </w:rPr>
        <w:t>hildren with complex medical needs</w:t>
      </w:r>
      <w:r w:rsidR="69FCC632" w:rsidRPr="008B22EE">
        <w:rPr>
          <w:rFonts w:ascii="Calibri" w:eastAsia="Calibri" w:hAnsi="Calibri" w:cs="Calibri"/>
        </w:rPr>
        <w:t xml:space="preserve"> at</w:t>
      </w:r>
      <w:r w:rsidR="77636420">
        <w:rPr>
          <w:rFonts w:ascii="Calibri" w:eastAsia="Calibri" w:hAnsi="Calibri" w:cs="Calibri"/>
        </w:rPr>
        <w:t xml:space="preserve"> BCH</w:t>
      </w:r>
      <w:r w:rsidR="69FCC632" w:rsidRPr="008B22EE">
        <w:rPr>
          <w:rFonts w:ascii="Calibri" w:eastAsia="Calibri" w:hAnsi="Calibri" w:cs="Calibri"/>
        </w:rPr>
        <w:t xml:space="preserve">, </w:t>
      </w:r>
      <w:r w:rsidR="77636420">
        <w:rPr>
          <w:rFonts w:ascii="Calibri" w:eastAsia="Calibri" w:hAnsi="Calibri" w:cs="Calibri"/>
        </w:rPr>
        <w:t xml:space="preserve">the need for a provider of post-acute services, such as Franciscan, that can treat </w:t>
      </w:r>
      <w:r w:rsidR="69FCC632" w:rsidRPr="008B22EE">
        <w:rPr>
          <w:rFonts w:ascii="Calibri" w:eastAsia="Calibri" w:hAnsi="Calibri" w:cs="Calibri"/>
        </w:rPr>
        <w:t>the most medically complex patients, including those requiring ventilator support</w:t>
      </w:r>
      <w:r w:rsidR="77636420">
        <w:rPr>
          <w:rFonts w:ascii="Calibri" w:eastAsia="Calibri" w:hAnsi="Calibri" w:cs="Calibri"/>
        </w:rPr>
        <w:t xml:space="preserve"> is critical. </w:t>
      </w:r>
      <w:r w:rsidR="3F052C9F">
        <w:rPr>
          <w:rFonts w:ascii="Calibri" w:eastAsia="Calibri" w:hAnsi="Calibri" w:cs="Calibri"/>
        </w:rPr>
        <w:t>At any given time, o</w:t>
      </w:r>
      <w:r w:rsidR="69FCC632" w:rsidRPr="008B22EE">
        <w:rPr>
          <w:rFonts w:ascii="Calibri" w:eastAsia="Calibri" w:hAnsi="Calibri" w:cs="Calibri"/>
        </w:rPr>
        <w:t xml:space="preserve">n average, 60% of Franciscan’s post-acute care patients are on ventilators, and approximately 75% of patients are receiving outpatient physical and rehabilitative therapy services. All of the students enrolled in Kennedy Day School have medical complexity. </w:t>
      </w:r>
    </w:p>
    <w:p w14:paraId="05A3B15E" w14:textId="77777777" w:rsidR="008B22EE" w:rsidRPr="008B22EE" w:rsidRDefault="008B22EE" w:rsidP="008B22EE">
      <w:pPr>
        <w:keepNext/>
        <w:rPr>
          <w:rFonts w:ascii="Calibri" w:eastAsia="Calibri" w:hAnsi="Calibri" w:cs="Calibri"/>
        </w:rPr>
      </w:pPr>
    </w:p>
    <w:p w14:paraId="4058EDF5" w14:textId="1B82C3EA" w:rsidR="0091551B" w:rsidRDefault="69FCC632" w:rsidP="008B22EE">
      <w:pPr>
        <w:keepNext/>
        <w:rPr>
          <w:rFonts w:ascii="Calibri" w:eastAsia="Calibri" w:hAnsi="Calibri" w:cs="Calibri"/>
        </w:rPr>
      </w:pPr>
      <w:r w:rsidRPr="6F80FCDD">
        <w:rPr>
          <w:rFonts w:ascii="Calibri" w:eastAsia="Calibri" w:hAnsi="Calibri" w:cs="Calibri"/>
        </w:rPr>
        <w:t>BCH sends patients to Franciscan for post-acute care, including children who need rehabilitative care post-trauma, as well as medically complex children who require specific and specialized post-acute care. In FY21, BCH transferred 91 patients to Franciscan, which represent</w:t>
      </w:r>
      <w:r w:rsidR="00D42CBC">
        <w:rPr>
          <w:rFonts w:ascii="Calibri" w:eastAsia="Calibri" w:hAnsi="Calibri" w:cs="Calibri"/>
        </w:rPr>
        <w:t>ed</w:t>
      </w:r>
      <w:r w:rsidRPr="6F80FCDD">
        <w:rPr>
          <w:rFonts w:ascii="Calibri" w:eastAsia="Calibri" w:hAnsi="Calibri" w:cs="Calibri"/>
        </w:rPr>
        <w:t xml:space="preserve"> approximately 70% of Franciscan’s referral base for post-acute care. </w:t>
      </w:r>
      <w:r w:rsidR="3F052C9F" w:rsidRPr="6F80FCDD">
        <w:rPr>
          <w:rFonts w:ascii="Calibri" w:eastAsia="Calibri" w:hAnsi="Calibri" w:cs="Calibri"/>
        </w:rPr>
        <w:t xml:space="preserve">Since </w:t>
      </w:r>
      <w:r w:rsidR="7FE7E3E7" w:rsidRPr="6F80FCDD">
        <w:rPr>
          <w:rFonts w:ascii="Calibri" w:eastAsia="Calibri" w:hAnsi="Calibri" w:cs="Calibri"/>
        </w:rPr>
        <w:t>then,</w:t>
      </w:r>
      <w:r w:rsidR="3F052C9F" w:rsidRPr="6F80FCDD">
        <w:rPr>
          <w:rFonts w:ascii="Calibri" w:eastAsia="Calibri" w:hAnsi="Calibri" w:cs="Calibri"/>
        </w:rPr>
        <w:t xml:space="preserve"> the Applicant reports that transfers have stabilized to pre-pandemic levels.</w:t>
      </w:r>
      <w:r w:rsidR="7865FF88" w:rsidRPr="6F80FCDD">
        <w:rPr>
          <w:rFonts w:ascii="Calibri" w:eastAsia="Calibri" w:hAnsi="Calibri" w:cs="Calibri"/>
        </w:rPr>
        <w:t xml:space="preserve"> In FY22, BCH transferred 55 patients to Franciscan</w:t>
      </w:r>
      <w:r w:rsidR="05F47121" w:rsidRPr="6F80FCDD">
        <w:rPr>
          <w:rFonts w:ascii="Calibri" w:eastAsia="Calibri" w:hAnsi="Calibri" w:cs="Calibri"/>
        </w:rPr>
        <w:t xml:space="preserve">, </w:t>
      </w:r>
      <w:r w:rsidR="7865FF88" w:rsidRPr="6F80FCDD">
        <w:rPr>
          <w:rFonts w:ascii="Calibri" w:eastAsia="Calibri" w:hAnsi="Calibri" w:cs="Calibri"/>
        </w:rPr>
        <w:t>representing approximately 66% of Franciscan’s referral base for post-acute care.</w:t>
      </w:r>
      <w:r w:rsidR="3555F91F" w:rsidRPr="6F80FCDD">
        <w:rPr>
          <w:rFonts w:ascii="Calibri" w:eastAsia="Calibri" w:hAnsi="Calibri" w:cs="Calibri"/>
        </w:rPr>
        <w:t xml:space="preserve"> Daily, BCH has </w:t>
      </w:r>
      <w:r w:rsidR="3F052C9F" w:rsidRPr="6F80FCDD">
        <w:rPr>
          <w:rFonts w:ascii="Calibri" w:eastAsia="Calibri" w:hAnsi="Calibri" w:cs="Calibri"/>
        </w:rPr>
        <w:t>~</w:t>
      </w:r>
      <w:r w:rsidR="3555F91F" w:rsidRPr="6F80FCDD">
        <w:rPr>
          <w:rFonts w:ascii="Calibri" w:eastAsia="Calibri" w:hAnsi="Calibri" w:cs="Calibri"/>
        </w:rPr>
        <w:t xml:space="preserve">five medical beds filled with patients who no longer require the </w:t>
      </w:r>
      <w:r w:rsidR="3555F91F" w:rsidRPr="6F80FCDD">
        <w:rPr>
          <w:rFonts w:ascii="Calibri" w:eastAsia="Calibri" w:hAnsi="Calibri" w:cs="Calibri"/>
        </w:rPr>
        <w:lastRenderedPageBreak/>
        <w:t xml:space="preserve">acute level of care that BCH offers, and who would be better served by a transfer to the post-acute care clinical setting at </w:t>
      </w:r>
      <w:r w:rsidR="3E7EEC00" w:rsidRPr="6F80FCDD">
        <w:rPr>
          <w:rFonts w:ascii="Calibri" w:eastAsia="Calibri" w:hAnsi="Calibri" w:cs="Calibri"/>
        </w:rPr>
        <w:t>Franciscan,</w:t>
      </w:r>
      <w:r w:rsidR="3F052C9F" w:rsidRPr="6F80FCDD">
        <w:rPr>
          <w:rFonts w:ascii="Calibri" w:eastAsia="Calibri" w:hAnsi="Calibri" w:cs="Calibri"/>
        </w:rPr>
        <w:t xml:space="preserve"> but no bed is available</w:t>
      </w:r>
      <w:r w:rsidR="3555F91F" w:rsidRPr="6F80FCDD">
        <w:rPr>
          <w:rFonts w:ascii="Calibri" w:eastAsia="Calibri" w:hAnsi="Calibri" w:cs="Calibri"/>
        </w:rPr>
        <w:t>.</w:t>
      </w:r>
    </w:p>
    <w:p w14:paraId="32DD799A" w14:textId="77777777" w:rsidR="00D42CBC" w:rsidRDefault="00D42CBC" w:rsidP="008B22EE">
      <w:pPr>
        <w:keepNext/>
        <w:rPr>
          <w:rFonts w:ascii="Calibri" w:eastAsia="Calibri" w:hAnsi="Calibri" w:cs="Calibri"/>
        </w:rPr>
      </w:pPr>
    </w:p>
    <w:p w14:paraId="745BF6C1" w14:textId="02394BF7" w:rsidR="00EB46C1" w:rsidRDefault="7865FF88" w:rsidP="008B22EE">
      <w:pPr>
        <w:keepNext/>
        <w:rPr>
          <w:rFonts w:ascii="Calibri" w:eastAsia="Calibri" w:hAnsi="Calibri" w:cs="Calibri"/>
        </w:rPr>
      </w:pPr>
      <w:r w:rsidRPr="008B22EE">
        <w:rPr>
          <w:rFonts w:ascii="Calibri" w:eastAsia="Calibri" w:hAnsi="Calibri" w:cs="Calibri"/>
        </w:rPr>
        <w:t>Annually, Franciscan accepts admissions from ~15 different referring hospitals, based on the level of care that patients require</w:t>
      </w:r>
      <w:r w:rsidR="4E88D59A">
        <w:rPr>
          <w:rFonts w:ascii="Calibri" w:eastAsia="Calibri" w:hAnsi="Calibri" w:cs="Calibri"/>
        </w:rPr>
        <w:t>.</w:t>
      </w:r>
      <w:r w:rsidR="3555F91F">
        <w:rPr>
          <w:rFonts w:ascii="Calibri" w:eastAsia="Calibri" w:hAnsi="Calibri" w:cs="Calibri"/>
        </w:rPr>
        <w:t xml:space="preserve"> </w:t>
      </w:r>
      <w:r w:rsidR="69FCC632" w:rsidRPr="008B22EE">
        <w:rPr>
          <w:rFonts w:ascii="Calibri" w:eastAsia="Calibri" w:hAnsi="Calibri" w:cs="Calibri"/>
        </w:rPr>
        <w:t xml:space="preserve">The Applicant notes that </w:t>
      </w:r>
      <w:r w:rsidR="05E32B89">
        <w:rPr>
          <w:rFonts w:ascii="Calibri" w:eastAsia="Calibri" w:hAnsi="Calibri" w:cs="Calibri"/>
        </w:rPr>
        <w:t xml:space="preserve">facility, </w:t>
      </w:r>
      <w:r w:rsidR="69FCC632" w:rsidRPr="008B22EE">
        <w:rPr>
          <w:rFonts w:ascii="Calibri" w:eastAsia="Calibri" w:hAnsi="Calibri" w:cs="Calibri"/>
        </w:rPr>
        <w:t xml:space="preserve">staffing and payor network limitations have slowed or stopped Franciscan from accepting </w:t>
      </w:r>
      <w:r>
        <w:rPr>
          <w:rFonts w:ascii="Calibri" w:eastAsia="Calibri" w:hAnsi="Calibri" w:cs="Calibri"/>
        </w:rPr>
        <w:t xml:space="preserve">some </w:t>
      </w:r>
      <w:r w:rsidR="69FCC632" w:rsidRPr="008B22EE">
        <w:rPr>
          <w:rFonts w:ascii="Calibri" w:eastAsia="Calibri" w:hAnsi="Calibri" w:cs="Calibri"/>
        </w:rPr>
        <w:t>patient transfers and instead, the Applicant states “</w:t>
      </w:r>
      <w:r w:rsidR="69FCC632" w:rsidRPr="6F80FCDD">
        <w:rPr>
          <w:rFonts w:ascii="Calibri" w:eastAsia="Calibri" w:hAnsi="Calibri" w:cs="Calibri"/>
          <w:i/>
          <w:iCs/>
        </w:rPr>
        <w:t>these patients frequently need to be transferred out of Massachusetts and out of New England because Franciscan lacks the resources to develop capacity locally</w:t>
      </w:r>
      <w:r w:rsidR="69FCC632" w:rsidRPr="008B22EE">
        <w:rPr>
          <w:rFonts w:ascii="Calibri" w:eastAsia="Calibri" w:hAnsi="Calibri" w:cs="Calibri"/>
        </w:rPr>
        <w:t>.”</w:t>
      </w:r>
      <w:r w:rsidR="0091551B">
        <w:rPr>
          <w:rStyle w:val="FootnoteReference"/>
          <w:rFonts w:ascii="Calibri" w:eastAsia="Calibri" w:hAnsi="Calibri" w:cs="Calibri"/>
        </w:rPr>
        <w:footnoteReference w:id="37"/>
      </w:r>
      <w:r w:rsidR="69FCC632" w:rsidRPr="008B22EE">
        <w:rPr>
          <w:rFonts w:ascii="Calibri" w:eastAsia="Calibri" w:hAnsi="Calibri" w:cs="Calibri"/>
        </w:rPr>
        <w:t xml:space="preserve"> </w:t>
      </w:r>
    </w:p>
    <w:p w14:paraId="6BC55D49" w14:textId="77777777" w:rsidR="00631AE9" w:rsidRDefault="00631AE9" w:rsidP="008B22EE">
      <w:pPr>
        <w:keepNext/>
        <w:rPr>
          <w:rFonts w:ascii="Calibri" w:eastAsia="Calibri" w:hAnsi="Calibri" w:cs="Calibri"/>
        </w:rPr>
      </w:pPr>
    </w:p>
    <w:p w14:paraId="2390CDC5" w14:textId="2493447F" w:rsidR="008B22EE" w:rsidRDefault="732C4E6E" w:rsidP="008B22EE">
      <w:pPr>
        <w:keepNext/>
        <w:rPr>
          <w:rFonts w:ascii="Calibri" w:eastAsia="Calibri" w:hAnsi="Calibri" w:cs="Calibri"/>
        </w:rPr>
      </w:pPr>
      <w:r>
        <w:rPr>
          <w:rFonts w:ascii="Calibri" w:eastAsia="Calibri" w:hAnsi="Calibri" w:cs="Calibri"/>
        </w:rPr>
        <w:t xml:space="preserve">Through the </w:t>
      </w:r>
      <w:r w:rsidR="3555F91F">
        <w:rPr>
          <w:rFonts w:ascii="Calibri" w:eastAsia="Calibri" w:hAnsi="Calibri" w:cs="Calibri"/>
        </w:rPr>
        <w:t xml:space="preserve">proposed </w:t>
      </w:r>
      <w:r w:rsidRPr="00FD624E">
        <w:rPr>
          <w:rFonts w:ascii="Calibri" w:eastAsia="Calibri" w:hAnsi="Calibri" w:cs="Calibri"/>
        </w:rPr>
        <w:t>replacement facility</w:t>
      </w:r>
      <w:r>
        <w:rPr>
          <w:rFonts w:ascii="Calibri" w:eastAsia="Calibri" w:hAnsi="Calibri" w:cs="Calibri"/>
        </w:rPr>
        <w:t xml:space="preserve"> that </w:t>
      </w:r>
      <w:r w:rsidR="4F77987D">
        <w:rPr>
          <w:rFonts w:ascii="Calibri" w:eastAsia="Calibri" w:hAnsi="Calibri" w:cs="Calibri"/>
        </w:rPr>
        <w:t xml:space="preserve">is purpose-built, has private rooms and </w:t>
      </w:r>
      <w:r>
        <w:rPr>
          <w:rFonts w:ascii="Calibri" w:eastAsia="Calibri" w:hAnsi="Calibri" w:cs="Calibri"/>
        </w:rPr>
        <w:t>meets all current standards for rehabilitative care,</w:t>
      </w:r>
      <w:r w:rsidRPr="00FD624E">
        <w:rPr>
          <w:rFonts w:ascii="Calibri" w:eastAsia="Calibri" w:hAnsi="Calibri" w:cs="Calibri"/>
        </w:rPr>
        <w:t xml:space="preserve"> and </w:t>
      </w:r>
      <w:r>
        <w:rPr>
          <w:rFonts w:ascii="Calibri" w:eastAsia="Calibri" w:hAnsi="Calibri" w:cs="Calibri"/>
        </w:rPr>
        <w:t xml:space="preserve">with </w:t>
      </w:r>
      <w:r w:rsidRPr="00FD624E">
        <w:rPr>
          <w:rFonts w:ascii="Calibri" w:eastAsia="Calibri" w:hAnsi="Calibri" w:cs="Calibri"/>
        </w:rPr>
        <w:t xml:space="preserve">investment in </w:t>
      </w:r>
      <w:r>
        <w:rPr>
          <w:rFonts w:ascii="Calibri" w:eastAsia="Calibri" w:hAnsi="Calibri" w:cs="Calibri"/>
        </w:rPr>
        <w:t xml:space="preserve">effective </w:t>
      </w:r>
      <w:r w:rsidRPr="00FD624E">
        <w:rPr>
          <w:rFonts w:ascii="Calibri" w:eastAsia="Calibri" w:hAnsi="Calibri" w:cs="Calibri"/>
        </w:rPr>
        <w:t>staffing</w:t>
      </w:r>
      <w:r>
        <w:rPr>
          <w:rFonts w:ascii="Calibri" w:eastAsia="Calibri" w:hAnsi="Calibri" w:cs="Calibri"/>
        </w:rPr>
        <w:t xml:space="preserve"> models, t</w:t>
      </w:r>
      <w:r w:rsidR="77636420">
        <w:rPr>
          <w:rFonts w:ascii="Calibri" w:eastAsia="Calibri" w:hAnsi="Calibri" w:cs="Calibri"/>
        </w:rPr>
        <w:t>he applicant</w:t>
      </w:r>
      <w:r w:rsidR="3555F91F">
        <w:rPr>
          <w:rFonts w:ascii="Calibri" w:eastAsia="Calibri" w:hAnsi="Calibri" w:cs="Calibri"/>
        </w:rPr>
        <w:t xml:space="preserve"> asserts </w:t>
      </w:r>
      <w:r w:rsidR="4F77987D">
        <w:rPr>
          <w:rFonts w:ascii="Calibri" w:eastAsia="Calibri" w:hAnsi="Calibri" w:cs="Calibri"/>
        </w:rPr>
        <w:t>transfers to the right level of care for each individual child will be expedited</w:t>
      </w:r>
      <w:r w:rsidR="400B81CD">
        <w:rPr>
          <w:rFonts w:ascii="Calibri" w:eastAsia="Calibri" w:hAnsi="Calibri" w:cs="Calibri"/>
        </w:rPr>
        <w:t>,</w:t>
      </w:r>
      <w:r w:rsidR="4F77987D">
        <w:rPr>
          <w:rFonts w:ascii="Calibri" w:eastAsia="Calibri" w:hAnsi="Calibri" w:cs="Calibri"/>
        </w:rPr>
        <w:t xml:space="preserve"> and that </w:t>
      </w:r>
      <w:r w:rsidR="3555F91F">
        <w:rPr>
          <w:rFonts w:ascii="Calibri" w:eastAsia="Calibri" w:hAnsi="Calibri" w:cs="Calibri"/>
        </w:rPr>
        <w:t>it</w:t>
      </w:r>
      <w:r w:rsidR="77636420">
        <w:rPr>
          <w:rFonts w:ascii="Calibri" w:eastAsia="Calibri" w:hAnsi="Calibri" w:cs="Calibri"/>
        </w:rPr>
        <w:t xml:space="preserve"> </w:t>
      </w:r>
      <w:r w:rsidR="05E32B89">
        <w:rPr>
          <w:rFonts w:ascii="Calibri" w:eastAsia="Calibri" w:hAnsi="Calibri" w:cs="Calibri"/>
        </w:rPr>
        <w:t xml:space="preserve">will be able to </w:t>
      </w:r>
      <w:r w:rsidR="77636420">
        <w:rPr>
          <w:rFonts w:ascii="Calibri" w:eastAsia="Calibri" w:hAnsi="Calibri" w:cs="Calibri"/>
        </w:rPr>
        <w:t xml:space="preserve">operate </w:t>
      </w:r>
      <w:r w:rsidR="05E32B89">
        <w:rPr>
          <w:rFonts w:ascii="Calibri" w:eastAsia="Calibri" w:hAnsi="Calibri" w:cs="Calibri"/>
        </w:rPr>
        <w:t xml:space="preserve">12 </w:t>
      </w:r>
      <w:r w:rsidR="77636420">
        <w:rPr>
          <w:rFonts w:ascii="Calibri" w:eastAsia="Calibri" w:hAnsi="Calibri" w:cs="Calibri"/>
        </w:rPr>
        <w:t>additional beds</w:t>
      </w:r>
      <w:r w:rsidR="400B81CD">
        <w:rPr>
          <w:rFonts w:ascii="Calibri" w:eastAsia="Calibri" w:hAnsi="Calibri" w:cs="Calibri"/>
        </w:rPr>
        <w:t xml:space="preserve"> that are currently out of service</w:t>
      </w:r>
      <w:r w:rsidR="05E32B89">
        <w:rPr>
          <w:rFonts w:ascii="Calibri" w:eastAsia="Calibri" w:hAnsi="Calibri" w:cs="Calibri"/>
        </w:rPr>
        <w:t xml:space="preserve">, increasing from 48 </w:t>
      </w:r>
      <w:r w:rsidR="37274F7F">
        <w:rPr>
          <w:rFonts w:ascii="Calibri" w:eastAsia="Calibri" w:hAnsi="Calibri" w:cs="Calibri"/>
        </w:rPr>
        <w:t xml:space="preserve">operational beds </w:t>
      </w:r>
      <w:r w:rsidR="05E32B89">
        <w:rPr>
          <w:rFonts w:ascii="Calibri" w:eastAsia="Calibri" w:hAnsi="Calibri" w:cs="Calibri"/>
        </w:rPr>
        <w:t>to 60. (see table 1)</w:t>
      </w:r>
      <w:r>
        <w:rPr>
          <w:rFonts w:ascii="Calibri" w:eastAsia="Calibri" w:hAnsi="Calibri" w:cs="Calibri"/>
        </w:rPr>
        <w:t>.</w:t>
      </w:r>
      <w:r w:rsidR="00FD624E">
        <w:rPr>
          <w:rStyle w:val="FootnoteReference"/>
          <w:rFonts w:ascii="Calibri" w:eastAsia="Calibri" w:hAnsi="Calibri" w:cs="Calibri"/>
        </w:rPr>
        <w:footnoteReference w:id="38"/>
      </w:r>
      <w:r w:rsidR="05E32B89">
        <w:rPr>
          <w:rFonts w:ascii="Calibri" w:eastAsia="Calibri" w:hAnsi="Calibri" w:cs="Calibri"/>
        </w:rPr>
        <w:t xml:space="preserve"> </w:t>
      </w:r>
      <w:r w:rsidR="7865FF88" w:rsidRPr="00597DFF">
        <w:rPr>
          <w:rFonts w:ascii="Calibri" w:eastAsia="Calibri" w:hAnsi="Calibri" w:cs="Calibri"/>
        </w:rPr>
        <w:t>The Applicant reports th</w:t>
      </w:r>
      <w:r w:rsidR="7865FF88" w:rsidRPr="008B22EE">
        <w:rPr>
          <w:rFonts w:ascii="Calibri" w:eastAsia="Calibri" w:hAnsi="Calibri" w:cs="Calibri"/>
        </w:rPr>
        <w:t>e demand for its pediatric post-acute care services at Franciscan increased to a peak of 14,786 patient days in FY19</w:t>
      </w:r>
      <w:r w:rsidR="7865FF88">
        <w:rPr>
          <w:rFonts w:ascii="Calibri" w:eastAsia="Calibri" w:hAnsi="Calibri" w:cs="Calibri"/>
        </w:rPr>
        <w:t>.</w:t>
      </w:r>
      <w:r w:rsidR="38858566">
        <w:rPr>
          <w:rFonts w:ascii="Calibri" w:eastAsia="Calibri" w:hAnsi="Calibri" w:cs="Calibri"/>
        </w:rPr>
        <w:t xml:space="preserve"> </w:t>
      </w:r>
      <w:r w:rsidR="38858566" w:rsidRPr="001E7EE6">
        <w:rPr>
          <w:rFonts w:ascii="Calibri" w:eastAsia="Calibri" w:hAnsi="Calibri" w:cs="Calibri"/>
          <w:lang w:val="en"/>
        </w:rPr>
        <w:t xml:space="preserve">Table </w:t>
      </w:r>
      <w:r w:rsidR="0E2E093C">
        <w:rPr>
          <w:rFonts w:ascii="Calibri" w:eastAsia="Calibri" w:hAnsi="Calibri" w:cs="Calibri"/>
          <w:lang w:val="en"/>
        </w:rPr>
        <w:t>7</w:t>
      </w:r>
      <w:r w:rsidR="38858566" w:rsidRPr="001E7EE6">
        <w:rPr>
          <w:rFonts w:ascii="Calibri" w:eastAsia="Calibri" w:hAnsi="Calibri" w:cs="Calibri"/>
          <w:lang w:val="en"/>
        </w:rPr>
        <w:t xml:space="preserve"> depicts the Applicant’s projections for Franciscans’</w:t>
      </w:r>
      <w:r w:rsidR="38858566">
        <w:rPr>
          <w:rFonts w:ascii="Calibri" w:eastAsia="Calibri" w:hAnsi="Calibri" w:cs="Calibri"/>
          <w:lang w:val="en"/>
        </w:rPr>
        <w:t xml:space="preserve"> </w:t>
      </w:r>
      <w:r w:rsidR="38858566" w:rsidRPr="001E7EE6">
        <w:rPr>
          <w:rFonts w:ascii="Calibri" w:eastAsia="Calibri" w:hAnsi="Calibri" w:cs="Calibri"/>
        </w:rPr>
        <w:t>Post</w:t>
      </w:r>
      <w:r w:rsidR="38858566">
        <w:rPr>
          <w:rFonts w:ascii="Calibri" w:eastAsia="Calibri" w:hAnsi="Calibri" w:cs="Calibri"/>
        </w:rPr>
        <w:t>-</w:t>
      </w:r>
      <w:r w:rsidR="38858566" w:rsidRPr="001E7EE6">
        <w:rPr>
          <w:rFonts w:ascii="Calibri" w:eastAsia="Calibri" w:hAnsi="Calibri" w:cs="Calibri"/>
        </w:rPr>
        <w:t xml:space="preserve">Acute </w:t>
      </w:r>
      <w:r w:rsidR="38858566">
        <w:rPr>
          <w:rFonts w:ascii="Calibri" w:eastAsia="Calibri" w:hAnsi="Calibri" w:cs="Calibri"/>
        </w:rPr>
        <w:t xml:space="preserve">Medical </w:t>
      </w:r>
      <w:r w:rsidR="38858566" w:rsidRPr="001E7EE6">
        <w:rPr>
          <w:rFonts w:ascii="Calibri" w:eastAsia="Calibri" w:hAnsi="Calibri" w:cs="Calibri"/>
        </w:rPr>
        <w:t>Rehabilitation</w:t>
      </w:r>
      <w:r w:rsidR="38858566">
        <w:rPr>
          <w:rFonts w:ascii="Calibri" w:eastAsia="Calibri" w:hAnsi="Calibri" w:cs="Calibri"/>
        </w:rPr>
        <w:t xml:space="preserve"> service where the </w:t>
      </w:r>
      <w:r w:rsidR="2369BFB3">
        <w:rPr>
          <w:rFonts w:ascii="Calibri" w:eastAsia="Calibri" w:hAnsi="Calibri" w:cs="Calibri"/>
        </w:rPr>
        <w:t>five-year</w:t>
      </w:r>
      <w:r w:rsidR="38858566">
        <w:rPr>
          <w:rFonts w:ascii="Calibri" w:eastAsia="Calibri" w:hAnsi="Calibri" w:cs="Calibri"/>
        </w:rPr>
        <w:t xml:space="preserve"> growth rate is 28%. </w:t>
      </w:r>
    </w:p>
    <w:p w14:paraId="5ADEB112" w14:textId="77777777" w:rsidR="001E7EE6" w:rsidRDefault="001E7EE6" w:rsidP="008B22EE">
      <w:pPr>
        <w:keepNext/>
        <w:rPr>
          <w:rFonts w:ascii="Calibri" w:eastAsia="Calibri" w:hAnsi="Calibri" w:cs="Calibri"/>
        </w:rPr>
      </w:pPr>
    </w:p>
    <w:p w14:paraId="062C36E9" w14:textId="5A66B301" w:rsidR="001E7EE6" w:rsidRPr="001E7EE6" w:rsidRDefault="001E7EE6" w:rsidP="00C057E0">
      <w:pPr>
        <w:keepNext/>
        <w:jc w:val="center"/>
        <w:rPr>
          <w:rFonts w:ascii="Calibri" w:eastAsia="Calibri" w:hAnsi="Calibri" w:cs="Calibri"/>
          <w:b/>
          <w:bCs/>
        </w:rPr>
      </w:pPr>
      <w:r w:rsidRPr="001E7EE6">
        <w:rPr>
          <w:rFonts w:ascii="Calibri" w:eastAsia="Calibri" w:hAnsi="Calibri" w:cs="Calibri"/>
          <w:b/>
          <w:bCs/>
        </w:rPr>
        <w:t xml:space="preserve">Table </w:t>
      </w:r>
      <w:r w:rsidR="00FF7025">
        <w:rPr>
          <w:rFonts w:ascii="Calibri" w:eastAsia="Calibri" w:hAnsi="Calibri" w:cs="Calibri"/>
          <w:b/>
          <w:bCs/>
        </w:rPr>
        <w:t>7</w:t>
      </w:r>
      <w:r w:rsidRPr="001E7EE6">
        <w:rPr>
          <w:rFonts w:ascii="Calibri" w:eastAsia="Calibri" w:hAnsi="Calibri" w:cs="Calibri"/>
          <w:b/>
          <w:bCs/>
        </w:rPr>
        <w:t>: Projections for Franciscans’ Post Acute Rehabilitation Service</w:t>
      </w:r>
    </w:p>
    <w:p w14:paraId="46CCBB4E" w14:textId="77777777" w:rsidR="001E7EE6" w:rsidRDefault="001E7EE6" w:rsidP="00C057E0">
      <w:pPr>
        <w:keepNext/>
        <w:jc w:val="center"/>
        <w:rPr>
          <w:rFonts w:ascii="Calibri" w:eastAsia="Calibri" w:hAnsi="Calibri" w:cs="Calibri"/>
        </w:rPr>
      </w:pPr>
    </w:p>
    <w:tbl>
      <w:tblPr>
        <w:tblW w:w="7205" w:type="dxa"/>
        <w:jc w:val="center"/>
        <w:tblLook w:val="04A0" w:firstRow="1" w:lastRow="0" w:firstColumn="1" w:lastColumn="0" w:noHBand="0" w:noVBand="1"/>
      </w:tblPr>
      <w:tblGrid>
        <w:gridCol w:w="2405"/>
        <w:gridCol w:w="960"/>
        <w:gridCol w:w="960"/>
        <w:gridCol w:w="960"/>
        <w:gridCol w:w="960"/>
        <w:gridCol w:w="960"/>
      </w:tblGrid>
      <w:tr w:rsidR="00A35F52" w:rsidRPr="001E7EE6" w14:paraId="0D237A1A" w14:textId="77777777" w:rsidTr="00D42CBC">
        <w:trPr>
          <w:trHeight w:val="310"/>
          <w:jc w:val="center"/>
        </w:trPr>
        <w:tc>
          <w:tcPr>
            <w:tcW w:w="2405" w:type="dxa"/>
            <w:tcBorders>
              <w:top w:val="single" w:sz="4" w:space="0" w:color="auto"/>
              <w:left w:val="single" w:sz="4" w:space="0" w:color="auto"/>
              <w:bottom w:val="single" w:sz="4" w:space="0" w:color="auto"/>
              <w:right w:val="single" w:sz="4" w:space="0" w:color="auto"/>
            </w:tcBorders>
            <w:shd w:val="clear" w:color="000000" w:fill="D9FFFF"/>
            <w:noWrap/>
            <w:vAlign w:val="bottom"/>
            <w:hideMark/>
          </w:tcPr>
          <w:p w14:paraId="011F74C6" w14:textId="77777777" w:rsidR="00A35F52" w:rsidRPr="001E7EE6" w:rsidRDefault="00A35F52" w:rsidP="00A35F52">
            <w:pPr>
              <w:jc w:val="center"/>
              <w:rPr>
                <w:rFonts w:ascii="Calibri" w:eastAsia="Times New Roman" w:hAnsi="Calibri" w:cs="Calibri"/>
                <w:b/>
                <w:bCs/>
                <w:color w:val="000000"/>
              </w:rPr>
            </w:pPr>
            <w:r w:rsidRPr="001E7EE6">
              <w:rPr>
                <w:rFonts w:ascii="Calibri" w:eastAsia="Times New Roman" w:hAnsi="Calibri" w:cs="Calibri"/>
                <w:b/>
                <w:bCs/>
                <w:color w:val="000000"/>
              </w:rPr>
              <w:t>Average Daily Census</w:t>
            </w:r>
          </w:p>
        </w:tc>
        <w:tc>
          <w:tcPr>
            <w:tcW w:w="960" w:type="dxa"/>
            <w:tcBorders>
              <w:top w:val="single" w:sz="4" w:space="0" w:color="auto"/>
              <w:left w:val="nil"/>
              <w:bottom w:val="single" w:sz="4" w:space="0" w:color="auto"/>
              <w:right w:val="single" w:sz="4" w:space="0" w:color="auto"/>
            </w:tcBorders>
            <w:shd w:val="clear" w:color="000000" w:fill="D9FFFF"/>
            <w:noWrap/>
            <w:vAlign w:val="bottom"/>
            <w:hideMark/>
          </w:tcPr>
          <w:p w14:paraId="6B35CFD7" w14:textId="5262144D" w:rsidR="00A35F52" w:rsidRPr="001E7EE6" w:rsidRDefault="00A35F52" w:rsidP="00A35F52">
            <w:pPr>
              <w:jc w:val="center"/>
              <w:rPr>
                <w:rFonts w:ascii="Calibri" w:eastAsia="Times New Roman" w:hAnsi="Calibri" w:cs="Calibri"/>
                <w:b/>
                <w:bCs/>
                <w:color w:val="000000"/>
              </w:rPr>
            </w:pPr>
            <w:r>
              <w:rPr>
                <w:rFonts w:ascii="Calibri" w:eastAsia="Times New Roman" w:hAnsi="Calibri" w:cs="Calibri"/>
                <w:b/>
                <w:bCs/>
                <w:color w:val="000000"/>
              </w:rPr>
              <w:t xml:space="preserve">FY </w:t>
            </w:r>
            <w:r w:rsidRPr="00C366AC">
              <w:rPr>
                <w:rFonts w:ascii="Calibri" w:eastAsia="Times New Roman" w:hAnsi="Calibri" w:cs="Calibri"/>
                <w:b/>
                <w:bCs/>
                <w:color w:val="000000"/>
              </w:rPr>
              <w:t>22</w:t>
            </w:r>
          </w:p>
        </w:tc>
        <w:tc>
          <w:tcPr>
            <w:tcW w:w="960" w:type="dxa"/>
            <w:tcBorders>
              <w:top w:val="single" w:sz="4" w:space="0" w:color="auto"/>
              <w:left w:val="nil"/>
              <w:bottom w:val="single" w:sz="4" w:space="0" w:color="auto"/>
              <w:right w:val="single" w:sz="4" w:space="0" w:color="auto"/>
            </w:tcBorders>
            <w:shd w:val="clear" w:color="000000" w:fill="D9FFFF"/>
            <w:noWrap/>
            <w:vAlign w:val="bottom"/>
            <w:hideMark/>
          </w:tcPr>
          <w:p w14:paraId="0A734AAE" w14:textId="19371D6E" w:rsidR="00A35F52" w:rsidRPr="001E7EE6" w:rsidRDefault="00A35F52" w:rsidP="00A35F52">
            <w:pPr>
              <w:jc w:val="center"/>
              <w:rPr>
                <w:rFonts w:ascii="Calibri" w:eastAsia="Times New Roman" w:hAnsi="Calibri" w:cs="Calibri"/>
                <w:b/>
                <w:bCs/>
                <w:color w:val="000000"/>
              </w:rPr>
            </w:pPr>
            <w:r>
              <w:rPr>
                <w:rFonts w:ascii="Calibri" w:eastAsia="Times New Roman" w:hAnsi="Calibri" w:cs="Calibri"/>
                <w:b/>
                <w:bCs/>
                <w:color w:val="000000"/>
              </w:rPr>
              <w:t>FY 28</w:t>
            </w:r>
          </w:p>
        </w:tc>
        <w:tc>
          <w:tcPr>
            <w:tcW w:w="960" w:type="dxa"/>
            <w:tcBorders>
              <w:top w:val="single" w:sz="4" w:space="0" w:color="auto"/>
              <w:left w:val="nil"/>
              <w:bottom w:val="single" w:sz="4" w:space="0" w:color="auto"/>
              <w:right w:val="single" w:sz="4" w:space="0" w:color="auto"/>
            </w:tcBorders>
            <w:shd w:val="clear" w:color="000000" w:fill="D9FFFF"/>
            <w:noWrap/>
            <w:vAlign w:val="bottom"/>
            <w:hideMark/>
          </w:tcPr>
          <w:p w14:paraId="0404AFBC" w14:textId="6BDBB5C7" w:rsidR="00A35F52" w:rsidRPr="001E7EE6" w:rsidRDefault="00A35F52" w:rsidP="00A35F52">
            <w:pPr>
              <w:jc w:val="center"/>
              <w:rPr>
                <w:rFonts w:ascii="Calibri" w:eastAsia="Times New Roman" w:hAnsi="Calibri" w:cs="Calibri"/>
                <w:b/>
                <w:bCs/>
                <w:color w:val="000000"/>
              </w:rPr>
            </w:pPr>
            <w:r>
              <w:rPr>
                <w:rFonts w:ascii="Calibri" w:eastAsia="Times New Roman" w:hAnsi="Calibri" w:cs="Calibri"/>
                <w:b/>
                <w:bCs/>
                <w:color w:val="000000"/>
              </w:rPr>
              <w:t>FY</w:t>
            </w:r>
            <w:r w:rsidRPr="00C366AC">
              <w:rPr>
                <w:rFonts w:ascii="Calibri" w:eastAsia="Times New Roman" w:hAnsi="Calibri" w:cs="Calibri"/>
                <w:b/>
                <w:bCs/>
                <w:color w:val="000000"/>
              </w:rPr>
              <w:t xml:space="preserve"> 2</w:t>
            </w:r>
            <w:r>
              <w:rPr>
                <w:rFonts w:ascii="Calibri" w:eastAsia="Times New Roman" w:hAnsi="Calibri" w:cs="Calibri"/>
                <w:b/>
                <w:bCs/>
                <w:color w:val="000000"/>
              </w:rPr>
              <w:t>9</w:t>
            </w:r>
          </w:p>
        </w:tc>
        <w:tc>
          <w:tcPr>
            <w:tcW w:w="960" w:type="dxa"/>
            <w:tcBorders>
              <w:top w:val="single" w:sz="4" w:space="0" w:color="auto"/>
              <w:left w:val="nil"/>
              <w:bottom w:val="single" w:sz="4" w:space="0" w:color="auto"/>
              <w:right w:val="single" w:sz="4" w:space="0" w:color="auto"/>
            </w:tcBorders>
            <w:shd w:val="clear" w:color="000000" w:fill="D9FFFF"/>
            <w:noWrap/>
            <w:vAlign w:val="bottom"/>
            <w:hideMark/>
          </w:tcPr>
          <w:p w14:paraId="42D66D74" w14:textId="3FAC728C" w:rsidR="00A35F52" w:rsidRPr="001E7EE6" w:rsidRDefault="00A35F52" w:rsidP="00A35F52">
            <w:pPr>
              <w:jc w:val="center"/>
              <w:rPr>
                <w:rFonts w:ascii="Calibri" w:eastAsia="Times New Roman" w:hAnsi="Calibri" w:cs="Calibri"/>
                <w:b/>
                <w:bCs/>
                <w:color w:val="000000"/>
              </w:rPr>
            </w:pPr>
            <w:r>
              <w:rPr>
                <w:rFonts w:ascii="Calibri" w:eastAsia="Times New Roman" w:hAnsi="Calibri" w:cs="Calibri"/>
                <w:b/>
                <w:bCs/>
                <w:color w:val="000000"/>
              </w:rPr>
              <w:t>FY</w:t>
            </w:r>
            <w:r w:rsidRPr="00C366AC">
              <w:rPr>
                <w:rFonts w:ascii="Calibri" w:eastAsia="Times New Roman" w:hAnsi="Calibri" w:cs="Calibri"/>
                <w:b/>
                <w:bCs/>
                <w:color w:val="000000"/>
              </w:rPr>
              <w:t xml:space="preserve"> 3</w:t>
            </w:r>
            <w:r>
              <w:rPr>
                <w:rFonts w:ascii="Calibri" w:eastAsia="Times New Roman" w:hAnsi="Calibri" w:cs="Calibri"/>
                <w:b/>
                <w:bCs/>
                <w:color w:val="000000"/>
              </w:rPr>
              <w:t>0</w:t>
            </w:r>
          </w:p>
        </w:tc>
        <w:tc>
          <w:tcPr>
            <w:tcW w:w="960" w:type="dxa"/>
            <w:tcBorders>
              <w:top w:val="single" w:sz="4" w:space="0" w:color="auto"/>
              <w:left w:val="nil"/>
              <w:bottom w:val="single" w:sz="4" w:space="0" w:color="auto"/>
              <w:right w:val="single" w:sz="4" w:space="0" w:color="auto"/>
            </w:tcBorders>
            <w:shd w:val="clear" w:color="000000" w:fill="D9FFFF"/>
            <w:noWrap/>
            <w:vAlign w:val="bottom"/>
            <w:hideMark/>
          </w:tcPr>
          <w:p w14:paraId="3731D0C9" w14:textId="5523711C" w:rsidR="00A35F52" w:rsidRPr="001E7EE6" w:rsidRDefault="00A35F52" w:rsidP="00A35F52">
            <w:pPr>
              <w:jc w:val="center"/>
              <w:rPr>
                <w:rFonts w:ascii="Calibri" w:eastAsia="Times New Roman" w:hAnsi="Calibri" w:cs="Calibri"/>
                <w:b/>
                <w:bCs/>
                <w:color w:val="000000"/>
              </w:rPr>
            </w:pPr>
            <w:r w:rsidRPr="00C366AC">
              <w:rPr>
                <w:rFonts w:ascii="Calibri" w:eastAsia="Times New Roman" w:hAnsi="Calibri" w:cs="Calibri"/>
                <w:b/>
                <w:bCs/>
                <w:color w:val="000000"/>
              </w:rPr>
              <w:t xml:space="preserve"> </w:t>
            </w:r>
            <w:r>
              <w:rPr>
                <w:rFonts w:ascii="Calibri" w:eastAsia="Times New Roman" w:hAnsi="Calibri" w:cs="Calibri"/>
                <w:b/>
                <w:bCs/>
                <w:color w:val="000000"/>
              </w:rPr>
              <w:t>F</w:t>
            </w:r>
            <w:r w:rsidRPr="00C366AC">
              <w:rPr>
                <w:rFonts w:ascii="Calibri" w:eastAsia="Times New Roman" w:hAnsi="Calibri" w:cs="Calibri"/>
                <w:b/>
                <w:bCs/>
                <w:color w:val="000000"/>
              </w:rPr>
              <w:t xml:space="preserve">Y </w:t>
            </w:r>
            <w:r>
              <w:rPr>
                <w:rFonts w:ascii="Calibri" w:eastAsia="Times New Roman" w:hAnsi="Calibri" w:cs="Calibri"/>
                <w:b/>
                <w:bCs/>
                <w:color w:val="000000"/>
              </w:rPr>
              <w:t>31</w:t>
            </w:r>
          </w:p>
        </w:tc>
      </w:tr>
      <w:tr w:rsidR="00A35F52" w:rsidRPr="001E7EE6" w14:paraId="2FC9C842" w14:textId="77777777" w:rsidTr="00D42CBC">
        <w:trPr>
          <w:trHeight w:val="29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50FEB13" w14:textId="5C5662A0" w:rsidR="00A35F52" w:rsidRPr="001E7EE6" w:rsidRDefault="00A35F52" w:rsidP="00A35F52">
            <w:pPr>
              <w:jc w:val="center"/>
              <w:rPr>
                <w:rFonts w:ascii="Calibri" w:eastAsia="Times New Roman" w:hAnsi="Calibri" w:cs="Calibri"/>
                <w:color w:val="000000"/>
                <w:sz w:val="22"/>
                <w:szCs w:val="22"/>
              </w:rPr>
            </w:pPr>
            <w:r>
              <w:rPr>
                <w:rFonts w:ascii="Calibri" w:eastAsia="Times New Roman" w:hAnsi="Calibri" w:cs="Calibri"/>
                <w:color w:val="000000"/>
                <w:sz w:val="22"/>
                <w:szCs w:val="22"/>
              </w:rPr>
              <w:t>Post-Acute Medical Rehabilitation</w:t>
            </w:r>
          </w:p>
        </w:tc>
        <w:tc>
          <w:tcPr>
            <w:tcW w:w="960" w:type="dxa"/>
            <w:tcBorders>
              <w:top w:val="nil"/>
              <w:left w:val="nil"/>
              <w:bottom w:val="single" w:sz="4" w:space="0" w:color="auto"/>
              <w:right w:val="single" w:sz="4" w:space="0" w:color="auto"/>
            </w:tcBorders>
            <w:shd w:val="clear" w:color="auto" w:fill="auto"/>
            <w:noWrap/>
            <w:vAlign w:val="bottom"/>
            <w:hideMark/>
          </w:tcPr>
          <w:p w14:paraId="6E650FF3" w14:textId="77777777" w:rsidR="00A35F52" w:rsidRPr="001E7EE6" w:rsidRDefault="00A35F52" w:rsidP="00A35F52">
            <w:pPr>
              <w:jc w:val="center"/>
              <w:rPr>
                <w:rFonts w:ascii="Calibri" w:eastAsia="Times New Roman" w:hAnsi="Calibri" w:cs="Calibri"/>
                <w:color w:val="000000"/>
                <w:sz w:val="22"/>
                <w:szCs w:val="22"/>
              </w:rPr>
            </w:pPr>
            <w:r w:rsidRPr="001E7EE6">
              <w:rPr>
                <w:rFonts w:ascii="Calibri" w:eastAsia="Times New Roman" w:hAnsi="Calibri" w:cs="Calibri"/>
                <w:color w:val="000000"/>
                <w:sz w:val="22"/>
                <w:szCs w:val="22"/>
              </w:rPr>
              <w:t>37.5</w:t>
            </w:r>
          </w:p>
        </w:tc>
        <w:tc>
          <w:tcPr>
            <w:tcW w:w="960" w:type="dxa"/>
            <w:tcBorders>
              <w:top w:val="nil"/>
              <w:left w:val="nil"/>
              <w:bottom w:val="single" w:sz="4" w:space="0" w:color="auto"/>
              <w:right w:val="single" w:sz="4" w:space="0" w:color="auto"/>
            </w:tcBorders>
            <w:shd w:val="clear" w:color="auto" w:fill="auto"/>
            <w:noWrap/>
            <w:vAlign w:val="bottom"/>
            <w:hideMark/>
          </w:tcPr>
          <w:p w14:paraId="3621D2B1" w14:textId="77777777" w:rsidR="00A35F52" w:rsidRPr="001E7EE6" w:rsidRDefault="00A35F52" w:rsidP="00A35F52">
            <w:pPr>
              <w:jc w:val="center"/>
              <w:rPr>
                <w:rFonts w:ascii="Calibri" w:eastAsia="Times New Roman" w:hAnsi="Calibri" w:cs="Calibri"/>
                <w:color w:val="000000"/>
                <w:sz w:val="22"/>
                <w:szCs w:val="22"/>
              </w:rPr>
            </w:pPr>
            <w:r w:rsidRPr="001E7EE6">
              <w:rPr>
                <w:rFonts w:ascii="Calibri" w:eastAsia="Times New Roman" w:hAnsi="Calibri" w:cs="Calibri"/>
                <w:color w:val="000000"/>
                <w:sz w:val="22"/>
                <w:szCs w:val="22"/>
              </w:rPr>
              <w:t>41.6</w:t>
            </w:r>
          </w:p>
        </w:tc>
        <w:tc>
          <w:tcPr>
            <w:tcW w:w="960" w:type="dxa"/>
            <w:tcBorders>
              <w:top w:val="nil"/>
              <w:left w:val="nil"/>
              <w:bottom w:val="single" w:sz="4" w:space="0" w:color="auto"/>
              <w:right w:val="single" w:sz="4" w:space="0" w:color="auto"/>
            </w:tcBorders>
            <w:shd w:val="clear" w:color="auto" w:fill="auto"/>
            <w:noWrap/>
            <w:vAlign w:val="bottom"/>
            <w:hideMark/>
          </w:tcPr>
          <w:p w14:paraId="4A9C9C0E" w14:textId="77777777" w:rsidR="00A35F52" w:rsidRPr="001E7EE6" w:rsidRDefault="00A35F52" w:rsidP="00A35F52">
            <w:pPr>
              <w:jc w:val="center"/>
              <w:rPr>
                <w:rFonts w:ascii="Calibri" w:eastAsia="Times New Roman" w:hAnsi="Calibri" w:cs="Calibri"/>
                <w:color w:val="000000"/>
                <w:sz w:val="22"/>
                <w:szCs w:val="22"/>
              </w:rPr>
            </w:pPr>
            <w:r w:rsidRPr="001E7EE6">
              <w:rPr>
                <w:rFonts w:ascii="Calibri" w:eastAsia="Times New Roman" w:hAnsi="Calibri" w:cs="Calibri"/>
                <w:color w:val="000000"/>
                <w:sz w:val="22"/>
                <w:szCs w:val="22"/>
              </w:rPr>
              <w:t>44.7</w:t>
            </w:r>
          </w:p>
        </w:tc>
        <w:tc>
          <w:tcPr>
            <w:tcW w:w="960" w:type="dxa"/>
            <w:tcBorders>
              <w:top w:val="nil"/>
              <w:left w:val="nil"/>
              <w:bottom w:val="single" w:sz="4" w:space="0" w:color="auto"/>
              <w:right w:val="single" w:sz="4" w:space="0" w:color="auto"/>
            </w:tcBorders>
            <w:shd w:val="clear" w:color="auto" w:fill="auto"/>
            <w:noWrap/>
            <w:vAlign w:val="bottom"/>
            <w:hideMark/>
          </w:tcPr>
          <w:p w14:paraId="751B910F" w14:textId="77777777" w:rsidR="00A35F52" w:rsidRPr="001E7EE6" w:rsidRDefault="00A35F52" w:rsidP="00A35F52">
            <w:pPr>
              <w:jc w:val="center"/>
              <w:rPr>
                <w:rFonts w:ascii="Calibri" w:eastAsia="Times New Roman" w:hAnsi="Calibri" w:cs="Calibri"/>
                <w:color w:val="000000"/>
                <w:sz w:val="22"/>
                <w:szCs w:val="22"/>
              </w:rPr>
            </w:pPr>
            <w:r w:rsidRPr="001E7EE6">
              <w:rPr>
                <w:rFonts w:ascii="Calibri" w:eastAsia="Times New Roman" w:hAnsi="Calibri" w:cs="Calibri"/>
                <w:color w:val="000000"/>
                <w:sz w:val="22"/>
                <w:szCs w:val="22"/>
              </w:rPr>
              <w:t>48</w:t>
            </w:r>
          </w:p>
        </w:tc>
        <w:tc>
          <w:tcPr>
            <w:tcW w:w="960" w:type="dxa"/>
            <w:tcBorders>
              <w:top w:val="nil"/>
              <w:left w:val="nil"/>
              <w:bottom w:val="single" w:sz="4" w:space="0" w:color="auto"/>
              <w:right w:val="single" w:sz="4" w:space="0" w:color="auto"/>
            </w:tcBorders>
            <w:shd w:val="clear" w:color="auto" w:fill="auto"/>
            <w:noWrap/>
            <w:vAlign w:val="bottom"/>
            <w:hideMark/>
          </w:tcPr>
          <w:p w14:paraId="3D98F3B2" w14:textId="77777777" w:rsidR="00A35F52" w:rsidRPr="001E7EE6" w:rsidRDefault="00A35F52" w:rsidP="00A35F52">
            <w:pPr>
              <w:jc w:val="center"/>
              <w:rPr>
                <w:rFonts w:ascii="Calibri" w:eastAsia="Times New Roman" w:hAnsi="Calibri" w:cs="Calibri"/>
                <w:color w:val="000000"/>
                <w:sz w:val="22"/>
                <w:szCs w:val="22"/>
              </w:rPr>
            </w:pPr>
            <w:r w:rsidRPr="001E7EE6">
              <w:rPr>
                <w:rFonts w:ascii="Calibri" w:eastAsia="Times New Roman" w:hAnsi="Calibri" w:cs="Calibri"/>
                <w:color w:val="000000"/>
                <w:sz w:val="22"/>
                <w:szCs w:val="22"/>
              </w:rPr>
              <w:t>48</w:t>
            </w:r>
          </w:p>
        </w:tc>
      </w:tr>
    </w:tbl>
    <w:p w14:paraId="6E0F2D86" w14:textId="77777777" w:rsidR="008B22EE" w:rsidRPr="008B22EE" w:rsidRDefault="008B22EE" w:rsidP="008B22EE">
      <w:pPr>
        <w:keepNext/>
        <w:rPr>
          <w:rFonts w:ascii="Calibri" w:eastAsia="Calibri" w:hAnsi="Calibri" w:cs="Calibri"/>
        </w:rPr>
      </w:pPr>
    </w:p>
    <w:p w14:paraId="0F5D0513" w14:textId="64B22FAB" w:rsidR="00C83401" w:rsidRPr="00037077" w:rsidRDefault="00C83401" w:rsidP="007F1D38">
      <w:pPr>
        <w:pStyle w:val="ListParagraph"/>
        <w:numPr>
          <w:ilvl w:val="0"/>
          <w:numId w:val="7"/>
        </w:numPr>
        <w:spacing w:line="240" w:lineRule="auto"/>
        <w:rPr>
          <w:rFonts w:ascii="Calibri" w:eastAsia="Calibri" w:hAnsi="Calibri" w:cs="Calibri"/>
          <w:b/>
          <w:bCs/>
          <w:sz w:val="24"/>
          <w:szCs w:val="24"/>
        </w:rPr>
      </w:pPr>
      <w:r w:rsidRPr="00037077">
        <w:rPr>
          <w:rFonts w:ascii="Calibri" w:eastAsia="Calibri" w:hAnsi="Calibri" w:cs="Calibri"/>
          <w:b/>
          <w:bCs/>
          <w:sz w:val="24"/>
          <w:szCs w:val="24"/>
        </w:rPr>
        <w:t>Need to Expand Access to Dental Healthcare Including Surgical Services.</w:t>
      </w:r>
      <w:r w:rsidR="00A7781F" w:rsidRPr="00037077">
        <w:rPr>
          <w:rFonts w:ascii="Calibri" w:eastAsia="Calibri" w:hAnsi="Calibri" w:cs="Calibri"/>
          <w:b/>
          <w:bCs/>
          <w:sz w:val="24"/>
          <w:szCs w:val="24"/>
        </w:rPr>
        <w:t xml:space="preserve"> </w:t>
      </w:r>
    </w:p>
    <w:p w14:paraId="66AE1EC4" w14:textId="32A3F64C" w:rsidR="00203617" w:rsidRDefault="00203617" w:rsidP="00D42CBC">
      <w:pPr>
        <w:rPr>
          <w:rFonts w:ascii="Calibri" w:eastAsia="Calibri" w:hAnsi="Calibri" w:cs="Calibri"/>
          <w:lang w:val="en"/>
        </w:rPr>
      </w:pPr>
      <w:r w:rsidRPr="00F64382">
        <w:rPr>
          <w:rFonts w:ascii="Calibri" w:eastAsia="Calibri" w:hAnsi="Calibri" w:cs="Calibri"/>
          <w:lang w:val="en"/>
        </w:rPr>
        <w:t xml:space="preserve">The patient population of children with </w:t>
      </w:r>
      <w:r w:rsidR="000E10E9">
        <w:rPr>
          <w:rFonts w:ascii="Calibri" w:eastAsia="Calibri" w:hAnsi="Calibri" w:cs="Calibri"/>
          <w:lang w:val="en"/>
        </w:rPr>
        <w:t>m</w:t>
      </w:r>
      <w:r w:rsidRPr="00F64382">
        <w:rPr>
          <w:rFonts w:ascii="Calibri" w:eastAsia="Calibri" w:hAnsi="Calibri" w:cs="Calibri"/>
          <w:lang w:val="en"/>
        </w:rPr>
        <w:t xml:space="preserve">edical </w:t>
      </w:r>
      <w:r w:rsidR="00C83401" w:rsidRPr="00F64382">
        <w:rPr>
          <w:rFonts w:ascii="Calibri" w:eastAsia="Calibri" w:hAnsi="Calibri" w:cs="Calibri"/>
          <w:lang w:val="en"/>
        </w:rPr>
        <w:t>and</w:t>
      </w:r>
      <w:r w:rsidR="000E10E9">
        <w:rPr>
          <w:rFonts w:ascii="Calibri" w:eastAsia="Calibri" w:hAnsi="Calibri" w:cs="Calibri"/>
          <w:lang w:val="en"/>
        </w:rPr>
        <w:t xml:space="preserve"> mental h</w:t>
      </w:r>
      <w:r w:rsidR="00C83401" w:rsidRPr="00F64382">
        <w:rPr>
          <w:rFonts w:ascii="Calibri" w:eastAsia="Calibri" w:hAnsi="Calibri" w:cs="Calibri"/>
          <w:lang w:val="en"/>
        </w:rPr>
        <w:t xml:space="preserve">ealth </w:t>
      </w:r>
      <w:r w:rsidRPr="00F64382">
        <w:rPr>
          <w:rFonts w:ascii="Calibri" w:eastAsia="Calibri" w:hAnsi="Calibri" w:cs="Calibri"/>
          <w:lang w:val="en"/>
        </w:rPr>
        <w:t>complexities also experiences significant need for dental services.</w:t>
      </w:r>
      <w:r w:rsidR="00EA1197" w:rsidRPr="00F64382">
        <w:rPr>
          <w:rFonts w:ascii="Calibri" w:eastAsia="Calibri" w:hAnsi="Calibri" w:cs="Calibri"/>
          <w:lang w:val="en"/>
        </w:rPr>
        <w:t xml:space="preserve"> </w:t>
      </w:r>
      <w:r w:rsidRPr="00F64382">
        <w:rPr>
          <w:rFonts w:ascii="Calibri" w:eastAsia="Calibri" w:hAnsi="Calibri" w:cs="Calibri"/>
          <w:lang w:val="en"/>
        </w:rPr>
        <w:t>Patients with complex medical needs have challenges in accomplishing daily activities, especially self-care activities such as dental hygiene and oral health.</w:t>
      </w:r>
      <w:r w:rsidR="002844A6" w:rsidRPr="00F64382">
        <w:rPr>
          <w:rFonts w:ascii="Calibri" w:eastAsia="Calibri" w:hAnsi="Calibri" w:cs="Calibri"/>
          <w:vertAlign w:val="superscript"/>
          <w:lang w:val="en"/>
        </w:rPr>
        <w:endnoteReference w:id="13"/>
      </w:r>
      <w:r w:rsidR="002844A6" w:rsidRPr="00F64382">
        <w:rPr>
          <w:rFonts w:ascii="Calibri" w:eastAsia="Calibri" w:hAnsi="Calibri" w:cs="Calibri"/>
          <w:lang w:val="en"/>
        </w:rPr>
        <w:t xml:space="preserve"> In addition, patients with Medicaid coverage are more likely to have untreated dental concerns</w:t>
      </w:r>
      <w:r w:rsidR="00F64382">
        <w:rPr>
          <w:rFonts w:ascii="Calibri" w:eastAsia="Calibri" w:hAnsi="Calibri" w:cs="Calibri"/>
          <w:lang w:val="en"/>
        </w:rPr>
        <w:t xml:space="preserve"> and as </w:t>
      </w:r>
      <w:r w:rsidR="004C6C57">
        <w:rPr>
          <w:rFonts w:ascii="Calibri" w:eastAsia="Calibri" w:hAnsi="Calibri" w:cs="Calibri"/>
          <w:lang w:val="en"/>
        </w:rPr>
        <w:t>Table 4 shows ~ 70% of Franciscans patients are covered by Medicaid</w:t>
      </w:r>
      <w:r w:rsidR="006840AE" w:rsidRPr="00F64382">
        <w:rPr>
          <w:rFonts w:ascii="Calibri" w:eastAsia="Calibri" w:hAnsi="Calibri" w:cs="Calibri"/>
          <w:lang w:val="en"/>
        </w:rPr>
        <w:t>. P</w:t>
      </w:r>
      <w:r w:rsidR="002844A6" w:rsidRPr="00F64382">
        <w:rPr>
          <w:rFonts w:ascii="Calibri" w:eastAsia="Calibri" w:hAnsi="Calibri" w:cs="Calibri"/>
          <w:lang w:val="en"/>
        </w:rPr>
        <w:t>oor oral health is known to negatively impact overall health.</w:t>
      </w:r>
      <w:r w:rsidR="002844A6" w:rsidRPr="00F64382">
        <w:rPr>
          <w:rFonts w:ascii="Calibri" w:eastAsia="Calibri" w:hAnsi="Calibri" w:cs="Calibri"/>
          <w:vertAlign w:val="superscript"/>
          <w:lang w:val="en"/>
        </w:rPr>
        <w:endnoteReference w:id="14"/>
      </w:r>
    </w:p>
    <w:p w14:paraId="64B083D2" w14:textId="77777777" w:rsidR="00D42CBC" w:rsidRPr="00F64382" w:rsidRDefault="00D42CBC" w:rsidP="00D42CBC">
      <w:pPr>
        <w:rPr>
          <w:rFonts w:ascii="Calibri" w:eastAsia="Calibri" w:hAnsi="Calibri" w:cs="Calibri"/>
        </w:rPr>
      </w:pPr>
    </w:p>
    <w:p w14:paraId="40DF221D" w14:textId="6F8D6558" w:rsidR="00203617" w:rsidRPr="00F64382" w:rsidRDefault="283753F5" w:rsidP="00F64382">
      <w:pPr>
        <w:keepNext/>
        <w:rPr>
          <w:rFonts w:ascii="Calibri" w:eastAsia="Calibri" w:hAnsi="Calibri" w:cs="Calibri"/>
        </w:rPr>
      </w:pPr>
      <w:r w:rsidRPr="00F64382">
        <w:rPr>
          <w:rFonts w:ascii="Calibri" w:eastAsia="Calibri" w:hAnsi="Calibri" w:cs="Calibri"/>
        </w:rPr>
        <w:t xml:space="preserve">The Applicant asserts that </w:t>
      </w:r>
      <w:r w:rsidR="2DE6DC4B" w:rsidRPr="00F64382">
        <w:rPr>
          <w:rFonts w:ascii="Calibri" w:eastAsia="Calibri" w:hAnsi="Calibri" w:cs="Calibri"/>
        </w:rPr>
        <w:t>Franciscan</w:t>
      </w:r>
      <w:r w:rsidR="53EFA044" w:rsidRPr="00F64382">
        <w:rPr>
          <w:rFonts w:ascii="Calibri" w:eastAsia="Calibri" w:hAnsi="Calibri" w:cs="Calibri"/>
        </w:rPr>
        <w:t xml:space="preserve"> is a leading provider of pediatric dental surgeries treating those with extensive dental needs, developmental disabilities, medically compromising conditions, and situational anxiety.</w:t>
      </w:r>
      <w:r w:rsidR="4A45711E" w:rsidRPr="00F64382">
        <w:rPr>
          <w:rFonts w:ascii="Calibri" w:eastAsia="Calibri" w:hAnsi="Calibri" w:cs="Calibri"/>
        </w:rPr>
        <w:t xml:space="preserve"> </w:t>
      </w:r>
      <w:r w:rsidR="53EFA044" w:rsidRPr="00F64382">
        <w:rPr>
          <w:rFonts w:ascii="Calibri" w:eastAsia="Calibri" w:hAnsi="Calibri" w:cs="Calibri"/>
        </w:rPr>
        <w:t xml:space="preserve">The majority of patients who receive dental surgery </w:t>
      </w:r>
      <w:r w:rsidR="5F6047E2" w:rsidRPr="6F80FCDD">
        <w:rPr>
          <w:rFonts w:ascii="Calibri" w:eastAsia="Calibri" w:hAnsi="Calibri" w:cs="Calibri"/>
        </w:rPr>
        <w:t>at</w:t>
      </w:r>
      <w:r w:rsidR="003967E5">
        <w:rPr>
          <w:rFonts w:ascii="Calibri" w:eastAsia="Calibri" w:hAnsi="Calibri" w:cs="Calibri"/>
        </w:rPr>
        <w:t xml:space="preserve"> </w:t>
      </w:r>
      <w:r w:rsidR="39CCE96A" w:rsidRPr="6F80FCDD">
        <w:rPr>
          <w:rFonts w:ascii="Calibri" w:eastAsia="Calibri" w:hAnsi="Calibri" w:cs="Calibri"/>
        </w:rPr>
        <w:t xml:space="preserve">Franciscan </w:t>
      </w:r>
      <w:r w:rsidR="53EFA044" w:rsidRPr="00F64382">
        <w:rPr>
          <w:rFonts w:ascii="Calibri" w:eastAsia="Calibri" w:hAnsi="Calibri" w:cs="Calibri"/>
        </w:rPr>
        <w:t>are children with medical complexity, who often require complicated dental care that cannot be performed without specialty pediatric capacity and anesthesia.</w:t>
      </w:r>
      <w:r w:rsidR="4A45711E" w:rsidRPr="00F64382">
        <w:rPr>
          <w:rFonts w:ascii="Calibri" w:eastAsia="Calibri" w:hAnsi="Calibri" w:cs="Calibri"/>
        </w:rPr>
        <w:t xml:space="preserve"> </w:t>
      </w:r>
      <w:r w:rsidR="53EFA044" w:rsidRPr="00F64382">
        <w:rPr>
          <w:rFonts w:ascii="Calibri" w:eastAsia="Calibri" w:hAnsi="Calibri" w:cs="Calibri"/>
        </w:rPr>
        <w:t xml:space="preserve">For similar reasons, approximately 30% of the children receiving non-surgical dental care at </w:t>
      </w:r>
      <w:r w:rsidR="2DE6DC4B" w:rsidRPr="00F64382">
        <w:rPr>
          <w:rFonts w:ascii="Calibri" w:eastAsia="Calibri" w:hAnsi="Calibri" w:cs="Calibri"/>
        </w:rPr>
        <w:t>Franciscan</w:t>
      </w:r>
      <w:r w:rsidR="53EFA044" w:rsidRPr="00F64382">
        <w:rPr>
          <w:rFonts w:ascii="Calibri" w:eastAsia="Calibri" w:hAnsi="Calibri" w:cs="Calibri"/>
        </w:rPr>
        <w:t xml:space="preserve">’s </w:t>
      </w:r>
      <w:r w:rsidR="53EFA044" w:rsidRPr="00F64382">
        <w:rPr>
          <w:rFonts w:ascii="Calibri" w:eastAsia="Calibri" w:hAnsi="Calibri" w:cs="Calibri"/>
        </w:rPr>
        <w:lastRenderedPageBreak/>
        <w:t>dental clinic also have medical complexity.</w:t>
      </w:r>
      <w:r w:rsidR="00203617" w:rsidRPr="00F64382">
        <w:rPr>
          <w:rFonts w:ascii="Calibri" w:eastAsia="Calibri" w:hAnsi="Calibri" w:cs="Calibri"/>
          <w:vertAlign w:val="superscript"/>
        </w:rPr>
        <w:footnoteReference w:id="39"/>
      </w:r>
      <w:r w:rsidR="4A45711E" w:rsidRPr="00F64382">
        <w:rPr>
          <w:rFonts w:ascii="Calibri" w:eastAsia="Calibri" w:hAnsi="Calibri" w:cs="Calibri"/>
        </w:rPr>
        <w:t xml:space="preserve"> </w:t>
      </w:r>
      <w:r w:rsidR="53EFA044" w:rsidRPr="00F64382">
        <w:rPr>
          <w:rFonts w:ascii="Calibri" w:eastAsia="Calibri" w:hAnsi="Calibri" w:cs="Calibri"/>
        </w:rPr>
        <w:t xml:space="preserve">Average wait times for </w:t>
      </w:r>
      <w:r w:rsidR="21D21404">
        <w:rPr>
          <w:rFonts w:ascii="Calibri" w:eastAsia="Calibri" w:hAnsi="Calibri" w:cs="Calibri"/>
        </w:rPr>
        <w:t xml:space="preserve">pediatric </w:t>
      </w:r>
      <w:r w:rsidR="53EFA044" w:rsidRPr="00F64382">
        <w:rPr>
          <w:rFonts w:ascii="Calibri" w:eastAsia="Calibri" w:hAnsi="Calibri" w:cs="Calibri"/>
        </w:rPr>
        <w:t>dental surgery is four to six weeks.</w:t>
      </w:r>
      <w:r w:rsidR="282D68FC" w:rsidRPr="00F64382">
        <w:rPr>
          <w:rFonts w:ascii="Calibri" w:eastAsia="Calibri" w:hAnsi="Calibri" w:cs="Calibri"/>
        </w:rPr>
        <w:t xml:space="preserve"> </w:t>
      </w:r>
    </w:p>
    <w:p w14:paraId="4B2C955D" w14:textId="77777777" w:rsidR="00203617" w:rsidRPr="00F64382" w:rsidRDefault="00203617" w:rsidP="00F64382">
      <w:pPr>
        <w:rPr>
          <w:rFonts w:ascii="Calibri" w:eastAsia="Calibri" w:hAnsi="Calibri" w:cs="Calibri"/>
          <w:u w:val="single"/>
        </w:rPr>
      </w:pPr>
    </w:p>
    <w:p w14:paraId="6E0E7A20" w14:textId="216857AC" w:rsidR="00C322D7" w:rsidRDefault="004C6C57" w:rsidP="00F64382">
      <w:pPr>
        <w:rPr>
          <w:rFonts w:ascii="Calibri" w:eastAsia="Calibri" w:hAnsi="Calibri"/>
        </w:rPr>
      </w:pPr>
      <w:bookmarkStart w:id="65" w:name="_cp_text_2_399"/>
      <w:bookmarkEnd w:id="65"/>
      <w:r w:rsidRPr="004C6C57">
        <w:rPr>
          <w:rFonts w:ascii="Calibri" w:eastAsia="Calibri" w:hAnsi="Calibri" w:cs="Calibri"/>
          <w:shd w:val="clear" w:color="auto" w:fill="FFFFFF"/>
          <w:lang w:eastAsia="zh-CN"/>
        </w:rPr>
        <w:t>During the height of the COVID-19 pandemic, limitations on in-person visits led to delayed dental care</w:t>
      </w:r>
      <w:r w:rsidR="00D42CBC">
        <w:rPr>
          <w:rFonts w:ascii="Calibri" w:eastAsia="Calibri" w:hAnsi="Calibri" w:cs="Calibri"/>
          <w:shd w:val="clear" w:color="auto" w:fill="FFFFFF"/>
          <w:lang w:eastAsia="zh-CN"/>
        </w:rPr>
        <w:t xml:space="preserve"> and a </w:t>
      </w:r>
      <w:r w:rsidR="00D42CBC" w:rsidRPr="00D42CBC">
        <w:rPr>
          <w:rFonts w:ascii="Calibri" w:eastAsia="Calibri" w:hAnsi="Calibri" w:cs="Calibri"/>
          <w:shd w:val="clear" w:color="auto" w:fill="FFFFFF"/>
          <w:lang w:eastAsia="zh-CN"/>
        </w:rPr>
        <w:t>decline in visits</w:t>
      </w:r>
      <w:r w:rsidRPr="004C6C57">
        <w:rPr>
          <w:rFonts w:ascii="Calibri" w:eastAsia="Calibri" w:hAnsi="Calibri" w:cs="Calibri"/>
          <w:shd w:val="clear" w:color="auto" w:fill="FFFFFF"/>
          <w:lang w:eastAsia="zh-CN"/>
        </w:rPr>
        <w:t>. Following the lifting of emergency restrictions, both BCH and Franciscan continue to experience a rebound in visits for dental</w:t>
      </w:r>
      <w:r w:rsidR="00D42CBC">
        <w:rPr>
          <w:rFonts w:ascii="Calibri" w:eastAsia="Calibri" w:hAnsi="Calibri" w:cs="Calibri"/>
          <w:shd w:val="clear" w:color="auto" w:fill="FFFFFF"/>
          <w:lang w:eastAsia="zh-CN"/>
        </w:rPr>
        <w:t xml:space="preserve"> care</w:t>
      </w:r>
      <w:r w:rsidR="00A06B26">
        <w:rPr>
          <w:rFonts w:ascii="Calibri" w:eastAsia="Calibri" w:hAnsi="Calibri" w:cs="Calibri"/>
          <w:shd w:val="clear" w:color="auto" w:fill="FFFFFF"/>
          <w:lang w:eastAsia="zh-CN"/>
        </w:rPr>
        <w:t xml:space="preserve">. </w:t>
      </w:r>
      <w:r w:rsidRPr="004C6C57">
        <w:rPr>
          <w:rFonts w:ascii="Calibri" w:eastAsia="Calibri" w:hAnsi="Calibri" w:cs="Calibri"/>
          <w:shd w:val="clear" w:color="auto" w:fill="FFFFFF"/>
          <w:lang w:eastAsia="zh-CN"/>
        </w:rPr>
        <w:t xml:space="preserve">The </w:t>
      </w:r>
      <w:r w:rsidR="008204B9">
        <w:rPr>
          <w:rFonts w:ascii="Calibri" w:eastAsia="Calibri" w:hAnsi="Calibri" w:cs="Calibri"/>
          <w:shd w:val="clear" w:color="auto" w:fill="FFFFFF"/>
          <w:lang w:eastAsia="zh-CN"/>
        </w:rPr>
        <w:t xml:space="preserve">renovation and </w:t>
      </w:r>
      <w:r w:rsidRPr="004C6C57">
        <w:rPr>
          <w:rFonts w:ascii="Calibri" w:eastAsia="Calibri" w:hAnsi="Calibri" w:cs="Calibri"/>
          <w:shd w:val="clear" w:color="auto" w:fill="FFFFFF"/>
          <w:lang w:eastAsia="zh-CN"/>
        </w:rPr>
        <w:t xml:space="preserve">addition of a fourth dental ambulatory surgical operating room will provide the capacity to address the prolonged wait times for dental services primarily </w:t>
      </w:r>
      <w:r w:rsidR="00D42CBC">
        <w:rPr>
          <w:rFonts w:ascii="Calibri" w:eastAsia="Calibri" w:hAnsi="Calibri" w:cs="Calibri"/>
          <w:shd w:val="clear" w:color="auto" w:fill="FFFFFF"/>
          <w:lang w:eastAsia="zh-CN"/>
        </w:rPr>
        <w:t>for</w:t>
      </w:r>
      <w:r w:rsidRPr="004C6C57">
        <w:rPr>
          <w:rFonts w:ascii="Calibri" w:eastAsia="Calibri" w:hAnsi="Calibri" w:cs="Calibri"/>
          <w:shd w:val="clear" w:color="auto" w:fill="FFFFFF"/>
          <w:lang w:eastAsia="zh-CN"/>
        </w:rPr>
        <w:t xml:space="preserve"> patients with medical and/or </w:t>
      </w:r>
      <w:r w:rsidR="000E10E9">
        <w:rPr>
          <w:rFonts w:ascii="Calibri" w:eastAsia="Calibri" w:hAnsi="Calibri" w:cs="Calibri"/>
          <w:shd w:val="clear" w:color="auto" w:fill="FFFFFF"/>
          <w:lang w:eastAsia="zh-CN"/>
        </w:rPr>
        <w:t xml:space="preserve">mental health </w:t>
      </w:r>
      <w:r w:rsidRPr="004C6C57">
        <w:rPr>
          <w:rFonts w:ascii="Calibri" w:eastAsia="Calibri" w:hAnsi="Calibri" w:cs="Calibri"/>
          <w:shd w:val="clear" w:color="auto" w:fill="FFFFFF"/>
          <w:lang w:eastAsia="zh-CN"/>
        </w:rPr>
        <w:t xml:space="preserve">complexity. </w:t>
      </w:r>
      <w:r w:rsidR="00C322D7" w:rsidRPr="00F64382">
        <w:rPr>
          <w:rFonts w:ascii="Calibri" w:eastAsia="Calibri" w:hAnsi="Calibri"/>
        </w:rPr>
        <w:t xml:space="preserve">The Applicant provided utilization data for dental services shown in </w:t>
      </w:r>
      <w:r w:rsidR="002518E0" w:rsidRPr="00F64382">
        <w:rPr>
          <w:rFonts w:ascii="Calibri" w:eastAsia="Calibri" w:hAnsi="Calibri"/>
        </w:rPr>
        <w:t>Table</w:t>
      </w:r>
      <w:r w:rsidR="008204B9">
        <w:rPr>
          <w:rFonts w:ascii="Calibri" w:eastAsia="Calibri" w:hAnsi="Calibri"/>
        </w:rPr>
        <w:t xml:space="preserve"> </w:t>
      </w:r>
      <w:r w:rsidR="00FF7025">
        <w:rPr>
          <w:rFonts w:ascii="Calibri" w:eastAsia="Calibri" w:hAnsi="Calibri"/>
        </w:rPr>
        <w:t>8</w:t>
      </w:r>
      <w:r w:rsidR="00A06B26">
        <w:rPr>
          <w:rFonts w:ascii="Calibri" w:eastAsia="Calibri" w:hAnsi="Calibri"/>
        </w:rPr>
        <w:t xml:space="preserve"> that shows that unique patients, </w:t>
      </w:r>
      <w:proofErr w:type="gramStart"/>
      <w:r w:rsidR="00A06B26">
        <w:rPr>
          <w:rFonts w:ascii="Calibri" w:eastAsia="Calibri" w:hAnsi="Calibri"/>
        </w:rPr>
        <w:t>visits</w:t>
      </w:r>
      <w:proofErr w:type="gramEnd"/>
      <w:r w:rsidR="00A06B26">
        <w:rPr>
          <w:rFonts w:ascii="Calibri" w:eastAsia="Calibri" w:hAnsi="Calibri"/>
        </w:rPr>
        <w:t xml:space="preserve"> and surgeries are still feeling the impact of respiratory illnesses (including COVID</w:t>
      </w:r>
      <w:r w:rsidR="0064534F">
        <w:rPr>
          <w:rFonts w:ascii="Calibri" w:eastAsia="Calibri" w:hAnsi="Calibri"/>
        </w:rPr>
        <w:t xml:space="preserve"> and RSV</w:t>
      </w:r>
      <w:r w:rsidR="00A06B26">
        <w:rPr>
          <w:rFonts w:ascii="Calibri" w:eastAsia="Calibri" w:hAnsi="Calibri"/>
        </w:rPr>
        <w:t xml:space="preserve">) that have resulted in an increase in cancellations. </w:t>
      </w:r>
      <w:r w:rsidR="00FF7025">
        <w:rPr>
          <w:rFonts w:ascii="Calibri" w:eastAsia="Calibri" w:hAnsi="Calibri"/>
        </w:rPr>
        <w:t>Table 9 shows that with</w:t>
      </w:r>
      <w:r w:rsidR="0064534F">
        <w:rPr>
          <w:rFonts w:ascii="Calibri" w:eastAsia="Calibri" w:hAnsi="Calibri"/>
        </w:rPr>
        <w:t xml:space="preserve"> the new OR, the </w:t>
      </w:r>
      <w:r w:rsidR="00EC4496">
        <w:rPr>
          <w:rFonts w:ascii="Calibri" w:eastAsia="Calibri" w:hAnsi="Calibri"/>
        </w:rPr>
        <w:t>applicant projects</w:t>
      </w:r>
      <w:r w:rsidR="0064534F">
        <w:rPr>
          <w:rFonts w:ascii="Calibri" w:eastAsia="Calibri" w:hAnsi="Calibri"/>
        </w:rPr>
        <w:t xml:space="preserve"> a</w:t>
      </w:r>
      <w:r w:rsidR="00EC4496">
        <w:rPr>
          <w:rFonts w:ascii="Calibri" w:eastAsia="Calibri" w:hAnsi="Calibri"/>
        </w:rPr>
        <w:t>n</w:t>
      </w:r>
      <w:r w:rsidR="0064534F">
        <w:rPr>
          <w:rFonts w:ascii="Calibri" w:eastAsia="Calibri" w:hAnsi="Calibri"/>
        </w:rPr>
        <w:t xml:space="preserve"> increase of 41% in surgical cases</w:t>
      </w:r>
      <w:r w:rsidR="00EC4496">
        <w:rPr>
          <w:rFonts w:ascii="Calibri" w:eastAsia="Calibri" w:hAnsi="Calibri"/>
        </w:rPr>
        <w:t xml:space="preserve"> from 2023-2031</w:t>
      </w:r>
      <w:r w:rsidR="0064534F">
        <w:rPr>
          <w:rFonts w:ascii="Calibri" w:eastAsia="Calibri" w:hAnsi="Calibri"/>
        </w:rPr>
        <w:t>.</w:t>
      </w:r>
    </w:p>
    <w:p w14:paraId="0CEBCE08" w14:textId="77777777" w:rsidR="009266C1" w:rsidRDefault="009266C1" w:rsidP="00F64382">
      <w:pPr>
        <w:rPr>
          <w:rFonts w:ascii="Calibri" w:eastAsia="Calibri" w:hAnsi="Calibri"/>
        </w:rPr>
      </w:pPr>
    </w:p>
    <w:p w14:paraId="32ADD54D" w14:textId="3B27807C" w:rsidR="009266C1" w:rsidRDefault="009266C1" w:rsidP="009266C1">
      <w:pPr>
        <w:jc w:val="center"/>
        <w:rPr>
          <w:rFonts w:ascii="Calibri" w:eastAsia="Calibri" w:hAnsi="Calibri"/>
        </w:rPr>
      </w:pPr>
      <w:r>
        <w:rPr>
          <w:rFonts w:ascii="Calibri" w:eastAsia="Calibri" w:hAnsi="Calibri"/>
          <w:b/>
          <w:bCs/>
        </w:rPr>
        <w:t xml:space="preserve">Table </w:t>
      </w:r>
      <w:r w:rsidR="00FF7025">
        <w:rPr>
          <w:rFonts w:ascii="Calibri" w:eastAsia="Calibri" w:hAnsi="Calibri"/>
          <w:b/>
          <w:bCs/>
        </w:rPr>
        <w:t>8</w:t>
      </w:r>
      <w:r>
        <w:rPr>
          <w:rFonts w:ascii="Calibri" w:eastAsia="Calibri" w:hAnsi="Calibri"/>
          <w:b/>
          <w:bCs/>
        </w:rPr>
        <w:t xml:space="preserve">: </w:t>
      </w:r>
      <w:r w:rsidRPr="009266C1">
        <w:rPr>
          <w:rFonts w:ascii="Calibri" w:eastAsia="Calibri" w:hAnsi="Calibri"/>
          <w:b/>
          <w:bCs/>
        </w:rPr>
        <w:t>Patients Receiving Dental Services</w:t>
      </w:r>
    </w:p>
    <w:p w14:paraId="1B8BA75A" w14:textId="77777777" w:rsidR="009266C1" w:rsidRPr="00F64382" w:rsidRDefault="009266C1" w:rsidP="00F64382">
      <w:pPr>
        <w:rPr>
          <w:rFonts w:ascii="Calibri" w:eastAsia="Calibri" w:hAnsi="Calibri"/>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960"/>
        <w:gridCol w:w="960"/>
        <w:gridCol w:w="960"/>
        <w:gridCol w:w="960"/>
        <w:gridCol w:w="960"/>
        <w:gridCol w:w="960"/>
      </w:tblGrid>
      <w:tr w:rsidR="00FF6B90" w:rsidRPr="00C322D7" w14:paraId="5505F21D" w14:textId="491DF627" w:rsidTr="00DE78E3">
        <w:trPr>
          <w:cantSplit/>
          <w:trHeight w:val="290"/>
          <w:jc w:val="center"/>
        </w:trPr>
        <w:tc>
          <w:tcPr>
            <w:tcW w:w="3505" w:type="dxa"/>
            <w:shd w:val="clear" w:color="auto" w:fill="D1FFFF"/>
            <w:hideMark/>
          </w:tcPr>
          <w:p w14:paraId="766FBF0C" w14:textId="77198173" w:rsidR="00FF6B90" w:rsidRPr="009266C1" w:rsidRDefault="00FF6B90" w:rsidP="00C322D7">
            <w:pPr>
              <w:rPr>
                <w:b/>
                <w:bCs/>
              </w:rPr>
            </w:pPr>
            <w:r>
              <w:rPr>
                <w:b/>
                <w:bCs/>
              </w:rPr>
              <w:t>Franciscan</w:t>
            </w:r>
          </w:p>
        </w:tc>
        <w:tc>
          <w:tcPr>
            <w:tcW w:w="960" w:type="dxa"/>
            <w:shd w:val="clear" w:color="auto" w:fill="D1FFFF"/>
            <w:hideMark/>
          </w:tcPr>
          <w:p w14:paraId="38012359" w14:textId="77777777" w:rsidR="00FF6B90" w:rsidRPr="0098087D" w:rsidRDefault="00FF6B90" w:rsidP="00C322D7">
            <w:pPr>
              <w:jc w:val="center"/>
              <w:rPr>
                <w:b/>
                <w:bCs/>
              </w:rPr>
            </w:pPr>
            <w:r w:rsidRPr="0098087D">
              <w:rPr>
                <w:b/>
                <w:bCs/>
              </w:rPr>
              <w:t>FY18</w:t>
            </w:r>
          </w:p>
        </w:tc>
        <w:tc>
          <w:tcPr>
            <w:tcW w:w="960" w:type="dxa"/>
            <w:shd w:val="clear" w:color="auto" w:fill="D1FFFF"/>
            <w:hideMark/>
          </w:tcPr>
          <w:p w14:paraId="1EB5EE11" w14:textId="77777777" w:rsidR="00FF6B90" w:rsidRPr="0098087D" w:rsidRDefault="00FF6B90" w:rsidP="00C322D7">
            <w:pPr>
              <w:jc w:val="center"/>
              <w:rPr>
                <w:b/>
                <w:bCs/>
              </w:rPr>
            </w:pPr>
            <w:r w:rsidRPr="0098087D">
              <w:rPr>
                <w:b/>
                <w:bCs/>
              </w:rPr>
              <w:t>FY19</w:t>
            </w:r>
          </w:p>
        </w:tc>
        <w:tc>
          <w:tcPr>
            <w:tcW w:w="960" w:type="dxa"/>
            <w:shd w:val="clear" w:color="auto" w:fill="D1FFFF"/>
            <w:hideMark/>
          </w:tcPr>
          <w:p w14:paraId="447AC8C2" w14:textId="77777777" w:rsidR="00FF6B90" w:rsidRPr="0098087D" w:rsidRDefault="00FF6B90" w:rsidP="00C322D7">
            <w:pPr>
              <w:jc w:val="center"/>
              <w:rPr>
                <w:b/>
                <w:bCs/>
              </w:rPr>
            </w:pPr>
            <w:r w:rsidRPr="0098087D">
              <w:rPr>
                <w:b/>
                <w:bCs/>
              </w:rPr>
              <w:t>FY20</w:t>
            </w:r>
          </w:p>
        </w:tc>
        <w:tc>
          <w:tcPr>
            <w:tcW w:w="960" w:type="dxa"/>
            <w:shd w:val="clear" w:color="auto" w:fill="D1FFFF"/>
            <w:hideMark/>
          </w:tcPr>
          <w:p w14:paraId="3574985D" w14:textId="77777777" w:rsidR="00FF6B90" w:rsidRPr="0098087D" w:rsidRDefault="00FF6B90" w:rsidP="00C322D7">
            <w:pPr>
              <w:jc w:val="center"/>
              <w:rPr>
                <w:b/>
                <w:bCs/>
              </w:rPr>
            </w:pPr>
            <w:r w:rsidRPr="0098087D">
              <w:rPr>
                <w:b/>
                <w:bCs/>
              </w:rPr>
              <w:t>FY21</w:t>
            </w:r>
          </w:p>
        </w:tc>
        <w:tc>
          <w:tcPr>
            <w:tcW w:w="960" w:type="dxa"/>
            <w:shd w:val="clear" w:color="auto" w:fill="D1FFFF"/>
          </w:tcPr>
          <w:p w14:paraId="4FEBF983" w14:textId="072F1CED" w:rsidR="00FF6B90" w:rsidRPr="0098087D" w:rsidRDefault="00FF6B90" w:rsidP="00C322D7">
            <w:pPr>
              <w:jc w:val="center"/>
              <w:rPr>
                <w:b/>
                <w:bCs/>
              </w:rPr>
            </w:pPr>
            <w:r>
              <w:rPr>
                <w:b/>
                <w:bCs/>
              </w:rPr>
              <w:t>FY22</w:t>
            </w:r>
          </w:p>
        </w:tc>
        <w:tc>
          <w:tcPr>
            <w:tcW w:w="960" w:type="dxa"/>
            <w:shd w:val="clear" w:color="auto" w:fill="D1FFFF"/>
          </w:tcPr>
          <w:p w14:paraId="1D791AE0" w14:textId="3D3C1998" w:rsidR="00FF6B90" w:rsidRDefault="00FF6B90" w:rsidP="00C322D7">
            <w:pPr>
              <w:jc w:val="center"/>
              <w:rPr>
                <w:b/>
                <w:bCs/>
              </w:rPr>
            </w:pPr>
            <w:r>
              <w:rPr>
                <w:b/>
                <w:bCs/>
              </w:rPr>
              <w:t>FY 23</w:t>
            </w:r>
          </w:p>
        </w:tc>
      </w:tr>
      <w:tr w:rsidR="00FF6B90" w:rsidRPr="00C322D7" w14:paraId="2D13D0E6" w14:textId="4A08BBA5" w:rsidTr="00DE78E3">
        <w:trPr>
          <w:cantSplit/>
          <w:trHeight w:val="290"/>
          <w:jc w:val="center"/>
        </w:trPr>
        <w:tc>
          <w:tcPr>
            <w:tcW w:w="3505" w:type="dxa"/>
            <w:shd w:val="clear" w:color="auto" w:fill="auto"/>
            <w:hideMark/>
          </w:tcPr>
          <w:p w14:paraId="60262391" w14:textId="77777777" w:rsidR="00FF6B90" w:rsidRPr="0098087D" w:rsidRDefault="00FF6B90" w:rsidP="009266C1">
            <w:pPr>
              <w:rPr>
                <w:b/>
                <w:bCs/>
                <w:color w:val="FFFFFF"/>
              </w:rPr>
            </w:pPr>
            <w:r w:rsidRPr="0098087D">
              <w:rPr>
                <w:b/>
                <w:bCs/>
                <w:color w:val="FFFFFF"/>
              </w:rPr>
              <w:t> </w:t>
            </w:r>
          </w:p>
        </w:tc>
        <w:tc>
          <w:tcPr>
            <w:tcW w:w="960" w:type="dxa"/>
            <w:shd w:val="clear" w:color="auto" w:fill="auto"/>
            <w:hideMark/>
          </w:tcPr>
          <w:p w14:paraId="322F5422" w14:textId="77777777" w:rsidR="00FF6B90" w:rsidRPr="0098087D" w:rsidRDefault="00FF6B90" w:rsidP="009266C1">
            <w:pPr>
              <w:jc w:val="center"/>
              <w:rPr>
                <w:b/>
                <w:bCs/>
              </w:rPr>
            </w:pPr>
            <w:r w:rsidRPr="0098087D">
              <w:rPr>
                <w:b/>
                <w:bCs/>
              </w:rPr>
              <w:t>Count</w:t>
            </w:r>
          </w:p>
        </w:tc>
        <w:tc>
          <w:tcPr>
            <w:tcW w:w="960" w:type="dxa"/>
            <w:shd w:val="clear" w:color="auto" w:fill="auto"/>
            <w:hideMark/>
          </w:tcPr>
          <w:p w14:paraId="5CBB69C0" w14:textId="77777777" w:rsidR="00FF6B90" w:rsidRPr="0098087D" w:rsidRDefault="00FF6B90" w:rsidP="009266C1">
            <w:pPr>
              <w:jc w:val="center"/>
              <w:rPr>
                <w:b/>
                <w:bCs/>
              </w:rPr>
            </w:pPr>
            <w:r w:rsidRPr="0098087D">
              <w:rPr>
                <w:b/>
                <w:bCs/>
              </w:rPr>
              <w:t>Count</w:t>
            </w:r>
          </w:p>
        </w:tc>
        <w:tc>
          <w:tcPr>
            <w:tcW w:w="960" w:type="dxa"/>
            <w:shd w:val="clear" w:color="auto" w:fill="auto"/>
            <w:hideMark/>
          </w:tcPr>
          <w:p w14:paraId="1CD4DCF1" w14:textId="77777777" w:rsidR="00FF6B90" w:rsidRPr="0098087D" w:rsidRDefault="00FF6B90" w:rsidP="009266C1">
            <w:pPr>
              <w:jc w:val="center"/>
              <w:rPr>
                <w:b/>
                <w:bCs/>
              </w:rPr>
            </w:pPr>
            <w:r w:rsidRPr="0098087D">
              <w:rPr>
                <w:b/>
                <w:bCs/>
              </w:rPr>
              <w:t>Count</w:t>
            </w:r>
          </w:p>
        </w:tc>
        <w:tc>
          <w:tcPr>
            <w:tcW w:w="960" w:type="dxa"/>
            <w:shd w:val="clear" w:color="auto" w:fill="auto"/>
            <w:hideMark/>
          </w:tcPr>
          <w:p w14:paraId="2D2CDC7F" w14:textId="2CCB8F40" w:rsidR="00FF6B90" w:rsidRPr="0098087D" w:rsidRDefault="00FF6B90" w:rsidP="009266C1">
            <w:pPr>
              <w:jc w:val="center"/>
              <w:rPr>
                <w:b/>
                <w:bCs/>
              </w:rPr>
            </w:pPr>
            <w:r w:rsidRPr="00532FD8">
              <w:rPr>
                <w:b/>
                <w:bCs/>
              </w:rPr>
              <w:t>Count</w:t>
            </w:r>
          </w:p>
        </w:tc>
        <w:tc>
          <w:tcPr>
            <w:tcW w:w="960" w:type="dxa"/>
          </w:tcPr>
          <w:p w14:paraId="06AEF8FB" w14:textId="18435867" w:rsidR="00FF6B90" w:rsidRPr="0098087D" w:rsidRDefault="00FF6B90" w:rsidP="009266C1">
            <w:pPr>
              <w:jc w:val="center"/>
              <w:rPr>
                <w:b/>
                <w:bCs/>
              </w:rPr>
            </w:pPr>
            <w:r w:rsidRPr="00532FD8">
              <w:rPr>
                <w:b/>
                <w:bCs/>
              </w:rPr>
              <w:t>Count</w:t>
            </w:r>
          </w:p>
        </w:tc>
        <w:tc>
          <w:tcPr>
            <w:tcW w:w="960" w:type="dxa"/>
          </w:tcPr>
          <w:p w14:paraId="4C139297" w14:textId="5312AD2A" w:rsidR="00FF6B90" w:rsidRPr="00532FD8" w:rsidRDefault="00FF6B90" w:rsidP="009266C1">
            <w:pPr>
              <w:jc w:val="center"/>
              <w:rPr>
                <w:b/>
                <w:bCs/>
              </w:rPr>
            </w:pPr>
            <w:r>
              <w:rPr>
                <w:b/>
                <w:bCs/>
              </w:rPr>
              <w:t>Count</w:t>
            </w:r>
          </w:p>
        </w:tc>
      </w:tr>
      <w:tr w:rsidR="00FF6B90" w:rsidRPr="00C322D7" w14:paraId="25288BAF" w14:textId="25EB890B" w:rsidTr="00DE78E3">
        <w:trPr>
          <w:cantSplit/>
          <w:trHeight w:val="290"/>
          <w:jc w:val="center"/>
        </w:trPr>
        <w:tc>
          <w:tcPr>
            <w:tcW w:w="3505" w:type="dxa"/>
            <w:shd w:val="clear" w:color="auto" w:fill="auto"/>
            <w:hideMark/>
          </w:tcPr>
          <w:p w14:paraId="6C41DC72" w14:textId="6E34E301" w:rsidR="00FF6B90" w:rsidRPr="009266C1" w:rsidRDefault="00FF6B90" w:rsidP="008302F1">
            <w:r w:rsidRPr="009266C1">
              <w:t>Total Unique Dental Patients</w:t>
            </w:r>
          </w:p>
        </w:tc>
        <w:tc>
          <w:tcPr>
            <w:tcW w:w="960" w:type="dxa"/>
            <w:shd w:val="clear" w:color="auto" w:fill="auto"/>
            <w:noWrap/>
            <w:hideMark/>
          </w:tcPr>
          <w:p w14:paraId="35B2F9E6" w14:textId="77777777" w:rsidR="00FF6B90" w:rsidRPr="009266C1" w:rsidRDefault="00FF6B90" w:rsidP="008302F1">
            <w:pPr>
              <w:jc w:val="right"/>
            </w:pPr>
            <w:r w:rsidRPr="009266C1">
              <w:t xml:space="preserve">3,392 </w:t>
            </w:r>
          </w:p>
        </w:tc>
        <w:tc>
          <w:tcPr>
            <w:tcW w:w="960" w:type="dxa"/>
            <w:shd w:val="clear" w:color="auto" w:fill="auto"/>
            <w:noWrap/>
            <w:hideMark/>
          </w:tcPr>
          <w:p w14:paraId="2E29C964" w14:textId="77777777" w:rsidR="00FF6B90" w:rsidRPr="009266C1" w:rsidRDefault="00FF6B90" w:rsidP="008302F1">
            <w:pPr>
              <w:jc w:val="right"/>
            </w:pPr>
            <w:r w:rsidRPr="009266C1">
              <w:t xml:space="preserve">3,265 </w:t>
            </w:r>
          </w:p>
        </w:tc>
        <w:tc>
          <w:tcPr>
            <w:tcW w:w="960" w:type="dxa"/>
            <w:shd w:val="clear" w:color="auto" w:fill="auto"/>
            <w:noWrap/>
            <w:hideMark/>
          </w:tcPr>
          <w:p w14:paraId="141FDD31" w14:textId="77777777" w:rsidR="00FF6B90" w:rsidRPr="009266C1" w:rsidRDefault="00FF6B90" w:rsidP="008302F1">
            <w:pPr>
              <w:jc w:val="right"/>
            </w:pPr>
            <w:r w:rsidRPr="009266C1">
              <w:t xml:space="preserve">2,469 </w:t>
            </w:r>
          </w:p>
        </w:tc>
        <w:tc>
          <w:tcPr>
            <w:tcW w:w="960" w:type="dxa"/>
            <w:shd w:val="clear" w:color="auto" w:fill="auto"/>
            <w:noWrap/>
            <w:hideMark/>
          </w:tcPr>
          <w:p w14:paraId="25756ECE" w14:textId="77777777" w:rsidR="00FF6B90" w:rsidRPr="009266C1" w:rsidRDefault="00FF6B90" w:rsidP="008302F1">
            <w:pPr>
              <w:jc w:val="right"/>
            </w:pPr>
            <w:r w:rsidRPr="009266C1">
              <w:t xml:space="preserve">2,537 </w:t>
            </w:r>
          </w:p>
        </w:tc>
        <w:tc>
          <w:tcPr>
            <w:tcW w:w="960" w:type="dxa"/>
            <w:shd w:val="clear" w:color="auto" w:fill="auto"/>
            <w:vAlign w:val="center"/>
          </w:tcPr>
          <w:p w14:paraId="6978250C" w14:textId="3EB01890" w:rsidR="00FF6B90" w:rsidRPr="009266C1" w:rsidRDefault="00FF6B90" w:rsidP="008302F1">
            <w:pPr>
              <w:jc w:val="right"/>
            </w:pPr>
            <w:r>
              <w:rPr>
                <w:rFonts w:ascii="Calibri" w:hAnsi="Calibri" w:cs="Calibri"/>
                <w:color w:val="000000"/>
              </w:rPr>
              <w:t>2,285</w:t>
            </w:r>
          </w:p>
        </w:tc>
        <w:tc>
          <w:tcPr>
            <w:tcW w:w="960" w:type="dxa"/>
          </w:tcPr>
          <w:p w14:paraId="57F52AD5" w14:textId="7E6795B3" w:rsidR="00FF6B90" w:rsidRDefault="00FF6B90" w:rsidP="008302F1">
            <w:pPr>
              <w:jc w:val="right"/>
              <w:rPr>
                <w:rFonts w:ascii="Calibri" w:hAnsi="Calibri" w:cs="Calibri"/>
                <w:color w:val="000000"/>
              </w:rPr>
            </w:pPr>
            <w:r>
              <w:rPr>
                <w:rFonts w:ascii="Calibri" w:hAnsi="Calibri" w:cs="Calibri"/>
                <w:color w:val="000000"/>
              </w:rPr>
              <w:t>2,712</w:t>
            </w:r>
          </w:p>
        </w:tc>
      </w:tr>
      <w:tr w:rsidR="00FF6B90" w:rsidRPr="00C322D7" w14:paraId="6FBF1F02" w14:textId="7379244A" w:rsidTr="00DE78E3">
        <w:trPr>
          <w:cantSplit/>
          <w:trHeight w:val="290"/>
          <w:jc w:val="center"/>
        </w:trPr>
        <w:tc>
          <w:tcPr>
            <w:tcW w:w="3505" w:type="dxa"/>
            <w:shd w:val="clear" w:color="auto" w:fill="auto"/>
            <w:hideMark/>
          </w:tcPr>
          <w:p w14:paraId="1F8390EB" w14:textId="77777777" w:rsidR="00FF6B90" w:rsidRPr="009266C1" w:rsidRDefault="00FF6B90" w:rsidP="008302F1">
            <w:r w:rsidRPr="009266C1">
              <w:t>Total Dental Visits</w:t>
            </w:r>
          </w:p>
        </w:tc>
        <w:tc>
          <w:tcPr>
            <w:tcW w:w="960" w:type="dxa"/>
            <w:shd w:val="clear" w:color="auto" w:fill="auto"/>
            <w:noWrap/>
            <w:hideMark/>
          </w:tcPr>
          <w:p w14:paraId="155B40C5" w14:textId="77777777" w:rsidR="00FF6B90" w:rsidRPr="009266C1" w:rsidRDefault="00FF6B90" w:rsidP="008302F1">
            <w:pPr>
              <w:jc w:val="right"/>
            </w:pPr>
            <w:r w:rsidRPr="009266C1">
              <w:t xml:space="preserve">8,020 </w:t>
            </w:r>
          </w:p>
        </w:tc>
        <w:tc>
          <w:tcPr>
            <w:tcW w:w="960" w:type="dxa"/>
            <w:shd w:val="clear" w:color="auto" w:fill="auto"/>
            <w:noWrap/>
            <w:hideMark/>
          </w:tcPr>
          <w:p w14:paraId="68D07E49" w14:textId="77777777" w:rsidR="00FF6B90" w:rsidRPr="009266C1" w:rsidRDefault="00FF6B90" w:rsidP="008302F1">
            <w:pPr>
              <w:jc w:val="right"/>
            </w:pPr>
            <w:r w:rsidRPr="009266C1">
              <w:t xml:space="preserve">7,594 </w:t>
            </w:r>
          </w:p>
        </w:tc>
        <w:tc>
          <w:tcPr>
            <w:tcW w:w="960" w:type="dxa"/>
            <w:shd w:val="clear" w:color="auto" w:fill="auto"/>
            <w:noWrap/>
            <w:hideMark/>
          </w:tcPr>
          <w:p w14:paraId="2189A39E" w14:textId="77777777" w:rsidR="00FF6B90" w:rsidRPr="009266C1" w:rsidRDefault="00FF6B90" w:rsidP="008302F1">
            <w:pPr>
              <w:jc w:val="right"/>
            </w:pPr>
            <w:r w:rsidRPr="009266C1">
              <w:t xml:space="preserve">5,176 </w:t>
            </w:r>
          </w:p>
        </w:tc>
        <w:tc>
          <w:tcPr>
            <w:tcW w:w="960" w:type="dxa"/>
            <w:shd w:val="clear" w:color="auto" w:fill="auto"/>
            <w:noWrap/>
            <w:hideMark/>
          </w:tcPr>
          <w:p w14:paraId="3856A9DC" w14:textId="77777777" w:rsidR="00FF6B90" w:rsidRPr="009266C1" w:rsidRDefault="00FF6B90" w:rsidP="008302F1">
            <w:pPr>
              <w:jc w:val="right"/>
            </w:pPr>
            <w:r w:rsidRPr="009266C1">
              <w:t xml:space="preserve">5,611 </w:t>
            </w:r>
          </w:p>
        </w:tc>
        <w:tc>
          <w:tcPr>
            <w:tcW w:w="960" w:type="dxa"/>
            <w:shd w:val="clear" w:color="auto" w:fill="auto"/>
            <w:vAlign w:val="center"/>
          </w:tcPr>
          <w:p w14:paraId="3B93C6F0" w14:textId="04AB2FAC" w:rsidR="00FF6B90" w:rsidRPr="009266C1" w:rsidRDefault="00FF6B90" w:rsidP="008302F1">
            <w:pPr>
              <w:jc w:val="right"/>
            </w:pPr>
            <w:r>
              <w:rPr>
                <w:rFonts w:ascii="Calibri" w:hAnsi="Calibri" w:cs="Calibri"/>
                <w:color w:val="000000"/>
              </w:rPr>
              <w:t>4,933</w:t>
            </w:r>
          </w:p>
        </w:tc>
        <w:tc>
          <w:tcPr>
            <w:tcW w:w="960" w:type="dxa"/>
          </w:tcPr>
          <w:p w14:paraId="09720ED7" w14:textId="4459D702" w:rsidR="00FF6B90" w:rsidRDefault="00FF6B90" w:rsidP="008302F1">
            <w:pPr>
              <w:jc w:val="right"/>
              <w:rPr>
                <w:rFonts w:ascii="Calibri" w:hAnsi="Calibri" w:cs="Calibri"/>
                <w:color w:val="000000"/>
              </w:rPr>
            </w:pPr>
            <w:r>
              <w:rPr>
                <w:rFonts w:ascii="Calibri" w:hAnsi="Calibri" w:cs="Calibri"/>
                <w:color w:val="000000"/>
              </w:rPr>
              <w:t>6,565</w:t>
            </w:r>
          </w:p>
        </w:tc>
      </w:tr>
      <w:tr w:rsidR="00FF6B90" w:rsidRPr="00C322D7" w14:paraId="3B0BF07F" w14:textId="77B00D91" w:rsidTr="00DE78E3">
        <w:trPr>
          <w:cantSplit/>
          <w:trHeight w:val="290"/>
          <w:jc w:val="center"/>
        </w:trPr>
        <w:tc>
          <w:tcPr>
            <w:tcW w:w="3505" w:type="dxa"/>
            <w:shd w:val="clear" w:color="auto" w:fill="auto"/>
          </w:tcPr>
          <w:p w14:paraId="186DEC2C" w14:textId="1A26DCE4" w:rsidR="00FF6B90" w:rsidRPr="009266C1" w:rsidRDefault="00FF6B90" w:rsidP="008302F1">
            <w:r>
              <w:t>Surgery Cases</w:t>
            </w:r>
          </w:p>
        </w:tc>
        <w:tc>
          <w:tcPr>
            <w:tcW w:w="960" w:type="dxa"/>
            <w:shd w:val="clear" w:color="auto" w:fill="auto"/>
            <w:noWrap/>
          </w:tcPr>
          <w:p w14:paraId="4C0A1279" w14:textId="5C617823" w:rsidR="00FF6B90" w:rsidRPr="009266C1" w:rsidRDefault="00FF6B90" w:rsidP="008302F1">
            <w:pPr>
              <w:jc w:val="right"/>
            </w:pPr>
            <w:r>
              <w:t>2,934</w:t>
            </w:r>
          </w:p>
        </w:tc>
        <w:tc>
          <w:tcPr>
            <w:tcW w:w="960" w:type="dxa"/>
            <w:shd w:val="clear" w:color="auto" w:fill="auto"/>
            <w:noWrap/>
          </w:tcPr>
          <w:p w14:paraId="39739887" w14:textId="750D5C49" w:rsidR="00FF6B90" w:rsidRPr="009266C1" w:rsidRDefault="00FF6B90" w:rsidP="008302F1">
            <w:pPr>
              <w:jc w:val="right"/>
            </w:pPr>
            <w:r>
              <w:t>2,988</w:t>
            </w:r>
          </w:p>
        </w:tc>
        <w:tc>
          <w:tcPr>
            <w:tcW w:w="960" w:type="dxa"/>
            <w:shd w:val="clear" w:color="auto" w:fill="auto"/>
            <w:noWrap/>
          </w:tcPr>
          <w:p w14:paraId="22AF5474" w14:textId="050C001C" w:rsidR="00FF6B90" w:rsidRPr="009266C1" w:rsidRDefault="00FF6B90" w:rsidP="008302F1">
            <w:pPr>
              <w:jc w:val="right"/>
            </w:pPr>
            <w:r>
              <w:t>2,364</w:t>
            </w:r>
          </w:p>
        </w:tc>
        <w:tc>
          <w:tcPr>
            <w:tcW w:w="960" w:type="dxa"/>
            <w:shd w:val="clear" w:color="auto" w:fill="auto"/>
            <w:noWrap/>
          </w:tcPr>
          <w:p w14:paraId="3B479EB6" w14:textId="77D4E946" w:rsidR="00FF6B90" w:rsidRPr="009266C1" w:rsidRDefault="00FF6B90" w:rsidP="008302F1">
            <w:pPr>
              <w:jc w:val="right"/>
            </w:pPr>
            <w:r>
              <w:t>2,895</w:t>
            </w:r>
          </w:p>
        </w:tc>
        <w:tc>
          <w:tcPr>
            <w:tcW w:w="960" w:type="dxa"/>
            <w:shd w:val="clear" w:color="auto" w:fill="auto"/>
            <w:vAlign w:val="center"/>
          </w:tcPr>
          <w:p w14:paraId="45A08B47" w14:textId="1FDCFD8C" w:rsidR="00FF6B90" w:rsidRDefault="00FF6B90" w:rsidP="008204B9">
            <w:pPr>
              <w:jc w:val="right"/>
              <w:rPr>
                <w:rFonts w:ascii="Calibri" w:hAnsi="Calibri" w:cs="Calibri"/>
                <w:color w:val="000000"/>
              </w:rPr>
            </w:pPr>
            <w:r>
              <w:rPr>
                <w:rFonts w:ascii="Calibri" w:hAnsi="Calibri" w:cs="Calibri"/>
                <w:color w:val="000000"/>
              </w:rPr>
              <w:t>2,800</w:t>
            </w:r>
          </w:p>
        </w:tc>
        <w:tc>
          <w:tcPr>
            <w:tcW w:w="960" w:type="dxa"/>
          </w:tcPr>
          <w:p w14:paraId="38056E1C" w14:textId="03B5092E" w:rsidR="00FF6B90" w:rsidRDefault="00FF6B90" w:rsidP="008204B9">
            <w:pPr>
              <w:jc w:val="right"/>
              <w:rPr>
                <w:rFonts w:ascii="Calibri" w:hAnsi="Calibri" w:cs="Calibri"/>
                <w:color w:val="000000"/>
              </w:rPr>
            </w:pPr>
            <w:r>
              <w:rPr>
                <w:rFonts w:ascii="Calibri" w:hAnsi="Calibri" w:cs="Calibri"/>
                <w:color w:val="000000"/>
              </w:rPr>
              <w:t>2,905</w:t>
            </w:r>
          </w:p>
        </w:tc>
      </w:tr>
    </w:tbl>
    <w:p w14:paraId="776D80D8" w14:textId="77777777" w:rsidR="00C322D7" w:rsidRDefault="00C322D7" w:rsidP="002C622A">
      <w:pPr>
        <w:rPr>
          <w:rFonts w:ascii="Calibri" w:eastAsia="Calibri" w:hAnsi="Calibri"/>
        </w:rPr>
      </w:pPr>
    </w:p>
    <w:p w14:paraId="6DB1C0DA" w14:textId="389FCC99" w:rsidR="0064534F" w:rsidRPr="0064534F" w:rsidRDefault="0064534F" w:rsidP="0064534F">
      <w:pPr>
        <w:jc w:val="center"/>
        <w:rPr>
          <w:rFonts w:ascii="Calibri" w:eastAsia="Calibri" w:hAnsi="Calibri"/>
          <w:b/>
          <w:bCs/>
        </w:rPr>
      </w:pPr>
      <w:r w:rsidRPr="0064534F">
        <w:rPr>
          <w:rFonts w:ascii="Calibri" w:eastAsia="Calibri" w:hAnsi="Calibri"/>
          <w:b/>
          <w:bCs/>
        </w:rPr>
        <w:t xml:space="preserve">Table </w:t>
      </w:r>
      <w:r w:rsidR="00FF7025">
        <w:rPr>
          <w:rFonts w:ascii="Calibri" w:eastAsia="Calibri" w:hAnsi="Calibri"/>
          <w:b/>
          <w:bCs/>
        </w:rPr>
        <w:t>9</w:t>
      </w:r>
      <w:r w:rsidRPr="0064534F">
        <w:rPr>
          <w:rFonts w:ascii="Calibri" w:eastAsia="Calibri" w:hAnsi="Calibri"/>
          <w:b/>
          <w:bCs/>
        </w:rPr>
        <w:t>: Projections of Ambulatory Surgical Cases</w:t>
      </w:r>
    </w:p>
    <w:p w14:paraId="5AA8892F" w14:textId="77777777" w:rsidR="0064534F" w:rsidRDefault="0064534F" w:rsidP="002C622A">
      <w:pPr>
        <w:rPr>
          <w:rFonts w:ascii="Calibri" w:eastAsia="Calibri" w:hAnsi="Calibri"/>
        </w:rPr>
      </w:pPr>
    </w:p>
    <w:tbl>
      <w:tblPr>
        <w:tblW w:w="7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960"/>
        <w:gridCol w:w="960"/>
        <w:gridCol w:w="960"/>
        <w:gridCol w:w="960"/>
        <w:gridCol w:w="960"/>
      </w:tblGrid>
      <w:tr w:rsidR="0064534F" w:rsidRPr="0064534F" w14:paraId="0742BA12" w14:textId="77777777" w:rsidTr="0064534F">
        <w:trPr>
          <w:trHeight w:val="320"/>
          <w:jc w:val="center"/>
        </w:trPr>
        <w:tc>
          <w:tcPr>
            <w:tcW w:w="2373" w:type="dxa"/>
            <w:shd w:val="clear" w:color="000000" w:fill="D9FFFF"/>
            <w:noWrap/>
            <w:vAlign w:val="bottom"/>
            <w:hideMark/>
          </w:tcPr>
          <w:p w14:paraId="77A17DEB" w14:textId="46F0379D" w:rsidR="0064534F" w:rsidRPr="0064534F" w:rsidRDefault="0064534F" w:rsidP="0064534F">
            <w:pPr>
              <w:rPr>
                <w:rFonts w:ascii="Calibri" w:eastAsia="Times New Roman" w:hAnsi="Calibri" w:cs="Calibri"/>
                <w:b/>
                <w:bCs/>
                <w:color w:val="000000"/>
              </w:rPr>
            </w:pPr>
            <w:r w:rsidRPr="0064534F">
              <w:rPr>
                <w:rFonts w:ascii="Calibri" w:eastAsia="Times New Roman" w:hAnsi="Calibri" w:cs="Calibri"/>
                <w:b/>
                <w:bCs/>
                <w:color w:val="000000"/>
              </w:rPr>
              <w:t> </w:t>
            </w:r>
            <w:r w:rsidR="00EC4496">
              <w:rPr>
                <w:rFonts w:ascii="Calibri" w:eastAsia="Times New Roman" w:hAnsi="Calibri" w:cs="Calibri"/>
                <w:b/>
                <w:bCs/>
                <w:color w:val="000000"/>
              </w:rPr>
              <w:t>Projections</w:t>
            </w:r>
          </w:p>
        </w:tc>
        <w:tc>
          <w:tcPr>
            <w:tcW w:w="960" w:type="dxa"/>
            <w:shd w:val="clear" w:color="000000" w:fill="D9FFFF"/>
            <w:noWrap/>
            <w:vAlign w:val="bottom"/>
            <w:hideMark/>
          </w:tcPr>
          <w:p w14:paraId="0C0D8E5D" w14:textId="77777777" w:rsidR="0064534F" w:rsidRPr="0064534F" w:rsidRDefault="0064534F" w:rsidP="0064534F">
            <w:pPr>
              <w:jc w:val="center"/>
              <w:rPr>
                <w:rFonts w:ascii="Calibri" w:eastAsia="Times New Roman" w:hAnsi="Calibri" w:cs="Calibri"/>
                <w:b/>
                <w:bCs/>
                <w:color w:val="000000"/>
              </w:rPr>
            </w:pPr>
            <w:r w:rsidRPr="0064534F">
              <w:rPr>
                <w:rFonts w:ascii="Calibri" w:eastAsia="Times New Roman" w:hAnsi="Calibri" w:cs="Calibri"/>
                <w:b/>
                <w:bCs/>
                <w:color w:val="000000"/>
              </w:rPr>
              <w:t>2023</w:t>
            </w:r>
          </w:p>
        </w:tc>
        <w:tc>
          <w:tcPr>
            <w:tcW w:w="960" w:type="dxa"/>
            <w:shd w:val="clear" w:color="000000" w:fill="D9FFFF"/>
            <w:noWrap/>
            <w:vAlign w:val="center"/>
            <w:hideMark/>
          </w:tcPr>
          <w:p w14:paraId="7F1B3117" w14:textId="77777777" w:rsidR="0064534F" w:rsidRPr="0064534F" w:rsidRDefault="0064534F" w:rsidP="0064534F">
            <w:pPr>
              <w:jc w:val="center"/>
              <w:rPr>
                <w:rFonts w:ascii="Calibri" w:eastAsia="Times New Roman" w:hAnsi="Calibri" w:cs="Calibri"/>
                <w:b/>
                <w:bCs/>
                <w:color w:val="000000"/>
              </w:rPr>
            </w:pPr>
            <w:r w:rsidRPr="0064534F">
              <w:rPr>
                <w:rFonts w:ascii="Calibri" w:eastAsia="Times New Roman" w:hAnsi="Calibri" w:cs="Calibri"/>
                <w:b/>
                <w:bCs/>
                <w:color w:val="000000"/>
              </w:rPr>
              <w:t>FY 28</w:t>
            </w:r>
          </w:p>
        </w:tc>
        <w:tc>
          <w:tcPr>
            <w:tcW w:w="960" w:type="dxa"/>
            <w:shd w:val="clear" w:color="000000" w:fill="D9FFFF"/>
            <w:noWrap/>
            <w:vAlign w:val="center"/>
            <w:hideMark/>
          </w:tcPr>
          <w:p w14:paraId="51373F1C" w14:textId="77777777" w:rsidR="0064534F" w:rsidRPr="0064534F" w:rsidRDefault="0064534F" w:rsidP="0064534F">
            <w:pPr>
              <w:jc w:val="center"/>
              <w:rPr>
                <w:rFonts w:ascii="Calibri" w:eastAsia="Times New Roman" w:hAnsi="Calibri" w:cs="Calibri"/>
                <w:b/>
                <w:bCs/>
                <w:color w:val="000000"/>
              </w:rPr>
            </w:pPr>
            <w:r w:rsidRPr="0064534F">
              <w:rPr>
                <w:rFonts w:ascii="Calibri" w:eastAsia="Times New Roman" w:hAnsi="Calibri" w:cs="Calibri"/>
                <w:b/>
                <w:bCs/>
                <w:color w:val="000000"/>
              </w:rPr>
              <w:t>FY 29</w:t>
            </w:r>
          </w:p>
        </w:tc>
        <w:tc>
          <w:tcPr>
            <w:tcW w:w="960" w:type="dxa"/>
            <w:shd w:val="clear" w:color="000000" w:fill="D9FFFF"/>
            <w:noWrap/>
            <w:vAlign w:val="center"/>
            <w:hideMark/>
          </w:tcPr>
          <w:p w14:paraId="4F7CE379" w14:textId="77777777" w:rsidR="0064534F" w:rsidRPr="0064534F" w:rsidRDefault="0064534F" w:rsidP="0064534F">
            <w:pPr>
              <w:jc w:val="center"/>
              <w:rPr>
                <w:rFonts w:ascii="Calibri" w:eastAsia="Times New Roman" w:hAnsi="Calibri" w:cs="Calibri"/>
                <w:b/>
                <w:bCs/>
                <w:color w:val="000000"/>
              </w:rPr>
            </w:pPr>
            <w:r w:rsidRPr="0064534F">
              <w:rPr>
                <w:rFonts w:ascii="Calibri" w:eastAsia="Times New Roman" w:hAnsi="Calibri" w:cs="Calibri"/>
                <w:b/>
                <w:bCs/>
                <w:color w:val="000000"/>
              </w:rPr>
              <w:t>FY 30</w:t>
            </w:r>
          </w:p>
        </w:tc>
        <w:tc>
          <w:tcPr>
            <w:tcW w:w="960" w:type="dxa"/>
            <w:shd w:val="clear" w:color="000000" w:fill="D9FFFF"/>
            <w:noWrap/>
            <w:vAlign w:val="center"/>
            <w:hideMark/>
          </w:tcPr>
          <w:p w14:paraId="052F6BAF" w14:textId="77777777" w:rsidR="0064534F" w:rsidRPr="0064534F" w:rsidRDefault="0064534F" w:rsidP="0064534F">
            <w:pPr>
              <w:jc w:val="center"/>
              <w:rPr>
                <w:rFonts w:ascii="Calibri" w:eastAsia="Times New Roman" w:hAnsi="Calibri" w:cs="Calibri"/>
                <w:b/>
                <w:bCs/>
                <w:color w:val="000000"/>
              </w:rPr>
            </w:pPr>
            <w:r w:rsidRPr="0064534F">
              <w:rPr>
                <w:rFonts w:ascii="Calibri" w:eastAsia="Times New Roman" w:hAnsi="Calibri" w:cs="Calibri"/>
                <w:b/>
                <w:bCs/>
                <w:color w:val="000000"/>
              </w:rPr>
              <w:t xml:space="preserve"> FY 31</w:t>
            </w:r>
          </w:p>
        </w:tc>
      </w:tr>
      <w:tr w:rsidR="0064534F" w:rsidRPr="0064534F" w14:paraId="643274E7" w14:textId="77777777" w:rsidTr="0064534F">
        <w:trPr>
          <w:trHeight w:val="290"/>
          <w:jc w:val="center"/>
        </w:trPr>
        <w:tc>
          <w:tcPr>
            <w:tcW w:w="2373" w:type="dxa"/>
            <w:shd w:val="clear" w:color="auto" w:fill="auto"/>
            <w:noWrap/>
            <w:vAlign w:val="bottom"/>
            <w:hideMark/>
          </w:tcPr>
          <w:p w14:paraId="25E8FF6F" w14:textId="4E526360" w:rsidR="0064534F" w:rsidRPr="0064534F" w:rsidRDefault="00EC4496" w:rsidP="0064534F">
            <w:pPr>
              <w:rPr>
                <w:rFonts w:ascii="Calibri" w:eastAsia="Times New Roman" w:hAnsi="Calibri" w:cs="Calibri"/>
                <w:color w:val="000000"/>
              </w:rPr>
            </w:pPr>
            <w:r>
              <w:rPr>
                <w:rFonts w:ascii="Calibri" w:eastAsia="Times New Roman" w:hAnsi="Calibri" w:cs="Calibri"/>
                <w:color w:val="000000"/>
              </w:rPr>
              <w:t xml:space="preserve"> </w:t>
            </w:r>
            <w:r w:rsidR="0064534F" w:rsidRPr="0064534F">
              <w:rPr>
                <w:rFonts w:ascii="Calibri" w:eastAsia="Times New Roman" w:hAnsi="Calibri" w:cs="Calibri"/>
                <w:color w:val="000000"/>
              </w:rPr>
              <w:t>Surgery Cases</w:t>
            </w:r>
          </w:p>
        </w:tc>
        <w:tc>
          <w:tcPr>
            <w:tcW w:w="960" w:type="dxa"/>
            <w:shd w:val="clear" w:color="auto" w:fill="auto"/>
            <w:noWrap/>
            <w:vAlign w:val="bottom"/>
            <w:hideMark/>
          </w:tcPr>
          <w:p w14:paraId="5D112F30" w14:textId="77777777" w:rsidR="0064534F" w:rsidRPr="0064534F" w:rsidRDefault="0064534F" w:rsidP="0064534F">
            <w:pPr>
              <w:jc w:val="right"/>
              <w:rPr>
                <w:rFonts w:ascii="Calibri" w:eastAsia="Times New Roman" w:hAnsi="Calibri" w:cs="Calibri"/>
                <w:color w:val="000000"/>
              </w:rPr>
            </w:pPr>
            <w:r w:rsidRPr="0064534F">
              <w:rPr>
                <w:rFonts w:ascii="Calibri" w:eastAsia="Times New Roman" w:hAnsi="Calibri" w:cs="Calibri"/>
                <w:color w:val="000000"/>
              </w:rPr>
              <w:t>2,905</w:t>
            </w:r>
          </w:p>
        </w:tc>
        <w:tc>
          <w:tcPr>
            <w:tcW w:w="960" w:type="dxa"/>
            <w:shd w:val="clear" w:color="auto" w:fill="auto"/>
            <w:noWrap/>
            <w:vAlign w:val="bottom"/>
            <w:hideMark/>
          </w:tcPr>
          <w:p w14:paraId="774C37C0" w14:textId="77777777" w:rsidR="0064534F" w:rsidRPr="0064534F" w:rsidRDefault="0064534F" w:rsidP="0064534F">
            <w:pPr>
              <w:jc w:val="right"/>
              <w:rPr>
                <w:rFonts w:ascii="Calibri" w:eastAsia="Times New Roman" w:hAnsi="Calibri" w:cs="Calibri"/>
                <w:color w:val="000000"/>
              </w:rPr>
            </w:pPr>
            <w:r w:rsidRPr="0064534F">
              <w:rPr>
                <w:rFonts w:ascii="Calibri" w:eastAsia="Times New Roman" w:hAnsi="Calibri" w:cs="Calibri"/>
                <w:color w:val="000000"/>
              </w:rPr>
              <w:t>3,174</w:t>
            </w:r>
          </w:p>
        </w:tc>
        <w:tc>
          <w:tcPr>
            <w:tcW w:w="960" w:type="dxa"/>
            <w:shd w:val="clear" w:color="auto" w:fill="auto"/>
            <w:noWrap/>
            <w:vAlign w:val="bottom"/>
            <w:hideMark/>
          </w:tcPr>
          <w:p w14:paraId="4203AF7F" w14:textId="77777777" w:rsidR="0064534F" w:rsidRPr="0064534F" w:rsidRDefault="0064534F" w:rsidP="0064534F">
            <w:pPr>
              <w:jc w:val="right"/>
              <w:rPr>
                <w:rFonts w:ascii="Calibri" w:eastAsia="Times New Roman" w:hAnsi="Calibri" w:cs="Calibri"/>
                <w:color w:val="000000"/>
              </w:rPr>
            </w:pPr>
            <w:r w:rsidRPr="0064534F">
              <w:rPr>
                <w:rFonts w:ascii="Calibri" w:eastAsia="Times New Roman" w:hAnsi="Calibri" w:cs="Calibri"/>
                <w:color w:val="000000"/>
              </w:rPr>
              <w:t>3,635</w:t>
            </w:r>
          </w:p>
        </w:tc>
        <w:tc>
          <w:tcPr>
            <w:tcW w:w="960" w:type="dxa"/>
            <w:shd w:val="clear" w:color="auto" w:fill="auto"/>
            <w:noWrap/>
            <w:vAlign w:val="bottom"/>
            <w:hideMark/>
          </w:tcPr>
          <w:p w14:paraId="22706099" w14:textId="77777777" w:rsidR="0064534F" w:rsidRPr="0064534F" w:rsidRDefault="0064534F" w:rsidP="0064534F">
            <w:pPr>
              <w:jc w:val="right"/>
              <w:rPr>
                <w:rFonts w:ascii="Calibri" w:eastAsia="Times New Roman" w:hAnsi="Calibri" w:cs="Calibri"/>
                <w:color w:val="000000"/>
              </w:rPr>
            </w:pPr>
            <w:r w:rsidRPr="0064534F">
              <w:rPr>
                <w:rFonts w:ascii="Calibri" w:eastAsia="Times New Roman" w:hAnsi="Calibri" w:cs="Calibri"/>
                <w:color w:val="000000"/>
              </w:rPr>
              <w:t>4,096</w:t>
            </w:r>
          </w:p>
        </w:tc>
        <w:tc>
          <w:tcPr>
            <w:tcW w:w="960" w:type="dxa"/>
            <w:shd w:val="clear" w:color="auto" w:fill="auto"/>
            <w:noWrap/>
            <w:vAlign w:val="bottom"/>
            <w:hideMark/>
          </w:tcPr>
          <w:p w14:paraId="4C368FAB" w14:textId="77777777" w:rsidR="0064534F" w:rsidRPr="0064534F" w:rsidRDefault="0064534F" w:rsidP="0064534F">
            <w:pPr>
              <w:jc w:val="right"/>
              <w:rPr>
                <w:rFonts w:ascii="Calibri" w:eastAsia="Times New Roman" w:hAnsi="Calibri" w:cs="Calibri"/>
                <w:color w:val="000000"/>
              </w:rPr>
            </w:pPr>
            <w:r w:rsidRPr="0064534F">
              <w:rPr>
                <w:rFonts w:ascii="Calibri" w:eastAsia="Times New Roman" w:hAnsi="Calibri" w:cs="Calibri"/>
                <w:color w:val="000000"/>
              </w:rPr>
              <w:t>4,096</w:t>
            </w:r>
          </w:p>
        </w:tc>
      </w:tr>
    </w:tbl>
    <w:p w14:paraId="3A88E759" w14:textId="77777777" w:rsidR="0064534F" w:rsidRDefault="0064534F" w:rsidP="002C622A">
      <w:pPr>
        <w:rPr>
          <w:rFonts w:ascii="Calibri" w:eastAsia="Calibri" w:hAnsi="Calibri"/>
        </w:rPr>
      </w:pPr>
    </w:p>
    <w:p w14:paraId="7E7EC67A" w14:textId="671A5E92" w:rsidR="002C622A" w:rsidRPr="003967E5" w:rsidRDefault="002C622A" w:rsidP="003967E5">
      <w:pPr>
        <w:spacing w:after="240"/>
        <w:rPr>
          <w:rFonts w:ascii="Calibri" w:eastAsia="Calibri" w:hAnsi="Calibri"/>
          <w:b/>
          <w:bCs/>
          <w:i/>
          <w:iCs/>
          <w:lang w:val="en"/>
        </w:rPr>
      </w:pPr>
      <w:r w:rsidRPr="002C622A">
        <w:rPr>
          <w:rFonts w:ascii="Calibri" w:eastAsia="Calibri" w:hAnsi="Calibri"/>
          <w:b/>
          <w:bCs/>
          <w:i/>
          <w:iCs/>
          <w:lang w:val="en"/>
        </w:rPr>
        <w:t>Analysis</w:t>
      </w:r>
    </w:p>
    <w:p w14:paraId="0FD917F0" w14:textId="24E21279" w:rsidR="008E0FC6" w:rsidRDefault="002C622A" w:rsidP="003967E5">
      <w:pPr>
        <w:rPr>
          <w:rFonts w:ascii="Calibri" w:eastAsia="Calibri" w:hAnsi="Calibri"/>
          <w:lang w:val="en"/>
        </w:rPr>
      </w:pPr>
      <w:r w:rsidRPr="002C622A">
        <w:rPr>
          <w:rFonts w:ascii="Calibri" w:eastAsia="Calibri" w:hAnsi="Calibri"/>
          <w:lang w:val="en"/>
        </w:rPr>
        <w:t xml:space="preserve">The Applicant has </w:t>
      </w:r>
      <w:r w:rsidR="00876866">
        <w:rPr>
          <w:rFonts w:ascii="Calibri" w:eastAsia="Calibri" w:hAnsi="Calibri"/>
          <w:lang w:val="en"/>
        </w:rPr>
        <w:t>established that there is an</w:t>
      </w:r>
      <w:r w:rsidR="00C22D01">
        <w:rPr>
          <w:rFonts w:ascii="Calibri" w:eastAsia="Calibri" w:hAnsi="Calibri"/>
          <w:lang w:val="en"/>
        </w:rPr>
        <w:t xml:space="preserve"> </w:t>
      </w:r>
      <w:r w:rsidRPr="002C622A">
        <w:rPr>
          <w:rFonts w:ascii="Calibri" w:eastAsia="Calibri" w:hAnsi="Calibri"/>
          <w:lang w:val="en"/>
        </w:rPr>
        <w:t xml:space="preserve">ongoing need for children needing </w:t>
      </w:r>
      <w:r w:rsidR="00876866">
        <w:rPr>
          <w:rFonts w:ascii="Calibri" w:eastAsia="Calibri" w:hAnsi="Calibri"/>
          <w:lang w:val="en"/>
        </w:rPr>
        <w:t xml:space="preserve">access to </w:t>
      </w:r>
      <w:r w:rsidR="000E10E9">
        <w:rPr>
          <w:rFonts w:ascii="Calibri" w:eastAsia="Calibri" w:hAnsi="Calibri"/>
          <w:lang w:val="en"/>
        </w:rPr>
        <w:t xml:space="preserve">mental </w:t>
      </w:r>
      <w:r w:rsidR="00440274">
        <w:rPr>
          <w:rFonts w:ascii="Calibri" w:eastAsia="Calibri" w:hAnsi="Calibri"/>
          <w:lang w:val="en"/>
        </w:rPr>
        <w:t>health</w:t>
      </w:r>
      <w:r w:rsidR="00876866">
        <w:rPr>
          <w:rFonts w:ascii="Calibri" w:eastAsia="Calibri" w:hAnsi="Calibri"/>
          <w:lang w:val="en"/>
        </w:rPr>
        <w:t xml:space="preserve"> care</w:t>
      </w:r>
      <w:r w:rsidRPr="002C622A">
        <w:rPr>
          <w:rFonts w:ascii="Calibri" w:eastAsia="Calibri" w:hAnsi="Calibri"/>
          <w:lang w:val="en"/>
        </w:rPr>
        <w:t>, complex post-acute medical care, and for access to dental specialists trained to care for both of th</w:t>
      </w:r>
      <w:r w:rsidR="008E0FC6">
        <w:rPr>
          <w:rFonts w:ascii="Calibri" w:eastAsia="Calibri" w:hAnsi="Calibri"/>
          <w:lang w:val="en"/>
        </w:rPr>
        <w:t xml:space="preserve">e </w:t>
      </w:r>
      <w:r w:rsidR="0086684A">
        <w:rPr>
          <w:rFonts w:ascii="Calibri" w:eastAsia="Calibri" w:hAnsi="Calibri"/>
          <w:lang w:val="en"/>
        </w:rPr>
        <w:t xml:space="preserve">pediatric </w:t>
      </w:r>
      <w:r w:rsidRPr="002C622A">
        <w:rPr>
          <w:rFonts w:ascii="Calibri" w:eastAsia="Calibri" w:hAnsi="Calibri"/>
          <w:lang w:val="en"/>
        </w:rPr>
        <w:t>populations</w:t>
      </w:r>
      <w:r w:rsidR="008E0FC6">
        <w:rPr>
          <w:rFonts w:ascii="Calibri" w:eastAsia="Calibri" w:hAnsi="Calibri"/>
          <w:lang w:val="en"/>
        </w:rPr>
        <w:t xml:space="preserve"> it serves</w:t>
      </w:r>
      <w:r w:rsidRPr="002C622A">
        <w:rPr>
          <w:rFonts w:ascii="Calibri" w:eastAsia="Calibri" w:hAnsi="Calibri"/>
          <w:lang w:val="en"/>
        </w:rPr>
        <w:t xml:space="preserve">. </w:t>
      </w:r>
    </w:p>
    <w:p w14:paraId="18F94B58" w14:textId="77777777" w:rsidR="008E0FC6" w:rsidRDefault="008E0FC6" w:rsidP="003967E5">
      <w:pPr>
        <w:rPr>
          <w:rFonts w:ascii="Calibri" w:eastAsia="Calibri" w:hAnsi="Calibri"/>
          <w:lang w:val="en"/>
        </w:rPr>
      </w:pPr>
    </w:p>
    <w:p w14:paraId="60912D88" w14:textId="639CE65B" w:rsidR="002C622A" w:rsidRPr="00C717CE" w:rsidRDefault="31DC5013" w:rsidP="003967E5">
      <w:pPr>
        <w:rPr>
          <w:rFonts w:ascii="Calibri" w:eastAsia="Calibri" w:hAnsi="Calibri"/>
        </w:rPr>
      </w:pPr>
      <w:r w:rsidRPr="6F80FCDD">
        <w:rPr>
          <w:rFonts w:ascii="Calibri" w:eastAsia="Calibri" w:hAnsi="Calibri"/>
          <w:lang w:val="en"/>
        </w:rPr>
        <w:t>Throughout</w:t>
      </w:r>
      <w:r w:rsidR="0CDA4ADA" w:rsidRPr="6F80FCDD">
        <w:rPr>
          <w:rFonts w:ascii="Calibri" w:eastAsia="Calibri" w:hAnsi="Calibri"/>
          <w:lang w:val="en"/>
        </w:rPr>
        <w:t xml:space="preserve"> the </w:t>
      </w:r>
      <w:r w:rsidR="76903045" w:rsidRPr="6F80FCDD">
        <w:rPr>
          <w:rFonts w:ascii="Calibri" w:eastAsia="Calibri" w:hAnsi="Calibri"/>
          <w:lang w:val="en"/>
        </w:rPr>
        <w:t xml:space="preserve">recently </w:t>
      </w:r>
      <w:r w:rsidR="0CDA4ADA" w:rsidRPr="6F80FCDD">
        <w:rPr>
          <w:rFonts w:ascii="Calibri" w:eastAsia="Calibri" w:hAnsi="Calibri"/>
          <w:lang w:val="en"/>
        </w:rPr>
        <w:t>approved affiliation agreement</w:t>
      </w:r>
      <w:r w:rsidRPr="6F80FCDD">
        <w:rPr>
          <w:rFonts w:ascii="Calibri" w:eastAsia="Calibri" w:hAnsi="Calibri"/>
          <w:lang w:val="en"/>
        </w:rPr>
        <w:t xml:space="preserve">, the Applicant </w:t>
      </w:r>
      <w:r w:rsidR="76903045" w:rsidRPr="6F80FCDD">
        <w:rPr>
          <w:rFonts w:ascii="Calibri" w:eastAsia="Calibri" w:hAnsi="Calibri"/>
          <w:lang w:val="en"/>
        </w:rPr>
        <w:t>articulated</w:t>
      </w:r>
      <w:r w:rsidRPr="6F80FCDD">
        <w:rPr>
          <w:rFonts w:ascii="Calibri" w:eastAsia="Calibri" w:hAnsi="Calibri"/>
          <w:lang w:val="en"/>
        </w:rPr>
        <w:t xml:space="preserve"> its intent to provide needed</w:t>
      </w:r>
      <w:r w:rsidR="2C1AB6EB" w:rsidRPr="6F80FCDD">
        <w:rPr>
          <w:rFonts w:ascii="Calibri" w:eastAsia="Calibri" w:hAnsi="Calibri"/>
          <w:lang w:val="en"/>
        </w:rPr>
        <w:t xml:space="preserve"> </w:t>
      </w:r>
      <w:r w:rsidRPr="6F80FCDD">
        <w:rPr>
          <w:rFonts w:ascii="Calibri" w:eastAsia="Calibri" w:hAnsi="Calibri"/>
          <w:lang w:val="en"/>
        </w:rPr>
        <w:t>capital to improve and expand infrastructure</w:t>
      </w:r>
      <w:r w:rsidR="317C220C" w:rsidRPr="6F80FCDD">
        <w:rPr>
          <w:rFonts w:ascii="Calibri" w:eastAsia="Calibri" w:hAnsi="Calibri"/>
          <w:lang w:val="en"/>
        </w:rPr>
        <w:t xml:space="preserve"> and programming, to i</w:t>
      </w:r>
      <w:r w:rsidRPr="6F80FCDD">
        <w:rPr>
          <w:rFonts w:ascii="Calibri" w:eastAsia="Calibri" w:hAnsi="Calibri"/>
          <w:lang w:val="en"/>
        </w:rPr>
        <w:t xml:space="preserve">nvest in delivery system </w:t>
      </w:r>
      <w:r w:rsidR="76903045" w:rsidRPr="6F80FCDD">
        <w:rPr>
          <w:rFonts w:ascii="Calibri" w:eastAsia="Calibri" w:hAnsi="Calibri"/>
          <w:lang w:val="en"/>
        </w:rPr>
        <w:t>models</w:t>
      </w:r>
      <w:r w:rsidR="00D42CBC">
        <w:rPr>
          <w:rFonts w:ascii="Calibri" w:eastAsia="Calibri" w:hAnsi="Calibri"/>
          <w:lang w:val="en"/>
        </w:rPr>
        <w:t>,</w:t>
      </w:r>
      <w:r w:rsidR="76903045" w:rsidRPr="6F80FCDD">
        <w:rPr>
          <w:rFonts w:ascii="Calibri" w:eastAsia="Calibri" w:hAnsi="Calibri"/>
          <w:lang w:val="en"/>
        </w:rPr>
        <w:t xml:space="preserve"> and</w:t>
      </w:r>
      <w:r w:rsidR="00D42CBC">
        <w:rPr>
          <w:rFonts w:ascii="Calibri" w:eastAsia="Calibri" w:hAnsi="Calibri"/>
          <w:lang w:val="en"/>
        </w:rPr>
        <w:t xml:space="preserve"> in</w:t>
      </w:r>
      <w:r w:rsidR="76903045" w:rsidRPr="6F80FCDD">
        <w:rPr>
          <w:rFonts w:ascii="Calibri" w:eastAsia="Calibri" w:hAnsi="Calibri"/>
          <w:lang w:val="en"/>
        </w:rPr>
        <w:t xml:space="preserve"> </w:t>
      </w:r>
      <w:r w:rsidRPr="6F80FCDD">
        <w:rPr>
          <w:rFonts w:ascii="Calibri" w:eastAsia="Calibri" w:hAnsi="Calibri"/>
          <w:lang w:val="en"/>
        </w:rPr>
        <w:t xml:space="preserve">integration to better coordinate </w:t>
      </w:r>
      <w:r w:rsidR="317C220C" w:rsidRPr="6F80FCDD">
        <w:rPr>
          <w:rFonts w:ascii="Calibri" w:eastAsia="Calibri" w:hAnsi="Calibri"/>
          <w:lang w:val="en"/>
        </w:rPr>
        <w:t xml:space="preserve">care </w:t>
      </w:r>
      <w:r w:rsidRPr="6F80FCDD">
        <w:rPr>
          <w:rFonts w:ascii="Calibri" w:eastAsia="Calibri" w:hAnsi="Calibri"/>
          <w:lang w:val="en"/>
        </w:rPr>
        <w:t xml:space="preserve">delivery along the continuum </w:t>
      </w:r>
      <w:r w:rsidR="00D42CBC">
        <w:rPr>
          <w:rFonts w:ascii="Calibri" w:eastAsia="Calibri" w:hAnsi="Calibri"/>
          <w:lang w:val="en"/>
        </w:rPr>
        <w:t xml:space="preserve">so as </w:t>
      </w:r>
      <w:r w:rsidRPr="6F80FCDD">
        <w:rPr>
          <w:rFonts w:ascii="Calibri" w:eastAsia="Calibri" w:hAnsi="Calibri"/>
          <w:lang w:val="en"/>
        </w:rPr>
        <w:t xml:space="preserve">to better serve </w:t>
      </w:r>
      <w:r w:rsidR="317C220C" w:rsidRPr="6F80FCDD">
        <w:rPr>
          <w:rFonts w:ascii="Calibri" w:eastAsia="Calibri" w:hAnsi="Calibri"/>
          <w:lang w:val="en"/>
        </w:rPr>
        <w:t xml:space="preserve">and increase access for </w:t>
      </w:r>
      <w:r w:rsidRPr="6F80FCDD">
        <w:rPr>
          <w:rFonts w:ascii="Calibri" w:eastAsia="Calibri" w:hAnsi="Calibri"/>
          <w:lang w:val="en"/>
        </w:rPr>
        <w:t xml:space="preserve">their Patient Panel and the broader community. </w:t>
      </w:r>
      <w:r w:rsidR="0CDA4ADA" w:rsidRPr="6F80FCDD">
        <w:rPr>
          <w:rFonts w:ascii="Calibri" w:eastAsia="Calibri" w:hAnsi="Calibri"/>
          <w:lang w:val="en"/>
        </w:rPr>
        <w:t>This Proposed Project reflects that intent and demonstrates need for a new purpose-built replacement facility that allows for the co-location of programs</w:t>
      </w:r>
      <w:r w:rsidR="317C220C" w:rsidRPr="6F80FCDD">
        <w:rPr>
          <w:rFonts w:ascii="Calibri" w:eastAsia="Calibri" w:hAnsi="Calibri"/>
          <w:lang w:val="en"/>
        </w:rPr>
        <w:t xml:space="preserve"> through </w:t>
      </w:r>
      <w:r w:rsidR="005D10C9">
        <w:rPr>
          <w:rFonts w:ascii="Calibri" w:eastAsia="Calibri" w:hAnsi="Calibri"/>
          <w:lang w:val="en"/>
        </w:rPr>
        <w:t xml:space="preserve">the </w:t>
      </w:r>
      <w:r w:rsidR="317C220C" w:rsidRPr="6F80FCDD">
        <w:rPr>
          <w:rFonts w:ascii="Calibri" w:eastAsia="Calibri" w:hAnsi="Calibri"/>
          <w:lang w:val="en"/>
        </w:rPr>
        <w:lastRenderedPageBreak/>
        <w:t>consolidation of services</w:t>
      </w:r>
      <w:r w:rsidR="76903045" w:rsidRPr="6F80FCDD">
        <w:rPr>
          <w:rFonts w:ascii="Calibri" w:eastAsia="Calibri" w:hAnsi="Calibri"/>
          <w:lang w:val="en"/>
        </w:rPr>
        <w:t xml:space="preserve">, the </w:t>
      </w:r>
      <w:r w:rsidR="400B81CD" w:rsidRPr="6F80FCDD">
        <w:rPr>
          <w:rFonts w:ascii="Calibri" w:eastAsia="Calibri" w:hAnsi="Calibri"/>
          <w:lang w:val="en"/>
        </w:rPr>
        <w:t xml:space="preserve">transfer and </w:t>
      </w:r>
      <w:r w:rsidR="76903045" w:rsidRPr="6F80FCDD">
        <w:rPr>
          <w:rFonts w:ascii="Calibri" w:eastAsia="Calibri" w:hAnsi="Calibri"/>
          <w:lang w:val="en"/>
        </w:rPr>
        <w:t>reconfiguration</w:t>
      </w:r>
      <w:r w:rsidR="0CDA4ADA" w:rsidRPr="6F80FCDD">
        <w:rPr>
          <w:rFonts w:ascii="Calibri" w:eastAsia="Calibri" w:hAnsi="Calibri"/>
          <w:lang w:val="en"/>
        </w:rPr>
        <w:t xml:space="preserve"> of beds</w:t>
      </w:r>
      <w:r w:rsidR="2E15A8E1" w:rsidRPr="6F80FCDD">
        <w:rPr>
          <w:rFonts w:ascii="Calibri" w:eastAsia="Calibri" w:hAnsi="Calibri"/>
          <w:lang w:val="en"/>
        </w:rPr>
        <w:t xml:space="preserve">, </w:t>
      </w:r>
      <w:r w:rsidR="0CDA4ADA" w:rsidRPr="6F80FCDD">
        <w:rPr>
          <w:rFonts w:ascii="Calibri" w:eastAsia="Calibri" w:hAnsi="Calibri"/>
          <w:lang w:val="en"/>
        </w:rPr>
        <w:t xml:space="preserve">and </w:t>
      </w:r>
      <w:r w:rsidR="005D10C9">
        <w:rPr>
          <w:rFonts w:ascii="Calibri" w:eastAsia="Calibri" w:hAnsi="Calibri"/>
          <w:lang w:val="en"/>
        </w:rPr>
        <w:t>the addition of</w:t>
      </w:r>
      <w:r w:rsidR="0CDA4ADA" w:rsidRPr="6F80FCDD">
        <w:rPr>
          <w:rFonts w:ascii="Calibri" w:eastAsia="Calibri" w:hAnsi="Calibri"/>
          <w:lang w:val="en"/>
        </w:rPr>
        <w:t xml:space="preserve"> new programs including an 8-bed </w:t>
      </w:r>
      <w:r w:rsidR="76903045" w:rsidRPr="6F80FCDD">
        <w:rPr>
          <w:rFonts w:ascii="Calibri" w:eastAsia="Calibri" w:hAnsi="Calibri"/>
          <w:lang w:val="en"/>
        </w:rPr>
        <w:t xml:space="preserve">IDD </w:t>
      </w:r>
      <w:r w:rsidR="0CDA4ADA" w:rsidRPr="6F80FCDD">
        <w:rPr>
          <w:rFonts w:ascii="Calibri" w:eastAsia="Calibri" w:hAnsi="Calibri"/>
          <w:lang w:val="en"/>
        </w:rPr>
        <w:t xml:space="preserve">unit </w:t>
      </w:r>
      <w:r w:rsidR="006E7B80">
        <w:rPr>
          <w:rFonts w:ascii="Calibri" w:eastAsia="Calibri" w:hAnsi="Calibri"/>
          <w:lang w:val="en"/>
        </w:rPr>
        <w:t xml:space="preserve">with an </w:t>
      </w:r>
      <w:r w:rsidR="0CDA4ADA" w:rsidRPr="6F80FCDD">
        <w:rPr>
          <w:rFonts w:ascii="Calibri" w:eastAsia="Calibri" w:hAnsi="Calibri"/>
          <w:lang w:val="en"/>
        </w:rPr>
        <w:t xml:space="preserve">accompanying partial hospital program, and an intensive outpatient program </w:t>
      </w:r>
      <w:r w:rsidR="2E15A8E1" w:rsidRPr="6F80FCDD">
        <w:rPr>
          <w:rFonts w:ascii="Calibri" w:eastAsia="Calibri" w:hAnsi="Calibri"/>
          <w:lang w:val="en"/>
        </w:rPr>
        <w:t xml:space="preserve">to </w:t>
      </w:r>
      <w:r w:rsidR="76903045" w:rsidRPr="6F80FCDD">
        <w:rPr>
          <w:rFonts w:ascii="Calibri" w:eastAsia="Calibri" w:hAnsi="Calibri"/>
          <w:lang w:val="en"/>
        </w:rPr>
        <w:t xml:space="preserve">enable </w:t>
      </w:r>
      <w:r w:rsidR="0228D1E5" w:rsidRPr="6F80FCDD">
        <w:rPr>
          <w:rFonts w:ascii="Calibri" w:eastAsia="Calibri" w:hAnsi="Calibri"/>
        </w:rPr>
        <w:t>Franciscan</w:t>
      </w:r>
      <w:r w:rsidR="1CAE1EED" w:rsidRPr="6F80FCDD">
        <w:rPr>
          <w:rFonts w:ascii="Calibri" w:eastAsia="Calibri" w:hAnsi="Calibri"/>
        </w:rPr>
        <w:t xml:space="preserve"> </w:t>
      </w:r>
      <w:r w:rsidR="009075CD">
        <w:rPr>
          <w:rFonts w:ascii="Calibri" w:eastAsia="Calibri" w:hAnsi="Calibri"/>
        </w:rPr>
        <w:t xml:space="preserve">to </w:t>
      </w:r>
      <w:r w:rsidR="0069596C">
        <w:rPr>
          <w:rFonts w:ascii="Calibri" w:eastAsia="Calibri" w:hAnsi="Calibri"/>
        </w:rPr>
        <w:t>provide needed services more effectively</w:t>
      </w:r>
      <w:r w:rsidR="1CAE1EED" w:rsidRPr="6F80FCDD">
        <w:rPr>
          <w:rFonts w:ascii="Calibri" w:eastAsia="Calibri" w:hAnsi="Calibri"/>
        </w:rPr>
        <w:t xml:space="preserve"> </w:t>
      </w:r>
      <w:r w:rsidR="18976FA6" w:rsidRPr="6F80FCDD">
        <w:rPr>
          <w:rFonts w:ascii="Calibri" w:eastAsia="Calibri" w:hAnsi="Calibri"/>
        </w:rPr>
        <w:t xml:space="preserve">to the post-acute care </w:t>
      </w:r>
      <w:r w:rsidR="1CAE1EED" w:rsidRPr="6F80FCDD">
        <w:rPr>
          <w:rFonts w:ascii="Calibri" w:eastAsia="Calibri" w:hAnsi="Calibri"/>
        </w:rPr>
        <w:t>community</w:t>
      </w:r>
      <w:r w:rsidR="0069596C">
        <w:rPr>
          <w:rFonts w:ascii="Calibri" w:eastAsia="Calibri" w:hAnsi="Calibri"/>
        </w:rPr>
        <w:t xml:space="preserve">. </w:t>
      </w:r>
      <w:r w:rsidR="00D93964">
        <w:rPr>
          <w:rFonts w:ascii="Calibri" w:eastAsia="Calibri" w:hAnsi="Calibri"/>
        </w:rPr>
        <w:t xml:space="preserve">With the implementation of the Proposed Project, </w:t>
      </w:r>
      <w:r w:rsidR="006E2655">
        <w:rPr>
          <w:rFonts w:ascii="Calibri" w:eastAsia="Calibri" w:hAnsi="Calibri"/>
        </w:rPr>
        <w:t xml:space="preserve">while the project adds only four beds to its </w:t>
      </w:r>
      <w:r w:rsidR="000C3CAC">
        <w:rPr>
          <w:rFonts w:ascii="Calibri" w:eastAsia="Calibri" w:hAnsi="Calibri"/>
        </w:rPr>
        <w:t>license</w:t>
      </w:r>
      <w:r w:rsidR="006E2655">
        <w:rPr>
          <w:rFonts w:ascii="Calibri" w:eastAsia="Calibri" w:hAnsi="Calibri"/>
        </w:rPr>
        <w:t xml:space="preserve">, it will be </w:t>
      </w:r>
      <w:r w:rsidR="00ED17CF">
        <w:rPr>
          <w:rFonts w:ascii="Calibri" w:eastAsia="Calibri" w:hAnsi="Calibri"/>
        </w:rPr>
        <w:t>increasing its operational capa</w:t>
      </w:r>
      <w:r w:rsidR="006C3891">
        <w:rPr>
          <w:rFonts w:ascii="Calibri" w:eastAsia="Calibri" w:hAnsi="Calibri"/>
        </w:rPr>
        <w:t>city from 80 to 116 beds</w:t>
      </w:r>
      <w:r w:rsidR="000C3CAC">
        <w:rPr>
          <w:rFonts w:ascii="Calibri" w:eastAsia="Calibri" w:hAnsi="Calibri"/>
        </w:rPr>
        <w:t xml:space="preserve"> (</w:t>
      </w:r>
      <w:r w:rsidR="005D10C9">
        <w:rPr>
          <w:rFonts w:ascii="Calibri" w:eastAsia="Calibri" w:hAnsi="Calibri"/>
        </w:rPr>
        <w:t xml:space="preserve">by </w:t>
      </w:r>
      <w:r w:rsidR="000C3CAC">
        <w:rPr>
          <w:rFonts w:ascii="Calibri" w:eastAsia="Calibri" w:hAnsi="Calibri"/>
        </w:rPr>
        <w:t>36 beds or 45%</w:t>
      </w:r>
      <w:r w:rsidR="005D10C9">
        <w:rPr>
          <w:rFonts w:ascii="Calibri" w:eastAsia="Calibri" w:hAnsi="Calibri"/>
        </w:rPr>
        <w:t xml:space="preserve">- </w:t>
      </w:r>
      <w:r w:rsidR="0069596C">
        <w:rPr>
          <w:rFonts w:ascii="Calibri" w:eastAsia="Calibri" w:hAnsi="Calibri"/>
        </w:rPr>
        <w:t>See table 1).</w:t>
      </w:r>
      <w:r w:rsidR="00EE31D7">
        <w:rPr>
          <w:rFonts w:ascii="Calibri" w:eastAsia="Calibri" w:hAnsi="Calibri"/>
        </w:rPr>
        <w:t xml:space="preserve"> </w:t>
      </w:r>
    </w:p>
    <w:p w14:paraId="0AFB5AC6" w14:textId="54914821" w:rsidR="6F80FCDD" w:rsidRDefault="6F80FCDD" w:rsidP="6F80FCDD">
      <w:pPr>
        <w:rPr>
          <w:rFonts w:ascii="Calibri" w:eastAsia="Calibri" w:hAnsi="Calibri"/>
        </w:rPr>
      </w:pPr>
    </w:p>
    <w:p w14:paraId="50731063" w14:textId="2A7AD77B" w:rsidR="009A3EC6" w:rsidRPr="00310F27" w:rsidRDefault="0E0601DE" w:rsidP="009A3EC6">
      <w:pPr>
        <w:spacing w:after="240"/>
        <w:rPr>
          <w:rFonts w:ascii="Calibri" w:eastAsia="Calibri" w:hAnsi="Calibri" w:cs="Calibri"/>
        </w:rPr>
      </w:pPr>
      <w:r w:rsidRPr="003967E5">
        <w:rPr>
          <w:rFonts w:ascii="Calibri" w:eastAsia="Calibri" w:hAnsi="Calibri" w:cs="Calibri"/>
          <w:lang w:val="en"/>
        </w:rPr>
        <w:t xml:space="preserve">According to the Applicant, </w:t>
      </w:r>
      <w:r w:rsidR="6D359163" w:rsidRPr="003967E5">
        <w:rPr>
          <w:rFonts w:ascii="Calibri" w:eastAsia="Calibri" w:hAnsi="Calibri" w:cs="Calibri"/>
          <w:lang w:val="en"/>
        </w:rPr>
        <w:t xml:space="preserve">staffing shortfalls </w:t>
      </w:r>
      <w:r w:rsidR="7ECBB2B3" w:rsidRPr="003967E5">
        <w:rPr>
          <w:rFonts w:ascii="Calibri" w:eastAsia="Calibri" w:hAnsi="Calibri" w:cs="Calibri"/>
          <w:lang w:val="en"/>
        </w:rPr>
        <w:t>have</w:t>
      </w:r>
      <w:r w:rsidR="6D359163" w:rsidRPr="003967E5">
        <w:rPr>
          <w:rFonts w:ascii="Calibri" w:eastAsia="Calibri" w:hAnsi="Calibri" w:cs="Calibri"/>
          <w:lang w:val="en"/>
        </w:rPr>
        <w:t xml:space="preserve"> created challenges for Franciscan to optimize operations</w:t>
      </w:r>
      <w:r w:rsidR="50FFC8AA" w:rsidRPr="003967E5">
        <w:rPr>
          <w:rFonts w:ascii="Calibri" w:eastAsia="Calibri" w:hAnsi="Calibri" w:cs="Calibri"/>
          <w:lang w:val="en"/>
        </w:rPr>
        <w:t xml:space="preserve">. </w:t>
      </w:r>
      <w:r w:rsidR="6D359163" w:rsidRPr="003967E5">
        <w:rPr>
          <w:rFonts w:ascii="Calibri" w:eastAsia="Calibri" w:hAnsi="Calibri" w:cs="Calibri"/>
          <w:lang w:val="en"/>
        </w:rPr>
        <w:t xml:space="preserve"> </w:t>
      </w:r>
      <w:r w:rsidR="008C2781">
        <w:rPr>
          <w:rFonts w:ascii="Calibri" w:eastAsia="Calibri" w:hAnsi="Calibri" w:cs="Calibri"/>
          <w:lang w:val="en"/>
        </w:rPr>
        <w:t>S</w:t>
      </w:r>
      <w:r w:rsidR="2F848369" w:rsidRPr="003967E5">
        <w:rPr>
          <w:rFonts w:ascii="Calibri" w:eastAsia="Calibri" w:hAnsi="Calibri" w:cs="Calibri"/>
          <w:lang w:val="en"/>
        </w:rPr>
        <w:t xml:space="preserve">taff asked </w:t>
      </w:r>
      <w:r w:rsidR="6D359163" w:rsidRPr="003967E5">
        <w:rPr>
          <w:rFonts w:ascii="Calibri" w:eastAsia="Calibri" w:hAnsi="Calibri" w:cs="Calibri"/>
          <w:lang w:val="en"/>
        </w:rPr>
        <w:t>the Applicant</w:t>
      </w:r>
      <w:r w:rsidR="6E2CCDCC" w:rsidRPr="003967E5">
        <w:rPr>
          <w:rFonts w:ascii="Calibri" w:eastAsia="Calibri" w:hAnsi="Calibri" w:cs="Calibri"/>
          <w:lang w:val="en"/>
        </w:rPr>
        <w:t xml:space="preserve"> for additional detail </w:t>
      </w:r>
      <w:r w:rsidR="00D10C0B">
        <w:rPr>
          <w:rFonts w:ascii="Calibri" w:eastAsia="Calibri" w:hAnsi="Calibri" w:cs="Calibri"/>
          <w:lang w:val="en"/>
        </w:rPr>
        <w:t xml:space="preserve">on </w:t>
      </w:r>
      <w:r w:rsidR="6D359163" w:rsidRPr="003967E5">
        <w:rPr>
          <w:rFonts w:ascii="Calibri" w:eastAsia="Calibri" w:hAnsi="Calibri" w:cs="Calibri"/>
          <w:lang w:val="en"/>
        </w:rPr>
        <w:t>th</w:t>
      </w:r>
      <w:r w:rsidR="00E84A19">
        <w:rPr>
          <w:rFonts w:ascii="Calibri" w:eastAsia="Calibri" w:hAnsi="Calibri" w:cs="Calibri"/>
          <w:lang w:val="en"/>
        </w:rPr>
        <w:t xml:space="preserve">e </w:t>
      </w:r>
      <w:r w:rsidR="6D359163" w:rsidRPr="003967E5">
        <w:rPr>
          <w:rFonts w:ascii="Calibri" w:eastAsia="Calibri" w:hAnsi="Calibri" w:cs="Calibri"/>
          <w:lang w:val="en"/>
        </w:rPr>
        <w:t xml:space="preserve">staffing models that it believes will improve recruitment and retention to allow beds to remain staffed. While staffing is not inherently within DoN purview, the Applicant provided </w:t>
      </w:r>
      <w:r w:rsidR="00AD615F" w:rsidRPr="003967E5">
        <w:rPr>
          <w:rFonts w:ascii="Calibri" w:eastAsia="Calibri" w:hAnsi="Calibri" w:cs="Calibri"/>
          <w:lang w:val="en"/>
        </w:rPr>
        <w:t>additional</w:t>
      </w:r>
      <w:r w:rsidR="00214CA2">
        <w:rPr>
          <w:rFonts w:ascii="Calibri" w:eastAsia="Calibri" w:hAnsi="Calibri" w:cs="Calibri"/>
          <w:lang w:val="en"/>
        </w:rPr>
        <w:t xml:space="preserve"> details </w:t>
      </w:r>
      <w:r w:rsidR="6D359163" w:rsidRPr="003967E5">
        <w:rPr>
          <w:rFonts w:ascii="Calibri" w:eastAsia="Calibri" w:hAnsi="Calibri" w:cs="Calibri"/>
          <w:lang w:val="en"/>
        </w:rPr>
        <w:t xml:space="preserve">to explain how it will address the issue </w:t>
      </w:r>
      <w:r w:rsidR="6D359163" w:rsidRPr="003967E5">
        <w:rPr>
          <w:rFonts w:ascii="Calibri" w:eastAsia="Calibri" w:hAnsi="Calibri" w:cs="Calibri"/>
        </w:rPr>
        <w:t>given the ongoing staffing shortages for mental health providers.</w:t>
      </w:r>
      <w:r w:rsidR="00310F27">
        <w:rPr>
          <w:rStyle w:val="FootnoteReference"/>
          <w:rFonts w:ascii="Calibri" w:eastAsia="Calibri" w:hAnsi="Calibri" w:cs="Calibri"/>
        </w:rPr>
        <w:footnoteReference w:id="40"/>
      </w:r>
      <w:r w:rsidR="00310F27">
        <w:rPr>
          <w:rFonts w:ascii="Calibri" w:eastAsia="Calibri" w:hAnsi="Calibri" w:cs="Calibri"/>
        </w:rPr>
        <w:t xml:space="preserve"> </w:t>
      </w:r>
      <w:r w:rsidR="00AD615F">
        <w:rPr>
          <w:rFonts w:ascii="Calibri" w:eastAsia="Calibri" w:hAnsi="Calibri" w:cs="Calibri"/>
        </w:rPr>
        <w:t xml:space="preserve"> </w:t>
      </w:r>
      <w:r w:rsidR="00E0129D">
        <w:rPr>
          <w:rFonts w:ascii="Calibri" w:eastAsia="Calibri" w:hAnsi="Calibri" w:cs="Calibri"/>
        </w:rPr>
        <w:t xml:space="preserve">Benefits of these initiatives </w:t>
      </w:r>
      <w:r w:rsidR="00605277">
        <w:rPr>
          <w:rFonts w:ascii="Calibri" w:eastAsia="Calibri" w:hAnsi="Calibri" w:cs="Calibri"/>
        </w:rPr>
        <w:t xml:space="preserve">with co-located integrated programming includes staff support, training, </w:t>
      </w:r>
      <w:r w:rsidR="00773F09">
        <w:rPr>
          <w:rFonts w:ascii="Calibri" w:eastAsia="Calibri" w:hAnsi="Calibri" w:cs="Calibri"/>
        </w:rPr>
        <w:t xml:space="preserve">cross-coverage, and flexible assignments. </w:t>
      </w:r>
    </w:p>
    <w:p w14:paraId="35B06EEA" w14:textId="30CCF40F" w:rsidR="00F17F61" w:rsidRPr="0086684A" w:rsidRDefault="002C622A" w:rsidP="00CA722A">
      <w:pPr>
        <w:rPr>
          <w:rFonts w:ascii="Calibri" w:eastAsia="Calibri" w:hAnsi="Calibri"/>
          <w:lang w:val="en"/>
        </w:rPr>
      </w:pPr>
      <w:r w:rsidRPr="002C622A">
        <w:rPr>
          <w:rFonts w:ascii="Calibri" w:eastAsia="Calibri" w:hAnsi="Calibri"/>
          <w:lang w:val="en"/>
        </w:rPr>
        <w:t xml:space="preserve">As a result of information provided by the Applicant and with additional analysis, Staff finds the Applicant has met the requirements of Factor </w:t>
      </w:r>
      <w:r w:rsidRPr="194AD56F">
        <w:rPr>
          <w:rFonts w:ascii="Calibri" w:eastAsia="Calibri" w:hAnsi="Calibri"/>
          <w:lang w:val="en"/>
        </w:rPr>
        <w:t>1</w:t>
      </w:r>
      <w:r w:rsidR="4156B713" w:rsidRPr="194AD56F">
        <w:rPr>
          <w:rFonts w:ascii="Calibri" w:eastAsia="Calibri" w:hAnsi="Calibri"/>
          <w:lang w:val="en"/>
        </w:rPr>
        <w:t>(</w:t>
      </w:r>
      <w:r w:rsidRPr="194AD56F">
        <w:rPr>
          <w:rFonts w:ascii="Calibri" w:eastAsia="Calibri" w:hAnsi="Calibri"/>
          <w:lang w:val="en"/>
        </w:rPr>
        <w:t>a</w:t>
      </w:r>
      <w:r w:rsidRPr="002C622A">
        <w:rPr>
          <w:rFonts w:ascii="Calibri" w:eastAsia="Calibri" w:hAnsi="Calibri"/>
          <w:lang w:val="en"/>
        </w:rPr>
        <w:t>).</w:t>
      </w:r>
    </w:p>
    <w:p w14:paraId="516E9A32" w14:textId="50029C40" w:rsidR="00A43951" w:rsidRDefault="00A43951" w:rsidP="005A385E">
      <w:pPr>
        <w:pStyle w:val="Heading2"/>
        <w:spacing w:line="240" w:lineRule="auto"/>
        <w:rPr>
          <w:rFonts w:asciiTheme="minorHAnsi" w:hAnsiTheme="minorHAnsi" w:cstheme="minorHAnsi"/>
          <w:sz w:val="28"/>
          <w:szCs w:val="28"/>
        </w:rPr>
      </w:pPr>
      <w:bookmarkStart w:id="66" w:name="_Toc157428828"/>
      <w:bookmarkStart w:id="67" w:name="_Toc158218021"/>
      <w:r w:rsidRPr="005A385E">
        <w:rPr>
          <w:rFonts w:asciiTheme="minorHAnsi" w:hAnsiTheme="minorHAnsi" w:cstheme="minorHAnsi"/>
          <w:sz w:val="28"/>
          <w:szCs w:val="28"/>
        </w:rPr>
        <w:t xml:space="preserve">Factor 1: b) </w:t>
      </w:r>
      <w:r w:rsidR="004954E4" w:rsidRPr="005A385E">
        <w:rPr>
          <w:rFonts w:asciiTheme="minorHAnsi" w:hAnsiTheme="minorHAnsi" w:cstheme="minorHAnsi"/>
          <w:sz w:val="28"/>
          <w:szCs w:val="28"/>
        </w:rPr>
        <w:t>P</w:t>
      </w:r>
      <w:r w:rsidRPr="005A385E">
        <w:rPr>
          <w:rFonts w:asciiTheme="minorHAnsi" w:hAnsiTheme="minorHAnsi" w:cstheme="minorHAnsi"/>
          <w:sz w:val="28"/>
          <w:szCs w:val="28"/>
        </w:rPr>
        <w:t>ublic health value, improved health outcomes and quality of life; assurances of health equity</w:t>
      </w:r>
      <w:bookmarkEnd w:id="52"/>
      <w:bookmarkEnd w:id="66"/>
      <w:bookmarkEnd w:id="67"/>
    </w:p>
    <w:p w14:paraId="6728B545" w14:textId="77777777" w:rsidR="007B1DAB" w:rsidRPr="007B1DAB" w:rsidRDefault="007B1DAB" w:rsidP="007B1DAB"/>
    <w:p w14:paraId="69AE6155" w14:textId="72F06949" w:rsidR="00196BFC" w:rsidRDefault="00196BFC" w:rsidP="005A385E">
      <w:bookmarkStart w:id="68" w:name="_Toc17149377"/>
      <w:bookmarkStart w:id="69" w:name="_Toc17151181"/>
      <w:bookmarkEnd w:id="53"/>
      <w:bookmarkEnd w:id="54"/>
      <w:bookmarkEnd w:id="55"/>
      <w:bookmarkEnd w:id="56"/>
      <w:bookmarkEnd w:id="57"/>
      <w:r w:rsidRPr="005A385E">
        <w:t>In this section</w:t>
      </w:r>
      <w:r w:rsidR="00DE4CD3">
        <w:t xml:space="preserve"> the Applicant must demonstrate that </w:t>
      </w:r>
      <w:r w:rsidRPr="005A385E">
        <w:t xml:space="preserve">the Proposed Project adds measurable public health value in terms of improved health outcomes and quality of life </w:t>
      </w:r>
      <w:r w:rsidR="00052556" w:rsidRPr="005A385E">
        <w:t>for</w:t>
      </w:r>
      <w:r w:rsidRPr="005A385E">
        <w:t xml:space="preserve"> the Applicant’s existing patient panel, while providing reasonable assurances of health equity. </w:t>
      </w:r>
    </w:p>
    <w:p w14:paraId="437AD1AC" w14:textId="77777777" w:rsidR="00D172AB" w:rsidRDefault="00D172AB" w:rsidP="005A385E"/>
    <w:p w14:paraId="62ED00FA" w14:textId="5DFFDE72" w:rsidR="002B07D6" w:rsidRDefault="002B07D6" w:rsidP="002B07D6">
      <w:pPr>
        <w:contextualSpacing/>
        <w:rPr>
          <w:b/>
          <w:bCs/>
        </w:rPr>
      </w:pPr>
      <w:r w:rsidRPr="005A385E">
        <w:rPr>
          <w:b/>
          <w:bCs/>
        </w:rPr>
        <w:t>Public Health Value</w:t>
      </w:r>
      <w:r w:rsidR="005A385E" w:rsidRPr="005A385E">
        <w:rPr>
          <w:b/>
          <w:bCs/>
        </w:rPr>
        <w:t>-</w:t>
      </w:r>
      <w:r w:rsidRPr="005A385E">
        <w:rPr>
          <w:b/>
          <w:bCs/>
        </w:rPr>
        <w:t xml:space="preserve"> Health Outcomes, and Quality of Life</w:t>
      </w:r>
    </w:p>
    <w:p w14:paraId="3C05B553" w14:textId="77777777" w:rsidR="007B1DAB" w:rsidRDefault="007B1DAB" w:rsidP="002B07D6">
      <w:pPr>
        <w:contextualSpacing/>
        <w:rPr>
          <w:b/>
          <w:bCs/>
        </w:rPr>
      </w:pPr>
    </w:p>
    <w:p w14:paraId="5E72B792" w14:textId="5B942F71" w:rsidR="007B1DAB" w:rsidRDefault="007B1DAB" w:rsidP="007B1DAB">
      <w:pPr>
        <w:pStyle w:val="RBNBasicNoSpace"/>
        <w:rPr>
          <w:rFonts w:eastAsia="Times New Roman"/>
        </w:rPr>
      </w:pPr>
      <w:r w:rsidRPr="00D14DFE">
        <w:rPr>
          <w:rFonts w:eastAsia="Times New Roman"/>
        </w:rPr>
        <w:t xml:space="preserve">The Applicant reports that </w:t>
      </w:r>
      <w:r>
        <w:rPr>
          <w:szCs w:val="24"/>
        </w:rPr>
        <w:t>t</w:t>
      </w:r>
      <w:r w:rsidRPr="00D14DFE">
        <w:rPr>
          <w:szCs w:val="24"/>
        </w:rPr>
        <w:t xml:space="preserve">he </w:t>
      </w:r>
      <w:r w:rsidR="00F9108E">
        <w:rPr>
          <w:szCs w:val="24"/>
        </w:rPr>
        <w:t xml:space="preserve">Proposed Project </w:t>
      </w:r>
      <w:r w:rsidRPr="00D14DFE">
        <w:rPr>
          <w:szCs w:val="24"/>
        </w:rPr>
        <w:t xml:space="preserve">will build on </w:t>
      </w:r>
      <w:r w:rsidR="00505210">
        <w:rPr>
          <w:szCs w:val="24"/>
        </w:rPr>
        <w:t>Franciscan</w:t>
      </w:r>
      <w:r w:rsidRPr="00D14DFE">
        <w:rPr>
          <w:szCs w:val="24"/>
        </w:rPr>
        <w:t xml:space="preserve">’s expertise </w:t>
      </w:r>
      <w:r>
        <w:rPr>
          <w:szCs w:val="24"/>
        </w:rPr>
        <w:t xml:space="preserve">and </w:t>
      </w:r>
      <w:r w:rsidRPr="00D14DFE">
        <w:rPr>
          <w:szCs w:val="24"/>
        </w:rPr>
        <w:t xml:space="preserve">the decades of collaboration between </w:t>
      </w:r>
      <w:r w:rsidR="00505210">
        <w:rPr>
          <w:szCs w:val="24"/>
        </w:rPr>
        <w:t>Franciscan</w:t>
      </w:r>
      <w:r w:rsidRPr="00D14DFE">
        <w:rPr>
          <w:szCs w:val="24"/>
        </w:rPr>
        <w:t xml:space="preserve"> and BCH in the treatment of children with </w:t>
      </w:r>
      <w:r w:rsidR="00F9108E">
        <w:rPr>
          <w:szCs w:val="24"/>
        </w:rPr>
        <w:t xml:space="preserve">psychiatric and </w:t>
      </w:r>
      <w:r w:rsidRPr="00D14DFE">
        <w:rPr>
          <w:szCs w:val="24"/>
        </w:rPr>
        <w:t>complex medical needs</w:t>
      </w:r>
      <w:r>
        <w:rPr>
          <w:szCs w:val="24"/>
        </w:rPr>
        <w:t xml:space="preserve"> which will lead to improved health outcomes and quality of life</w:t>
      </w:r>
      <w:r w:rsidR="00944366">
        <w:rPr>
          <w:szCs w:val="24"/>
        </w:rPr>
        <w:t>.</w:t>
      </w:r>
      <w:r>
        <w:rPr>
          <w:rFonts w:eastAsia="Times New Roman"/>
        </w:rPr>
        <w:t xml:space="preserve"> </w:t>
      </w:r>
      <w:r w:rsidR="00D2571A">
        <w:rPr>
          <w:rFonts w:eastAsia="Times New Roman"/>
        </w:rPr>
        <w:t>The barriers that b</w:t>
      </w:r>
      <w:r w:rsidRPr="00D14DFE">
        <w:rPr>
          <w:rFonts w:eastAsia="Times New Roman"/>
        </w:rPr>
        <w:t xml:space="preserve">oth BCH and </w:t>
      </w:r>
      <w:r w:rsidR="00505210">
        <w:rPr>
          <w:rFonts w:eastAsia="Times New Roman"/>
        </w:rPr>
        <w:t>Franciscan</w:t>
      </w:r>
      <w:r w:rsidRPr="00D14DFE">
        <w:rPr>
          <w:rFonts w:eastAsia="Times New Roman"/>
        </w:rPr>
        <w:t xml:space="preserve"> have experienced </w:t>
      </w:r>
      <w:r w:rsidR="009D6B94">
        <w:rPr>
          <w:rFonts w:eastAsia="Times New Roman"/>
        </w:rPr>
        <w:t xml:space="preserve">in </w:t>
      </w:r>
      <w:r w:rsidRPr="00D14DFE">
        <w:rPr>
          <w:rFonts w:eastAsia="Times New Roman"/>
        </w:rPr>
        <w:t xml:space="preserve">achieving their joint commitment to expanding access to timely and cost-effective pediatric </w:t>
      </w:r>
      <w:r w:rsidR="000E10E9">
        <w:rPr>
          <w:rFonts w:eastAsia="Times New Roman"/>
        </w:rPr>
        <w:t xml:space="preserve">mental </w:t>
      </w:r>
      <w:r w:rsidR="00440274">
        <w:rPr>
          <w:rFonts w:eastAsia="Times New Roman"/>
        </w:rPr>
        <w:t>health</w:t>
      </w:r>
      <w:r w:rsidRPr="00D14DFE">
        <w:rPr>
          <w:rFonts w:eastAsia="Times New Roman"/>
        </w:rPr>
        <w:t xml:space="preserve">, </w:t>
      </w:r>
      <w:r w:rsidR="009D6B94">
        <w:rPr>
          <w:rFonts w:eastAsia="Times New Roman"/>
        </w:rPr>
        <w:t xml:space="preserve">complex </w:t>
      </w:r>
      <w:r w:rsidRPr="00D14DFE">
        <w:rPr>
          <w:rFonts w:eastAsia="Times New Roman"/>
        </w:rPr>
        <w:t>rehabilitative, and dental care</w:t>
      </w:r>
      <w:r w:rsidR="00D2571A">
        <w:rPr>
          <w:rFonts w:eastAsia="Times New Roman"/>
        </w:rPr>
        <w:t xml:space="preserve"> will be addressed and alleviated through </w:t>
      </w:r>
      <w:r w:rsidR="008850E3">
        <w:rPr>
          <w:rFonts w:eastAsia="Times New Roman"/>
        </w:rPr>
        <w:t>such</w:t>
      </w:r>
      <w:r w:rsidR="00D2571A">
        <w:rPr>
          <w:rFonts w:eastAsia="Times New Roman"/>
        </w:rPr>
        <w:t xml:space="preserve"> measure</w:t>
      </w:r>
      <w:r w:rsidR="008850E3">
        <w:rPr>
          <w:rFonts w:eastAsia="Times New Roman"/>
        </w:rPr>
        <w:t>s</w:t>
      </w:r>
      <w:r w:rsidR="00D2571A">
        <w:rPr>
          <w:rFonts w:eastAsia="Times New Roman"/>
        </w:rPr>
        <w:t xml:space="preserve"> described below.</w:t>
      </w:r>
    </w:p>
    <w:p w14:paraId="71F95425" w14:textId="77777777" w:rsidR="007B1DAB" w:rsidRDefault="007B1DAB" w:rsidP="007B1DAB">
      <w:pPr>
        <w:pStyle w:val="RBNBasicNoSpace"/>
        <w:rPr>
          <w:rFonts w:eastAsia="Times New Roman"/>
        </w:rPr>
      </w:pPr>
    </w:p>
    <w:p w14:paraId="133BB849" w14:textId="4D692A50" w:rsidR="00206636" w:rsidRPr="003B0C26" w:rsidRDefault="00206636" w:rsidP="007F1D38">
      <w:pPr>
        <w:pStyle w:val="RBNBasicNoSpace"/>
        <w:numPr>
          <w:ilvl w:val="0"/>
          <w:numId w:val="20"/>
        </w:numPr>
        <w:rPr>
          <w:rFonts w:eastAsia="Times New Roman"/>
        </w:rPr>
      </w:pPr>
      <w:r w:rsidRPr="00D172AB">
        <w:rPr>
          <w:rFonts w:eastAsia="Times New Roman"/>
        </w:rPr>
        <w:t xml:space="preserve">The significant investment in existing facilities and infrastructure </w:t>
      </w:r>
      <w:r>
        <w:rPr>
          <w:rFonts w:eastAsia="Times New Roman"/>
        </w:rPr>
        <w:t xml:space="preserve">will improve </w:t>
      </w:r>
      <w:r w:rsidRPr="00D172AB">
        <w:rPr>
          <w:rFonts w:eastAsia="Times New Roman"/>
        </w:rPr>
        <w:t xml:space="preserve">the specialized </w:t>
      </w:r>
      <w:r w:rsidR="009D6B94">
        <w:rPr>
          <w:rFonts w:eastAsia="Times New Roman"/>
        </w:rPr>
        <w:t xml:space="preserve">inpatient and out-patient care </w:t>
      </w:r>
      <w:r w:rsidRPr="00D172AB">
        <w:rPr>
          <w:rFonts w:eastAsia="Times New Roman"/>
        </w:rPr>
        <w:t xml:space="preserve">provided by Franciscan </w:t>
      </w:r>
      <w:r w:rsidR="009D6B94">
        <w:rPr>
          <w:rFonts w:eastAsia="Times New Roman"/>
        </w:rPr>
        <w:t xml:space="preserve">while </w:t>
      </w:r>
      <w:r w:rsidRPr="00D172AB">
        <w:rPr>
          <w:rFonts w:eastAsia="Times New Roman"/>
        </w:rPr>
        <w:t>allow</w:t>
      </w:r>
      <w:r w:rsidR="009D6B94">
        <w:rPr>
          <w:rFonts w:eastAsia="Times New Roman"/>
        </w:rPr>
        <w:t>ing</w:t>
      </w:r>
      <w:r w:rsidRPr="00D172AB">
        <w:rPr>
          <w:rFonts w:eastAsia="Times New Roman"/>
        </w:rPr>
        <w:t xml:space="preserve"> Franciscan to </w:t>
      </w:r>
      <w:r w:rsidRPr="00D172AB">
        <w:rPr>
          <w:szCs w:val="24"/>
        </w:rPr>
        <w:t xml:space="preserve">expand its </w:t>
      </w:r>
      <w:r w:rsidR="009D6B94">
        <w:rPr>
          <w:szCs w:val="24"/>
        </w:rPr>
        <w:t>programming</w:t>
      </w:r>
      <w:r w:rsidRPr="00D172AB">
        <w:rPr>
          <w:szCs w:val="24"/>
        </w:rPr>
        <w:t xml:space="preserve">, thereby increasing access to state-of-the-art care for </w:t>
      </w:r>
      <w:r w:rsidR="009D6B94">
        <w:rPr>
          <w:szCs w:val="24"/>
        </w:rPr>
        <w:t xml:space="preserve">more children </w:t>
      </w:r>
      <w:r w:rsidRPr="00D172AB">
        <w:rPr>
          <w:szCs w:val="24"/>
        </w:rPr>
        <w:t>from health systems across the region, while enabling shorter wait times for Franciscan’s dental surgery and mental health services</w:t>
      </w:r>
      <w:r w:rsidR="009D6B94">
        <w:rPr>
          <w:szCs w:val="24"/>
        </w:rPr>
        <w:t xml:space="preserve">. </w:t>
      </w:r>
    </w:p>
    <w:p w14:paraId="051E162B" w14:textId="43FDFA7C" w:rsidR="007B1DAB" w:rsidRPr="00D14DFE" w:rsidRDefault="007B1DAB" w:rsidP="007F1D38">
      <w:pPr>
        <w:pStyle w:val="RBNBasicNoSpace"/>
        <w:numPr>
          <w:ilvl w:val="0"/>
          <w:numId w:val="20"/>
        </w:numPr>
        <w:rPr>
          <w:rFonts w:eastAsia="Times New Roman"/>
        </w:rPr>
      </w:pPr>
      <w:r>
        <w:rPr>
          <w:rFonts w:eastAsia="Times New Roman"/>
        </w:rPr>
        <w:t>S</w:t>
      </w:r>
      <w:r w:rsidRPr="00D14DFE">
        <w:rPr>
          <w:rFonts w:eastAsia="Times New Roman"/>
        </w:rPr>
        <w:t xml:space="preserve">taffing </w:t>
      </w:r>
      <w:r w:rsidR="009D6B94">
        <w:rPr>
          <w:rFonts w:eastAsia="Times New Roman"/>
        </w:rPr>
        <w:t>Model</w:t>
      </w:r>
      <w:r w:rsidRPr="00D14DFE">
        <w:rPr>
          <w:rFonts w:eastAsia="Times New Roman"/>
        </w:rPr>
        <w:t>s</w:t>
      </w:r>
      <w:r w:rsidR="00604F57">
        <w:rPr>
          <w:rFonts w:eastAsia="Times New Roman"/>
        </w:rPr>
        <w:t>:</w:t>
      </w:r>
      <w:r w:rsidR="00D172AB">
        <w:rPr>
          <w:rFonts w:eastAsia="Times New Roman"/>
        </w:rPr>
        <w:t xml:space="preserve"> </w:t>
      </w:r>
      <w:r w:rsidR="00D2571A">
        <w:rPr>
          <w:rFonts w:eastAsia="Times New Roman"/>
        </w:rPr>
        <w:t>the Applicant</w:t>
      </w:r>
      <w:r w:rsidR="00153163">
        <w:rPr>
          <w:rFonts w:eastAsia="Times New Roman"/>
        </w:rPr>
        <w:t>’s</w:t>
      </w:r>
      <w:r w:rsidR="00D2571A">
        <w:rPr>
          <w:rFonts w:eastAsia="Times New Roman"/>
        </w:rPr>
        <w:t xml:space="preserve"> staffing models </w:t>
      </w:r>
      <w:r w:rsidR="00153163">
        <w:rPr>
          <w:rFonts w:eastAsia="Times New Roman"/>
        </w:rPr>
        <w:t xml:space="preserve">that include </w:t>
      </w:r>
      <w:r w:rsidR="009D6B94" w:rsidRPr="00D14DFE">
        <w:rPr>
          <w:rFonts w:eastAsia="Times New Roman"/>
        </w:rPr>
        <w:t>improv</w:t>
      </w:r>
      <w:r w:rsidR="009D6B94">
        <w:rPr>
          <w:rFonts w:eastAsia="Times New Roman"/>
        </w:rPr>
        <w:t>ements</w:t>
      </w:r>
      <w:r w:rsidRPr="00D14DFE">
        <w:rPr>
          <w:rFonts w:eastAsia="Times New Roman"/>
        </w:rPr>
        <w:t xml:space="preserve"> </w:t>
      </w:r>
      <w:r w:rsidR="00D2571A">
        <w:rPr>
          <w:rFonts w:eastAsia="Times New Roman"/>
        </w:rPr>
        <w:t>and expan</w:t>
      </w:r>
      <w:r w:rsidR="009D6B94">
        <w:rPr>
          <w:rFonts w:eastAsia="Times New Roman"/>
        </w:rPr>
        <w:t>sion of</w:t>
      </w:r>
      <w:r w:rsidR="00D2571A">
        <w:rPr>
          <w:rFonts w:eastAsia="Times New Roman"/>
        </w:rPr>
        <w:t xml:space="preserve"> </w:t>
      </w:r>
      <w:r w:rsidR="00562DF7">
        <w:rPr>
          <w:rFonts w:eastAsia="Times New Roman"/>
        </w:rPr>
        <w:t xml:space="preserve">professional development and </w:t>
      </w:r>
      <w:r w:rsidR="00EF513A">
        <w:rPr>
          <w:rFonts w:eastAsia="Times New Roman"/>
        </w:rPr>
        <w:t>training, flexible</w:t>
      </w:r>
      <w:r w:rsidR="00153163">
        <w:rPr>
          <w:rFonts w:eastAsia="Times New Roman"/>
        </w:rPr>
        <w:t xml:space="preserve"> </w:t>
      </w:r>
      <w:r w:rsidR="009D6B94">
        <w:rPr>
          <w:rFonts w:eastAsia="Times New Roman"/>
        </w:rPr>
        <w:t>assignment</w:t>
      </w:r>
      <w:r w:rsidR="00D2571A">
        <w:rPr>
          <w:rFonts w:eastAsia="Times New Roman"/>
        </w:rPr>
        <w:t>s</w:t>
      </w:r>
      <w:r w:rsidRPr="00D14DFE">
        <w:rPr>
          <w:rFonts w:eastAsia="Times New Roman"/>
        </w:rPr>
        <w:t xml:space="preserve">, </w:t>
      </w:r>
      <w:r w:rsidR="00D2571A">
        <w:rPr>
          <w:rFonts w:eastAsia="Times New Roman"/>
        </w:rPr>
        <w:t>and</w:t>
      </w:r>
      <w:r w:rsidR="00D172AB">
        <w:rPr>
          <w:rFonts w:eastAsia="Times New Roman"/>
        </w:rPr>
        <w:t xml:space="preserve"> </w:t>
      </w:r>
      <w:r w:rsidR="00562DF7">
        <w:rPr>
          <w:rFonts w:eastAsia="Times New Roman"/>
        </w:rPr>
        <w:t xml:space="preserve">the </w:t>
      </w:r>
      <w:r w:rsidRPr="00D14DFE">
        <w:rPr>
          <w:szCs w:val="24"/>
        </w:rPr>
        <w:t>establish</w:t>
      </w:r>
      <w:r w:rsidR="009D6B94">
        <w:rPr>
          <w:szCs w:val="24"/>
        </w:rPr>
        <w:t xml:space="preserve">ment of </w:t>
      </w:r>
      <w:r w:rsidRPr="00D14DFE">
        <w:rPr>
          <w:szCs w:val="24"/>
        </w:rPr>
        <w:t xml:space="preserve">an integrated network of </w:t>
      </w:r>
      <w:r w:rsidR="000E10E9">
        <w:rPr>
          <w:szCs w:val="24"/>
        </w:rPr>
        <w:t xml:space="preserve">mental </w:t>
      </w:r>
      <w:r w:rsidR="00440274">
        <w:rPr>
          <w:szCs w:val="24"/>
        </w:rPr>
        <w:t>health</w:t>
      </w:r>
      <w:r w:rsidRPr="00D14DFE">
        <w:rPr>
          <w:szCs w:val="24"/>
        </w:rPr>
        <w:t xml:space="preserve"> providers</w:t>
      </w:r>
      <w:r>
        <w:rPr>
          <w:szCs w:val="24"/>
        </w:rPr>
        <w:t>.</w:t>
      </w:r>
      <w:r w:rsidR="00D2571A">
        <w:rPr>
          <w:szCs w:val="24"/>
        </w:rPr>
        <w:t xml:space="preserve"> These are expected </w:t>
      </w:r>
      <w:r w:rsidR="00562DF7">
        <w:rPr>
          <w:szCs w:val="24"/>
        </w:rPr>
        <w:t>to improve</w:t>
      </w:r>
      <w:r w:rsidR="00D2571A">
        <w:rPr>
          <w:szCs w:val="24"/>
        </w:rPr>
        <w:t xml:space="preserve"> staff satisfaction</w:t>
      </w:r>
      <w:r w:rsidR="009D6B94">
        <w:rPr>
          <w:szCs w:val="24"/>
        </w:rPr>
        <w:t xml:space="preserve"> and retention</w:t>
      </w:r>
      <w:r w:rsidR="00D2571A">
        <w:rPr>
          <w:szCs w:val="24"/>
        </w:rPr>
        <w:t xml:space="preserve"> and </w:t>
      </w:r>
      <w:r w:rsidR="00562DF7">
        <w:rPr>
          <w:szCs w:val="24"/>
        </w:rPr>
        <w:t xml:space="preserve">positively </w:t>
      </w:r>
      <w:proofErr w:type="gramStart"/>
      <w:r w:rsidR="00562DF7">
        <w:rPr>
          <w:szCs w:val="24"/>
        </w:rPr>
        <w:t>impact</w:t>
      </w:r>
      <w:proofErr w:type="gramEnd"/>
      <w:r w:rsidR="00562DF7">
        <w:rPr>
          <w:szCs w:val="24"/>
        </w:rPr>
        <w:t xml:space="preserve"> </w:t>
      </w:r>
      <w:r w:rsidR="00EF513A">
        <w:rPr>
          <w:szCs w:val="24"/>
        </w:rPr>
        <w:t xml:space="preserve">quality of </w:t>
      </w:r>
      <w:r w:rsidR="00D2571A">
        <w:rPr>
          <w:szCs w:val="24"/>
        </w:rPr>
        <w:t>patient care.</w:t>
      </w:r>
    </w:p>
    <w:p w14:paraId="3965BC02" w14:textId="049A9F4C" w:rsidR="007B1DAB" w:rsidRPr="003B0C26" w:rsidRDefault="00562DF7" w:rsidP="007F1D38">
      <w:pPr>
        <w:pStyle w:val="RBNBasicNoSpace"/>
        <w:numPr>
          <w:ilvl w:val="0"/>
          <w:numId w:val="20"/>
        </w:numPr>
        <w:rPr>
          <w:rFonts w:eastAsia="Times New Roman"/>
        </w:rPr>
      </w:pPr>
      <w:r>
        <w:rPr>
          <w:rFonts w:eastAsia="Times New Roman"/>
        </w:rPr>
        <w:t>C</w:t>
      </w:r>
      <w:r w:rsidR="007B1DAB" w:rsidRPr="00034C93">
        <w:rPr>
          <w:rFonts w:eastAsia="Times New Roman"/>
        </w:rPr>
        <w:t>oordination of care across the continuum</w:t>
      </w:r>
      <w:r w:rsidR="674FE552" w:rsidRPr="0CC1880E">
        <w:rPr>
          <w:rFonts w:eastAsia="Times New Roman"/>
        </w:rPr>
        <w:t>:</w:t>
      </w:r>
      <w:r w:rsidR="00D172AB">
        <w:rPr>
          <w:rFonts w:eastAsia="Times New Roman"/>
        </w:rPr>
        <w:t xml:space="preserve"> </w:t>
      </w:r>
      <w:r w:rsidR="00206636">
        <w:rPr>
          <w:rFonts w:eastAsia="Times New Roman"/>
        </w:rPr>
        <w:t xml:space="preserve">The Applicant outlined its intent to develop a triage system with a single point of entry </w:t>
      </w:r>
      <w:r>
        <w:rPr>
          <w:rFonts w:eastAsia="Times New Roman"/>
        </w:rPr>
        <w:t>to</w:t>
      </w:r>
      <w:r w:rsidR="00206636">
        <w:rPr>
          <w:rFonts w:eastAsia="Times New Roman"/>
        </w:rPr>
        <w:t xml:space="preserve"> </w:t>
      </w:r>
      <w:r w:rsidR="007B1DAB" w:rsidRPr="00D14DFE">
        <w:rPr>
          <w:rFonts w:eastAsia="Times New Roman"/>
        </w:rPr>
        <w:t xml:space="preserve">provide </w:t>
      </w:r>
      <w:r w:rsidR="007B1DAB">
        <w:rPr>
          <w:rFonts w:eastAsia="Times New Roman"/>
        </w:rPr>
        <w:t xml:space="preserve">better </w:t>
      </w:r>
      <w:r w:rsidR="007B1DAB" w:rsidRPr="00D14DFE">
        <w:rPr>
          <w:rFonts w:eastAsia="Times New Roman"/>
        </w:rPr>
        <w:t>coordinated care</w:t>
      </w:r>
      <w:r w:rsidR="007B1DAB">
        <w:rPr>
          <w:rFonts w:eastAsia="Times New Roman"/>
        </w:rPr>
        <w:t xml:space="preserve"> </w:t>
      </w:r>
      <w:r w:rsidR="00206636">
        <w:rPr>
          <w:rFonts w:eastAsia="Times New Roman"/>
        </w:rPr>
        <w:t>in the appropriate program along the continuum</w:t>
      </w:r>
      <w:r w:rsidR="00EF513A">
        <w:rPr>
          <w:rFonts w:eastAsia="Times New Roman"/>
        </w:rPr>
        <w:t xml:space="preserve"> that </w:t>
      </w:r>
      <w:r>
        <w:rPr>
          <w:rFonts w:eastAsia="Times New Roman"/>
        </w:rPr>
        <w:t xml:space="preserve">will help children and their </w:t>
      </w:r>
      <w:r w:rsidR="003B0C26">
        <w:rPr>
          <w:rFonts w:eastAsia="Times New Roman"/>
        </w:rPr>
        <w:t>families navigate</w:t>
      </w:r>
      <w:r>
        <w:rPr>
          <w:rFonts w:eastAsia="Times New Roman"/>
        </w:rPr>
        <w:t xml:space="preserve"> the system. </w:t>
      </w:r>
      <w:r w:rsidR="00EF513A">
        <w:rPr>
          <w:rFonts w:eastAsia="Times New Roman"/>
        </w:rPr>
        <w:t xml:space="preserve">Further, </w:t>
      </w:r>
      <w:r w:rsidR="00206636">
        <w:rPr>
          <w:rFonts w:eastAsia="Times New Roman"/>
        </w:rPr>
        <w:t xml:space="preserve">with </w:t>
      </w:r>
      <w:r w:rsidR="007B1DAB">
        <w:t xml:space="preserve">subspecialists </w:t>
      </w:r>
      <w:r w:rsidR="00206636">
        <w:t>co</w:t>
      </w:r>
      <w:r w:rsidR="00153163">
        <w:t>-</w:t>
      </w:r>
      <w:r w:rsidR="00206636">
        <w:t>l</w:t>
      </w:r>
      <w:r w:rsidR="00153163">
        <w:t>oc</w:t>
      </w:r>
      <w:r w:rsidR="00206636">
        <w:t xml:space="preserve">ated </w:t>
      </w:r>
      <w:r w:rsidR="007B1DAB">
        <w:t xml:space="preserve">on </w:t>
      </w:r>
      <w:r w:rsidR="00206636">
        <w:t>one</w:t>
      </w:r>
      <w:r w:rsidR="007B1DAB">
        <w:t xml:space="preserve"> campus</w:t>
      </w:r>
      <w:r w:rsidR="00206636">
        <w:t xml:space="preserve">, </w:t>
      </w:r>
      <w:proofErr w:type="gramStart"/>
      <w:r w:rsidR="00940EB8">
        <w:t>consultations</w:t>
      </w:r>
      <w:proofErr w:type="gramEnd"/>
      <w:r w:rsidR="00206636">
        <w:t xml:space="preserve"> and transitions to other levels of care will improve.</w:t>
      </w:r>
      <w:r w:rsidR="00D172AB">
        <w:t xml:space="preserve"> </w:t>
      </w:r>
    </w:p>
    <w:p w14:paraId="41EC979B" w14:textId="77777777" w:rsidR="003E2316" w:rsidRDefault="003E2316" w:rsidP="003F7CD2">
      <w:pPr>
        <w:pStyle w:val="RNNum"/>
        <w:numPr>
          <w:ilvl w:val="0"/>
          <w:numId w:val="0"/>
        </w:numPr>
        <w:spacing w:after="0"/>
        <w:rPr>
          <w:b/>
          <w:bCs/>
          <w:szCs w:val="24"/>
        </w:rPr>
      </w:pPr>
    </w:p>
    <w:p w14:paraId="46304980" w14:textId="4F3867A2" w:rsidR="00A259BD" w:rsidRPr="0079060B" w:rsidRDefault="0079060B" w:rsidP="003F7CD2">
      <w:pPr>
        <w:pStyle w:val="RNNum"/>
        <w:numPr>
          <w:ilvl w:val="0"/>
          <w:numId w:val="0"/>
        </w:numPr>
        <w:spacing w:after="0"/>
        <w:rPr>
          <w:b/>
          <w:bCs/>
          <w:szCs w:val="24"/>
        </w:rPr>
      </w:pPr>
      <w:r>
        <w:rPr>
          <w:b/>
          <w:bCs/>
          <w:szCs w:val="24"/>
        </w:rPr>
        <w:t>Public Health Value- Health Equity</w:t>
      </w:r>
    </w:p>
    <w:p w14:paraId="1F675047" w14:textId="6049FB20" w:rsidR="00C957FC" w:rsidRDefault="00C957FC" w:rsidP="003F7CD2">
      <w:pPr>
        <w:rPr>
          <w:rFonts w:ascii="Calibri" w:eastAsia="Calibri" w:hAnsi="Calibri" w:cs="Calibri"/>
        </w:rPr>
      </w:pPr>
    </w:p>
    <w:p w14:paraId="7E935AE2" w14:textId="10614385" w:rsidR="00E36554" w:rsidRPr="00E36554" w:rsidRDefault="00E36554" w:rsidP="003F7CD2">
      <w:pPr>
        <w:rPr>
          <w:rFonts w:ascii="Calibri" w:eastAsia="Calibri" w:hAnsi="Calibri" w:cs="Calibri"/>
        </w:rPr>
      </w:pPr>
      <w:r w:rsidRPr="00E36554">
        <w:rPr>
          <w:rFonts w:ascii="Calibri" w:eastAsia="Calibri" w:hAnsi="Calibri" w:cs="Calibri"/>
        </w:rPr>
        <w:t xml:space="preserve">The Applicant asserts the Proposed Project will provide its Patient Panel with the </w:t>
      </w:r>
      <w:r w:rsidR="00EF513A">
        <w:rPr>
          <w:rFonts w:ascii="Calibri" w:eastAsia="Calibri" w:hAnsi="Calibri" w:cs="Calibri"/>
        </w:rPr>
        <w:t xml:space="preserve">organizational structure and </w:t>
      </w:r>
      <w:r w:rsidRPr="00E36554">
        <w:rPr>
          <w:rFonts w:ascii="Calibri" w:eastAsia="Calibri" w:hAnsi="Calibri" w:cs="Calibri"/>
        </w:rPr>
        <w:t xml:space="preserve">facilities </w:t>
      </w:r>
      <w:r w:rsidR="003E2316">
        <w:rPr>
          <w:rFonts w:ascii="Calibri" w:eastAsia="Calibri" w:hAnsi="Calibri" w:cs="Calibri"/>
        </w:rPr>
        <w:t xml:space="preserve">to enable </w:t>
      </w:r>
      <w:r w:rsidRPr="00E36554">
        <w:rPr>
          <w:rFonts w:ascii="Calibri" w:eastAsia="Calibri" w:hAnsi="Calibri" w:cs="Calibri"/>
        </w:rPr>
        <w:t>it to continue to promote health equity, including among the underserved</w:t>
      </w:r>
      <w:r w:rsidR="003F7CD2">
        <w:rPr>
          <w:rFonts w:ascii="Calibri" w:eastAsia="Calibri" w:hAnsi="Calibri" w:cs="Calibri"/>
        </w:rPr>
        <w:t xml:space="preserve">; </w:t>
      </w:r>
      <w:r w:rsidRPr="00E36554">
        <w:rPr>
          <w:rFonts w:ascii="Calibri" w:eastAsia="Calibri" w:hAnsi="Calibri" w:cs="Calibri"/>
        </w:rPr>
        <w:t>it will not restrict the accessibility to services for vulnerable and/or Medicaid-eligible individuals</w:t>
      </w:r>
      <w:r w:rsidR="003F7CD2">
        <w:rPr>
          <w:rFonts w:ascii="Calibri" w:eastAsia="Calibri" w:hAnsi="Calibri" w:cs="Calibri"/>
        </w:rPr>
        <w:t>; and it</w:t>
      </w:r>
      <w:r w:rsidRPr="00E36554">
        <w:rPr>
          <w:rFonts w:ascii="Calibri" w:eastAsia="Calibri" w:hAnsi="Calibri" w:cs="Calibri"/>
        </w:rPr>
        <w:t xml:space="preserve"> does not discriminate based on ability to pay. As noted in Table 4, nearly 70% of Franciscan’s patients </w:t>
      </w:r>
      <w:r w:rsidR="003E2316">
        <w:rPr>
          <w:rFonts w:ascii="Calibri" w:eastAsia="Calibri" w:hAnsi="Calibri" w:cs="Calibri"/>
        </w:rPr>
        <w:t xml:space="preserve">are </w:t>
      </w:r>
      <w:r w:rsidR="003F7CD2">
        <w:rPr>
          <w:rFonts w:ascii="Calibri" w:eastAsia="Calibri" w:hAnsi="Calibri" w:cs="Calibri"/>
        </w:rPr>
        <w:t xml:space="preserve">covered by </w:t>
      </w:r>
      <w:r w:rsidRPr="00E36554">
        <w:rPr>
          <w:rFonts w:ascii="Calibri" w:eastAsia="Calibri" w:hAnsi="Calibri" w:cs="Calibri"/>
        </w:rPr>
        <w:t>Medicaid. As noted earlier, throughout the United States, Medicaid, together with the Children’s Health Insurance Program, covers almost half of all children with special health care needs.</w:t>
      </w:r>
      <w:r w:rsidR="00B73799" w:rsidRPr="00E36554">
        <w:rPr>
          <w:rFonts w:ascii="Calibri" w:eastAsia="Calibri" w:hAnsi="Calibri" w:cs="Calibri"/>
          <w:vertAlign w:val="superscript"/>
        </w:rPr>
        <w:endnoteReference w:id="15"/>
      </w:r>
      <w:r w:rsidR="00B73799" w:rsidRPr="00E36554">
        <w:rPr>
          <w:rFonts w:ascii="Calibri" w:eastAsia="Calibri" w:hAnsi="Calibri" w:cs="Calibri"/>
        </w:rPr>
        <w:t xml:space="preserve"> </w:t>
      </w:r>
      <w:r w:rsidRPr="00E36554">
        <w:rPr>
          <w:rFonts w:ascii="Calibri" w:eastAsia="Calibri" w:hAnsi="Calibri" w:cs="Calibri"/>
        </w:rPr>
        <w:t xml:space="preserve"> </w:t>
      </w:r>
    </w:p>
    <w:p w14:paraId="76128CB4" w14:textId="77777777" w:rsidR="00E36554" w:rsidRPr="00E36554" w:rsidRDefault="00E36554" w:rsidP="003F7CD2">
      <w:pPr>
        <w:rPr>
          <w:rFonts w:ascii="Calibri" w:eastAsia="Calibri" w:hAnsi="Calibri" w:cs="Calibri"/>
        </w:rPr>
      </w:pPr>
    </w:p>
    <w:p w14:paraId="0D8B3D28" w14:textId="54964B61" w:rsidR="00E36554" w:rsidRPr="00E36554" w:rsidRDefault="00E36554" w:rsidP="003F7CD2">
      <w:pPr>
        <w:rPr>
          <w:rFonts w:ascii="Calibri" w:eastAsia="Calibri" w:hAnsi="Calibri" w:cs="Calibri"/>
        </w:rPr>
      </w:pPr>
      <w:r w:rsidRPr="00E36554">
        <w:rPr>
          <w:rFonts w:ascii="Calibri" w:eastAsia="Calibri" w:hAnsi="Calibri" w:cs="Calibri"/>
        </w:rPr>
        <w:t xml:space="preserve">Franciscan’s diverse programs serve children with complex medical and mental health challenges, many </w:t>
      </w:r>
      <w:r w:rsidR="003E2316">
        <w:rPr>
          <w:rFonts w:ascii="Calibri" w:eastAsia="Calibri" w:hAnsi="Calibri" w:cs="Calibri"/>
        </w:rPr>
        <w:t xml:space="preserve">with </w:t>
      </w:r>
      <w:r w:rsidRPr="00E36554">
        <w:rPr>
          <w:rFonts w:ascii="Calibri" w:eastAsia="Calibri" w:hAnsi="Calibri" w:cs="Calibri"/>
        </w:rPr>
        <w:t>social challenges that require involvement from the Department of Children and Families</w:t>
      </w:r>
      <w:r w:rsidR="008850E3">
        <w:rPr>
          <w:rFonts w:ascii="Calibri" w:eastAsia="Calibri" w:hAnsi="Calibri" w:cs="Calibri"/>
        </w:rPr>
        <w:t>,</w:t>
      </w:r>
      <w:r w:rsidR="003E2316">
        <w:rPr>
          <w:rFonts w:ascii="Calibri" w:eastAsia="Calibri" w:hAnsi="Calibri" w:cs="Calibri"/>
        </w:rPr>
        <w:t xml:space="preserve"> who </w:t>
      </w:r>
      <w:r w:rsidRPr="00E36554">
        <w:rPr>
          <w:rFonts w:ascii="Calibri" w:eastAsia="Calibri" w:hAnsi="Calibri" w:cs="Calibri"/>
        </w:rPr>
        <w:t xml:space="preserve">struggle to receive services elsewhere because of the shortages of services tailored to meet their needs. The </w:t>
      </w:r>
      <w:r w:rsidR="003E2316" w:rsidRPr="00E36554">
        <w:rPr>
          <w:rFonts w:ascii="Calibri" w:eastAsia="Calibri" w:hAnsi="Calibri" w:cs="Calibri"/>
        </w:rPr>
        <w:t>school</w:t>
      </w:r>
      <w:r w:rsidRPr="00E36554">
        <w:rPr>
          <w:rFonts w:ascii="Calibri" w:eastAsia="Calibri" w:hAnsi="Calibri" w:cs="Calibri"/>
        </w:rPr>
        <w:t xml:space="preserve">-based mental health programs that the Applicant provides are fundamental to health equity, ensuring </w:t>
      </w:r>
      <w:r w:rsidR="008850E3">
        <w:rPr>
          <w:rFonts w:ascii="Calibri" w:eastAsia="Calibri" w:hAnsi="Calibri" w:cs="Calibri"/>
        </w:rPr>
        <w:t xml:space="preserve">early </w:t>
      </w:r>
      <w:r w:rsidRPr="00E36554">
        <w:rPr>
          <w:rFonts w:ascii="Calibri" w:eastAsia="Calibri" w:hAnsi="Calibri" w:cs="Calibri"/>
        </w:rPr>
        <w:t>access to those who do not have the ability to travel to receive services. Those and other outpatient and community-based mental health programs that Franciscan and BCH operate will be integrated and expanded to reach more children further supporting equitable access to their services.</w:t>
      </w:r>
    </w:p>
    <w:p w14:paraId="31B5D8C3" w14:textId="77777777" w:rsidR="00E36554" w:rsidRPr="00E36554" w:rsidRDefault="00E36554" w:rsidP="003F7CD2">
      <w:pPr>
        <w:rPr>
          <w:rFonts w:ascii="Calibri" w:eastAsia="Calibri" w:hAnsi="Calibri" w:cs="Calibri"/>
        </w:rPr>
      </w:pPr>
    </w:p>
    <w:p w14:paraId="6D8C6820" w14:textId="24D6B975" w:rsidR="003F7CD2" w:rsidRDefault="156FAEED" w:rsidP="003F7CD2">
      <w:pPr>
        <w:rPr>
          <w:rFonts w:ascii="Calibri" w:eastAsia="Calibri" w:hAnsi="Calibri" w:cs="Calibri"/>
        </w:rPr>
      </w:pPr>
      <w:r w:rsidRPr="00E36554">
        <w:rPr>
          <w:rFonts w:ascii="Calibri" w:eastAsia="Calibri" w:hAnsi="Calibri" w:cs="Calibri"/>
        </w:rPr>
        <w:t xml:space="preserve">The Applicant recognizes the importance of diversity, equity, and inclusion and is committed to expanding </w:t>
      </w:r>
      <w:r w:rsidR="7923BF85">
        <w:rPr>
          <w:rFonts w:ascii="Calibri" w:eastAsia="Calibri" w:hAnsi="Calibri" w:cs="Calibri"/>
        </w:rPr>
        <w:t>its efforts</w:t>
      </w:r>
      <w:r w:rsidR="7627FD48">
        <w:rPr>
          <w:rFonts w:ascii="Calibri" w:eastAsia="Calibri" w:hAnsi="Calibri" w:cs="Calibri"/>
        </w:rPr>
        <w:t>.</w:t>
      </w:r>
      <w:r w:rsidR="3BA2891F">
        <w:rPr>
          <w:rFonts w:ascii="Calibri" w:eastAsia="Calibri" w:hAnsi="Calibri" w:cs="Calibri"/>
        </w:rPr>
        <w:t xml:space="preserve"> </w:t>
      </w:r>
      <w:r w:rsidR="7627FD48">
        <w:rPr>
          <w:rFonts w:ascii="Calibri" w:eastAsia="Calibri" w:hAnsi="Calibri" w:cs="Calibri"/>
        </w:rPr>
        <w:t>I</w:t>
      </w:r>
      <w:r w:rsidR="3BA2891F">
        <w:rPr>
          <w:rFonts w:ascii="Calibri" w:eastAsia="Calibri" w:hAnsi="Calibri" w:cs="Calibri"/>
        </w:rPr>
        <w:t xml:space="preserve">t </w:t>
      </w:r>
      <w:r w:rsidR="3BA2891F" w:rsidRPr="00023B06">
        <w:rPr>
          <w:rFonts w:ascii="Calibri" w:eastAsia="Calibri" w:hAnsi="Calibri" w:cs="Calibri"/>
        </w:rPr>
        <w:t>part</w:t>
      </w:r>
      <w:r w:rsidR="7627FD48">
        <w:rPr>
          <w:rFonts w:ascii="Calibri" w:eastAsia="Calibri" w:hAnsi="Calibri" w:cs="Calibri"/>
        </w:rPr>
        <w:t>icipates</w:t>
      </w:r>
      <w:r w:rsidR="3BA2891F" w:rsidRPr="00023B06">
        <w:rPr>
          <w:rFonts w:ascii="Calibri" w:eastAsia="Calibri" w:hAnsi="Calibri" w:cs="Calibri"/>
        </w:rPr>
        <w:t xml:space="preserve"> in national collaborations to advance health equity and close health care disparities, including the Pediatric Health Equity Collaborative and Solutions for Patient Safety.</w:t>
      </w:r>
      <w:r w:rsidR="00C957FC" w:rsidRPr="00023B06">
        <w:rPr>
          <w:rFonts w:ascii="Calibri" w:eastAsia="Calibri" w:hAnsi="Calibri" w:cs="Calibri"/>
          <w:vertAlign w:val="superscript"/>
        </w:rPr>
        <w:footnoteReference w:id="41"/>
      </w:r>
      <w:r w:rsidR="3BA2891F" w:rsidRPr="00023B06">
        <w:rPr>
          <w:rFonts w:ascii="Calibri" w:eastAsia="Calibri" w:hAnsi="Calibri" w:cs="Calibri"/>
        </w:rPr>
        <w:t xml:space="preserve"> </w:t>
      </w:r>
      <w:r w:rsidRPr="00E36554">
        <w:rPr>
          <w:rFonts w:ascii="Calibri" w:eastAsia="Calibri" w:hAnsi="Calibri" w:cs="Calibri"/>
        </w:rPr>
        <w:t xml:space="preserve">In 2020, Franciscan established a multi-disciplinary committee to keep diversity and equity at the forefront of all efforts, which are informed by workforce surveys, focus groups, and town halls. </w:t>
      </w:r>
      <w:r w:rsidR="00956F14">
        <w:rPr>
          <w:rFonts w:ascii="Calibri" w:eastAsia="Calibri" w:hAnsi="Calibri" w:cs="Calibri"/>
        </w:rPr>
        <w:t>Further, it r</w:t>
      </w:r>
      <w:r w:rsidR="00E36554" w:rsidRPr="00E36554">
        <w:rPr>
          <w:rFonts w:ascii="Calibri" w:eastAsia="Calibri" w:hAnsi="Calibri" w:cs="Calibri"/>
        </w:rPr>
        <w:t xml:space="preserve">eleased a “Declaration on Equity, Diversity, and Inclusivity,” establishing six goals that prioritize health equity in 2020 that include commitments to 1-an inclusive environment, 2- a diverse workforce, 3-eliminating structural racism, 4- advancing culturally effective pediatric care delivery, 5- eliminating child health disparities, and 6- developing and tracking metrics for equity, diversity, and inclusion. </w:t>
      </w:r>
    </w:p>
    <w:p w14:paraId="55896344" w14:textId="77777777" w:rsidR="003F7CD2" w:rsidRDefault="003F7CD2" w:rsidP="003F7CD2">
      <w:pPr>
        <w:rPr>
          <w:rFonts w:ascii="Calibri" w:eastAsia="Calibri" w:hAnsi="Calibri" w:cs="Calibri"/>
        </w:rPr>
      </w:pPr>
    </w:p>
    <w:p w14:paraId="094DD41B" w14:textId="06AD5116" w:rsidR="00E36554" w:rsidRPr="00E36554" w:rsidRDefault="00E36554" w:rsidP="003F7CD2">
      <w:pPr>
        <w:rPr>
          <w:rFonts w:ascii="Calibri" w:eastAsia="Calibri" w:hAnsi="Calibri" w:cs="Calibri"/>
        </w:rPr>
      </w:pPr>
      <w:r w:rsidRPr="00E36554">
        <w:rPr>
          <w:rFonts w:ascii="Calibri" w:eastAsia="Calibri" w:hAnsi="Calibri" w:cs="Calibri"/>
        </w:rPr>
        <w:t xml:space="preserve">The </w:t>
      </w:r>
      <w:r w:rsidR="003F7CD2">
        <w:rPr>
          <w:rFonts w:ascii="Calibri" w:eastAsia="Calibri" w:hAnsi="Calibri" w:cs="Calibri"/>
        </w:rPr>
        <w:t>Applicant</w:t>
      </w:r>
      <w:r w:rsidR="00956F14">
        <w:rPr>
          <w:rFonts w:ascii="Calibri" w:eastAsia="Calibri" w:hAnsi="Calibri" w:cs="Calibri"/>
        </w:rPr>
        <w:t>’</w:t>
      </w:r>
      <w:r w:rsidR="00956F14" w:rsidRPr="00956F14">
        <w:rPr>
          <w:rFonts w:ascii="Calibri" w:eastAsia="Calibri" w:hAnsi="Calibri" w:cs="Calibri"/>
        </w:rPr>
        <w:t>s new Head of Diversity, Equity and Belonging leads all manager and all staff trainings on unconscious bias, bullying, harassment, and being a bystander</w:t>
      </w:r>
      <w:r w:rsidR="008850E3">
        <w:rPr>
          <w:rFonts w:ascii="Calibri" w:eastAsia="Calibri" w:hAnsi="Calibri" w:cs="Calibri"/>
        </w:rPr>
        <w:t xml:space="preserve">. </w:t>
      </w:r>
      <w:r w:rsidR="00956F14">
        <w:rPr>
          <w:rFonts w:ascii="Calibri" w:eastAsia="Calibri" w:hAnsi="Calibri" w:cs="Calibri"/>
        </w:rPr>
        <w:t>Further</w:t>
      </w:r>
      <w:r w:rsidR="008850E3">
        <w:rPr>
          <w:rFonts w:ascii="Calibri" w:eastAsia="Calibri" w:hAnsi="Calibri" w:cs="Calibri"/>
        </w:rPr>
        <w:t>,</w:t>
      </w:r>
      <w:r w:rsidR="00956F14">
        <w:rPr>
          <w:rFonts w:ascii="Calibri" w:eastAsia="Calibri" w:hAnsi="Calibri" w:cs="Calibri"/>
        </w:rPr>
        <w:t xml:space="preserve"> </w:t>
      </w:r>
      <w:r w:rsidR="008850E3">
        <w:rPr>
          <w:rFonts w:ascii="Calibri" w:eastAsia="Calibri" w:hAnsi="Calibri" w:cs="Calibri"/>
        </w:rPr>
        <w:t>t</w:t>
      </w:r>
      <w:r w:rsidR="00956F14">
        <w:rPr>
          <w:rFonts w:ascii="Calibri" w:eastAsia="Calibri" w:hAnsi="Calibri" w:cs="Calibri"/>
        </w:rPr>
        <w:t xml:space="preserve">he Applicant </w:t>
      </w:r>
      <w:r w:rsidR="003F7CD2">
        <w:rPr>
          <w:rFonts w:ascii="Calibri" w:eastAsia="Calibri" w:hAnsi="Calibri" w:cs="Calibri"/>
        </w:rPr>
        <w:t xml:space="preserve">states the </w:t>
      </w:r>
      <w:r w:rsidRPr="00E36554">
        <w:rPr>
          <w:rFonts w:ascii="Calibri" w:eastAsia="Calibri" w:hAnsi="Calibri" w:cs="Calibri"/>
        </w:rPr>
        <w:t xml:space="preserve">Proposed Project will provide necessary resources to </w:t>
      </w:r>
      <w:r w:rsidR="00621161">
        <w:rPr>
          <w:rFonts w:ascii="Calibri" w:eastAsia="Calibri" w:hAnsi="Calibri" w:cs="Calibri"/>
        </w:rPr>
        <w:t xml:space="preserve">improve </w:t>
      </w:r>
      <w:r w:rsidRPr="00E36554">
        <w:rPr>
          <w:rFonts w:ascii="Calibri" w:eastAsia="Calibri" w:hAnsi="Calibri" w:cs="Calibri"/>
        </w:rPr>
        <w:t>diversity, equity, and inclusion efforts including housing</w:t>
      </w:r>
      <w:r w:rsidR="00621161">
        <w:rPr>
          <w:rFonts w:ascii="Calibri" w:eastAsia="Calibri" w:hAnsi="Calibri" w:cs="Calibri"/>
        </w:rPr>
        <w:t>,</w:t>
      </w:r>
      <w:r w:rsidRPr="00E36554">
        <w:rPr>
          <w:rFonts w:ascii="Calibri" w:eastAsia="Calibri" w:hAnsi="Calibri" w:cs="Calibri"/>
        </w:rPr>
        <w:t xml:space="preserve"> clinical programs identified in its needs assessment</w:t>
      </w:r>
      <w:r w:rsidR="00621161">
        <w:rPr>
          <w:rFonts w:ascii="Calibri" w:eastAsia="Calibri" w:hAnsi="Calibri" w:cs="Calibri"/>
        </w:rPr>
        <w:t>,</w:t>
      </w:r>
      <w:r w:rsidRPr="00E36554">
        <w:rPr>
          <w:rFonts w:ascii="Calibri" w:eastAsia="Calibri" w:hAnsi="Calibri" w:cs="Calibri"/>
        </w:rPr>
        <w:t xml:space="preserve"> and </w:t>
      </w:r>
      <w:r w:rsidR="003F7CD2">
        <w:rPr>
          <w:rFonts w:ascii="Calibri" w:eastAsia="Calibri" w:hAnsi="Calibri" w:cs="Calibri"/>
        </w:rPr>
        <w:t xml:space="preserve">it will </w:t>
      </w:r>
      <w:r w:rsidRPr="00E36554">
        <w:rPr>
          <w:rFonts w:ascii="Calibri" w:eastAsia="Calibri" w:hAnsi="Calibri" w:cs="Calibri"/>
        </w:rPr>
        <w:t>allocate space for academic training</w:t>
      </w:r>
      <w:r w:rsidR="00621161">
        <w:rPr>
          <w:rFonts w:ascii="Calibri" w:eastAsia="Calibri" w:hAnsi="Calibri" w:cs="Calibri"/>
        </w:rPr>
        <w:t xml:space="preserve">, </w:t>
      </w:r>
      <w:r w:rsidRPr="00E36554">
        <w:rPr>
          <w:rFonts w:ascii="Calibri" w:eastAsia="Calibri" w:hAnsi="Calibri" w:cs="Calibri"/>
        </w:rPr>
        <w:t xml:space="preserve">staff development and community outreach to support training such as cultural competency. The Applicant </w:t>
      </w:r>
      <w:r w:rsidR="003F7CD2">
        <w:rPr>
          <w:rFonts w:ascii="Calibri" w:eastAsia="Calibri" w:hAnsi="Calibri" w:cs="Calibri"/>
        </w:rPr>
        <w:t>stresses</w:t>
      </w:r>
      <w:r w:rsidRPr="00E36554">
        <w:rPr>
          <w:rFonts w:ascii="Calibri" w:eastAsia="Calibri" w:hAnsi="Calibri" w:cs="Calibri"/>
        </w:rPr>
        <w:t xml:space="preserve"> that given the diverse and complex pediatric population that Franciscan and BCH serve, the need for staff with commensurate level</w:t>
      </w:r>
      <w:r w:rsidR="00956F14">
        <w:rPr>
          <w:rFonts w:ascii="Calibri" w:eastAsia="Calibri" w:hAnsi="Calibri" w:cs="Calibri"/>
        </w:rPr>
        <w:t>s</w:t>
      </w:r>
      <w:r w:rsidRPr="00E36554">
        <w:rPr>
          <w:rFonts w:ascii="Calibri" w:eastAsia="Calibri" w:hAnsi="Calibri" w:cs="Calibri"/>
        </w:rPr>
        <w:t xml:space="preserve"> of diversity cannot be overstated</w:t>
      </w:r>
      <w:r w:rsidR="00956F14">
        <w:rPr>
          <w:rFonts w:ascii="Calibri" w:eastAsia="Calibri" w:hAnsi="Calibri" w:cs="Calibri"/>
        </w:rPr>
        <w:t>;</w:t>
      </w:r>
      <w:r w:rsidR="003F7CD2">
        <w:rPr>
          <w:rFonts w:ascii="Calibri" w:eastAsia="Calibri" w:hAnsi="Calibri" w:cs="Calibri"/>
        </w:rPr>
        <w:t xml:space="preserve"> </w:t>
      </w:r>
      <w:r w:rsidR="00956F14">
        <w:rPr>
          <w:rFonts w:ascii="Calibri" w:eastAsia="Calibri" w:hAnsi="Calibri" w:cs="Calibri"/>
        </w:rPr>
        <w:t xml:space="preserve">accordingly, it </w:t>
      </w:r>
      <w:r w:rsidRPr="00E36554">
        <w:rPr>
          <w:rFonts w:ascii="Calibri" w:eastAsia="Calibri" w:hAnsi="Calibri" w:cs="Calibri"/>
        </w:rPr>
        <w:t xml:space="preserve">is striving to develop a strong, diverse, and competent workforce of </w:t>
      </w:r>
      <w:r w:rsidR="00956F14">
        <w:rPr>
          <w:rFonts w:ascii="Calibri" w:eastAsia="Calibri" w:hAnsi="Calibri" w:cs="Calibri"/>
        </w:rPr>
        <w:t xml:space="preserve">committed </w:t>
      </w:r>
      <w:r w:rsidRPr="00E36554">
        <w:rPr>
          <w:rFonts w:ascii="Calibri" w:eastAsia="Calibri" w:hAnsi="Calibri" w:cs="Calibri"/>
        </w:rPr>
        <w:t xml:space="preserve">individuals in their local communities. </w:t>
      </w:r>
    </w:p>
    <w:p w14:paraId="248B92BA" w14:textId="77777777" w:rsidR="00E36554" w:rsidRPr="00E36554" w:rsidRDefault="00E36554" w:rsidP="003F7CD2">
      <w:pPr>
        <w:rPr>
          <w:rFonts w:ascii="Calibri" w:eastAsia="Calibri" w:hAnsi="Calibri" w:cs="Calibri"/>
        </w:rPr>
      </w:pPr>
    </w:p>
    <w:p w14:paraId="2B50AC43" w14:textId="6922A968" w:rsidR="00E36554" w:rsidRDefault="00621161" w:rsidP="003F7CD2">
      <w:pPr>
        <w:rPr>
          <w:rFonts w:ascii="Calibri" w:eastAsia="Calibri" w:hAnsi="Calibri" w:cs="Calibri"/>
        </w:rPr>
      </w:pPr>
      <w:r>
        <w:rPr>
          <w:rFonts w:ascii="Calibri" w:eastAsia="Calibri" w:hAnsi="Calibri" w:cs="Calibri"/>
        </w:rPr>
        <w:t>I</w:t>
      </w:r>
      <w:r w:rsidRPr="00621161">
        <w:rPr>
          <w:rFonts w:ascii="Calibri" w:eastAsia="Calibri" w:hAnsi="Calibri" w:cs="Calibri"/>
        </w:rPr>
        <w:t>n order to foster clear and accurate communication</w:t>
      </w:r>
      <w:r>
        <w:rPr>
          <w:rFonts w:ascii="Calibri" w:eastAsia="Calibri" w:hAnsi="Calibri" w:cs="Calibri"/>
        </w:rPr>
        <w:t>,</w:t>
      </w:r>
      <w:r w:rsidRPr="00621161">
        <w:rPr>
          <w:rFonts w:ascii="Calibri" w:eastAsia="Calibri" w:hAnsi="Calibri" w:cs="Calibri"/>
        </w:rPr>
        <w:t xml:space="preserve"> </w:t>
      </w:r>
      <w:r>
        <w:rPr>
          <w:rFonts w:ascii="Calibri" w:eastAsia="Calibri" w:hAnsi="Calibri" w:cs="Calibri"/>
        </w:rPr>
        <w:t>l</w:t>
      </w:r>
      <w:r w:rsidR="156FAEED" w:rsidRPr="00E36554">
        <w:rPr>
          <w:rFonts w:ascii="Calibri" w:eastAsia="Calibri" w:hAnsi="Calibri" w:cs="Calibri"/>
        </w:rPr>
        <w:t xml:space="preserve">anguage interpreters are provided to families </w:t>
      </w:r>
      <w:r w:rsidR="23125461" w:rsidRPr="00EF513A">
        <w:rPr>
          <w:rFonts w:ascii="Calibri" w:eastAsia="Calibri" w:hAnsi="Calibri" w:cs="Calibri"/>
        </w:rPr>
        <w:t xml:space="preserve">with Limited English Proficiency </w:t>
      </w:r>
      <w:r w:rsidR="156FAEED" w:rsidRPr="00E36554">
        <w:rPr>
          <w:rFonts w:ascii="Calibri" w:eastAsia="Calibri" w:hAnsi="Calibri" w:cs="Calibri"/>
        </w:rPr>
        <w:t>at no cost</w:t>
      </w:r>
      <w:r>
        <w:rPr>
          <w:rFonts w:ascii="Calibri" w:eastAsia="Calibri" w:hAnsi="Calibri" w:cs="Calibri"/>
        </w:rPr>
        <w:t xml:space="preserve"> </w:t>
      </w:r>
      <w:r w:rsidR="156FAEED" w:rsidRPr="00E36554">
        <w:rPr>
          <w:rFonts w:ascii="Calibri" w:eastAsia="Calibri" w:hAnsi="Calibri" w:cs="Calibri"/>
        </w:rPr>
        <w:t>in more than 100 languages, including American Sign Language.</w:t>
      </w:r>
      <w:r w:rsidR="00E36554" w:rsidRPr="00E36554">
        <w:rPr>
          <w:rFonts w:ascii="Calibri" w:eastAsia="Calibri" w:hAnsi="Calibri" w:cs="Calibri"/>
          <w:vertAlign w:val="superscript"/>
        </w:rPr>
        <w:footnoteReference w:id="42"/>
      </w:r>
      <w:r w:rsidR="156FAEED" w:rsidRPr="00E36554">
        <w:rPr>
          <w:rFonts w:ascii="Calibri" w:eastAsia="Calibri" w:hAnsi="Calibri" w:cs="Calibri"/>
        </w:rPr>
        <w:t xml:space="preserve">  Franciscan also contracts with a third party to provide on demand, over-the-phone, and video remote interpretation services to serve patients and families in all of its departments, </w:t>
      </w:r>
      <w:r w:rsidRPr="00E36554">
        <w:rPr>
          <w:rFonts w:ascii="Calibri" w:eastAsia="Calibri" w:hAnsi="Calibri" w:cs="Calibri"/>
        </w:rPr>
        <w:t>clinics,</w:t>
      </w:r>
      <w:r w:rsidR="156FAEED" w:rsidRPr="00E36554">
        <w:rPr>
          <w:rFonts w:ascii="Calibri" w:eastAsia="Calibri" w:hAnsi="Calibri" w:cs="Calibri"/>
        </w:rPr>
        <w:t xml:space="preserve"> and programs. </w:t>
      </w:r>
    </w:p>
    <w:p w14:paraId="6AD6FC6D" w14:textId="77777777" w:rsidR="00621161" w:rsidRPr="00E36554" w:rsidRDefault="00621161" w:rsidP="003F7CD2">
      <w:pPr>
        <w:rPr>
          <w:rFonts w:ascii="Calibri" w:eastAsia="Calibri" w:hAnsi="Calibri" w:cs="Calibri"/>
        </w:rPr>
      </w:pPr>
    </w:p>
    <w:p w14:paraId="50ED56AA" w14:textId="77777777" w:rsidR="00E36554" w:rsidRPr="00E36554" w:rsidRDefault="00E36554" w:rsidP="003F7CD2">
      <w:pPr>
        <w:rPr>
          <w:rFonts w:ascii="Calibri" w:eastAsia="Calibri" w:hAnsi="Calibri" w:cs="Calibri"/>
          <w:sz w:val="28"/>
          <w:szCs w:val="28"/>
        </w:rPr>
      </w:pPr>
      <w:r w:rsidRPr="00E36554">
        <w:rPr>
          <w:rFonts w:ascii="Calibri" w:eastAsia="Calibri" w:hAnsi="Calibri" w:cs="Calibri"/>
        </w:rPr>
        <w:t xml:space="preserve">The Applicant continues to develop and track health disparity metrics, particularly related to the BCH ACO.  It is in the process of collecting and analyzing data regarding health disparities and access to care by race, </w:t>
      </w:r>
      <w:proofErr w:type="gramStart"/>
      <w:r w:rsidRPr="00E36554">
        <w:rPr>
          <w:rFonts w:ascii="Calibri" w:eastAsia="Calibri" w:hAnsi="Calibri" w:cs="Calibri"/>
        </w:rPr>
        <w:t>ethnicity</w:t>
      </w:r>
      <w:proofErr w:type="gramEnd"/>
      <w:r w:rsidRPr="00E36554">
        <w:rPr>
          <w:rFonts w:ascii="Calibri" w:eastAsia="Calibri" w:hAnsi="Calibri" w:cs="Calibri"/>
        </w:rPr>
        <w:t xml:space="preserve"> and language, including as it relates to population health priorities such as obesity and asthma</w:t>
      </w:r>
      <w:r w:rsidRPr="00E36554">
        <w:rPr>
          <w:rFonts w:ascii="Calibri" w:eastAsia="Calibri" w:hAnsi="Calibri" w:cs="Calibri"/>
          <w:sz w:val="28"/>
          <w:szCs w:val="28"/>
        </w:rPr>
        <w:t>.</w:t>
      </w:r>
    </w:p>
    <w:p w14:paraId="56C77E64" w14:textId="77777777" w:rsidR="00E36554" w:rsidRPr="00621161" w:rsidRDefault="00E36554" w:rsidP="003F7CD2">
      <w:pPr>
        <w:rPr>
          <w:rFonts w:ascii="Calibri" w:eastAsia="Calibri" w:hAnsi="Calibri" w:cs="Calibri"/>
          <w:lang w:val="en"/>
        </w:rPr>
      </w:pPr>
    </w:p>
    <w:p w14:paraId="7E7C1E2D" w14:textId="33ED30E0" w:rsidR="007B1DAB" w:rsidRDefault="007B1DAB" w:rsidP="003F7CD2">
      <w:pPr>
        <w:pStyle w:val="RNNum"/>
        <w:numPr>
          <w:ilvl w:val="0"/>
          <w:numId w:val="0"/>
        </w:numPr>
        <w:spacing w:after="0"/>
        <w:rPr>
          <w:b/>
          <w:bCs/>
          <w:i/>
          <w:iCs/>
          <w:szCs w:val="24"/>
        </w:rPr>
      </w:pPr>
      <w:r w:rsidRPr="005071DF">
        <w:rPr>
          <w:b/>
          <w:bCs/>
          <w:i/>
          <w:iCs/>
          <w:szCs w:val="24"/>
        </w:rPr>
        <w:t>Analysis</w:t>
      </w:r>
    </w:p>
    <w:p w14:paraId="4DD81056" w14:textId="77777777" w:rsidR="00621161" w:rsidRPr="005071DF" w:rsidRDefault="00621161" w:rsidP="003F7CD2">
      <w:pPr>
        <w:pStyle w:val="RNNum"/>
        <w:numPr>
          <w:ilvl w:val="0"/>
          <w:numId w:val="0"/>
        </w:numPr>
        <w:spacing w:after="0"/>
        <w:rPr>
          <w:b/>
          <w:bCs/>
          <w:i/>
          <w:iCs/>
          <w:szCs w:val="24"/>
        </w:rPr>
      </w:pPr>
    </w:p>
    <w:p w14:paraId="31303881" w14:textId="549ED2D0" w:rsidR="00BF0F71" w:rsidRPr="00BF0F71" w:rsidRDefault="00BF0F71" w:rsidP="00621161">
      <w:pPr>
        <w:rPr>
          <w:rFonts w:ascii="Calibri" w:eastAsia="Calibri" w:hAnsi="Calibri" w:cs="Times New Roman"/>
          <w:kern w:val="2"/>
          <w14:ligatures w14:val="standardContextual"/>
        </w:rPr>
      </w:pPr>
      <w:r w:rsidRPr="00BF0F71">
        <w:rPr>
          <w:rFonts w:ascii="Calibri" w:eastAsia="Calibri" w:hAnsi="Calibri" w:cs="Times New Roman"/>
          <w:kern w:val="2"/>
          <w14:ligatures w14:val="standardContextual"/>
        </w:rPr>
        <w:t xml:space="preserve">The Applicant provided several measures to track in order to assess the impact of the Proposed Project to measure the impact which are found in Appendix 1. The Applicant will track and report the measures as part of their annual reporting. </w:t>
      </w:r>
    </w:p>
    <w:p w14:paraId="73E6E20B" w14:textId="5EA9BC2E" w:rsidR="00BF0F71" w:rsidRPr="00BF0F71" w:rsidRDefault="00C957FC" w:rsidP="00621161">
      <w:pPr>
        <w:spacing w:before="240"/>
        <w:rPr>
          <w:rFonts w:ascii="Calibri" w:eastAsia="Calibri" w:hAnsi="Calibri" w:cs="Times New Roman"/>
          <w:kern w:val="2"/>
          <w14:ligatures w14:val="standardContextual"/>
        </w:rPr>
      </w:pPr>
      <w:r w:rsidRPr="00BF0F71">
        <w:rPr>
          <w:rFonts w:ascii="Calibri" w:eastAsia="Calibri" w:hAnsi="Calibri" w:cs="Times New Roman"/>
          <w:kern w:val="2"/>
          <w14:ligatures w14:val="standardContextual"/>
        </w:rPr>
        <w:lastRenderedPageBreak/>
        <w:t xml:space="preserve">The Applicant makes a compelling </w:t>
      </w:r>
      <w:r w:rsidR="114D5FB9" w:rsidRPr="42D5AB4D">
        <w:rPr>
          <w:rFonts w:ascii="Calibri" w:eastAsia="Calibri" w:hAnsi="Calibri" w:cs="Times New Roman"/>
        </w:rPr>
        <w:t xml:space="preserve">case </w:t>
      </w:r>
      <w:r w:rsidRPr="00BF0F71">
        <w:rPr>
          <w:rFonts w:ascii="Calibri" w:eastAsia="Calibri" w:hAnsi="Calibri" w:cs="Times New Roman"/>
          <w:kern w:val="2"/>
          <w14:ligatures w14:val="standardContextual"/>
        </w:rPr>
        <w:t xml:space="preserve">of how </w:t>
      </w:r>
      <w:r w:rsidRPr="00023B06">
        <w:rPr>
          <w:rFonts w:ascii="Calibri" w:eastAsia="Calibri" w:hAnsi="Calibri" w:cs="Times New Roman"/>
          <w:kern w:val="2"/>
          <w14:ligatures w14:val="standardContextual"/>
        </w:rPr>
        <w:t>the Proposed Project</w:t>
      </w:r>
      <w:r w:rsidRPr="00BF0F71">
        <w:rPr>
          <w:rFonts w:ascii="Calibri" w:eastAsia="Calibri" w:hAnsi="Calibri" w:cs="Times New Roman"/>
          <w:kern w:val="2"/>
          <w14:ligatures w14:val="standardContextual"/>
        </w:rPr>
        <w:t>’s new facility will improve i</w:t>
      </w:r>
      <w:r w:rsidRPr="00023B06">
        <w:rPr>
          <w:rFonts w:ascii="Calibri" w:eastAsia="Calibri" w:hAnsi="Calibri" w:cs="Times New Roman"/>
          <w:kern w:val="2"/>
          <w14:ligatures w14:val="standardContextual"/>
        </w:rPr>
        <w:t xml:space="preserve">ts ability to treat more children in a </w:t>
      </w:r>
      <w:r w:rsidRPr="00BF0F71">
        <w:rPr>
          <w:rFonts w:ascii="Calibri" w:eastAsia="Calibri" w:hAnsi="Calibri" w:cs="Times New Roman"/>
          <w:kern w:val="2"/>
          <w14:ligatures w14:val="standardContextual"/>
        </w:rPr>
        <w:t>through service expansion, co-location and consolidation</w:t>
      </w:r>
      <w:r w:rsidR="00BF0F71" w:rsidRPr="00BF0F71">
        <w:rPr>
          <w:rFonts w:ascii="Calibri" w:eastAsia="Calibri" w:hAnsi="Calibri" w:cs="Times New Roman"/>
          <w:kern w:val="2"/>
          <w14:ligatures w14:val="standardContextual"/>
        </w:rPr>
        <w:t xml:space="preserve"> which </w:t>
      </w:r>
      <w:r w:rsidRPr="00023B06">
        <w:rPr>
          <w:rFonts w:ascii="Calibri" w:eastAsia="Calibri" w:hAnsi="Calibri" w:cs="Times New Roman"/>
          <w:kern w:val="2"/>
          <w14:ligatures w14:val="standardContextual"/>
        </w:rPr>
        <w:t>will enable it the continue to promote health equity, including among the underserved</w:t>
      </w:r>
      <w:r w:rsidR="00BF0F71" w:rsidRPr="00BF0F71">
        <w:rPr>
          <w:rFonts w:ascii="Calibri" w:eastAsia="Calibri" w:hAnsi="Calibri" w:cs="Times New Roman"/>
          <w:kern w:val="2"/>
          <w14:ligatures w14:val="standardContextual"/>
        </w:rPr>
        <w:t xml:space="preserve">. </w:t>
      </w:r>
      <w:r w:rsidR="00BF0F71">
        <w:rPr>
          <w:rFonts w:ascii="Calibri" w:eastAsia="Calibri" w:hAnsi="Calibri" w:cs="Times New Roman"/>
          <w:kern w:val="2"/>
          <w14:ligatures w14:val="standardContextual"/>
        </w:rPr>
        <w:t>The Applicant anticipates that enhanced timely access to its services, achieved through expansion of programming and levels of care, and better coordination of care across the continuum may lead to fewer complications and thus improved health outcomes and quality of life.</w:t>
      </w:r>
    </w:p>
    <w:p w14:paraId="32EAA93E" w14:textId="77777777" w:rsidR="007B1DAB" w:rsidRPr="00D14DFE" w:rsidRDefault="007B1DAB" w:rsidP="003F7CD2"/>
    <w:p w14:paraId="3BB95CC3" w14:textId="653B5591" w:rsidR="00822C58" w:rsidRPr="007B1DAB" w:rsidRDefault="15451349" w:rsidP="6F80FCDD">
      <w:pPr>
        <w:rPr>
          <w:b/>
          <w:bCs/>
          <w:i/>
          <w:iCs/>
          <w:sz w:val="28"/>
          <w:szCs w:val="28"/>
        </w:rPr>
      </w:pPr>
      <w:r w:rsidRPr="6F80FCDD">
        <w:rPr>
          <w:color w:val="000000" w:themeColor="text1"/>
        </w:rPr>
        <w:t xml:space="preserve">Staff has reviewed </w:t>
      </w:r>
      <w:r w:rsidR="59F842AF" w:rsidRPr="6F80FCDD">
        <w:rPr>
          <w:color w:val="000000" w:themeColor="text1"/>
        </w:rPr>
        <w:t xml:space="preserve">and concurs </w:t>
      </w:r>
      <w:r w:rsidR="18ABFE9A" w:rsidRPr="6F80FCDD">
        <w:rPr>
          <w:color w:val="000000" w:themeColor="text1"/>
        </w:rPr>
        <w:t xml:space="preserve">that </w:t>
      </w:r>
      <w:r w:rsidR="37DD63E5" w:rsidRPr="6F80FCDD">
        <w:rPr>
          <w:color w:val="000000" w:themeColor="text1"/>
        </w:rPr>
        <w:t xml:space="preserve">the </w:t>
      </w:r>
      <w:r w:rsidR="46CD4640" w:rsidRPr="6F80FCDD">
        <w:rPr>
          <w:color w:val="000000" w:themeColor="text1"/>
        </w:rPr>
        <w:t>P</w:t>
      </w:r>
      <w:r w:rsidR="3FDFC2CB" w:rsidRPr="6F80FCDD">
        <w:rPr>
          <w:color w:val="000000" w:themeColor="text1"/>
        </w:rPr>
        <w:t xml:space="preserve">roposed </w:t>
      </w:r>
      <w:r w:rsidR="46CD4640" w:rsidRPr="6F80FCDD">
        <w:rPr>
          <w:color w:val="000000" w:themeColor="text1"/>
        </w:rPr>
        <w:t xml:space="preserve">Project </w:t>
      </w:r>
      <w:r w:rsidR="1E2B5125" w:rsidRPr="6F80FCDD">
        <w:rPr>
          <w:color w:val="000000" w:themeColor="text1"/>
        </w:rPr>
        <w:t xml:space="preserve">will </w:t>
      </w:r>
      <w:r w:rsidR="1159FB78">
        <w:t xml:space="preserve">add </w:t>
      </w:r>
      <w:r w:rsidR="45BF6CE0">
        <w:t xml:space="preserve">to </w:t>
      </w:r>
      <w:r w:rsidR="1159FB78">
        <w:t xml:space="preserve">public health value in terms of improved health outcomes and quality of </w:t>
      </w:r>
      <w:r w:rsidR="00621161">
        <w:t>life</w:t>
      </w:r>
      <w:r w:rsidR="1159FB78">
        <w:t xml:space="preserve"> </w:t>
      </w:r>
      <w:r w:rsidR="1E2B5125" w:rsidRPr="6F80FCDD">
        <w:rPr>
          <w:color w:val="000000" w:themeColor="text1"/>
        </w:rPr>
        <w:t xml:space="preserve">for both </w:t>
      </w:r>
      <w:r w:rsidR="0228D1E5" w:rsidRPr="6F80FCDD">
        <w:rPr>
          <w:color w:val="000000" w:themeColor="text1"/>
        </w:rPr>
        <w:t>Franciscan</w:t>
      </w:r>
      <w:r w:rsidR="1E2B5125" w:rsidRPr="6F80FCDD">
        <w:rPr>
          <w:color w:val="000000" w:themeColor="text1"/>
        </w:rPr>
        <w:t xml:space="preserve"> and </w:t>
      </w:r>
      <w:r w:rsidR="00CF6A65">
        <w:rPr>
          <w:color w:val="000000" w:themeColor="text1"/>
        </w:rPr>
        <w:t>BCH</w:t>
      </w:r>
      <w:r w:rsidR="1E2B5125" w:rsidRPr="6F80FCDD">
        <w:rPr>
          <w:color w:val="000000" w:themeColor="text1"/>
        </w:rPr>
        <w:t xml:space="preserve">’s </w:t>
      </w:r>
      <w:r w:rsidR="1159FB78">
        <w:t>Patient Panel</w:t>
      </w:r>
      <w:r w:rsidR="1E2B5125">
        <w:t>s</w:t>
      </w:r>
      <w:r w:rsidR="1159FB78">
        <w:t>.</w:t>
      </w:r>
      <w:r w:rsidR="29A2D2C1">
        <w:t xml:space="preserve"> </w:t>
      </w:r>
    </w:p>
    <w:p w14:paraId="462CDF9A" w14:textId="77777777" w:rsidR="003E2749" w:rsidRPr="00621161" w:rsidRDefault="003E2749" w:rsidP="00B31381">
      <w:pPr>
        <w:pStyle w:val="Heading1"/>
        <w:spacing w:before="0" w:line="240" w:lineRule="auto"/>
        <w:rPr>
          <w:rFonts w:ascii="Garamond" w:hAnsi="Garamond"/>
          <w:sz w:val="24"/>
          <w:szCs w:val="24"/>
        </w:rPr>
      </w:pPr>
      <w:bookmarkStart w:id="70" w:name="_Toc18922409"/>
      <w:bookmarkStart w:id="71" w:name="_Toc17151150"/>
      <w:bookmarkStart w:id="72" w:name="_Toc17322394"/>
      <w:bookmarkEnd w:id="68"/>
      <w:bookmarkEnd w:id="69"/>
    </w:p>
    <w:p w14:paraId="4E8BED05" w14:textId="79699DFB" w:rsidR="00BB7B4F" w:rsidRPr="00B13F08" w:rsidRDefault="00BB7B4F" w:rsidP="007C36FF">
      <w:pPr>
        <w:pStyle w:val="Heading1"/>
        <w:spacing w:before="0" w:line="240" w:lineRule="auto"/>
        <w:rPr>
          <w:rFonts w:asciiTheme="minorHAnsi" w:hAnsiTheme="minorHAnsi" w:cstheme="minorHAnsi"/>
        </w:rPr>
      </w:pPr>
      <w:bookmarkStart w:id="73" w:name="_Toc157428829"/>
      <w:bookmarkStart w:id="74" w:name="_Toc158218022"/>
      <w:r w:rsidRPr="00B13F08">
        <w:rPr>
          <w:rFonts w:asciiTheme="minorHAnsi" w:hAnsiTheme="minorHAnsi" w:cstheme="minorHAnsi"/>
        </w:rPr>
        <w:t>Factor 1: c) Efficiency, Continuity of Care, Coordination of Care</w:t>
      </w:r>
      <w:bookmarkStart w:id="75" w:name="_Toc17322393"/>
      <w:bookmarkStart w:id="76" w:name="_Toc17748465"/>
      <w:bookmarkEnd w:id="70"/>
      <w:bookmarkEnd w:id="73"/>
      <w:bookmarkEnd w:id="74"/>
    </w:p>
    <w:bookmarkEnd w:id="75"/>
    <w:bookmarkEnd w:id="76"/>
    <w:p w14:paraId="218EA8BD" w14:textId="73FB9E6E" w:rsidR="00B84304" w:rsidRDefault="00B84304" w:rsidP="007C36FF">
      <w:pPr>
        <w:contextualSpacing/>
      </w:pPr>
    </w:p>
    <w:p w14:paraId="7641930B" w14:textId="48B5857D" w:rsidR="00C92EEA" w:rsidRPr="00C92EEA" w:rsidRDefault="00C92EEA" w:rsidP="00A47FB8">
      <w:pPr>
        <w:spacing w:after="160"/>
        <w:rPr>
          <w:rFonts w:ascii="Calibri" w:eastAsia="Calibri" w:hAnsi="Calibri" w:cs="Calibri"/>
        </w:rPr>
      </w:pPr>
      <w:r w:rsidRPr="00A47FB8">
        <w:rPr>
          <w:rFonts w:ascii="Calibri" w:eastAsia="Calibri" w:hAnsi="Calibri" w:cs="Calibri"/>
        </w:rPr>
        <w:t>The Applicant gives examples of how Proposed Project will enable Franciscan and BCH to provide a more coordinated care delivery system that is less fragmented and operates more efficiently for their patients in the following ways:</w:t>
      </w:r>
    </w:p>
    <w:p w14:paraId="3E25296E" w14:textId="597F0B58" w:rsidR="000E10E9" w:rsidRPr="000E10E9" w:rsidRDefault="00C92EEA" w:rsidP="000E10E9">
      <w:pPr>
        <w:numPr>
          <w:ilvl w:val="0"/>
          <w:numId w:val="22"/>
        </w:numPr>
        <w:contextualSpacing/>
        <w:rPr>
          <w:rFonts w:ascii="Calibri" w:eastAsia="Calibri" w:hAnsi="Calibri" w:cs="Calibri"/>
        </w:rPr>
      </w:pPr>
      <w:r w:rsidRPr="00C92EEA">
        <w:rPr>
          <w:rFonts w:ascii="Calibri" w:eastAsia="Calibri" w:hAnsi="Calibri" w:cs="Calibri"/>
        </w:rPr>
        <w:t>The Applicant reports that implementation of an integrated electronic health record (EHR) system is in progress. The benefits of EHRs have been documented in the literature but include improvements in care coordination, diagnostics and patient outcomes, patient participation, health care quality, and practice efficiencies and cost savings.</w:t>
      </w:r>
      <w:r w:rsidR="00B73799" w:rsidRPr="00C92EEA">
        <w:rPr>
          <w:rFonts w:ascii="Calibri" w:eastAsia="Calibri" w:hAnsi="Calibri" w:cs="Calibri"/>
          <w:vertAlign w:val="superscript"/>
        </w:rPr>
        <w:endnoteReference w:id="16"/>
      </w:r>
    </w:p>
    <w:p w14:paraId="35149E80" w14:textId="786C26C5" w:rsidR="00C92EEA" w:rsidRPr="000E10E9" w:rsidRDefault="3AB72F08" w:rsidP="000E10E9">
      <w:pPr>
        <w:numPr>
          <w:ilvl w:val="0"/>
          <w:numId w:val="22"/>
        </w:numPr>
        <w:contextualSpacing/>
        <w:rPr>
          <w:rFonts w:ascii="Calibri" w:eastAsia="Calibri" w:hAnsi="Calibri" w:cs="Calibri"/>
        </w:rPr>
      </w:pPr>
      <w:r w:rsidRPr="42D5AB4D">
        <w:rPr>
          <w:rFonts w:ascii="Calibri" w:eastAsia="Calibri" w:hAnsi="Calibri" w:cs="Calibri"/>
        </w:rPr>
        <w:t xml:space="preserve">Adoption of a common EHR between BCH and Franciscan will allow providers access to clinical notes across care settings (e.g. school, inpatient, outpatient) while reducing clinician </w:t>
      </w:r>
      <w:r w:rsidRPr="000E10E9">
        <w:rPr>
          <w:rFonts w:ascii="Calibri" w:eastAsia="Calibri" w:hAnsi="Calibri" w:cs="Calibri"/>
        </w:rPr>
        <w:t xml:space="preserve">documentation burden and challenges communicating with other providers.  </w:t>
      </w:r>
    </w:p>
    <w:p w14:paraId="0D336216" w14:textId="07748C5C" w:rsidR="00C92EEA" w:rsidRPr="000E10E9" w:rsidRDefault="09311054" w:rsidP="000E10E9">
      <w:pPr>
        <w:pStyle w:val="ListParagraph"/>
        <w:numPr>
          <w:ilvl w:val="0"/>
          <w:numId w:val="22"/>
        </w:numPr>
        <w:spacing w:after="0" w:line="240" w:lineRule="auto"/>
        <w:rPr>
          <w:rFonts w:ascii="Calibri" w:eastAsia="Calibri" w:hAnsi="Calibri" w:cs="Calibri"/>
          <w:sz w:val="24"/>
          <w:szCs w:val="24"/>
        </w:rPr>
      </w:pPr>
      <w:r w:rsidRPr="000E10E9">
        <w:rPr>
          <w:rFonts w:ascii="Calibri" w:eastAsia="Calibri" w:hAnsi="Calibri" w:cs="Calibri"/>
          <w:sz w:val="24"/>
          <w:szCs w:val="24"/>
        </w:rPr>
        <w:t xml:space="preserve">BCH and Franciscan will invest in the creation of a single point of entry triage system to help families navigate the </w:t>
      </w:r>
      <w:r w:rsidR="000E10E9" w:rsidRPr="000E10E9">
        <w:rPr>
          <w:rFonts w:ascii="Calibri" w:eastAsia="Calibri" w:hAnsi="Calibri" w:cs="Calibri"/>
          <w:sz w:val="24"/>
          <w:szCs w:val="24"/>
        </w:rPr>
        <w:t xml:space="preserve">mental </w:t>
      </w:r>
      <w:r w:rsidRPr="000E10E9">
        <w:rPr>
          <w:rFonts w:ascii="Calibri" w:eastAsia="Calibri" w:hAnsi="Calibri" w:cs="Calibri"/>
          <w:sz w:val="24"/>
          <w:szCs w:val="24"/>
        </w:rPr>
        <w:t>health system and access the correct level of care and support services</w:t>
      </w:r>
      <w:r w:rsidR="7B80BB51" w:rsidRPr="000E10E9">
        <w:rPr>
          <w:rFonts w:ascii="Calibri" w:eastAsia="Calibri" w:hAnsi="Calibri" w:cs="Calibri"/>
          <w:sz w:val="24"/>
          <w:szCs w:val="24"/>
        </w:rPr>
        <w:t xml:space="preserve"> creating efficiencies for families. </w:t>
      </w:r>
      <w:r w:rsidRPr="000E10E9">
        <w:rPr>
          <w:rFonts w:ascii="Calibri" w:eastAsia="Calibri" w:hAnsi="Calibri" w:cs="Calibri"/>
          <w:sz w:val="24"/>
          <w:szCs w:val="24"/>
        </w:rPr>
        <w:t xml:space="preserve"> </w:t>
      </w:r>
    </w:p>
    <w:p w14:paraId="0746A1A4" w14:textId="77777777" w:rsidR="00C92EEA" w:rsidRPr="00C92EEA" w:rsidRDefault="09311054" w:rsidP="000E10E9">
      <w:pPr>
        <w:numPr>
          <w:ilvl w:val="0"/>
          <w:numId w:val="22"/>
        </w:numPr>
        <w:contextualSpacing/>
        <w:rPr>
          <w:rFonts w:ascii="Calibri" w:eastAsia="Calibri" w:hAnsi="Calibri" w:cs="Calibri"/>
        </w:rPr>
      </w:pPr>
      <w:r w:rsidRPr="000E10E9">
        <w:rPr>
          <w:rFonts w:ascii="Calibri" w:eastAsia="Calibri" w:hAnsi="Calibri" w:cs="Calibri"/>
        </w:rPr>
        <w:t>Part</w:t>
      </w:r>
      <w:r w:rsidRPr="6F80FCDD">
        <w:rPr>
          <w:rFonts w:ascii="Calibri" w:eastAsia="Calibri" w:hAnsi="Calibri" w:cs="Calibri"/>
        </w:rPr>
        <w:t xml:space="preserve"> of the increased focus on the school-based programs includes integration of the programs, best practice sharing, data-collection and evidence-based program enhancements, and development of unified outcome measures.</w:t>
      </w:r>
    </w:p>
    <w:bookmarkEnd w:id="71"/>
    <w:bookmarkEnd w:id="72"/>
    <w:p w14:paraId="201944B6" w14:textId="304E8E18" w:rsidR="00C92EEA" w:rsidRPr="00A47FB8" w:rsidRDefault="09311054" w:rsidP="000E10E9">
      <w:pPr>
        <w:pStyle w:val="ListParagraph"/>
        <w:numPr>
          <w:ilvl w:val="0"/>
          <w:numId w:val="22"/>
        </w:numPr>
        <w:spacing w:after="0" w:line="240" w:lineRule="auto"/>
        <w:rPr>
          <w:rFonts w:ascii="Calibri" w:eastAsia="Calibri" w:hAnsi="Calibri" w:cs="Calibri"/>
          <w:sz w:val="24"/>
          <w:szCs w:val="24"/>
        </w:rPr>
      </w:pPr>
      <w:r w:rsidRPr="6F80FCDD">
        <w:rPr>
          <w:rFonts w:ascii="Calibri" w:eastAsia="Calibri" w:hAnsi="Calibri" w:cs="Calibri"/>
          <w:sz w:val="24"/>
          <w:szCs w:val="24"/>
        </w:rPr>
        <w:t xml:space="preserve">Colocation will improve transitions among levels of care. </w:t>
      </w:r>
      <w:r w:rsidR="697FFD3D" w:rsidRPr="6F80FCDD">
        <w:rPr>
          <w:rFonts w:ascii="Calibri" w:eastAsia="Calibri" w:hAnsi="Calibri" w:cs="Calibri"/>
          <w:sz w:val="24"/>
          <w:szCs w:val="24"/>
        </w:rPr>
        <w:t xml:space="preserve">Now that the Affiliation is finalized, the Applicant is integrating Franciscan with BCH which will allow for greater coordination of care for patients and reduce fragmentation, thereby strengthening the continuum of care, and promoting efficiency. </w:t>
      </w:r>
    </w:p>
    <w:p w14:paraId="462C2F78" w14:textId="4720058E" w:rsidR="00C22A7C" w:rsidRPr="00621161" w:rsidRDefault="697FFD3D" w:rsidP="002118BE">
      <w:pPr>
        <w:pStyle w:val="ListParagraph"/>
        <w:numPr>
          <w:ilvl w:val="0"/>
          <w:numId w:val="22"/>
        </w:numPr>
        <w:spacing w:after="0" w:line="240" w:lineRule="auto"/>
      </w:pPr>
      <w:r w:rsidRPr="00621161">
        <w:rPr>
          <w:rFonts w:ascii="Calibri" w:eastAsia="Calibri" w:hAnsi="Calibri" w:cs="Calibri"/>
          <w:sz w:val="24"/>
          <w:szCs w:val="24"/>
        </w:rPr>
        <w:t xml:space="preserve">The Applicant notes the </w:t>
      </w:r>
      <w:r w:rsidR="1371DC75" w:rsidRPr="00621161">
        <w:rPr>
          <w:rFonts w:ascii="Calibri" w:eastAsia="Calibri" w:hAnsi="Calibri" w:cs="Calibri"/>
          <w:sz w:val="24"/>
          <w:szCs w:val="24"/>
        </w:rPr>
        <w:t xml:space="preserve">complicated </w:t>
      </w:r>
      <w:r w:rsidRPr="00621161">
        <w:rPr>
          <w:rFonts w:ascii="Calibri" w:eastAsia="Calibri" w:hAnsi="Calibri" w:cs="Calibri"/>
          <w:sz w:val="24"/>
          <w:szCs w:val="24"/>
        </w:rPr>
        <w:t>health care system for pediatric medically complex and pediatric mental health care is fragmented</w:t>
      </w:r>
      <w:r w:rsidR="7FC06CBC" w:rsidRPr="00621161">
        <w:rPr>
          <w:rFonts w:ascii="Calibri" w:eastAsia="Calibri" w:hAnsi="Calibri" w:cs="Calibri"/>
          <w:sz w:val="24"/>
          <w:szCs w:val="24"/>
        </w:rPr>
        <w:t>;</w:t>
      </w:r>
      <w:r w:rsidR="00970FEC" w:rsidRPr="00621161">
        <w:rPr>
          <w:rFonts w:ascii="Calibri" w:eastAsia="Calibri" w:hAnsi="Calibri" w:cs="Calibri"/>
          <w:sz w:val="24"/>
          <w:szCs w:val="24"/>
        </w:rPr>
        <w:t xml:space="preserve"> </w:t>
      </w:r>
      <w:r w:rsidRPr="00621161">
        <w:rPr>
          <w:rFonts w:ascii="Calibri" w:eastAsia="Calibri" w:hAnsi="Calibri" w:cs="Calibri"/>
          <w:sz w:val="24"/>
          <w:szCs w:val="24"/>
        </w:rPr>
        <w:t xml:space="preserve">once </w:t>
      </w:r>
      <w:r w:rsidR="1371DC75" w:rsidRPr="00621161">
        <w:rPr>
          <w:rFonts w:ascii="Calibri" w:eastAsia="Calibri" w:hAnsi="Calibri" w:cs="Calibri"/>
          <w:sz w:val="24"/>
          <w:szCs w:val="24"/>
        </w:rPr>
        <w:t xml:space="preserve">a patient is </w:t>
      </w:r>
      <w:r w:rsidRPr="00621161">
        <w:rPr>
          <w:rFonts w:ascii="Calibri" w:eastAsia="Calibri" w:hAnsi="Calibri" w:cs="Calibri"/>
          <w:sz w:val="24"/>
          <w:szCs w:val="24"/>
        </w:rPr>
        <w:t xml:space="preserve">discharged from Franciscan, </w:t>
      </w:r>
      <w:r w:rsidR="00970FEC" w:rsidRPr="00621161">
        <w:rPr>
          <w:rFonts w:ascii="Calibri" w:eastAsia="Calibri" w:hAnsi="Calibri" w:cs="Calibri"/>
          <w:sz w:val="24"/>
          <w:szCs w:val="24"/>
        </w:rPr>
        <w:t xml:space="preserve">it </w:t>
      </w:r>
      <w:r w:rsidRPr="00621161">
        <w:rPr>
          <w:rFonts w:ascii="Calibri" w:eastAsia="Calibri" w:hAnsi="Calibri" w:cs="Calibri"/>
          <w:sz w:val="24"/>
          <w:szCs w:val="24"/>
        </w:rPr>
        <w:t>is unable to track patients. Building upon BCH’s experience in operating an integrated complex pediatric delivery system, the Applicant will improve this process.</w:t>
      </w:r>
      <w:r w:rsidRPr="00621161">
        <w:rPr>
          <w:rFonts w:ascii="Calibri" w:eastAsia="Calibri" w:hAnsi="Calibri" w:cs="Calibri"/>
          <w:sz w:val="24"/>
          <w:szCs w:val="24"/>
          <w:vertAlign w:val="superscript"/>
        </w:rPr>
        <w:t xml:space="preserve"> </w:t>
      </w:r>
      <w:r w:rsidRPr="00621161">
        <w:rPr>
          <w:rFonts w:ascii="Calibri" w:eastAsia="Calibri" w:hAnsi="Calibri" w:cs="Calibri"/>
          <w:sz w:val="24"/>
          <w:szCs w:val="24"/>
        </w:rPr>
        <w:t xml:space="preserve">The Applicant is incorporating Franciscan into </w:t>
      </w:r>
      <w:r w:rsidR="166D60CE" w:rsidRPr="00621161">
        <w:rPr>
          <w:rFonts w:ascii="Calibri" w:eastAsia="Calibri" w:hAnsi="Calibri" w:cs="Calibri"/>
          <w:sz w:val="24"/>
          <w:szCs w:val="24"/>
        </w:rPr>
        <w:t xml:space="preserve">BCH’s </w:t>
      </w:r>
      <w:r w:rsidRPr="00621161">
        <w:rPr>
          <w:rFonts w:ascii="Calibri" w:eastAsia="Calibri" w:hAnsi="Calibri" w:cs="Calibri"/>
          <w:sz w:val="24"/>
          <w:szCs w:val="24"/>
        </w:rPr>
        <w:t>pediatric care network and further strengthen</w:t>
      </w:r>
      <w:r w:rsidR="5406022F" w:rsidRPr="00621161">
        <w:rPr>
          <w:rFonts w:ascii="Calibri" w:eastAsia="Calibri" w:hAnsi="Calibri" w:cs="Calibri"/>
          <w:sz w:val="24"/>
          <w:szCs w:val="24"/>
        </w:rPr>
        <w:t>ing</w:t>
      </w:r>
      <w:r w:rsidRPr="00621161">
        <w:rPr>
          <w:rFonts w:ascii="Calibri" w:eastAsia="Calibri" w:hAnsi="Calibri" w:cs="Calibri"/>
          <w:sz w:val="24"/>
          <w:szCs w:val="24"/>
        </w:rPr>
        <w:t xml:space="preserve"> linkages to build </w:t>
      </w:r>
      <w:r w:rsidR="2B44AE9B" w:rsidRPr="00621161">
        <w:rPr>
          <w:rFonts w:ascii="Calibri" w:eastAsia="Calibri" w:hAnsi="Calibri" w:cs="Calibri"/>
          <w:sz w:val="24"/>
          <w:szCs w:val="24"/>
        </w:rPr>
        <w:t>a stronger</w:t>
      </w:r>
      <w:r w:rsidRPr="00621161">
        <w:rPr>
          <w:rFonts w:ascii="Calibri" w:eastAsia="Calibri" w:hAnsi="Calibri" w:cs="Calibri"/>
          <w:sz w:val="24"/>
          <w:szCs w:val="24"/>
        </w:rPr>
        <w:t>, clinically integrated community-based provider network</w:t>
      </w:r>
      <w:r w:rsidR="5DC96FFE" w:rsidRPr="00621161">
        <w:rPr>
          <w:rFonts w:ascii="Calibri" w:eastAsia="Calibri" w:hAnsi="Calibri" w:cs="Calibri"/>
          <w:sz w:val="24"/>
          <w:szCs w:val="24"/>
        </w:rPr>
        <w:t xml:space="preserve"> along with</w:t>
      </w:r>
      <w:r w:rsidRPr="00621161">
        <w:rPr>
          <w:rFonts w:ascii="Calibri" w:eastAsia="Calibri" w:hAnsi="Calibri" w:cs="Calibri"/>
          <w:sz w:val="24"/>
          <w:szCs w:val="24"/>
        </w:rPr>
        <w:t xml:space="preserve"> other community organizations to improve the health and well-being of children and families.</w:t>
      </w:r>
    </w:p>
    <w:p w14:paraId="3E46B0E2" w14:textId="77777777" w:rsidR="00621161" w:rsidRPr="007C36FF" w:rsidRDefault="00621161" w:rsidP="00621161">
      <w:pPr>
        <w:pStyle w:val="ListParagraph"/>
        <w:spacing w:after="0" w:line="240" w:lineRule="auto"/>
        <w:ind w:left="360"/>
      </w:pPr>
    </w:p>
    <w:p w14:paraId="2825EA3C" w14:textId="77777777" w:rsidR="00C22A7C" w:rsidRPr="007C36FF" w:rsidRDefault="00C22A7C" w:rsidP="007C36FF">
      <w:pPr>
        <w:ind w:right="540"/>
        <w:contextualSpacing/>
        <w:rPr>
          <w:rFonts w:ascii="Calibri" w:eastAsia="Calibri" w:hAnsi="Calibri" w:cs="Calibri"/>
          <w:b/>
          <w:i/>
        </w:rPr>
      </w:pPr>
      <w:r w:rsidRPr="007C36FF">
        <w:rPr>
          <w:rFonts w:ascii="Calibri" w:eastAsia="Calibri" w:hAnsi="Calibri" w:cs="Calibri"/>
          <w:b/>
          <w:i/>
        </w:rPr>
        <w:lastRenderedPageBreak/>
        <w:t xml:space="preserve">Analysis </w:t>
      </w:r>
    </w:p>
    <w:p w14:paraId="5197B8E4" w14:textId="77777777" w:rsidR="00C22A7C" w:rsidRPr="007C36FF" w:rsidRDefault="00C22A7C" w:rsidP="007C36FF">
      <w:pPr>
        <w:autoSpaceDE w:val="0"/>
        <w:autoSpaceDN w:val="0"/>
        <w:adjustRightInd w:val="0"/>
        <w:rPr>
          <w:rFonts w:ascii="Calibri" w:hAnsi="Calibri" w:cs="Calibri"/>
          <w:color w:val="000000"/>
        </w:rPr>
      </w:pPr>
    </w:p>
    <w:p w14:paraId="12A18786" w14:textId="59FA38A2" w:rsidR="001E6E05" w:rsidRPr="007C36FF" w:rsidRDefault="00C22A7C" w:rsidP="007C36FF">
      <w:pPr>
        <w:autoSpaceDE w:val="0"/>
        <w:autoSpaceDN w:val="0"/>
        <w:adjustRightInd w:val="0"/>
        <w:rPr>
          <w:rFonts w:ascii="Garamond" w:hAnsi="Garamond" w:cs="Garamond"/>
          <w:color w:val="000000"/>
        </w:rPr>
      </w:pPr>
      <w:r w:rsidRPr="0566C66E">
        <w:rPr>
          <w:rFonts w:ascii="Calibri" w:hAnsi="Calibri" w:cs="Calibri"/>
          <w:color w:val="000000" w:themeColor="text1"/>
        </w:rPr>
        <w:t>Staff finds that consistent with the goals of the recently approved DoN for the affiliation of the two entities, the Applicant has sufficiently described how, as a result of the Proposed Project, improvements in care coordination and integration of systems will contribute to improving efficiency</w:t>
      </w:r>
      <w:r w:rsidR="2C8E81E6" w:rsidRPr="0566C66E">
        <w:rPr>
          <w:rFonts w:ascii="Calibri" w:hAnsi="Calibri" w:cs="Calibri"/>
          <w:color w:val="000000" w:themeColor="text1"/>
        </w:rPr>
        <w:t xml:space="preserve"> and</w:t>
      </w:r>
      <w:r w:rsidRPr="0566C66E">
        <w:rPr>
          <w:rFonts w:ascii="Calibri" w:hAnsi="Calibri" w:cs="Calibri"/>
          <w:color w:val="000000" w:themeColor="text1"/>
        </w:rPr>
        <w:t xml:space="preserve"> continuity, and </w:t>
      </w:r>
      <w:r w:rsidR="3DB8ACE8" w:rsidRPr="0566C66E">
        <w:rPr>
          <w:rFonts w:ascii="Calibri" w:hAnsi="Calibri" w:cs="Calibri"/>
          <w:color w:val="000000" w:themeColor="text1"/>
        </w:rPr>
        <w:t xml:space="preserve">also </w:t>
      </w:r>
      <w:r w:rsidRPr="0566C66E">
        <w:rPr>
          <w:rFonts w:ascii="Calibri" w:hAnsi="Calibri" w:cs="Calibri"/>
          <w:color w:val="000000" w:themeColor="text1"/>
        </w:rPr>
        <w:t>reduce fragmentation</w:t>
      </w:r>
      <w:r w:rsidR="78D69FFE" w:rsidRPr="0566C66E">
        <w:rPr>
          <w:rFonts w:ascii="Calibri" w:hAnsi="Calibri" w:cs="Calibri"/>
          <w:color w:val="000000" w:themeColor="text1"/>
        </w:rPr>
        <w:t>. These improvements will</w:t>
      </w:r>
      <w:r w:rsidRPr="0566C66E">
        <w:rPr>
          <w:rFonts w:ascii="Calibri" w:hAnsi="Calibri" w:cs="Calibri"/>
          <w:color w:val="000000" w:themeColor="text1"/>
        </w:rPr>
        <w:t xml:space="preserve"> benefit patients at both entities as well as the broader community of children needing complex medical </w:t>
      </w:r>
      <w:proofErr w:type="gramStart"/>
      <w:r w:rsidRPr="0566C66E">
        <w:rPr>
          <w:rFonts w:ascii="Calibri" w:hAnsi="Calibri" w:cs="Calibri"/>
          <w:color w:val="000000" w:themeColor="text1"/>
        </w:rPr>
        <w:t xml:space="preserve">and </w:t>
      </w:r>
      <w:r w:rsidR="00060C17">
        <w:rPr>
          <w:rFonts w:ascii="Calibri" w:hAnsi="Calibri" w:cs="Calibri"/>
          <w:color w:val="000000" w:themeColor="text1"/>
        </w:rPr>
        <w:t xml:space="preserve"> mental</w:t>
      </w:r>
      <w:proofErr w:type="gramEnd"/>
      <w:r w:rsidR="00060C17">
        <w:rPr>
          <w:rFonts w:ascii="Calibri" w:hAnsi="Calibri" w:cs="Calibri"/>
          <w:color w:val="000000" w:themeColor="text1"/>
        </w:rPr>
        <w:t xml:space="preserve"> </w:t>
      </w:r>
      <w:r w:rsidRPr="0566C66E">
        <w:rPr>
          <w:rFonts w:ascii="Calibri" w:hAnsi="Calibri" w:cs="Calibri"/>
          <w:color w:val="000000" w:themeColor="text1"/>
        </w:rPr>
        <w:t xml:space="preserve">health </w:t>
      </w:r>
      <w:r w:rsidR="432C4880" w:rsidRPr="3FAD40DC">
        <w:rPr>
          <w:rFonts w:ascii="Calibri" w:hAnsi="Calibri" w:cs="Calibri"/>
          <w:color w:val="000000" w:themeColor="text1"/>
        </w:rPr>
        <w:t>services.</w:t>
      </w:r>
    </w:p>
    <w:p w14:paraId="1E4C8B41" w14:textId="77777777" w:rsidR="00C22A7C" w:rsidRPr="007C36FF" w:rsidRDefault="00C22A7C" w:rsidP="007C36FF">
      <w:pPr>
        <w:autoSpaceDE w:val="0"/>
        <w:autoSpaceDN w:val="0"/>
        <w:adjustRightInd w:val="0"/>
        <w:rPr>
          <w:rFonts w:ascii="Garamond" w:hAnsi="Garamond" w:cs="Garamond"/>
          <w:color w:val="000000"/>
        </w:rPr>
      </w:pPr>
    </w:p>
    <w:p w14:paraId="0521E143" w14:textId="34C64F5A" w:rsidR="00E40FAA" w:rsidRDefault="00371842" w:rsidP="007C36FF">
      <w:pPr>
        <w:pStyle w:val="Heading1"/>
        <w:spacing w:before="0" w:line="240" w:lineRule="auto"/>
        <w:rPr>
          <w:rFonts w:asciiTheme="minorHAnsi" w:hAnsiTheme="minorHAnsi" w:cstheme="minorHAnsi"/>
        </w:rPr>
      </w:pPr>
      <w:bookmarkStart w:id="77" w:name="_Toc18922415"/>
      <w:bookmarkStart w:id="78" w:name="_Toc157428830"/>
      <w:bookmarkStart w:id="79" w:name="_Toc158218023"/>
      <w:r w:rsidRPr="008E54FA">
        <w:rPr>
          <w:rFonts w:asciiTheme="minorHAnsi" w:hAnsiTheme="minorHAnsi" w:cstheme="minorHAnsi"/>
        </w:rPr>
        <w:t>Factor 1: d) Consultatio</w:t>
      </w:r>
      <w:bookmarkEnd w:id="77"/>
      <w:r w:rsidR="00114B38" w:rsidRPr="008E54FA">
        <w:rPr>
          <w:rFonts w:asciiTheme="minorHAnsi" w:hAnsiTheme="minorHAnsi" w:cstheme="minorHAnsi"/>
        </w:rPr>
        <w:t>n</w:t>
      </w:r>
      <w:bookmarkEnd w:id="78"/>
      <w:bookmarkEnd w:id="79"/>
    </w:p>
    <w:p w14:paraId="42B5BE4E" w14:textId="77777777" w:rsidR="007B1DAB" w:rsidRPr="007B1DAB" w:rsidRDefault="007B1DAB" w:rsidP="007C36FF"/>
    <w:p w14:paraId="160F177F" w14:textId="44BB1542" w:rsidR="003964D0" w:rsidRDefault="00C12BBA" w:rsidP="007C36FF">
      <w:r w:rsidRPr="008E54FA">
        <w:t xml:space="preserve">The Applicant has provided evidence of consultation, both prior to and after the Filing Date, with all </w:t>
      </w:r>
      <w:r w:rsidR="00C06F05" w:rsidRPr="008E54FA">
        <w:t>government agencies that have</w:t>
      </w:r>
      <w:r w:rsidRPr="008E54FA">
        <w:t xml:space="preserve"> licensure, certification, or ot</w:t>
      </w:r>
      <w:r w:rsidR="00C06F05" w:rsidRPr="008E54FA">
        <w:t>her regulatory oversight, which has been done and will not be addressed further in this report.</w:t>
      </w:r>
      <w:bookmarkStart w:id="80" w:name="_Toc18922416"/>
    </w:p>
    <w:p w14:paraId="63D6B39C" w14:textId="77777777" w:rsidR="00F9108E" w:rsidRPr="007C36FF" w:rsidRDefault="00F9108E" w:rsidP="007C36FF">
      <w:pPr>
        <w:rPr>
          <w:rStyle w:val="Heading1Char"/>
          <w:rFonts w:asciiTheme="minorHAnsi" w:hAnsiTheme="minorHAnsi" w:cstheme="minorHAnsi"/>
          <w:b w:val="0"/>
          <w:bCs w:val="0"/>
          <w:sz w:val="24"/>
          <w:szCs w:val="24"/>
        </w:rPr>
      </w:pPr>
    </w:p>
    <w:p w14:paraId="3649F9F1" w14:textId="36673102" w:rsidR="007B1DAB" w:rsidRPr="000E10E9" w:rsidRDefault="00076B1A" w:rsidP="000E10E9">
      <w:pPr>
        <w:pStyle w:val="Heading1"/>
        <w:spacing w:before="0" w:after="240" w:line="240" w:lineRule="auto"/>
        <w:rPr>
          <w:rFonts w:asciiTheme="minorHAnsi" w:hAnsiTheme="minorHAnsi" w:cstheme="minorHAnsi"/>
        </w:rPr>
      </w:pPr>
      <w:bookmarkStart w:id="81" w:name="_Toc157428831"/>
      <w:bookmarkStart w:id="82" w:name="_Toc158218024"/>
      <w:r w:rsidRPr="00471349">
        <w:rPr>
          <w:rStyle w:val="Heading1Char"/>
          <w:rFonts w:asciiTheme="minorHAnsi" w:hAnsiTheme="minorHAnsi" w:cstheme="minorHAnsi"/>
          <w:b/>
          <w:bCs/>
        </w:rPr>
        <w:t>Factor 1: e) Evidence of Sound Community Engagement through the Patient Panel</w:t>
      </w:r>
      <w:bookmarkEnd w:id="81"/>
      <w:bookmarkEnd w:id="82"/>
    </w:p>
    <w:p w14:paraId="705387AA" w14:textId="57C97D0A" w:rsidR="00811286" w:rsidRPr="006B4932" w:rsidRDefault="655BAC20" w:rsidP="007C36FF">
      <w:pPr>
        <w:contextualSpacing/>
      </w:pPr>
      <w:r w:rsidRPr="006B4932">
        <w:rPr>
          <w:rFonts w:eastAsia="Calibri"/>
        </w:rPr>
        <w:t>The Department’s Guideline</w:t>
      </w:r>
      <w:r w:rsidR="00B73799" w:rsidRPr="006B4932">
        <w:rPr>
          <w:rFonts w:eastAsia="Calibri"/>
          <w:vertAlign w:val="superscript"/>
        </w:rPr>
        <w:endnoteReference w:id="17"/>
      </w:r>
      <w:r w:rsidR="7C4B4F30" w:rsidRPr="006B4932">
        <w:rPr>
          <w:rFonts w:eastAsia="Calibri"/>
        </w:rPr>
        <w:t xml:space="preserve"> </w:t>
      </w:r>
      <w:r w:rsidRPr="006B4932">
        <w:rPr>
          <w:rFonts w:eastAsia="Calibri"/>
        </w:rPr>
        <w:t>for community engagement defines “community” as the Patient Panel and requires that</w:t>
      </w:r>
      <w:r w:rsidR="463A19E8" w:rsidRPr="006B4932">
        <w:rPr>
          <w:rFonts w:eastAsia="Calibri"/>
        </w:rPr>
        <w:t>,</w:t>
      </w:r>
      <w:r w:rsidRPr="006B4932">
        <w:rPr>
          <w:rFonts w:eastAsia="Calibri"/>
        </w:rPr>
        <w:t xml:space="preserve"> at minimum, the Applicant must “consult” with groups representative of the Applicant</w:t>
      </w:r>
      <w:r w:rsidR="5F10DBE3" w:rsidRPr="006B4932">
        <w:rPr>
          <w:rFonts w:eastAsia="Calibri"/>
        </w:rPr>
        <w:t>’</w:t>
      </w:r>
      <w:r w:rsidRPr="006B4932">
        <w:rPr>
          <w:rFonts w:eastAsia="Calibri"/>
        </w:rPr>
        <w:t xml:space="preserve">s Patient Panel. Regulations state that </w:t>
      </w:r>
      <w:r w:rsidR="2BE9604C" w:rsidRPr="006B4932">
        <w:rPr>
          <w:rFonts w:eastAsia="Calibri"/>
        </w:rPr>
        <w:t xml:space="preserve">efforts in </w:t>
      </w:r>
      <w:r w:rsidRPr="006B4932">
        <w:rPr>
          <w:rFonts w:eastAsia="Calibri"/>
        </w:rPr>
        <w:t>such consultation</w:t>
      </w:r>
      <w:r w:rsidR="2BE9604C" w:rsidRPr="006B4932">
        <w:rPr>
          <w:rFonts w:eastAsia="Calibri"/>
        </w:rPr>
        <w:t xml:space="preserve"> should </w:t>
      </w:r>
      <w:r w:rsidRPr="006B4932">
        <w:rPr>
          <w:rFonts w:eastAsia="Calibri"/>
        </w:rPr>
        <w:t xml:space="preserve">consist of </w:t>
      </w:r>
      <w:r w:rsidR="2BE9604C" w:rsidRPr="006B4932">
        <w:rPr>
          <w:rFonts w:eastAsia="Calibri"/>
        </w:rPr>
        <w:t>engaging</w:t>
      </w:r>
      <w:r w:rsidRPr="006B4932">
        <w:rPr>
          <w:rFonts w:eastAsia="Calibri"/>
        </w:rPr>
        <w:t xml:space="preserve"> </w:t>
      </w:r>
      <w:r w:rsidRPr="006B4932">
        <w:t>“community coalition</w:t>
      </w:r>
      <w:r w:rsidR="2BE9604C" w:rsidRPr="006B4932">
        <w:t>s</w:t>
      </w:r>
      <w:r w:rsidRPr="006B4932">
        <w:t xml:space="preserve"> statistically representative of the </w:t>
      </w:r>
      <w:r w:rsidR="2BE9604C" w:rsidRPr="006B4932">
        <w:t>P</w:t>
      </w:r>
      <w:r w:rsidRPr="006B4932">
        <w:t xml:space="preserve">atient </w:t>
      </w:r>
      <w:r w:rsidR="2BE9604C" w:rsidRPr="006B4932">
        <w:t>P</w:t>
      </w:r>
      <w:r w:rsidRPr="006B4932">
        <w:t>anel.”</w:t>
      </w:r>
      <w:r w:rsidR="00B73799" w:rsidRPr="006B4932">
        <w:rPr>
          <w:vertAlign w:val="superscript"/>
        </w:rPr>
        <w:endnoteReference w:id="18"/>
      </w:r>
      <w:r w:rsidR="7C4B4F30" w:rsidRPr="006B4932">
        <w:t xml:space="preserve"> </w:t>
      </w:r>
    </w:p>
    <w:p w14:paraId="36532BC4" w14:textId="5E36902C" w:rsidR="00963E82" w:rsidRPr="006B4932" w:rsidRDefault="00963E82" w:rsidP="007C36FF">
      <w:pPr>
        <w:contextualSpacing/>
      </w:pPr>
    </w:p>
    <w:p w14:paraId="3B250F8E" w14:textId="20D4BB30" w:rsidR="006B4932" w:rsidRPr="006B4932" w:rsidRDefault="2182ED7F" w:rsidP="007C36FF">
      <w:pPr>
        <w:spacing w:after="120"/>
        <w:rPr>
          <w:rFonts w:ascii="Calibri" w:eastAsia="Calibri" w:hAnsi="Calibri" w:cs="Calibri"/>
        </w:rPr>
      </w:pPr>
      <w:r w:rsidRPr="006B4932">
        <w:rPr>
          <w:rFonts w:ascii="Calibri" w:eastAsia="Calibri" w:hAnsi="Calibri" w:cs="Calibri"/>
        </w:rPr>
        <w:t>The Applicant states that consistent with its mission, includ</w:t>
      </w:r>
      <w:r w:rsidR="56A0F66D" w:rsidRPr="6F80FCDD">
        <w:rPr>
          <w:rFonts w:ascii="Calibri" w:eastAsia="Calibri" w:hAnsi="Calibri" w:cs="Calibri"/>
        </w:rPr>
        <w:t>ing</w:t>
      </w:r>
      <w:r w:rsidRPr="006B4932">
        <w:rPr>
          <w:rFonts w:ascii="Calibri" w:eastAsia="Calibri" w:hAnsi="Calibri" w:cs="Calibri"/>
        </w:rPr>
        <w:t xml:space="preserve"> providing high quality healthcare and enhancing the health and well-being of the children and families in the local community,</w:t>
      </w:r>
      <w:r w:rsidR="006B4932" w:rsidRPr="006B4932">
        <w:rPr>
          <w:rFonts w:ascii="Calibri" w:eastAsia="Calibri" w:hAnsi="Calibri" w:cs="Calibri"/>
          <w:vertAlign w:val="superscript"/>
        </w:rPr>
        <w:footnoteReference w:id="43"/>
      </w:r>
      <w:r w:rsidRPr="006B4932">
        <w:rPr>
          <w:rFonts w:ascii="Calibri" w:eastAsia="Calibri" w:hAnsi="Calibri" w:cs="Calibri"/>
        </w:rPr>
        <w:t xml:space="preserve"> the Proposed Project is the result of the Applicant’s and </w:t>
      </w:r>
      <w:r w:rsidR="2DE6DC4B">
        <w:rPr>
          <w:rFonts w:ascii="Calibri" w:eastAsia="Calibri" w:hAnsi="Calibri" w:cs="Calibri"/>
        </w:rPr>
        <w:t>Franciscan</w:t>
      </w:r>
      <w:r w:rsidRPr="006B4932">
        <w:rPr>
          <w:rFonts w:ascii="Calibri" w:eastAsia="Calibri" w:hAnsi="Calibri" w:cs="Calibri"/>
        </w:rPr>
        <w:t xml:space="preserve">’s continuous efforts to address the ongoing pediatric mental health care crisis and access to services for medically complex children. </w:t>
      </w:r>
    </w:p>
    <w:p w14:paraId="015B4CDA" w14:textId="4BEFDFDA" w:rsidR="006B4932" w:rsidRDefault="006B4932" w:rsidP="007C36FF">
      <w:pPr>
        <w:rPr>
          <w:rFonts w:ascii="Calibri" w:eastAsia="Calibri" w:hAnsi="Calibri" w:cs="Calibri"/>
        </w:rPr>
      </w:pPr>
      <w:r w:rsidRPr="006B4932">
        <w:rPr>
          <w:rFonts w:ascii="Calibri" w:eastAsia="Calibri" w:hAnsi="Calibri" w:cs="Calibri"/>
        </w:rPr>
        <w:t xml:space="preserve">To inform and consult the community about the Proposed Project, the Applicant and </w:t>
      </w:r>
      <w:r w:rsidR="00AB1D61">
        <w:rPr>
          <w:rFonts w:ascii="Calibri" w:eastAsia="Calibri" w:hAnsi="Calibri" w:cs="Calibri"/>
        </w:rPr>
        <w:t>Franciscan</w:t>
      </w:r>
      <w:r w:rsidRPr="006B4932">
        <w:rPr>
          <w:rFonts w:ascii="Calibri" w:eastAsia="Calibri" w:hAnsi="Calibri" w:cs="Calibri"/>
        </w:rPr>
        <w:t xml:space="preserve"> have sought to engage the patient panels, family members, community members, and local stakeholders that may be impacted by the Proposed Project.</w:t>
      </w:r>
      <w:r>
        <w:rPr>
          <w:rFonts w:ascii="Calibri" w:eastAsia="Calibri" w:hAnsi="Calibri" w:cs="Calibri"/>
        </w:rPr>
        <w:t xml:space="preserve"> </w:t>
      </w:r>
      <w:r w:rsidRPr="006B4932">
        <w:rPr>
          <w:rFonts w:ascii="Calibri" w:eastAsia="Calibri" w:hAnsi="Calibri" w:cs="Calibri"/>
        </w:rPr>
        <w:t xml:space="preserve">Community engagement occurred through various initiatives including: </w:t>
      </w:r>
    </w:p>
    <w:p w14:paraId="4D267301" w14:textId="0F30CC9C" w:rsidR="006B4932" w:rsidRPr="00DC561A" w:rsidRDefault="2182ED7F" w:rsidP="007F1D38">
      <w:pPr>
        <w:pStyle w:val="ListParagraph"/>
        <w:numPr>
          <w:ilvl w:val="0"/>
          <w:numId w:val="18"/>
        </w:numPr>
        <w:spacing w:line="240" w:lineRule="auto"/>
        <w:rPr>
          <w:rFonts w:ascii="Calibri" w:eastAsia="Calibri" w:hAnsi="Calibri" w:cs="Calibri"/>
          <w:i/>
          <w:sz w:val="24"/>
          <w:szCs w:val="24"/>
        </w:rPr>
      </w:pPr>
      <w:r w:rsidRPr="00DC561A">
        <w:rPr>
          <w:rFonts w:ascii="Calibri" w:eastAsia="Calibri" w:hAnsi="Calibri" w:cs="Calibri"/>
          <w:sz w:val="24"/>
          <w:szCs w:val="24"/>
        </w:rPr>
        <w:t>Outreach to its BCH’s Family Advisory Council</w:t>
      </w:r>
      <w:r w:rsidR="006B4932" w:rsidRPr="6AAE0FE4">
        <w:rPr>
          <w:sz w:val="24"/>
          <w:szCs w:val="24"/>
          <w:vertAlign w:val="superscript"/>
        </w:rPr>
        <w:footnoteReference w:id="44"/>
      </w:r>
      <w:r w:rsidRPr="00DC561A">
        <w:rPr>
          <w:rFonts w:ascii="Calibri" w:eastAsia="Calibri" w:hAnsi="Calibri" w:cs="Calibri"/>
          <w:sz w:val="24"/>
          <w:szCs w:val="24"/>
        </w:rPr>
        <w:t xml:space="preserve"> (“FAC”) and to </w:t>
      </w:r>
      <w:r w:rsidR="2DE6DC4B" w:rsidRPr="00DC561A">
        <w:rPr>
          <w:rFonts w:ascii="Calibri" w:eastAsia="Calibri" w:hAnsi="Calibri" w:cs="Calibri"/>
          <w:sz w:val="24"/>
          <w:szCs w:val="24"/>
        </w:rPr>
        <w:t>Franciscan</w:t>
      </w:r>
      <w:r w:rsidRPr="00DC561A">
        <w:rPr>
          <w:rFonts w:ascii="Calibri" w:eastAsia="Calibri" w:hAnsi="Calibri" w:cs="Calibri"/>
          <w:sz w:val="24"/>
          <w:szCs w:val="24"/>
        </w:rPr>
        <w:t>’s Patient Family Advisory Council</w:t>
      </w:r>
      <w:r w:rsidR="006B4932" w:rsidRPr="6AAE0FE4">
        <w:rPr>
          <w:sz w:val="24"/>
          <w:szCs w:val="24"/>
          <w:vertAlign w:val="superscript"/>
        </w:rPr>
        <w:footnoteReference w:id="45"/>
      </w:r>
      <w:r w:rsidRPr="00DC561A">
        <w:rPr>
          <w:rFonts w:ascii="Calibri" w:eastAsia="Calibri" w:hAnsi="Calibri" w:cs="Calibri"/>
          <w:sz w:val="24"/>
          <w:szCs w:val="24"/>
        </w:rPr>
        <w:t xml:space="preserve"> (“PFAC”) where each held a meeting to discuss the need for and programming that would/could result from the Proposed Project; feedback was positive for both meetings.</w:t>
      </w:r>
      <w:r w:rsidR="006B4932" w:rsidRPr="6AAE0FE4">
        <w:rPr>
          <w:sz w:val="24"/>
          <w:szCs w:val="24"/>
          <w:vertAlign w:val="superscript"/>
        </w:rPr>
        <w:footnoteReference w:id="46"/>
      </w:r>
    </w:p>
    <w:p w14:paraId="1E8BF715" w14:textId="15E0E10B" w:rsidR="006B4932" w:rsidRDefault="006B4932" w:rsidP="00621161">
      <w:pPr>
        <w:numPr>
          <w:ilvl w:val="0"/>
          <w:numId w:val="10"/>
        </w:numPr>
        <w:contextualSpacing/>
        <w:rPr>
          <w:rFonts w:ascii="Calibri" w:eastAsia="Calibri" w:hAnsi="Calibri" w:cs="Calibri"/>
        </w:rPr>
      </w:pPr>
      <w:r w:rsidRPr="006B4932">
        <w:rPr>
          <w:rFonts w:ascii="Calibri" w:eastAsia="Calibri" w:hAnsi="Calibri" w:cs="Calibri"/>
        </w:rPr>
        <w:lastRenderedPageBreak/>
        <w:t>Ongoing discussions with key community stakeholders, patient advocates, and thought leaders, including but not limited to:</w:t>
      </w:r>
    </w:p>
    <w:p w14:paraId="222ABDCA" w14:textId="77777777" w:rsidR="007C36FF" w:rsidRPr="007C36FF" w:rsidRDefault="007C36FF" w:rsidP="00621161">
      <w:pPr>
        <w:ind w:left="720"/>
        <w:contextualSpacing/>
        <w:rPr>
          <w:rFonts w:ascii="Calibri" w:eastAsia="Calibri" w:hAnsi="Calibri" w:cs="Calibri"/>
        </w:rPr>
      </w:pPr>
    </w:p>
    <w:p w14:paraId="7A92B5D2"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 xml:space="preserve">Children’s Hospital Association; </w:t>
      </w:r>
    </w:p>
    <w:p w14:paraId="69562748"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Children’s Mental Health Campaign;</w:t>
      </w:r>
    </w:p>
    <w:p w14:paraId="292DE7E0"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 xml:space="preserve">Federation for Children with Special Health Care Needs/Family Voices; </w:t>
      </w:r>
    </w:p>
    <w:p w14:paraId="6125335F"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 xml:space="preserve">Parent/Professional Advocacy League; </w:t>
      </w:r>
    </w:p>
    <w:p w14:paraId="6B30A9C9"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 xml:space="preserve">Massachusetts Association of Behavioral Health Systems; </w:t>
      </w:r>
    </w:p>
    <w:p w14:paraId="44EE81E6"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 xml:space="preserve">Health Care for All; </w:t>
      </w:r>
    </w:p>
    <w:p w14:paraId="0CFA3464"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Health Law Advocates;</w:t>
      </w:r>
    </w:p>
    <w:p w14:paraId="75B8A004"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The Massachusetts Society for the Prevention of Cruelty to Children;</w:t>
      </w:r>
    </w:p>
    <w:p w14:paraId="46DFA26D"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 xml:space="preserve">Allston-Brighton Health Collaborative; </w:t>
      </w:r>
    </w:p>
    <w:p w14:paraId="0C671BDF"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Allston-Brighton Substance Use Task Force;</w:t>
      </w:r>
    </w:p>
    <w:p w14:paraId="6AA4FF8B"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Massachusetts Hospital Association;</w:t>
      </w:r>
    </w:p>
    <w:p w14:paraId="56EC66EA" w14:textId="77777777" w:rsidR="006B4932" w:rsidRPr="006B4932" w:rsidRDefault="006B4932" w:rsidP="00621161">
      <w:pPr>
        <w:numPr>
          <w:ilvl w:val="0"/>
          <w:numId w:val="12"/>
        </w:numPr>
        <w:ind w:left="990" w:hanging="270"/>
        <w:rPr>
          <w:rFonts w:ascii="Calibri" w:eastAsia="Calibri" w:hAnsi="Calibri" w:cs="Calibri"/>
        </w:rPr>
      </w:pPr>
      <w:r w:rsidRPr="006B4932">
        <w:rPr>
          <w:rFonts w:ascii="Calibri" w:eastAsia="Calibri" w:hAnsi="Calibri" w:cs="Calibri"/>
        </w:rPr>
        <w:t xml:space="preserve">Massachusetts Association for Behavioral Health Systems. </w:t>
      </w:r>
    </w:p>
    <w:p w14:paraId="79CE07E8" w14:textId="10674921" w:rsidR="006B4932" w:rsidRPr="006B4932" w:rsidRDefault="07900169" w:rsidP="00621161">
      <w:pPr>
        <w:numPr>
          <w:ilvl w:val="0"/>
          <w:numId w:val="11"/>
        </w:numPr>
        <w:contextualSpacing/>
        <w:rPr>
          <w:rFonts w:ascii="Calibri" w:eastAsia="Calibri" w:hAnsi="Calibri" w:cs="Calibri"/>
        </w:rPr>
      </w:pPr>
      <w:r w:rsidRPr="6F80FCDD">
        <w:rPr>
          <w:rFonts w:ascii="Calibri" w:eastAsia="Calibri" w:hAnsi="Calibri" w:cs="Calibri"/>
        </w:rPr>
        <w:t>General</w:t>
      </w:r>
      <w:r w:rsidR="2182ED7F" w:rsidRPr="006B4932">
        <w:rPr>
          <w:rFonts w:ascii="Calibri" w:eastAsia="Calibri" w:hAnsi="Calibri" w:cs="Calibri"/>
        </w:rPr>
        <w:t xml:space="preserve"> outreach to numerous community, professional, and civic organizations.</w:t>
      </w:r>
      <w:r w:rsidR="006B4932" w:rsidRPr="006B4932">
        <w:rPr>
          <w:rFonts w:ascii="Calibri" w:eastAsia="Calibri" w:hAnsi="Calibri" w:cs="Calibri"/>
          <w:vertAlign w:val="superscript"/>
        </w:rPr>
        <w:footnoteReference w:id="47"/>
      </w:r>
    </w:p>
    <w:p w14:paraId="70123CAD" w14:textId="2E929590" w:rsidR="006B4932" w:rsidRPr="006B4932" w:rsidRDefault="00846CB2" w:rsidP="00621161">
      <w:pPr>
        <w:numPr>
          <w:ilvl w:val="0"/>
          <w:numId w:val="11"/>
        </w:numPr>
        <w:contextualSpacing/>
        <w:rPr>
          <w:rFonts w:ascii="Calibri" w:eastAsia="Calibri" w:hAnsi="Calibri" w:cs="Calibri"/>
        </w:rPr>
      </w:pPr>
      <w:r>
        <w:rPr>
          <w:rFonts w:ascii="Calibri" w:eastAsia="Calibri" w:hAnsi="Calibri" w:cs="Calibri"/>
        </w:rPr>
        <w:t>Consultation</w:t>
      </w:r>
      <w:r w:rsidR="006B4932" w:rsidRPr="006B4932">
        <w:rPr>
          <w:rFonts w:ascii="Calibri" w:eastAsia="Calibri" w:hAnsi="Calibri" w:cs="Calibri"/>
        </w:rPr>
        <w:t xml:space="preserve"> with senior physician leaders, state and local agencies and officials, other providers and provider organizations, community groups, specialty disease and advocacy groups, and patient groups.</w:t>
      </w:r>
      <w:r w:rsidR="00EA1197">
        <w:rPr>
          <w:rFonts w:ascii="Calibri" w:eastAsia="Calibri" w:hAnsi="Calibri" w:cs="Calibri"/>
        </w:rPr>
        <w:t xml:space="preserve"> </w:t>
      </w:r>
    </w:p>
    <w:p w14:paraId="06AE9A2F" w14:textId="77777777" w:rsidR="006B4932" w:rsidRPr="006B4932" w:rsidRDefault="006B4932" w:rsidP="007C36FF">
      <w:pPr>
        <w:ind w:left="720"/>
        <w:contextualSpacing/>
        <w:rPr>
          <w:rFonts w:ascii="Calibri" w:eastAsia="Calibri" w:hAnsi="Calibri" w:cs="Calibri"/>
        </w:rPr>
      </w:pPr>
    </w:p>
    <w:p w14:paraId="0D8F54A1" w14:textId="6FD12186" w:rsidR="006B4932" w:rsidRPr="006B4932" w:rsidRDefault="006B4932" w:rsidP="007C36FF">
      <w:pPr>
        <w:spacing w:after="160"/>
        <w:rPr>
          <w:rFonts w:eastAsia="Calibri"/>
        </w:rPr>
      </w:pPr>
      <w:r w:rsidRPr="006B4932">
        <w:rPr>
          <w:rFonts w:ascii="Calibri" w:eastAsia="Calibri" w:hAnsi="Calibri" w:cs="Calibri"/>
        </w:rPr>
        <w:t>The Applicant asserts that f</w:t>
      </w:r>
      <w:r w:rsidRPr="00270D0B">
        <w:rPr>
          <w:rFonts w:ascii="Calibri" w:eastAsia="Calibri" w:hAnsi="Calibri" w:cs="Calibri"/>
        </w:rPr>
        <w:t xml:space="preserve">ollowing </w:t>
      </w:r>
      <w:r w:rsidRPr="006B4932">
        <w:rPr>
          <w:rFonts w:ascii="Calibri" w:eastAsia="Calibri" w:hAnsi="Calibri" w:cs="Calibri"/>
        </w:rPr>
        <w:t>DoN</w:t>
      </w:r>
      <w:r w:rsidR="007C36FF">
        <w:rPr>
          <w:rFonts w:ascii="Calibri" w:eastAsia="Calibri" w:hAnsi="Calibri" w:cs="Calibri"/>
        </w:rPr>
        <w:t xml:space="preserve"> approval</w:t>
      </w:r>
      <w:r w:rsidRPr="00270D0B">
        <w:rPr>
          <w:rFonts w:ascii="Calibri" w:eastAsia="Calibri" w:hAnsi="Calibri" w:cs="Calibri"/>
        </w:rPr>
        <w:t xml:space="preserve">, </w:t>
      </w:r>
      <w:r w:rsidR="00621161">
        <w:rPr>
          <w:rFonts w:ascii="Calibri" w:eastAsia="Calibri" w:hAnsi="Calibri" w:cs="Calibri"/>
        </w:rPr>
        <w:t xml:space="preserve">it </w:t>
      </w:r>
      <w:r w:rsidRPr="00270D0B">
        <w:rPr>
          <w:rFonts w:ascii="Calibri" w:eastAsia="Calibri" w:hAnsi="Calibri" w:cs="Calibri"/>
        </w:rPr>
        <w:t>plans to continue and expand outreach efforts regarding the Proposed Project to other neighborhoods in Boston and Brighton, as well as throughout the Commonwealth.</w:t>
      </w:r>
    </w:p>
    <w:bookmarkEnd w:id="80"/>
    <w:p w14:paraId="2730A298" w14:textId="5C5E10EF" w:rsidR="00C06F05" w:rsidRPr="006B4932" w:rsidRDefault="00C06F05" w:rsidP="007C36FF">
      <w:pPr>
        <w:contextualSpacing/>
        <w:rPr>
          <w:b/>
          <w:i/>
        </w:rPr>
      </w:pPr>
      <w:r w:rsidRPr="006B4932">
        <w:rPr>
          <w:b/>
          <w:i/>
        </w:rPr>
        <w:t>Analysis</w:t>
      </w:r>
    </w:p>
    <w:p w14:paraId="1FBC7EDD" w14:textId="77777777" w:rsidR="00471349" w:rsidRPr="00625D4E" w:rsidRDefault="00471349" w:rsidP="007C36FF">
      <w:pPr>
        <w:contextualSpacing/>
        <w:rPr>
          <w:bCs/>
          <w:iCs/>
        </w:rPr>
      </w:pPr>
    </w:p>
    <w:p w14:paraId="67C38906" w14:textId="4494953F" w:rsidR="008916DE" w:rsidRPr="00471349" w:rsidRDefault="008916DE" w:rsidP="007C36FF">
      <w:pPr>
        <w:autoSpaceDE w:val="0"/>
        <w:autoSpaceDN w:val="0"/>
        <w:adjustRightInd w:val="0"/>
        <w:rPr>
          <w:color w:val="000000"/>
        </w:rPr>
      </w:pPr>
      <w:r w:rsidRPr="006B4932">
        <w:rPr>
          <w:color w:val="000000"/>
        </w:rPr>
        <w:t xml:space="preserve">Staff reviewed the information on the Applicant’s community engagement and </w:t>
      </w:r>
      <w:proofErr w:type="gramStart"/>
      <w:r w:rsidRPr="006B4932">
        <w:rPr>
          <w:color w:val="000000"/>
        </w:rPr>
        <w:t>finds</w:t>
      </w:r>
      <w:proofErr w:type="gramEnd"/>
      <w:r w:rsidRPr="006B4932">
        <w:rPr>
          <w:color w:val="000000"/>
        </w:rPr>
        <w:t xml:space="preserve"> that </w:t>
      </w:r>
      <w:r w:rsidR="00625D4E">
        <w:rPr>
          <w:color w:val="000000"/>
        </w:rPr>
        <w:t xml:space="preserve">it </w:t>
      </w:r>
      <w:r w:rsidRPr="006B4932">
        <w:rPr>
          <w:color w:val="000000"/>
        </w:rPr>
        <w:t>has met the required community engagement standard of Consult in the planning phase of the Proposed Project.</w:t>
      </w:r>
      <w:r w:rsidR="008A0BBF" w:rsidRPr="00471349">
        <w:rPr>
          <w:color w:val="000000"/>
        </w:rPr>
        <w:t xml:space="preserve"> </w:t>
      </w:r>
    </w:p>
    <w:p w14:paraId="631BC88E" w14:textId="77777777" w:rsidR="003964D0" w:rsidRDefault="003964D0" w:rsidP="00B31381">
      <w:bookmarkStart w:id="83" w:name="_Toc18922417"/>
      <w:bookmarkStart w:id="84" w:name="_Toc17322399"/>
    </w:p>
    <w:p w14:paraId="4A960CCB" w14:textId="2D4F8D5F" w:rsidR="00E40FAA" w:rsidRDefault="00E40FAA" w:rsidP="00B31381">
      <w:pPr>
        <w:pStyle w:val="Heading1"/>
        <w:spacing w:before="0" w:line="240" w:lineRule="auto"/>
        <w:rPr>
          <w:rFonts w:asciiTheme="minorHAnsi" w:hAnsiTheme="minorHAnsi" w:cstheme="minorBidi"/>
        </w:rPr>
      </w:pPr>
      <w:bookmarkStart w:id="85" w:name="_Toc157428832"/>
      <w:bookmarkStart w:id="86" w:name="_Toc158218025"/>
      <w:r w:rsidRPr="4116F90D">
        <w:rPr>
          <w:rFonts w:asciiTheme="minorHAnsi" w:hAnsiTheme="minorHAnsi" w:cstheme="minorBidi"/>
        </w:rPr>
        <w:t xml:space="preserve">Factor 1: f) Competition </w:t>
      </w:r>
      <w:r w:rsidR="00471349" w:rsidRPr="4116F90D">
        <w:rPr>
          <w:rFonts w:asciiTheme="minorHAnsi" w:hAnsiTheme="minorHAnsi" w:cstheme="minorBidi"/>
        </w:rPr>
        <w:t>on Price, Total Medical Expenses (</w:t>
      </w:r>
      <w:r w:rsidR="00371842" w:rsidRPr="4116F90D">
        <w:rPr>
          <w:rFonts w:asciiTheme="minorHAnsi" w:hAnsiTheme="minorHAnsi" w:cstheme="minorBidi"/>
        </w:rPr>
        <w:t>TME</w:t>
      </w:r>
      <w:r w:rsidR="00471349" w:rsidRPr="4116F90D">
        <w:rPr>
          <w:rFonts w:asciiTheme="minorHAnsi" w:hAnsiTheme="minorHAnsi" w:cstheme="minorBidi"/>
        </w:rPr>
        <w:t>), Costs and Other Measures of Health Care Spending</w:t>
      </w:r>
      <w:bookmarkEnd w:id="83"/>
      <w:bookmarkEnd w:id="85"/>
      <w:bookmarkEnd w:id="86"/>
    </w:p>
    <w:p w14:paraId="6F99E953" w14:textId="77777777" w:rsidR="00471349" w:rsidRPr="00471349" w:rsidRDefault="00471349" w:rsidP="00B31381"/>
    <w:bookmarkEnd w:id="84"/>
    <w:p w14:paraId="0801E6F5" w14:textId="22C136DD" w:rsidR="00550940" w:rsidRPr="007C36FF" w:rsidRDefault="00550940" w:rsidP="003E1F6D">
      <w:pPr>
        <w:rPr>
          <w:rFonts w:ascii="Calibri" w:eastAsia="Calibri" w:hAnsi="Calibri" w:cs="Calibri"/>
        </w:rPr>
      </w:pPr>
      <w:r w:rsidRPr="007C36FF">
        <w:rPr>
          <w:rFonts w:ascii="Calibri" w:eastAsia="Calibri" w:hAnsi="Calibri" w:cs="Calibri"/>
        </w:rPr>
        <w:t>The Applicant asserts the Proposed Project will compete on the basis of price, total medical expenses ("TME"), provider costs, and other recognized measures of health care spending, and will meaningfully contribute to Massachusetts' goals for cost containment in several ways.</w:t>
      </w:r>
      <w:r w:rsidR="000C5A0F" w:rsidRPr="007C36FF">
        <w:rPr>
          <w:rFonts w:ascii="Calibri" w:eastAsia="Calibri" w:hAnsi="Calibri" w:cs="Calibri"/>
        </w:rPr>
        <w:t xml:space="preserve"> </w:t>
      </w:r>
    </w:p>
    <w:p w14:paraId="55179BFC" w14:textId="79C605E3" w:rsidR="00550940" w:rsidRPr="003E1F6D" w:rsidRDefault="2AE420E6" w:rsidP="007F1D38">
      <w:pPr>
        <w:numPr>
          <w:ilvl w:val="0"/>
          <w:numId w:val="13"/>
        </w:numPr>
        <w:spacing w:after="160"/>
        <w:contextualSpacing/>
        <w:rPr>
          <w:rFonts w:ascii="Calibri" w:eastAsia="Calibri" w:hAnsi="Calibri" w:cs="Calibri"/>
        </w:rPr>
      </w:pPr>
      <w:r w:rsidRPr="6F80FCDD">
        <w:rPr>
          <w:rFonts w:ascii="Calibri" w:eastAsia="Calibri" w:hAnsi="Calibri" w:cs="Calibri"/>
        </w:rPr>
        <w:t xml:space="preserve">The Proposed Project will enable the </w:t>
      </w:r>
      <w:bookmarkStart w:id="87" w:name="_9kMHG5YVt4886AJRG2ztleqAytxQu"/>
      <w:r w:rsidRPr="6F80FCDD">
        <w:rPr>
          <w:rFonts w:ascii="Calibri" w:eastAsia="Calibri" w:hAnsi="Calibri" w:cs="Calibri"/>
        </w:rPr>
        <w:t xml:space="preserve">Applicant </w:t>
      </w:r>
      <w:bookmarkEnd w:id="87"/>
      <w:r w:rsidR="57C3E28B" w:rsidRPr="6F80FCDD">
        <w:rPr>
          <w:rFonts w:ascii="Calibri" w:eastAsia="Calibri" w:hAnsi="Calibri" w:cs="Calibri"/>
        </w:rPr>
        <w:t xml:space="preserve">to </w:t>
      </w:r>
      <w:r w:rsidR="0A8E593B" w:rsidRPr="6F80FCDD">
        <w:rPr>
          <w:rFonts w:ascii="Calibri" w:eastAsia="Calibri" w:hAnsi="Calibri" w:cs="Calibri"/>
        </w:rPr>
        <w:t>fully utilize</w:t>
      </w:r>
      <w:r w:rsidR="08283812" w:rsidRPr="6F80FCDD">
        <w:rPr>
          <w:rFonts w:ascii="Calibri" w:eastAsia="Calibri" w:hAnsi="Calibri" w:cs="Calibri"/>
        </w:rPr>
        <w:t xml:space="preserve"> existing </w:t>
      </w:r>
      <w:r w:rsidR="00DC561A">
        <w:rPr>
          <w:rFonts w:ascii="Calibri" w:eastAsia="Calibri" w:hAnsi="Calibri" w:cs="Calibri"/>
        </w:rPr>
        <w:t xml:space="preserve">licensed </w:t>
      </w:r>
      <w:r w:rsidR="00DC561A" w:rsidRPr="00060C17">
        <w:rPr>
          <w:rFonts w:ascii="Calibri" w:eastAsia="Calibri" w:hAnsi="Calibri" w:cs="Calibri"/>
          <w:i/>
          <w:iCs/>
        </w:rPr>
        <w:t xml:space="preserve">but not operational </w:t>
      </w:r>
      <w:r w:rsidR="08283812" w:rsidRPr="00060C17">
        <w:rPr>
          <w:rFonts w:ascii="Calibri" w:eastAsia="Calibri" w:hAnsi="Calibri" w:cs="Calibri"/>
          <w:i/>
          <w:iCs/>
        </w:rPr>
        <w:t>capacity</w:t>
      </w:r>
      <w:r w:rsidR="08283812" w:rsidRPr="6F80FCDD">
        <w:rPr>
          <w:rFonts w:ascii="Calibri" w:eastAsia="Calibri" w:hAnsi="Calibri" w:cs="Calibri"/>
        </w:rPr>
        <w:t xml:space="preserve"> and</w:t>
      </w:r>
      <w:r w:rsidR="57C3E28B" w:rsidRPr="6F80FCDD">
        <w:rPr>
          <w:rFonts w:ascii="Calibri" w:eastAsia="Calibri" w:hAnsi="Calibri" w:cs="Calibri"/>
        </w:rPr>
        <w:t xml:space="preserve"> </w:t>
      </w:r>
      <w:r w:rsidRPr="6F80FCDD">
        <w:rPr>
          <w:rFonts w:ascii="Calibri" w:eastAsia="Calibri" w:hAnsi="Calibri" w:cs="Calibri"/>
        </w:rPr>
        <w:t xml:space="preserve">add </w:t>
      </w:r>
      <w:r w:rsidR="16875B48" w:rsidRPr="6F80FCDD">
        <w:rPr>
          <w:rFonts w:ascii="Calibri" w:eastAsia="Calibri" w:hAnsi="Calibri" w:cs="Calibri"/>
        </w:rPr>
        <w:t xml:space="preserve">needed </w:t>
      </w:r>
      <w:r w:rsidRPr="6F80FCDD">
        <w:rPr>
          <w:rFonts w:ascii="Calibri" w:eastAsia="Calibri" w:hAnsi="Calibri" w:cs="Calibri"/>
        </w:rPr>
        <w:t xml:space="preserve">capacity to the </w:t>
      </w:r>
      <w:r w:rsidR="00060C17">
        <w:rPr>
          <w:rFonts w:ascii="Calibri" w:eastAsia="Calibri" w:hAnsi="Calibri" w:cs="Calibri"/>
        </w:rPr>
        <w:t xml:space="preserve">mental </w:t>
      </w:r>
      <w:r w:rsidR="16875B48" w:rsidRPr="6F80FCDD">
        <w:rPr>
          <w:rFonts w:ascii="Calibri" w:eastAsia="Calibri" w:hAnsi="Calibri" w:cs="Calibri"/>
        </w:rPr>
        <w:t>h</w:t>
      </w:r>
      <w:r w:rsidRPr="6F80FCDD">
        <w:rPr>
          <w:rFonts w:ascii="Calibri" w:eastAsia="Calibri" w:hAnsi="Calibri" w:cs="Calibri"/>
        </w:rPr>
        <w:t xml:space="preserve">ealth care system across the health care continuum in pursuit of reducing the number of children who present in a state of mental health crisis in emergency rooms and spend days waiting for </w:t>
      </w:r>
      <w:r w:rsidR="16875B48" w:rsidRPr="6F80FCDD">
        <w:rPr>
          <w:rFonts w:ascii="Calibri" w:eastAsia="Calibri" w:hAnsi="Calibri" w:cs="Calibri"/>
        </w:rPr>
        <w:t xml:space="preserve">an appropriate placement, </w:t>
      </w:r>
      <w:r w:rsidR="2FCB3DB7" w:rsidRPr="6F80FCDD">
        <w:rPr>
          <w:rFonts w:ascii="Calibri" w:eastAsia="Calibri" w:hAnsi="Calibri" w:cs="Calibri"/>
        </w:rPr>
        <w:t>which expends resources without delivering substantial therapeutic care.</w:t>
      </w:r>
    </w:p>
    <w:p w14:paraId="3C326533" w14:textId="26EE2A85" w:rsidR="00114CA0" w:rsidRPr="003E1F6D" w:rsidRDefault="00550940" w:rsidP="007F1D38">
      <w:pPr>
        <w:numPr>
          <w:ilvl w:val="0"/>
          <w:numId w:val="19"/>
        </w:numPr>
        <w:spacing w:after="160"/>
        <w:contextualSpacing/>
        <w:rPr>
          <w:rFonts w:ascii="Calibri" w:eastAsia="Calibri" w:hAnsi="Calibri" w:cs="Calibri"/>
        </w:rPr>
      </w:pPr>
      <w:r w:rsidRPr="003E1F6D">
        <w:rPr>
          <w:rFonts w:ascii="Calibri" w:eastAsia="Calibri" w:hAnsi="Calibri" w:cs="Calibri"/>
        </w:rPr>
        <w:lastRenderedPageBreak/>
        <w:t xml:space="preserve">There are positive financial and clinical impacts associated with providing timely access to care and moving patients from the resource-intensive acute care settings to rehabilitative and mental health settings. </w:t>
      </w:r>
      <w:r w:rsidR="00596170" w:rsidRPr="003E1F6D">
        <w:rPr>
          <w:rFonts w:ascii="Calibri" w:eastAsia="Calibri" w:hAnsi="Calibri" w:cs="Calibri"/>
        </w:rPr>
        <w:t xml:space="preserve">As noted herein, the Applicant reports that BCH has ~5 </w:t>
      </w:r>
      <w:r w:rsidR="00F46DE3" w:rsidRPr="003E1F6D">
        <w:rPr>
          <w:rFonts w:ascii="Calibri" w:eastAsia="Calibri" w:hAnsi="Calibri" w:cs="Calibri"/>
        </w:rPr>
        <w:t xml:space="preserve">medical rehabilitation </w:t>
      </w:r>
      <w:r w:rsidR="00596170" w:rsidRPr="003E1F6D">
        <w:rPr>
          <w:rFonts w:ascii="Calibri" w:eastAsia="Calibri" w:hAnsi="Calibri" w:cs="Calibri"/>
        </w:rPr>
        <w:t>pediatric patients on a given day who do not require acute care.</w:t>
      </w:r>
      <w:r w:rsidR="00114CA0" w:rsidRPr="003E1F6D">
        <w:rPr>
          <w:rFonts w:ascii="Calibri" w:eastAsia="Calibri" w:hAnsi="Calibri" w:cs="Calibri"/>
        </w:rPr>
        <w:t xml:space="preserve"> The new facility will </w:t>
      </w:r>
      <w:r w:rsidR="00F46DE3" w:rsidRPr="003E1F6D">
        <w:rPr>
          <w:rFonts w:ascii="Calibri" w:eastAsia="Calibri" w:hAnsi="Calibri" w:cs="Calibri"/>
        </w:rPr>
        <w:t xml:space="preserve">improve patient flow and </w:t>
      </w:r>
      <w:r w:rsidR="00114CA0" w:rsidRPr="003E1F6D">
        <w:rPr>
          <w:rFonts w:ascii="Calibri" w:eastAsia="Calibri" w:hAnsi="Calibri" w:cs="Calibri"/>
        </w:rPr>
        <w:t xml:space="preserve">allow for operational efficiencies throughout the health care continuum. The provision of timely care in an appropriate setting translates to better patient clinical quality outcomes and reduced costs. </w:t>
      </w:r>
    </w:p>
    <w:p w14:paraId="2B4228D3" w14:textId="304EF2C7" w:rsidR="00550940" w:rsidRPr="003E1F6D" w:rsidRDefault="00550940" w:rsidP="007F1D38">
      <w:pPr>
        <w:numPr>
          <w:ilvl w:val="0"/>
          <w:numId w:val="19"/>
        </w:numPr>
        <w:contextualSpacing/>
        <w:rPr>
          <w:rFonts w:ascii="Calibri" w:eastAsia="Calibri" w:hAnsi="Calibri" w:cs="Calibri"/>
        </w:rPr>
      </w:pPr>
      <w:r w:rsidRPr="003E1F6D">
        <w:rPr>
          <w:rFonts w:ascii="Calibri" w:eastAsia="Calibri" w:hAnsi="Calibri" w:cs="Calibri"/>
        </w:rPr>
        <w:t xml:space="preserve">The aforementioned fragmented care in the </w:t>
      </w:r>
      <w:r w:rsidR="00596170" w:rsidRPr="003E1F6D">
        <w:rPr>
          <w:rFonts w:ascii="Calibri" w:eastAsia="Calibri" w:hAnsi="Calibri" w:cs="Calibri"/>
        </w:rPr>
        <w:t>p</w:t>
      </w:r>
      <w:r w:rsidRPr="003E1F6D">
        <w:rPr>
          <w:rFonts w:ascii="Calibri" w:eastAsia="Calibri" w:hAnsi="Calibri" w:cs="Calibri"/>
        </w:rPr>
        <w:t xml:space="preserve">ediatric health care system can lead to inefficiencies and delays in care, </w:t>
      </w:r>
      <w:r w:rsidR="00596170" w:rsidRPr="003E1F6D">
        <w:rPr>
          <w:rFonts w:ascii="Calibri" w:eastAsia="Calibri" w:hAnsi="Calibri" w:cs="Calibri"/>
        </w:rPr>
        <w:t xml:space="preserve">including increased ED boarding </w:t>
      </w:r>
      <w:r w:rsidRPr="003E1F6D">
        <w:rPr>
          <w:rFonts w:ascii="Calibri" w:eastAsia="Calibri" w:hAnsi="Calibri" w:cs="Calibri"/>
        </w:rPr>
        <w:t xml:space="preserve">which </w:t>
      </w:r>
      <w:r w:rsidR="00596170" w:rsidRPr="003E1F6D">
        <w:rPr>
          <w:rFonts w:ascii="Calibri" w:eastAsia="Calibri" w:hAnsi="Calibri" w:cs="Calibri"/>
        </w:rPr>
        <w:t xml:space="preserve">is </w:t>
      </w:r>
      <w:r w:rsidRPr="003E1F6D">
        <w:rPr>
          <w:rFonts w:ascii="Calibri" w:eastAsia="Calibri" w:hAnsi="Calibri" w:cs="Calibri"/>
        </w:rPr>
        <w:t xml:space="preserve">more costly care. Through the integration of </w:t>
      </w:r>
      <w:r w:rsidR="00596170" w:rsidRPr="003E1F6D">
        <w:rPr>
          <w:rFonts w:ascii="Calibri" w:eastAsia="Calibri" w:hAnsi="Calibri" w:cs="Calibri"/>
        </w:rPr>
        <w:t>m</w:t>
      </w:r>
      <w:r w:rsidRPr="003E1F6D">
        <w:rPr>
          <w:rFonts w:ascii="Calibri" w:eastAsia="Calibri" w:hAnsi="Calibri" w:cs="Calibri"/>
        </w:rPr>
        <w:t xml:space="preserve">ental health services </w:t>
      </w:r>
      <w:r w:rsidR="00596170" w:rsidRPr="003E1F6D">
        <w:rPr>
          <w:rFonts w:ascii="Calibri" w:eastAsia="Calibri" w:hAnsi="Calibri" w:cs="Calibri"/>
        </w:rPr>
        <w:t>from</w:t>
      </w:r>
      <w:r w:rsidRPr="003E1F6D">
        <w:rPr>
          <w:rFonts w:ascii="Calibri" w:eastAsia="Calibri" w:hAnsi="Calibri" w:cs="Calibri"/>
        </w:rPr>
        <w:t xml:space="preserve"> BCH Waltham, and through a </w:t>
      </w:r>
      <w:r w:rsidR="0071798F" w:rsidRPr="003E1F6D">
        <w:rPr>
          <w:rFonts w:ascii="Calibri" w:eastAsia="Calibri" w:hAnsi="Calibri" w:cs="Calibri"/>
        </w:rPr>
        <w:t>single-entry</w:t>
      </w:r>
      <w:r w:rsidR="00596170" w:rsidRPr="003E1F6D">
        <w:rPr>
          <w:rFonts w:ascii="Calibri" w:eastAsia="Calibri" w:hAnsi="Calibri" w:cs="Calibri"/>
        </w:rPr>
        <w:t xml:space="preserve"> </w:t>
      </w:r>
      <w:r w:rsidR="00155C19">
        <w:rPr>
          <w:rFonts w:ascii="Calibri" w:eastAsia="Calibri" w:hAnsi="Calibri" w:cs="Calibri"/>
        </w:rPr>
        <w:t>t</w:t>
      </w:r>
      <w:r w:rsidR="00EE77A3">
        <w:rPr>
          <w:rFonts w:ascii="Calibri" w:eastAsia="Calibri" w:hAnsi="Calibri" w:cs="Calibri"/>
        </w:rPr>
        <w:t>riage</w:t>
      </w:r>
      <w:r w:rsidR="0071798F">
        <w:rPr>
          <w:rFonts w:ascii="Calibri" w:eastAsia="Calibri" w:hAnsi="Calibri" w:cs="Calibri"/>
        </w:rPr>
        <w:t xml:space="preserve"> </w:t>
      </w:r>
      <w:r w:rsidR="00596170" w:rsidRPr="003E1F6D">
        <w:rPr>
          <w:rFonts w:ascii="Calibri" w:eastAsia="Calibri" w:hAnsi="Calibri" w:cs="Calibri"/>
        </w:rPr>
        <w:t xml:space="preserve">system and </w:t>
      </w:r>
      <w:r w:rsidRPr="003E1F6D">
        <w:rPr>
          <w:rFonts w:ascii="Calibri" w:eastAsia="Calibri" w:hAnsi="Calibri" w:cs="Calibri"/>
        </w:rPr>
        <w:t>common medical record</w:t>
      </w:r>
      <w:r w:rsidR="00596170" w:rsidRPr="003E1F6D">
        <w:rPr>
          <w:rFonts w:ascii="Calibri" w:eastAsia="Calibri" w:hAnsi="Calibri" w:cs="Calibri"/>
        </w:rPr>
        <w:t xml:space="preserve">, and staffing models described </w:t>
      </w:r>
      <w:r w:rsidR="00A26491" w:rsidRPr="003E1F6D">
        <w:rPr>
          <w:rFonts w:ascii="Calibri" w:eastAsia="Calibri" w:hAnsi="Calibri" w:cs="Calibri"/>
        </w:rPr>
        <w:t>herein, services</w:t>
      </w:r>
      <w:r w:rsidRPr="003E1F6D">
        <w:rPr>
          <w:rFonts w:ascii="Calibri" w:eastAsia="Calibri" w:hAnsi="Calibri" w:cs="Calibri"/>
        </w:rPr>
        <w:t xml:space="preserve"> will be better coordinated. </w:t>
      </w:r>
    </w:p>
    <w:p w14:paraId="2424E931" w14:textId="000F55AF" w:rsidR="00B73799" w:rsidRPr="003E1F6D" w:rsidRDefault="00596170" w:rsidP="007F1D38">
      <w:pPr>
        <w:numPr>
          <w:ilvl w:val="0"/>
          <w:numId w:val="19"/>
        </w:numPr>
        <w:contextualSpacing/>
        <w:rPr>
          <w:rFonts w:ascii="Calibri" w:eastAsia="Calibri" w:hAnsi="Calibri" w:cs="Calibri"/>
        </w:rPr>
      </w:pPr>
      <w:r w:rsidRPr="003E1F6D">
        <w:rPr>
          <w:rFonts w:ascii="Calibri" w:eastAsia="Calibri" w:hAnsi="Calibri" w:cs="Calibri"/>
        </w:rPr>
        <w:t>In the short-term, t</w:t>
      </w:r>
      <w:r w:rsidR="00550940" w:rsidRPr="003E1F6D">
        <w:rPr>
          <w:rFonts w:ascii="Calibri" w:eastAsia="Calibri" w:hAnsi="Calibri" w:cs="Calibri"/>
        </w:rPr>
        <w:t xml:space="preserve">he </w:t>
      </w:r>
      <w:bookmarkStart w:id="88" w:name="_9kMKJ5YVt4886AIQG2ztleqA"/>
      <w:r w:rsidR="00550940" w:rsidRPr="003E1F6D">
        <w:rPr>
          <w:rFonts w:ascii="Calibri" w:eastAsia="Calibri" w:hAnsi="Calibri" w:cs="Calibri"/>
        </w:rPr>
        <w:t>Applicant</w:t>
      </w:r>
      <w:bookmarkEnd w:id="88"/>
      <w:r w:rsidR="00550940" w:rsidRPr="003E1F6D">
        <w:rPr>
          <w:rFonts w:ascii="Calibri" w:eastAsia="Calibri" w:hAnsi="Calibri" w:cs="Calibri"/>
        </w:rPr>
        <w:t xml:space="preserve"> expects that total medical spending on pediatric mental health care will increase as a result of care being provided to more </w:t>
      </w:r>
      <w:r w:rsidR="00625D4E">
        <w:rPr>
          <w:rFonts w:ascii="Calibri" w:eastAsia="Calibri" w:hAnsi="Calibri" w:cs="Calibri"/>
        </w:rPr>
        <w:t>children</w:t>
      </w:r>
      <w:r w:rsidR="00550940" w:rsidRPr="003E1F6D">
        <w:rPr>
          <w:rFonts w:ascii="Calibri" w:eastAsia="Calibri" w:hAnsi="Calibri" w:cs="Calibri"/>
        </w:rPr>
        <w:t xml:space="preserve"> who have otherwise been unable to access the care they need. However, </w:t>
      </w:r>
      <w:r w:rsidR="6723648A" w:rsidRPr="003E1F6D">
        <w:rPr>
          <w:rFonts w:ascii="Calibri" w:eastAsia="Calibri" w:hAnsi="Calibri" w:cs="Calibri"/>
        </w:rPr>
        <w:t>r</w:t>
      </w:r>
      <w:r w:rsidR="00550940" w:rsidRPr="003E1F6D">
        <w:rPr>
          <w:rFonts w:ascii="Calibri" w:eastAsia="Calibri" w:hAnsi="Calibri" w:cs="Calibri"/>
        </w:rPr>
        <w:t>esearch has found that investment in child well-being may yield long-term returns for the well-being of children, and in turn, generate a longitudinal societal benefit.</w:t>
      </w:r>
      <w:r w:rsidR="00B73799" w:rsidRPr="003E1F6D">
        <w:rPr>
          <w:rFonts w:ascii="Calibri" w:eastAsia="Calibri" w:hAnsi="Calibri"/>
          <w:vertAlign w:val="superscript"/>
        </w:rPr>
        <w:endnoteReference w:id="19"/>
      </w:r>
    </w:p>
    <w:p w14:paraId="0F3D5A1C" w14:textId="334FB665" w:rsidR="003E1F6D" w:rsidRPr="003E1F6D" w:rsidRDefault="2AE420E6" w:rsidP="007F1D38">
      <w:pPr>
        <w:pStyle w:val="ListParagraph"/>
        <w:numPr>
          <w:ilvl w:val="0"/>
          <w:numId w:val="19"/>
        </w:numPr>
        <w:spacing w:line="240" w:lineRule="auto"/>
        <w:rPr>
          <w:rFonts w:ascii="Calibri" w:eastAsia="Calibri" w:hAnsi="Calibri" w:cs="Calibri"/>
          <w:sz w:val="24"/>
          <w:szCs w:val="24"/>
        </w:rPr>
      </w:pPr>
      <w:r w:rsidRPr="003E1F6D">
        <w:rPr>
          <w:rFonts w:ascii="Calibri" w:eastAsia="Calibri" w:hAnsi="Calibri" w:cs="Calibri"/>
          <w:sz w:val="24"/>
          <w:szCs w:val="24"/>
        </w:rPr>
        <w:t>Studies have found that children with comorbid mental and physical health conditions</w:t>
      </w:r>
      <w:r w:rsidR="6FD290FE" w:rsidRPr="003E1F6D">
        <w:rPr>
          <w:rFonts w:ascii="Calibri" w:eastAsia="Calibri" w:hAnsi="Calibri" w:cs="Calibri"/>
          <w:sz w:val="24"/>
          <w:szCs w:val="24"/>
        </w:rPr>
        <w:t xml:space="preserve">, like those seen by BCH and Franciscan, </w:t>
      </w:r>
      <w:r w:rsidRPr="003E1F6D">
        <w:rPr>
          <w:rFonts w:ascii="Calibri" w:eastAsia="Calibri" w:hAnsi="Calibri" w:cs="Calibri"/>
          <w:sz w:val="24"/>
          <w:szCs w:val="24"/>
        </w:rPr>
        <w:t>have significantly higher total health care costs compared with children not having mental health conditions.</w:t>
      </w:r>
      <w:r w:rsidR="00B73799" w:rsidRPr="003E1F6D">
        <w:rPr>
          <w:sz w:val="24"/>
          <w:szCs w:val="24"/>
          <w:vertAlign w:val="superscript"/>
        </w:rPr>
        <w:endnoteReference w:id="20"/>
      </w:r>
      <w:r w:rsidR="7C4B4F30" w:rsidRPr="003E1F6D">
        <w:rPr>
          <w:rFonts w:ascii="Calibri" w:eastAsia="Calibri" w:hAnsi="Calibri" w:cs="Calibri"/>
          <w:sz w:val="24"/>
          <w:szCs w:val="24"/>
        </w:rPr>
        <w:t xml:space="preserve"> </w:t>
      </w:r>
      <w:r w:rsidRPr="003E1F6D">
        <w:rPr>
          <w:rFonts w:ascii="Calibri" w:eastAsia="Calibri" w:hAnsi="Calibri" w:cs="Calibri"/>
          <w:sz w:val="24"/>
          <w:szCs w:val="24"/>
        </w:rPr>
        <w:t xml:space="preserve">Yet the Massachusetts Medicaid Policy Institute has </w:t>
      </w:r>
      <w:r w:rsidR="16875B48" w:rsidRPr="003E1F6D">
        <w:rPr>
          <w:rFonts w:ascii="Calibri" w:eastAsia="Calibri" w:hAnsi="Calibri" w:cs="Calibri"/>
          <w:sz w:val="24"/>
          <w:szCs w:val="24"/>
        </w:rPr>
        <w:t>point</w:t>
      </w:r>
      <w:r w:rsidRPr="003E1F6D">
        <w:rPr>
          <w:rFonts w:ascii="Calibri" w:eastAsia="Calibri" w:hAnsi="Calibri" w:cs="Calibri"/>
          <w:sz w:val="24"/>
          <w:szCs w:val="24"/>
        </w:rPr>
        <w:t xml:space="preserve">ed </w:t>
      </w:r>
      <w:r w:rsidR="16875B48" w:rsidRPr="003E1F6D">
        <w:rPr>
          <w:rFonts w:ascii="Calibri" w:eastAsia="Calibri" w:hAnsi="Calibri" w:cs="Calibri"/>
          <w:sz w:val="24"/>
          <w:szCs w:val="24"/>
        </w:rPr>
        <w:t xml:space="preserve">out </w:t>
      </w:r>
      <w:r w:rsidRPr="003E1F6D">
        <w:rPr>
          <w:rFonts w:ascii="Calibri" w:eastAsia="Calibri" w:hAnsi="Calibri" w:cs="Calibri"/>
          <w:sz w:val="24"/>
          <w:szCs w:val="24"/>
        </w:rPr>
        <w:t>that as health care payors, providers and policymakers move towards value-based payment models, opportunities for short-term, direct health care cost savings among pediatric populations are limited.</w:t>
      </w:r>
      <w:r w:rsidR="00550940" w:rsidRPr="003E1F6D">
        <w:rPr>
          <w:sz w:val="24"/>
          <w:szCs w:val="24"/>
          <w:vertAlign w:val="superscript"/>
        </w:rPr>
        <w:footnoteReference w:id="48"/>
      </w:r>
      <w:r w:rsidR="727B6D67" w:rsidRPr="003E1F6D">
        <w:rPr>
          <w:rFonts w:ascii="Calibri" w:eastAsia="Calibri" w:hAnsi="Calibri" w:cs="Calibri"/>
          <w:sz w:val="24"/>
          <w:szCs w:val="24"/>
        </w:rPr>
        <w:t xml:space="preserve"> As the only statewide ACO dedicated to serving children and adolescents, the BCH ACO serves approximately 20% of all pediatric MassHealth ACO enrollees (111,328 members) , the highest percentage among the 17 MassHealth ACOs. In general, the BCH ACO assumes 75% of the financial risk for the plan. Franciscan provides care to pediatric ACO patients who may be transferred for specialized post-acute care. </w:t>
      </w:r>
    </w:p>
    <w:p w14:paraId="04AE10BD" w14:textId="60500868" w:rsidR="002D535F" w:rsidRPr="00F46DE3" w:rsidRDefault="002D535F" w:rsidP="003E1F6D">
      <w:pPr>
        <w:contextualSpacing/>
        <w:rPr>
          <w:b/>
          <w:i/>
        </w:rPr>
      </w:pPr>
      <w:r w:rsidRPr="00F46DE3">
        <w:rPr>
          <w:b/>
          <w:i/>
        </w:rPr>
        <w:t>Analysis</w:t>
      </w:r>
    </w:p>
    <w:p w14:paraId="795F6268" w14:textId="77777777" w:rsidR="000922B4" w:rsidRPr="00625D4E" w:rsidRDefault="000922B4" w:rsidP="003E1F6D">
      <w:pPr>
        <w:contextualSpacing/>
        <w:rPr>
          <w:bCs/>
          <w:iCs/>
        </w:rPr>
      </w:pPr>
    </w:p>
    <w:p w14:paraId="61D04FCA" w14:textId="12694633" w:rsidR="00175571" w:rsidRPr="00F46DE3" w:rsidRDefault="00F50E45" w:rsidP="003E1F6D">
      <w:pPr>
        <w:contextualSpacing/>
        <w:rPr>
          <w:bCs/>
          <w:iCs/>
        </w:rPr>
      </w:pPr>
      <w:bookmarkStart w:id="91" w:name="_Hlk17663634"/>
      <w:r w:rsidRPr="00F46DE3">
        <w:rPr>
          <w:bCs/>
          <w:iCs/>
        </w:rPr>
        <w:t xml:space="preserve">The </w:t>
      </w:r>
      <w:r w:rsidR="00AE15B8" w:rsidRPr="00F46DE3">
        <w:rPr>
          <w:bCs/>
          <w:iCs/>
        </w:rPr>
        <w:t xml:space="preserve">Proposed Project </w:t>
      </w:r>
      <w:r w:rsidRPr="00F46DE3">
        <w:rPr>
          <w:bCs/>
          <w:iCs/>
        </w:rPr>
        <w:t xml:space="preserve">has the potential </w:t>
      </w:r>
      <w:r w:rsidR="006907EB" w:rsidRPr="00F46DE3">
        <w:rPr>
          <w:bCs/>
          <w:iCs/>
        </w:rPr>
        <w:t>over the long</w:t>
      </w:r>
      <w:r w:rsidR="00175571" w:rsidRPr="00F46DE3">
        <w:rPr>
          <w:bCs/>
          <w:iCs/>
        </w:rPr>
        <w:t>-</w:t>
      </w:r>
      <w:r w:rsidR="006907EB" w:rsidRPr="00F46DE3">
        <w:rPr>
          <w:bCs/>
          <w:iCs/>
        </w:rPr>
        <w:t xml:space="preserve">term </w:t>
      </w:r>
      <w:r w:rsidRPr="00F46DE3">
        <w:rPr>
          <w:bCs/>
          <w:iCs/>
        </w:rPr>
        <w:t xml:space="preserve">to reduce total </w:t>
      </w:r>
      <w:r w:rsidR="00175571" w:rsidRPr="00F46DE3">
        <w:rPr>
          <w:bCs/>
          <w:iCs/>
        </w:rPr>
        <w:t>medical expenses</w:t>
      </w:r>
      <w:r w:rsidR="006F20A0" w:rsidRPr="00F46DE3">
        <w:rPr>
          <w:bCs/>
          <w:iCs/>
        </w:rPr>
        <w:t xml:space="preserve"> through</w:t>
      </w:r>
      <w:r w:rsidR="00611197" w:rsidRPr="00F46DE3">
        <w:rPr>
          <w:bCs/>
          <w:iCs/>
        </w:rPr>
        <w:t xml:space="preserve"> enhanced</w:t>
      </w:r>
      <w:r w:rsidR="00F74391" w:rsidRPr="00F46DE3">
        <w:rPr>
          <w:bCs/>
          <w:iCs/>
        </w:rPr>
        <w:t xml:space="preserve"> care</w:t>
      </w:r>
      <w:r w:rsidR="00611197" w:rsidRPr="00F46DE3">
        <w:rPr>
          <w:bCs/>
          <w:iCs/>
        </w:rPr>
        <w:t xml:space="preserve"> coordination</w:t>
      </w:r>
      <w:r w:rsidR="007922D6">
        <w:rPr>
          <w:bCs/>
          <w:iCs/>
        </w:rPr>
        <w:t xml:space="preserve"> </w:t>
      </w:r>
      <w:r w:rsidR="00D90348">
        <w:rPr>
          <w:bCs/>
          <w:iCs/>
        </w:rPr>
        <w:t xml:space="preserve">and expanding upstream programming such </w:t>
      </w:r>
      <w:r w:rsidR="00625D4E">
        <w:rPr>
          <w:bCs/>
          <w:iCs/>
        </w:rPr>
        <w:t xml:space="preserve">as partial hospitalization programs and </w:t>
      </w:r>
      <w:r w:rsidR="00D90348">
        <w:rPr>
          <w:bCs/>
          <w:iCs/>
        </w:rPr>
        <w:t xml:space="preserve">school-based </w:t>
      </w:r>
      <w:r w:rsidR="009C38CA">
        <w:rPr>
          <w:bCs/>
          <w:iCs/>
        </w:rPr>
        <w:t>programming, thereby</w:t>
      </w:r>
      <w:r w:rsidR="00F74391" w:rsidRPr="00F46DE3">
        <w:rPr>
          <w:bCs/>
          <w:iCs/>
        </w:rPr>
        <w:t xml:space="preserve"> enabling the</w:t>
      </w:r>
      <w:r w:rsidR="00175571" w:rsidRPr="00F46DE3">
        <w:rPr>
          <w:bCs/>
          <w:iCs/>
        </w:rPr>
        <w:t xml:space="preserve"> provision of </w:t>
      </w:r>
      <w:r w:rsidR="0025544F" w:rsidRPr="00F46DE3">
        <w:rPr>
          <w:bCs/>
          <w:iCs/>
        </w:rPr>
        <w:t xml:space="preserve">timely </w:t>
      </w:r>
      <w:r w:rsidR="00F46DE3" w:rsidRPr="00F46DE3">
        <w:rPr>
          <w:bCs/>
          <w:iCs/>
        </w:rPr>
        <w:t>care</w:t>
      </w:r>
      <w:r w:rsidR="00D90348">
        <w:rPr>
          <w:bCs/>
          <w:iCs/>
        </w:rPr>
        <w:t xml:space="preserve"> at the appropriate level</w:t>
      </w:r>
      <w:r w:rsidR="00465793" w:rsidRPr="00F46DE3">
        <w:rPr>
          <w:bCs/>
          <w:iCs/>
        </w:rPr>
        <w:t>,</w:t>
      </w:r>
      <w:r w:rsidR="00611197" w:rsidRPr="00F46DE3">
        <w:rPr>
          <w:bCs/>
          <w:iCs/>
        </w:rPr>
        <w:t xml:space="preserve"> </w:t>
      </w:r>
      <w:r w:rsidR="006F20E2" w:rsidRPr="00F46DE3">
        <w:rPr>
          <w:bCs/>
          <w:iCs/>
        </w:rPr>
        <w:t xml:space="preserve">while </w:t>
      </w:r>
      <w:r w:rsidR="006907EB" w:rsidRPr="00F46DE3">
        <w:rPr>
          <w:bCs/>
          <w:iCs/>
        </w:rPr>
        <w:t xml:space="preserve">maximizing </w:t>
      </w:r>
      <w:r w:rsidR="00175571" w:rsidRPr="00F46DE3">
        <w:rPr>
          <w:bCs/>
          <w:iCs/>
        </w:rPr>
        <w:t xml:space="preserve">efficiencies </w:t>
      </w:r>
      <w:r w:rsidR="006F20E2" w:rsidRPr="00F46DE3">
        <w:rPr>
          <w:bCs/>
          <w:iCs/>
        </w:rPr>
        <w:t xml:space="preserve">through </w:t>
      </w:r>
      <w:r w:rsidR="00175571" w:rsidRPr="00F46DE3">
        <w:rPr>
          <w:bCs/>
          <w:iCs/>
        </w:rPr>
        <w:t xml:space="preserve">centralized </w:t>
      </w:r>
      <w:r w:rsidR="00D90348">
        <w:rPr>
          <w:bCs/>
          <w:iCs/>
        </w:rPr>
        <w:t xml:space="preserve">co-located </w:t>
      </w:r>
      <w:r w:rsidR="00175571" w:rsidRPr="00F46DE3">
        <w:rPr>
          <w:bCs/>
          <w:iCs/>
        </w:rPr>
        <w:t>services</w:t>
      </w:r>
      <w:r w:rsidR="003E1F6D">
        <w:rPr>
          <w:bCs/>
          <w:iCs/>
        </w:rPr>
        <w:t xml:space="preserve">. </w:t>
      </w:r>
      <w:r w:rsidR="00175571" w:rsidRPr="00F46DE3">
        <w:rPr>
          <w:bCs/>
          <w:iCs/>
        </w:rPr>
        <w:t>These efforts</w:t>
      </w:r>
      <w:r w:rsidR="00611197" w:rsidRPr="00F46DE3">
        <w:rPr>
          <w:bCs/>
          <w:iCs/>
        </w:rPr>
        <w:t xml:space="preserve"> </w:t>
      </w:r>
      <w:r w:rsidR="00465793" w:rsidRPr="00F46DE3">
        <w:rPr>
          <w:bCs/>
          <w:iCs/>
        </w:rPr>
        <w:t xml:space="preserve">can help </w:t>
      </w:r>
      <w:r w:rsidR="00611197" w:rsidRPr="00F46DE3">
        <w:rPr>
          <w:bCs/>
          <w:iCs/>
        </w:rPr>
        <w:t xml:space="preserve">prevent costly </w:t>
      </w:r>
      <w:r w:rsidR="006F20E2" w:rsidRPr="00F46DE3">
        <w:rPr>
          <w:bCs/>
          <w:iCs/>
        </w:rPr>
        <w:t xml:space="preserve">waiting periods and </w:t>
      </w:r>
      <w:r w:rsidR="00124BCB" w:rsidRPr="00F46DE3">
        <w:rPr>
          <w:bCs/>
          <w:iCs/>
        </w:rPr>
        <w:t xml:space="preserve">readmissions, </w:t>
      </w:r>
      <w:r w:rsidR="006907EB" w:rsidRPr="00F46DE3">
        <w:rPr>
          <w:bCs/>
          <w:iCs/>
        </w:rPr>
        <w:t xml:space="preserve">while </w:t>
      </w:r>
      <w:r w:rsidR="00124BCB" w:rsidRPr="00F46DE3">
        <w:rPr>
          <w:bCs/>
          <w:iCs/>
        </w:rPr>
        <w:t>maintaining</w:t>
      </w:r>
      <w:r w:rsidR="00611197" w:rsidRPr="00F46DE3">
        <w:rPr>
          <w:bCs/>
          <w:iCs/>
        </w:rPr>
        <w:t xml:space="preserve"> the</w:t>
      </w:r>
      <w:r w:rsidR="006907EB" w:rsidRPr="00F46DE3">
        <w:rPr>
          <w:bCs/>
          <w:iCs/>
        </w:rPr>
        <w:t xml:space="preserve"> partie</w:t>
      </w:r>
      <w:r w:rsidR="00465793" w:rsidRPr="00F46DE3">
        <w:rPr>
          <w:bCs/>
          <w:iCs/>
        </w:rPr>
        <w:t>s</w:t>
      </w:r>
      <w:r w:rsidR="006907EB" w:rsidRPr="00F46DE3">
        <w:rPr>
          <w:bCs/>
          <w:iCs/>
        </w:rPr>
        <w:t>’</w:t>
      </w:r>
      <w:r w:rsidR="00465793" w:rsidRPr="00F46DE3">
        <w:rPr>
          <w:bCs/>
          <w:iCs/>
        </w:rPr>
        <w:t xml:space="preserve"> </w:t>
      </w:r>
      <w:r w:rsidR="00611197" w:rsidRPr="00F46DE3">
        <w:rPr>
          <w:bCs/>
          <w:iCs/>
        </w:rPr>
        <w:t>high public payer</w:t>
      </w:r>
      <w:r w:rsidR="00625D4E">
        <w:rPr>
          <w:bCs/>
          <w:iCs/>
        </w:rPr>
        <w:t>-</w:t>
      </w:r>
      <w:r w:rsidR="00611197" w:rsidRPr="00F46DE3">
        <w:rPr>
          <w:bCs/>
          <w:iCs/>
        </w:rPr>
        <w:t>mix</w:t>
      </w:r>
      <w:r w:rsidR="006907EB" w:rsidRPr="00F46DE3">
        <w:rPr>
          <w:bCs/>
          <w:iCs/>
        </w:rPr>
        <w:t xml:space="preserve">. </w:t>
      </w:r>
      <w:r w:rsidR="00280639" w:rsidRPr="00F46DE3">
        <w:rPr>
          <w:bCs/>
          <w:iCs/>
        </w:rPr>
        <w:t xml:space="preserve">The </w:t>
      </w:r>
      <w:r w:rsidR="006907EB" w:rsidRPr="00F46DE3">
        <w:rPr>
          <w:bCs/>
          <w:iCs/>
        </w:rPr>
        <w:t xml:space="preserve">parties </w:t>
      </w:r>
      <w:r w:rsidR="00B77D47" w:rsidRPr="00F46DE3">
        <w:rPr>
          <w:bCs/>
          <w:iCs/>
        </w:rPr>
        <w:t xml:space="preserve">utilize </w:t>
      </w:r>
      <w:r w:rsidR="006907EB" w:rsidRPr="00F46DE3">
        <w:rPr>
          <w:bCs/>
          <w:iCs/>
        </w:rPr>
        <w:t>a</w:t>
      </w:r>
      <w:r w:rsidR="006F20A0" w:rsidRPr="00F46DE3">
        <w:rPr>
          <w:bCs/>
          <w:iCs/>
        </w:rPr>
        <w:t xml:space="preserve"> </w:t>
      </w:r>
      <w:r w:rsidR="00E63DC8" w:rsidRPr="00F46DE3">
        <w:rPr>
          <w:bCs/>
          <w:iCs/>
        </w:rPr>
        <w:t xml:space="preserve">collaborative </w:t>
      </w:r>
      <w:r w:rsidR="007922D6">
        <w:rPr>
          <w:bCs/>
          <w:iCs/>
        </w:rPr>
        <w:t xml:space="preserve">triage </w:t>
      </w:r>
      <w:r w:rsidR="00E63DC8" w:rsidRPr="00F46DE3">
        <w:rPr>
          <w:bCs/>
          <w:iCs/>
        </w:rPr>
        <w:t xml:space="preserve">approach with families and providers to ensure </w:t>
      </w:r>
      <w:r w:rsidR="00175571" w:rsidRPr="00F46DE3">
        <w:rPr>
          <w:bCs/>
          <w:iCs/>
        </w:rPr>
        <w:t>children</w:t>
      </w:r>
      <w:r w:rsidR="00E63DC8" w:rsidRPr="00F46DE3">
        <w:rPr>
          <w:bCs/>
          <w:iCs/>
        </w:rPr>
        <w:t xml:space="preserve"> receive care in the appropriate setting </w:t>
      </w:r>
      <w:r w:rsidR="00175571" w:rsidRPr="00F46DE3">
        <w:rPr>
          <w:bCs/>
          <w:iCs/>
        </w:rPr>
        <w:t xml:space="preserve">that will </w:t>
      </w:r>
      <w:r w:rsidR="00E63DC8" w:rsidRPr="00F46DE3">
        <w:rPr>
          <w:bCs/>
          <w:iCs/>
        </w:rPr>
        <w:t>contribute to improvement</w:t>
      </w:r>
      <w:r w:rsidR="00175571" w:rsidRPr="00F46DE3">
        <w:rPr>
          <w:bCs/>
          <w:iCs/>
        </w:rPr>
        <w:t>s</w:t>
      </w:r>
      <w:r w:rsidR="00E63DC8" w:rsidRPr="00F46DE3">
        <w:rPr>
          <w:bCs/>
          <w:iCs/>
        </w:rPr>
        <w:t xml:space="preserve"> in patient outcomes and overall cost efficiency. </w:t>
      </w:r>
    </w:p>
    <w:p w14:paraId="2BC86BE0" w14:textId="78F25651" w:rsidR="002D535F" w:rsidRPr="000922B4" w:rsidRDefault="002D535F" w:rsidP="000922B4">
      <w:pPr>
        <w:pStyle w:val="Heading2"/>
        <w:rPr>
          <w:rFonts w:asciiTheme="minorHAnsi" w:hAnsiTheme="minorHAnsi" w:cstheme="minorHAnsi"/>
        </w:rPr>
      </w:pPr>
      <w:bookmarkStart w:id="92" w:name="_Toc106783922"/>
      <w:bookmarkStart w:id="93" w:name="_Toc157428833"/>
      <w:bookmarkStart w:id="94" w:name="_Toc158218026"/>
      <w:r w:rsidRPr="002C3A70">
        <w:rPr>
          <w:rFonts w:asciiTheme="minorHAnsi" w:hAnsiTheme="minorHAnsi" w:cstheme="minorHAnsi"/>
          <w:color w:val="234170" w:themeColor="text2" w:themeShade="BF"/>
        </w:rPr>
        <w:lastRenderedPageBreak/>
        <w:t xml:space="preserve">FACTOR 1 </w:t>
      </w:r>
      <w:r w:rsidR="008E54FA" w:rsidRPr="002C3A70">
        <w:rPr>
          <w:rFonts w:asciiTheme="minorHAnsi" w:hAnsiTheme="minorHAnsi" w:cstheme="minorHAnsi"/>
          <w:color w:val="234170" w:themeColor="text2" w:themeShade="BF"/>
        </w:rPr>
        <w:t>Summary Analysis</w:t>
      </w:r>
      <w:bookmarkEnd w:id="92"/>
      <w:bookmarkEnd w:id="93"/>
      <w:bookmarkEnd w:id="94"/>
    </w:p>
    <w:p w14:paraId="753464F1" w14:textId="77777777" w:rsidR="00764C52" w:rsidRDefault="00764C52" w:rsidP="00B90AC9"/>
    <w:p w14:paraId="2469AE32" w14:textId="77777777" w:rsidR="00060C17" w:rsidRDefault="2E7B9C6B" w:rsidP="009A65F6">
      <w:r>
        <w:t xml:space="preserve">Staff </w:t>
      </w:r>
      <w:proofErr w:type="gramStart"/>
      <w:r>
        <w:t>finds</w:t>
      </w:r>
      <w:proofErr w:type="gramEnd"/>
      <w:r>
        <w:t xml:space="preserve"> that the Proposed Project will improve patient access to </w:t>
      </w:r>
      <w:r w:rsidR="5DE263BD">
        <w:t xml:space="preserve">mental </w:t>
      </w:r>
      <w:r w:rsidR="2C97CA5C">
        <w:t>health, rehabilitative</w:t>
      </w:r>
      <w:r>
        <w:t xml:space="preserve"> </w:t>
      </w:r>
      <w:proofErr w:type="gramStart"/>
      <w:r>
        <w:t>care</w:t>
      </w:r>
      <w:proofErr w:type="gramEnd"/>
      <w:r w:rsidR="2C97CA5C">
        <w:t xml:space="preserve"> and dental surgery</w:t>
      </w:r>
      <w:r>
        <w:t xml:space="preserve"> in a lower-cost setting. Through co-location and offering new intermediate and partial-h</w:t>
      </w:r>
      <w:r w:rsidR="4A7BC7B9">
        <w:t>ospitalization programs, and new staffing models t</w:t>
      </w:r>
      <w:r>
        <w:t xml:space="preserve">he Applicant can improve patient outcomes in </w:t>
      </w:r>
      <w:r w:rsidR="4A7BC7B9">
        <w:t xml:space="preserve">a purpose-build pediatric facility with </w:t>
      </w:r>
      <w:r>
        <w:t>private rooms</w:t>
      </w:r>
      <w:r w:rsidR="4A7BC7B9">
        <w:t xml:space="preserve">, </w:t>
      </w:r>
      <w:r>
        <w:t>which can result in an overall reduction in healthcare costs. Staff finds that the</w:t>
      </w:r>
      <w:r w:rsidR="4A7BC7B9">
        <w:t xml:space="preserve"> over the long-term</w:t>
      </w:r>
      <w:r>
        <w:t xml:space="preserve"> Proposed Project will likely</w:t>
      </w:r>
      <w:r w:rsidR="47B982FC">
        <w:t xml:space="preserve"> provide much needed mental health and complex medical services to children in the </w:t>
      </w:r>
      <w:r w:rsidR="2D728BF9">
        <w:t xml:space="preserve">Commonwealth in a more efficient coordinated manner with the intention of </w:t>
      </w:r>
      <w:r w:rsidR="45034D5F">
        <w:t>providing services before inpatient admissions are required.</w:t>
      </w:r>
    </w:p>
    <w:p w14:paraId="7E42312D" w14:textId="7F3B639E" w:rsidR="00DC561A" w:rsidRDefault="2E7B9C6B" w:rsidP="009A65F6">
      <w:r>
        <w:t xml:space="preserve"> </w:t>
      </w:r>
    </w:p>
    <w:p w14:paraId="5A354BE7" w14:textId="0D6BDE77" w:rsidR="00140989" w:rsidRPr="00DE4CD3" w:rsidRDefault="002D535F" w:rsidP="009A65F6">
      <w:r w:rsidRPr="00DE4CD3">
        <w:t xml:space="preserve">As a result of </w:t>
      </w:r>
      <w:r w:rsidR="0088421A" w:rsidRPr="00DE4CD3">
        <w:t xml:space="preserve">the </w:t>
      </w:r>
      <w:r w:rsidRPr="00DE4CD3">
        <w:t>information provided by the Applicant and additional analysis, staf</w:t>
      </w:r>
      <w:r w:rsidR="00D07308" w:rsidRPr="00DE4CD3">
        <w:t xml:space="preserve">f finds </w:t>
      </w:r>
      <w:r w:rsidR="0014242D" w:rsidRPr="00DE4CD3">
        <w:t>tha</w:t>
      </w:r>
      <w:r w:rsidR="00562778" w:rsidRPr="00DE4CD3">
        <w:t xml:space="preserve">t </w:t>
      </w:r>
      <w:r w:rsidRPr="00DE4CD3">
        <w:t xml:space="preserve">the Applicant has demonstrated that the Proposed Project </w:t>
      </w:r>
      <w:r w:rsidR="00251229" w:rsidRPr="00DE4CD3">
        <w:t>meets</w:t>
      </w:r>
      <w:r w:rsidRPr="00DE4CD3">
        <w:t xml:space="preserve"> Factors 1(a-f). </w:t>
      </w:r>
    </w:p>
    <w:bookmarkEnd w:id="91"/>
    <w:p w14:paraId="3020A853" w14:textId="77777777" w:rsidR="00471349" w:rsidRDefault="00471349" w:rsidP="0017310C">
      <w:pPr>
        <w:pStyle w:val="Heading1"/>
        <w:spacing w:before="0" w:line="240" w:lineRule="auto"/>
        <w:rPr>
          <w:rFonts w:asciiTheme="minorHAnsi" w:hAnsiTheme="minorHAnsi" w:cstheme="minorHAnsi"/>
        </w:rPr>
      </w:pPr>
    </w:p>
    <w:p w14:paraId="36BC3E73" w14:textId="19A3BDDF" w:rsidR="002D535F" w:rsidRDefault="00664406" w:rsidP="00B31381">
      <w:pPr>
        <w:pStyle w:val="Heading1"/>
        <w:spacing w:before="0" w:line="240" w:lineRule="auto"/>
        <w:rPr>
          <w:rFonts w:asciiTheme="minorHAnsi" w:hAnsiTheme="minorHAnsi" w:cstheme="minorHAnsi"/>
        </w:rPr>
      </w:pPr>
      <w:bookmarkStart w:id="95" w:name="_Toc157428834"/>
      <w:bookmarkStart w:id="96" w:name="_Toc158218027"/>
      <w:r w:rsidRPr="008E54FA">
        <w:rPr>
          <w:rFonts w:asciiTheme="minorHAnsi" w:hAnsiTheme="minorHAnsi" w:cstheme="minorHAnsi"/>
        </w:rPr>
        <w:t>Factor</w:t>
      </w:r>
      <w:r w:rsidR="002D535F" w:rsidRPr="008E54FA">
        <w:rPr>
          <w:rFonts w:asciiTheme="minorHAnsi" w:hAnsiTheme="minorHAnsi" w:cstheme="minorHAnsi"/>
        </w:rPr>
        <w:t xml:space="preserve"> 2: Cost </w:t>
      </w:r>
      <w:r w:rsidR="00471349">
        <w:rPr>
          <w:rFonts w:asciiTheme="minorHAnsi" w:hAnsiTheme="minorHAnsi" w:cstheme="minorHAnsi"/>
        </w:rPr>
        <w:t>C</w:t>
      </w:r>
      <w:r w:rsidR="002D535F" w:rsidRPr="008E54FA">
        <w:rPr>
          <w:rFonts w:asciiTheme="minorHAnsi" w:hAnsiTheme="minorHAnsi" w:cstheme="minorHAnsi"/>
        </w:rPr>
        <w:t>ontainment, Improved Public Health Outcomes and Delivery System Transformation</w:t>
      </w:r>
      <w:bookmarkEnd w:id="95"/>
      <w:bookmarkEnd w:id="96"/>
    </w:p>
    <w:p w14:paraId="44B4C547" w14:textId="66010C02" w:rsidR="00794127" w:rsidRDefault="00794127" w:rsidP="00794127"/>
    <w:p w14:paraId="1AA1E61E" w14:textId="77777777" w:rsidR="0048789D" w:rsidRDefault="004A2DCA" w:rsidP="004F5131">
      <w:pPr>
        <w:rPr>
          <w:rFonts w:ascii="Calibri" w:eastAsia="Calibri" w:hAnsi="Calibri" w:cs="Calibri"/>
          <w:b/>
          <w:bCs/>
        </w:rPr>
      </w:pPr>
      <w:r w:rsidRPr="004F5131">
        <w:rPr>
          <w:rFonts w:ascii="Calibri" w:eastAsia="Calibri" w:hAnsi="Calibri" w:cs="Calibri"/>
          <w:b/>
          <w:bCs/>
        </w:rPr>
        <w:t>Cost Containment</w:t>
      </w:r>
    </w:p>
    <w:p w14:paraId="0BB70640" w14:textId="77777777" w:rsidR="0048789D" w:rsidRDefault="0048789D" w:rsidP="004F5131">
      <w:pPr>
        <w:rPr>
          <w:rFonts w:ascii="Calibri" w:eastAsia="Calibri" w:hAnsi="Calibri" w:cs="Calibri"/>
          <w:b/>
          <w:bCs/>
        </w:rPr>
      </w:pPr>
    </w:p>
    <w:p w14:paraId="0B65BA64" w14:textId="43C04D1D" w:rsidR="00794127" w:rsidRPr="004F5131" w:rsidRDefault="62B8C121" w:rsidP="004F5131">
      <w:pPr>
        <w:rPr>
          <w:rFonts w:ascii="Calibri" w:eastAsia="Calibri" w:hAnsi="Calibri" w:cs="Calibri"/>
        </w:rPr>
      </w:pPr>
      <w:r w:rsidRPr="6F80FCDD">
        <w:rPr>
          <w:rFonts w:ascii="Calibri" w:eastAsia="Calibri" w:hAnsi="Calibri" w:cs="Calibri"/>
        </w:rPr>
        <w:t xml:space="preserve"> </w:t>
      </w:r>
      <w:r w:rsidR="3BC5E85D" w:rsidRPr="6F80FCDD">
        <w:rPr>
          <w:rFonts w:ascii="Calibri" w:eastAsia="Calibri" w:hAnsi="Calibri" w:cs="Calibri"/>
        </w:rPr>
        <w:t xml:space="preserve">The </w:t>
      </w:r>
      <w:r w:rsidR="357C3906" w:rsidRPr="6F80FCDD">
        <w:rPr>
          <w:rFonts w:ascii="Calibri" w:eastAsia="Calibri" w:hAnsi="Calibri" w:cs="Calibri"/>
        </w:rPr>
        <w:t xml:space="preserve">Applicant states the </w:t>
      </w:r>
      <w:r w:rsidR="3BC5E85D" w:rsidRPr="6F80FCDD">
        <w:rPr>
          <w:rFonts w:ascii="Calibri" w:eastAsia="Calibri" w:hAnsi="Calibri" w:cs="Calibri"/>
        </w:rPr>
        <w:t>Proposed Project is expected to facilitate expanded access to much needed pediatric mental health services, rehabilitation services, and dental services</w:t>
      </w:r>
      <w:r w:rsidR="357C3906" w:rsidRPr="6F80FCDD">
        <w:rPr>
          <w:rFonts w:ascii="Calibri" w:eastAsia="Calibri" w:hAnsi="Calibri" w:cs="Calibri"/>
        </w:rPr>
        <w:t xml:space="preserve"> while </w:t>
      </w:r>
      <w:r w:rsidR="3BC5E85D" w:rsidRPr="6F80FCDD">
        <w:rPr>
          <w:rFonts w:ascii="Calibri" w:eastAsia="Calibri" w:hAnsi="Calibri" w:cs="Calibri"/>
        </w:rPr>
        <w:t>tak</w:t>
      </w:r>
      <w:r w:rsidR="357C3906" w:rsidRPr="6F80FCDD">
        <w:rPr>
          <w:rFonts w:ascii="Calibri" w:eastAsia="Calibri" w:hAnsi="Calibri" w:cs="Calibri"/>
        </w:rPr>
        <w:t>ing</w:t>
      </w:r>
      <w:r w:rsidR="3BC5E85D" w:rsidRPr="6F80FCDD">
        <w:rPr>
          <w:rFonts w:ascii="Calibri" w:eastAsia="Calibri" w:hAnsi="Calibri" w:cs="Calibri"/>
        </w:rPr>
        <w:t xml:space="preserve"> a long-term view of promoting the Commonwealth’s goals for cost containment, improved health outcomes, and delivery system transformation.</w:t>
      </w:r>
      <w:r w:rsidR="357C3906" w:rsidRPr="6F80FCDD">
        <w:rPr>
          <w:rFonts w:ascii="Calibri" w:eastAsia="Calibri" w:hAnsi="Calibri" w:cs="Calibri"/>
        </w:rPr>
        <w:t xml:space="preserve"> As</w:t>
      </w:r>
      <w:r w:rsidR="3BC5E85D" w:rsidRPr="6F80FCDD">
        <w:rPr>
          <w:rFonts w:ascii="Calibri" w:eastAsia="Calibri" w:hAnsi="Calibri" w:cs="Calibri"/>
        </w:rPr>
        <w:t xml:space="preserve"> </w:t>
      </w:r>
      <w:r w:rsidR="00625D4E">
        <w:rPr>
          <w:rFonts w:ascii="Calibri" w:eastAsia="Calibri" w:hAnsi="Calibri" w:cs="Calibri"/>
        </w:rPr>
        <w:t>noted</w:t>
      </w:r>
      <w:r w:rsidR="357C3906" w:rsidRPr="6F80FCDD">
        <w:rPr>
          <w:rFonts w:ascii="Calibri" w:eastAsia="Calibri" w:hAnsi="Calibri" w:cs="Calibri"/>
        </w:rPr>
        <w:t xml:space="preserve"> in Factor 1, </w:t>
      </w:r>
      <w:r w:rsidR="00625D4E">
        <w:rPr>
          <w:rFonts w:ascii="Calibri" w:eastAsia="Calibri" w:hAnsi="Calibri" w:cs="Calibri"/>
        </w:rPr>
        <w:t>t</w:t>
      </w:r>
      <w:r w:rsidR="3BC5E85D" w:rsidRPr="6F80FCDD">
        <w:rPr>
          <w:rFonts w:ascii="Calibri" w:eastAsia="Calibri" w:hAnsi="Calibri" w:cs="Calibri"/>
        </w:rPr>
        <w:t>he</w:t>
      </w:r>
      <w:r w:rsidR="357C3906" w:rsidRPr="6F80FCDD">
        <w:rPr>
          <w:rFonts w:ascii="Calibri" w:eastAsia="Calibri" w:hAnsi="Calibri" w:cs="Calibri"/>
        </w:rPr>
        <w:t xml:space="preserve"> </w:t>
      </w:r>
      <w:r w:rsidR="3BC5E85D" w:rsidRPr="6F80FCDD">
        <w:rPr>
          <w:rFonts w:ascii="Calibri" w:eastAsia="Calibri" w:hAnsi="Calibri" w:cs="Calibri"/>
        </w:rPr>
        <w:t>funding for pediatric mental health care and pediatric sub-acute care generally has been inadequate to encourage providers to invest in increased programming</w:t>
      </w:r>
      <w:r w:rsidR="13556F71" w:rsidRPr="6F80FCDD">
        <w:rPr>
          <w:rFonts w:ascii="Calibri" w:eastAsia="Calibri" w:hAnsi="Calibri" w:cs="Calibri"/>
        </w:rPr>
        <w:t>;</w:t>
      </w:r>
      <w:r w:rsidR="3BC5E85D" w:rsidRPr="6F80FCDD">
        <w:rPr>
          <w:rFonts w:ascii="Calibri" w:eastAsia="Calibri" w:hAnsi="Calibri" w:cs="Calibri"/>
        </w:rPr>
        <w:t xml:space="preserve"> </w:t>
      </w:r>
      <w:r w:rsidR="13556F71" w:rsidRPr="6F80FCDD">
        <w:rPr>
          <w:rFonts w:ascii="Calibri" w:eastAsia="Calibri" w:hAnsi="Calibri" w:cs="Calibri"/>
        </w:rPr>
        <w:t xml:space="preserve">accordingly, </w:t>
      </w:r>
      <w:r w:rsidR="3BC5E85D" w:rsidRPr="6F80FCDD">
        <w:rPr>
          <w:rFonts w:ascii="Calibri" w:eastAsia="Calibri" w:hAnsi="Calibri" w:cs="Calibri"/>
        </w:rPr>
        <w:t>access to treatment</w:t>
      </w:r>
      <w:r w:rsidR="13556F71" w:rsidRPr="6F80FCDD">
        <w:rPr>
          <w:rFonts w:ascii="Calibri" w:eastAsia="Calibri" w:hAnsi="Calibri" w:cs="Calibri"/>
        </w:rPr>
        <w:t xml:space="preserve"> is limited</w:t>
      </w:r>
      <w:r w:rsidR="3BC5E85D" w:rsidRPr="6F80FCDD">
        <w:rPr>
          <w:rFonts w:ascii="Calibri" w:eastAsia="Calibri" w:hAnsi="Calibri" w:cs="Calibri"/>
        </w:rPr>
        <w:t xml:space="preserve">. </w:t>
      </w:r>
    </w:p>
    <w:p w14:paraId="58AC3D62" w14:textId="77777777" w:rsidR="00794127" w:rsidRPr="004F5131" w:rsidRDefault="00794127" w:rsidP="004F5131">
      <w:pPr>
        <w:jc w:val="both"/>
        <w:rPr>
          <w:rFonts w:ascii="Calibri" w:eastAsia="Calibri" w:hAnsi="Calibri" w:cs="Calibri"/>
        </w:rPr>
      </w:pPr>
    </w:p>
    <w:p w14:paraId="7F063F11" w14:textId="5DB8138E" w:rsidR="0048789D" w:rsidRDefault="00820CA4" w:rsidP="004F5131">
      <w:pPr>
        <w:rPr>
          <w:rFonts w:ascii="Calibri" w:eastAsia="Calibri" w:hAnsi="Calibri" w:cs="Calibri"/>
        </w:rPr>
      </w:pPr>
      <w:r w:rsidRPr="004F5131">
        <w:rPr>
          <w:rFonts w:ascii="Calibri" w:eastAsia="Calibri" w:hAnsi="Calibri" w:cs="Calibri"/>
        </w:rPr>
        <w:t xml:space="preserve">Through the Proposed Project, the Applicant asserts that by providing broader access to </w:t>
      </w:r>
      <w:r w:rsidR="00DC561A">
        <w:rPr>
          <w:rFonts w:ascii="Calibri" w:eastAsia="Calibri" w:hAnsi="Calibri" w:cs="Calibri"/>
        </w:rPr>
        <w:t xml:space="preserve">comprehensive </w:t>
      </w:r>
      <w:r w:rsidRPr="004F5131">
        <w:rPr>
          <w:rFonts w:ascii="Calibri" w:eastAsia="Calibri" w:hAnsi="Calibri" w:cs="Calibri"/>
        </w:rPr>
        <w:t xml:space="preserve">pediatric </w:t>
      </w:r>
      <w:r w:rsidRPr="5B25761E">
        <w:rPr>
          <w:rFonts w:ascii="Calibri" w:eastAsia="Calibri" w:hAnsi="Calibri" w:cs="Calibri"/>
        </w:rPr>
        <w:t>mental</w:t>
      </w:r>
      <w:r w:rsidRPr="004F5131">
        <w:rPr>
          <w:rFonts w:ascii="Calibri" w:eastAsia="Calibri" w:hAnsi="Calibri" w:cs="Calibri"/>
        </w:rPr>
        <w:t xml:space="preserve"> health services, rehabilitation services, and dental services</w:t>
      </w:r>
      <w:r w:rsidR="0048789D">
        <w:rPr>
          <w:rFonts w:ascii="Calibri" w:eastAsia="Calibri" w:hAnsi="Calibri" w:cs="Calibri"/>
        </w:rPr>
        <w:t>,</w:t>
      </w:r>
      <w:r w:rsidRPr="004F5131">
        <w:rPr>
          <w:rFonts w:ascii="Calibri" w:eastAsia="Calibri" w:hAnsi="Calibri" w:cs="Calibri"/>
        </w:rPr>
        <w:t xml:space="preserve"> the short</w:t>
      </w:r>
      <w:r w:rsidR="0048789D">
        <w:rPr>
          <w:rFonts w:ascii="Calibri" w:eastAsia="Calibri" w:hAnsi="Calibri" w:cs="Calibri"/>
        </w:rPr>
        <w:t>-</w:t>
      </w:r>
      <w:r w:rsidRPr="004F5131">
        <w:rPr>
          <w:rFonts w:ascii="Calibri" w:eastAsia="Calibri" w:hAnsi="Calibri" w:cs="Calibri"/>
        </w:rPr>
        <w:t xml:space="preserve">term crisis noted in the Commonwealth’s </w:t>
      </w:r>
      <w:r w:rsidRPr="00060C17">
        <w:rPr>
          <w:rFonts w:ascii="Calibri" w:eastAsia="Calibri" w:hAnsi="Calibri" w:cs="Calibri"/>
          <w:i/>
          <w:iCs/>
        </w:rPr>
        <w:t>Roadmap for Behavioral Health Reform</w:t>
      </w:r>
      <w:r w:rsidRPr="004F5131">
        <w:rPr>
          <w:rFonts w:ascii="Calibri" w:eastAsia="Calibri" w:hAnsi="Calibri" w:cs="Calibri"/>
        </w:rPr>
        <w:t xml:space="preserve"> and the U.S. Surgeon General’s advisory on youth mental health, may be alleviated. </w:t>
      </w:r>
    </w:p>
    <w:p w14:paraId="1804ED36" w14:textId="77777777" w:rsidR="0048789D" w:rsidRDefault="0048789D" w:rsidP="004F5131">
      <w:pPr>
        <w:rPr>
          <w:rFonts w:ascii="Calibri" w:eastAsia="Calibri" w:hAnsi="Calibri" w:cs="Calibri"/>
        </w:rPr>
      </w:pPr>
    </w:p>
    <w:p w14:paraId="62BBB523" w14:textId="5B4D100F" w:rsidR="00794127" w:rsidRPr="004F5131" w:rsidRDefault="00820CA4" w:rsidP="004F5131">
      <w:pPr>
        <w:rPr>
          <w:rFonts w:ascii="Calibri" w:eastAsia="Calibri" w:hAnsi="Calibri" w:cs="Calibri"/>
        </w:rPr>
      </w:pPr>
      <w:r w:rsidRPr="004F5131">
        <w:rPr>
          <w:rFonts w:ascii="Calibri" w:eastAsia="Calibri" w:hAnsi="Calibri" w:cs="Calibri"/>
        </w:rPr>
        <w:t xml:space="preserve">The Applicant adds </w:t>
      </w:r>
      <w:r w:rsidR="0048789D">
        <w:rPr>
          <w:rFonts w:ascii="Calibri" w:eastAsia="Calibri" w:hAnsi="Calibri" w:cs="Calibri"/>
        </w:rPr>
        <w:t xml:space="preserve">The Proposed Project </w:t>
      </w:r>
      <w:r w:rsidRPr="004F5131">
        <w:rPr>
          <w:rFonts w:ascii="Calibri" w:eastAsia="Calibri" w:hAnsi="Calibri" w:cs="Calibri"/>
        </w:rPr>
        <w:t xml:space="preserve">will also serve as part of a long-term strategy of the parties to improve the physical and mental health of children for decades to come. </w:t>
      </w:r>
      <w:r w:rsidR="00794127" w:rsidRPr="004F5131">
        <w:rPr>
          <w:rFonts w:ascii="Calibri" w:eastAsia="Calibri" w:hAnsi="Calibri" w:cs="Calibri"/>
        </w:rPr>
        <w:t>Studies show that if not properly addressed, childhood mental health conditions often persist into adulthood and may result in negative social outcomes and increased financial burdens on social support and disability programs.</w:t>
      </w:r>
      <w:r w:rsidR="00B73799" w:rsidRPr="004F5131">
        <w:rPr>
          <w:rFonts w:ascii="Calibri" w:eastAsia="Calibri" w:hAnsi="Calibri" w:cs="Calibri"/>
          <w:vertAlign w:val="superscript"/>
        </w:rPr>
        <w:endnoteReference w:id="21"/>
      </w:r>
      <w:r w:rsidR="00B73799" w:rsidRPr="004F5131">
        <w:rPr>
          <w:rFonts w:ascii="Calibri" w:eastAsia="Calibri" w:hAnsi="Calibri" w:cs="Calibri"/>
        </w:rPr>
        <w:t xml:space="preserve"> </w:t>
      </w:r>
      <w:r w:rsidR="00794127" w:rsidRPr="004F5131">
        <w:rPr>
          <w:rFonts w:ascii="Calibri" w:eastAsia="Calibri" w:hAnsi="Calibri" w:cs="Calibri"/>
        </w:rPr>
        <w:t xml:space="preserve">By providing timely and appropriate </w:t>
      </w:r>
      <w:r w:rsidRPr="004F5131">
        <w:rPr>
          <w:rFonts w:ascii="Calibri" w:eastAsia="Calibri" w:hAnsi="Calibri" w:cs="Calibri"/>
        </w:rPr>
        <w:t xml:space="preserve">access to </w:t>
      </w:r>
      <w:r w:rsidR="00794127" w:rsidRPr="004F5131">
        <w:rPr>
          <w:rFonts w:ascii="Calibri" w:eastAsia="Calibri" w:hAnsi="Calibri" w:cs="Calibri"/>
        </w:rPr>
        <w:t>care to complex medical populations, the parties reduce the need for other more intensive and expensive downstream care that may result when clinically appropriate care is delayed, thereby supporting the Commonwealth’s cost containment goals.</w:t>
      </w:r>
      <w:r w:rsidRPr="004F5131">
        <w:rPr>
          <w:rFonts w:ascii="Calibri" w:eastAsia="Calibri" w:hAnsi="Calibri" w:cs="Calibri"/>
        </w:rPr>
        <w:t xml:space="preserve"> </w:t>
      </w:r>
    </w:p>
    <w:p w14:paraId="5620E611" w14:textId="77777777" w:rsidR="00794127" w:rsidRPr="004F5131" w:rsidRDefault="00794127" w:rsidP="004F5131">
      <w:pPr>
        <w:rPr>
          <w:rFonts w:ascii="Calibri" w:eastAsia="Calibri" w:hAnsi="Calibri" w:cs="Calibri"/>
        </w:rPr>
      </w:pPr>
    </w:p>
    <w:p w14:paraId="059406F5" w14:textId="091FD918" w:rsidR="00907D94" w:rsidRPr="004F5131" w:rsidRDefault="00907D94" w:rsidP="004F5131">
      <w:pPr>
        <w:rPr>
          <w:rFonts w:ascii="Calibri" w:eastAsia="Calibri" w:hAnsi="Calibri" w:cs="Calibri"/>
        </w:rPr>
      </w:pPr>
      <w:r w:rsidRPr="004F5131">
        <w:rPr>
          <w:rFonts w:ascii="Calibri" w:eastAsia="Calibri" w:hAnsi="Calibri" w:cs="Calibri"/>
        </w:rPr>
        <w:t>T</w:t>
      </w:r>
      <w:r w:rsidR="00794127" w:rsidRPr="004F5131">
        <w:rPr>
          <w:rFonts w:ascii="Calibri" w:eastAsia="Calibri" w:hAnsi="Calibri" w:cs="Calibri"/>
        </w:rPr>
        <w:t xml:space="preserve">he Applicant and </w:t>
      </w:r>
      <w:r w:rsidR="00AB1D61" w:rsidRPr="004F5131">
        <w:rPr>
          <w:rFonts w:ascii="Calibri" w:eastAsia="Calibri" w:hAnsi="Calibri" w:cs="Calibri"/>
        </w:rPr>
        <w:t>Franciscan</w:t>
      </w:r>
      <w:r w:rsidR="00794127" w:rsidRPr="004F5131">
        <w:rPr>
          <w:rFonts w:ascii="Calibri" w:eastAsia="Calibri" w:hAnsi="Calibri" w:cs="Calibri"/>
        </w:rPr>
        <w:t xml:space="preserve"> share </w:t>
      </w:r>
      <w:r w:rsidRPr="004F5131">
        <w:rPr>
          <w:rFonts w:ascii="Calibri" w:eastAsia="Calibri" w:hAnsi="Calibri" w:cs="Calibri"/>
        </w:rPr>
        <w:t xml:space="preserve">the long-term view of the Massachusetts Medicaid Policy Institute </w:t>
      </w:r>
      <w:r w:rsidR="009C38CA" w:rsidRPr="004F5131">
        <w:rPr>
          <w:rFonts w:ascii="Calibri" w:eastAsia="Calibri" w:hAnsi="Calibri" w:cs="Calibri"/>
        </w:rPr>
        <w:t>which found</w:t>
      </w:r>
      <w:r w:rsidRPr="004F5131">
        <w:rPr>
          <w:rFonts w:ascii="Calibri" w:eastAsia="Calibri" w:hAnsi="Calibri" w:cs="Calibri"/>
        </w:rPr>
        <w:t xml:space="preserve"> that value-based payment models that incentivize short-term savings </w:t>
      </w:r>
      <w:r w:rsidRPr="004F5131">
        <w:rPr>
          <w:rFonts w:ascii="Calibri" w:eastAsia="Calibri" w:hAnsi="Calibri" w:cs="Calibri"/>
        </w:rPr>
        <w:lastRenderedPageBreak/>
        <w:t>may not optimally serve most pediatric patients, and that a longer-term view of investment in the pediatric population is more appropriate. T</w:t>
      </w:r>
      <w:r w:rsidR="00794127" w:rsidRPr="004F5131">
        <w:rPr>
          <w:rFonts w:ascii="Calibri" w:eastAsia="Calibri" w:hAnsi="Calibri" w:cs="Calibri"/>
        </w:rPr>
        <w:t xml:space="preserve">hey provide their </w:t>
      </w:r>
      <w:r w:rsidR="00FC18CB" w:rsidRPr="004F5131">
        <w:rPr>
          <w:rFonts w:ascii="Calibri" w:eastAsia="Calibri" w:hAnsi="Calibri" w:cs="Calibri"/>
        </w:rPr>
        <w:t>patients with</w:t>
      </w:r>
      <w:r w:rsidR="00794127" w:rsidRPr="004F5131">
        <w:rPr>
          <w:rFonts w:ascii="Calibri" w:eastAsia="Calibri" w:hAnsi="Calibri" w:cs="Calibri"/>
        </w:rPr>
        <w:t xml:space="preserve"> much-needed care to improve their life-long health and well-being.</w:t>
      </w:r>
      <w:r w:rsidR="00EA1197" w:rsidRPr="004F5131">
        <w:rPr>
          <w:rFonts w:ascii="Calibri" w:eastAsia="Calibri" w:hAnsi="Calibri" w:cs="Calibri"/>
        </w:rPr>
        <w:t xml:space="preserve"> </w:t>
      </w:r>
    </w:p>
    <w:p w14:paraId="7541BAAE" w14:textId="77777777" w:rsidR="00907D94" w:rsidRPr="004F5131" w:rsidRDefault="00907D94" w:rsidP="004F5131">
      <w:pPr>
        <w:rPr>
          <w:rFonts w:ascii="Calibri" w:eastAsia="Calibri" w:hAnsi="Calibri" w:cs="Calibri"/>
        </w:rPr>
      </w:pPr>
    </w:p>
    <w:p w14:paraId="4D9ABD3C" w14:textId="33E3134D" w:rsidR="00794127" w:rsidRPr="004F5131" w:rsidRDefault="00794127" w:rsidP="004F5131">
      <w:pPr>
        <w:rPr>
          <w:rFonts w:ascii="Calibri" w:eastAsia="Calibri" w:hAnsi="Calibri" w:cs="Calibri"/>
        </w:rPr>
      </w:pPr>
      <w:r w:rsidRPr="004F5131">
        <w:rPr>
          <w:rFonts w:ascii="Calibri" w:eastAsia="Calibri" w:hAnsi="Calibri" w:cs="Calibri"/>
        </w:rPr>
        <w:t xml:space="preserve">The Applicant </w:t>
      </w:r>
      <w:r w:rsidR="00907D94" w:rsidRPr="004F5131">
        <w:rPr>
          <w:rFonts w:ascii="Calibri" w:eastAsia="Calibri" w:hAnsi="Calibri" w:cs="Calibri"/>
        </w:rPr>
        <w:t>states its</w:t>
      </w:r>
      <w:r w:rsidRPr="004F5131">
        <w:rPr>
          <w:rFonts w:ascii="Calibri" w:eastAsia="Calibri" w:hAnsi="Calibri" w:cs="Calibri"/>
        </w:rPr>
        <w:t xml:space="preserve"> dedicati</w:t>
      </w:r>
      <w:r w:rsidR="00907D94" w:rsidRPr="004F5131">
        <w:rPr>
          <w:rFonts w:ascii="Calibri" w:eastAsia="Calibri" w:hAnsi="Calibri" w:cs="Calibri"/>
        </w:rPr>
        <w:t>on of</w:t>
      </w:r>
      <w:r w:rsidRPr="004F5131">
        <w:rPr>
          <w:rFonts w:ascii="Calibri" w:eastAsia="Calibri" w:hAnsi="Calibri" w:cs="Calibri"/>
        </w:rPr>
        <w:t xml:space="preserve"> significant resources </w:t>
      </w:r>
      <w:r w:rsidR="00907D94" w:rsidRPr="004F5131">
        <w:rPr>
          <w:rFonts w:ascii="Calibri" w:eastAsia="Calibri" w:hAnsi="Calibri" w:cs="Calibri"/>
        </w:rPr>
        <w:t xml:space="preserve">are </w:t>
      </w:r>
      <w:r w:rsidRPr="004F5131">
        <w:rPr>
          <w:rFonts w:ascii="Calibri" w:eastAsia="Calibri" w:hAnsi="Calibri" w:cs="Calibri"/>
        </w:rPr>
        <w:t>necessary to transform and reimagine the delivery of pediatric care for children with mental health and complex post-acute medical and rehabilitation needs.</w:t>
      </w:r>
      <w:r w:rsidR="00907D94" w:rsidRPr="004F5131">
        <w:rPr>
          <w:rFonts w:ascii="Calibri" w:eastAsia="Calibri" w:hAnsi="Calibri" w:cs="Calibri"/>
        </w:rPr>
        <w:t xml:space="preserve"> To</w:t>
      </w:r>
      <w:r w:rsidRPr="004F5131">
        <w:rPr>
          <w:rFonts w:ascii="Calibri" w:eastAsia="Calibri" w:hAnsi="Calibri" w:cs="Calibri"/>
        </w:rPr>
        <w:t xml:space="preserve"> achiev</w:t>
      </w:r>
      <w:r w:rsidR="00907D94" w:rsidRPr="004F5131">
        <w:rPr>
          <w:rFonts w:ascii="Calibri" w:eastAsia="Calibri" w:hAnsi="Calibri" w:cs="Calibri"/>
        </w:rPr>
        <w:t>e</w:t>
      </w:r>
      <w:r w:rsidRPr="004F5131">
        <w:rPr>
          <w:rFonts w:ascii="Calibri" w:eastAsia="Calibri" w:hAnsi="Calibri" w:cs="Calibri"/>
        </w:rPr>
        <w:t xml:space="preserve"> this vision, the Proposed Project will expand access to </w:t>
      </w:r>
      <w:r w:rsidR="009C38CA">
        <w:rPr>
          <w:rFonts w:ascii="Calibri" w:eastAsia="Calibri" w:hAnsi="Calibri" w:cs="Calibri"/>
        </w:rPr>
        <w:t xml:space="preserve">existing and new </w:t>
      </w:r>
      <w:r w:rsidRPr="004F5131">
        <w:rPr>
          <w:rFonts w:ascii="Calibri" w:eastAsia="Calibri" w:hAnsi="Calibri" w:cs="Calibri"/>
        </w:rPr>
        <w:t>services for the pediatric population and, with a long-term view, will meaningfully contribute to the Commonwealth’s cost containment goals.</w:t>
      </w:r>
    </w:p>
    <w:p w14:paraId="445A8C40" w14:textId="77777777" w:rsidR="00794127" w:rsidRPr="004F5131" w:rsidRDefault="00794127" w:rsidP="004F5131">
      <w:pPr>
        <w:spacing w:after="120"/>
        <w:jc w:val="both"/>
        <w:rPr>
          <w:rFonts w:ascii="Calibri" w:eastAsia="Calibri" w:hAnsi="Calibri" w:cs="Calibri"/>
        </w:rPr>
      </w:pPr>
    </w:p>
    <w:p w14:paraId="60C34AD7" w14:textId="5E03D8F4" w:rsidR="00794127" w:rsidRPr="004F5131" w:rsidRDefault="004A2DCA" w:rsidP="004F5131">
      <w:pPr>
        <w:jc w:val="both"/>
        <w:rPr>
          <w:rFonts w:ascii="Calibri" w:eastAsia="Calibri" w:hAnsi="Calibri" w:cs="Calibri"/>
          <w:b/>
        </w:rPr>
      </w:pPr>
      <w:r w:rsidRPr="004F5131">
        <w:rPr>
          <w:rFonts w:ascii="Calibri" w:eastAsia="Calibri" w:hAnsi="Calibri" w:cs="Calibri"/>
          <w:b/>
        </w:rPr>
        <w:t>P</w:t>
      </w:r>
      <w:r w:rsidR="00794127" w:rsidRPr="004F5131">
        <w:rPr>
          <w:rFonts w:ascii="Calibri" w:eastAsia="Calibri" w:hAnsi="Calibri" w:cs="Calibri"/>
          <w:b/>
        </w:rPr>
        <w:t>ublic Health Outcomes</w:t>
      </w:r>
    </w:p>
    <w:p w14:paraId="09FEA637" w14:textId="77777777" w:rsidR="00794127" w:rsidRPr="004F5131" w:rsidRDefault="00794127" w:rsidP="004F5131">
      <w:pPr>
        <w:ind w:left="720"/>
        <w:jc w:val="both"/>
        <w:rPr>
          <w:rFonts w:ascii="Calibri" w:eastAsia="Calibri" w:hAnsi="Calibri" w:cs="Calibri"/>
          <w:b/>
        </w:rPr>
      </w:pPr>
    </w:p>
    <w:p w14:paraId="0645E0D1" w14:textId="084D7609" w:rsidR="00A259BD" w:rsidRPr="004F5131" w:rsidRDefault="004A2DCA" w:rsidP="004F5131">
      <w:pPr>
        <w:tabs>
          <w:tab w:val="left" w:pos="9000"/>
        </w:tabs>
        <w:spacing w:before="1"/>
        <w:rPr>
          <w:rFonts w:ascii="Calibri" w:eastAsia="Calibri" w:hAnsi="Calibri" w:cs="Calibri"/>
        </w:rPr>
      </w:pPr>
      <w:r w:rsidRPr="004F5131">
        <w:rPr>
          <w:rFonts w:ascii="Calibri" w:eastAsia="Calibri" w:hAnsi="Calibri" w:cs="Calibri"/>
        </w:rPr>
        <w:t>T</w:t>
      </w:r>
      <w:r w:rsidR="00794127" w:rsidRPr="004F5131">
        <w:rPr>
          <w:rFonts w:ascii="Calibri" w:eastAsia="Calibri" w:hAnsi="Calibri" w:cs="Calibri"/>
        </w:rPr>
        <w:t xml:space="preserve">he Proposed Project will allow </w:t>
      </w:r>
      <w:r w:rsidR="009C38CA">
        <w:rPr>
          <w:rFonts w:ascii="Calibri" w:eastAsia="Calibri" w:hAnsi="Calibri" w:cs="Calibri"/>
        </w:rPr>
        <w:t xml:space="preserve">Franciscan and BCH </w:t>
      </w:r>
      <w:r w:rsidR="00794127" w:rsidRPr="004F5131">
        <w:rPr>
          <w:rFonts w:ascii="Calibri" w:eastAsia="Calibri" w:hAnsi="Calibri" w:cs="Calibri"/>
        </w:rPr>
        <w:t>to share collective resources and expertise and position the parties as a regional hub for pediatric rehabilitative and mental health care</w:t>
      </w:r>
      <w:r w:rsidRPr="004F5131">
        <w:rPr>
          <w:rFonts w:ascii="Calibri" w:eastAsia="Calibri" w:hAnsi="Calibri" w:cs="Calibri"/>
        </w:rPr>
        <w:t>, thereby preserving and expanding its mission.</w:t>
      </w:r>
      <w:r w:rsidR="00EA1197" w:rsidRPr="004F5131">
        <w:rPr>
          <w:rFonts w:ascii="Calibri" w:eastAsia="Calibri" w:hAnsi="Calibri" w:cs="Calibri"/>
        </w:rPr>
        <w:t xml:space="preserve"> </w:t>
      </w:r>
    </w:p>
    <w:p w14:paraId="28FA90BA" w14:textId="77777777" w:rsidR="00A259BD" w:rsidRPr="004F5131" w:rsidRDefault="00A259BD" w:rsidP="004F5131">
      <w:pPr>
        <w:tabs>
          <w:tab w:val="left" w:pos="9000"/>
        </w:tabs>
        <w:spacing w:before="1"/>
        <w:rPr>
          <w:rFonts w:ascii="Calibri" w:eastAsia="Calibri" w:hAnsi="Calibri" w:cs="Calibri"/>
        </w:rPr>
      </w:pPr>
    </w:p>
    <w:p w14:paraId="093B4EF8" w14:textId="41CE78BC" w:rsidR="00794127" w:rsidRPr="004F5131" w:rsidRDefault="004A2DCA" w:rsidP="004F5131">
      <w:pPr>
        <w:tabs>
          <w:tab w:val="left" w:pos="9000"/>
        </w:tabs>
        <w:spacing w:before="1"/>
        <w:rPr>
          <w:rFonts w:ascii="Calibri" w:eastAsia="Calibri" w:hAnsi="Calibri" w:cs="Calibri"/>
        </w:rPr>
      </w:pPr>
      <w:r w:rsidRPr="004F5131">
        <w:rPr>
          <w:rFonts w:ascii="Calibri" w:eastAsia="Calibri" w:hAnsi="Calibri" w:cs="Calibri"/>
        </w:rPr>
        <w:t xml:space="preserve">With the new facility, </w:t>
      </w:r>
      <w:r w:rsidR="00794127" w:rsidRPr="004F5131">
        <w:rPr>
          <w:rFonts w:ascii="Calibri" w:eastAsia="Calibri" w:hAnsi="Calibri" w:cs="Calibri"/>
        </w:rPr>
        <w:t xml:space="preserve">12 </w:t>
      </w:r>
      <w:r w:rsidR="00A259BD" w:rsidRPr="004F5131">
        <w:rPr>
          <w:rFonts w:ascii="Calibri" w:eastAsia="Calibri" w:hAnsi="Calibri" w:cs="Calibri"/>
        </w:rPr>
        <w:t xml:space="preserve">additional </w:t>
      </w:r>
      <w:r w:rsidR="00794127" w:rsidRPr="004F5131">
        <w:rPr>
          <w:rFonts w:ascii="Calibri" w:eastAsia="Calibri" w:hAnsi="Calibri" w:cs="Calibri"/>
        </w:rPr>
        <w:t xml:space="preserve">medical and rehabilitative beds </w:t>
      </w:r>
      <w:r w:rsidRPr="004F5131">
        <w:rPr>
          <w:rFonts w:ascii="Calibri" w:eastAsia="Calibri" w:hAnsi="Calibri" w:cs="Calibri"/>
        </w:rPr>
        <w:t xml:space="preserve">that are currently licensed </w:t>
      </w:r>
      <w:r w:rsidR="00A259BD" w:rsidRPr="004F5131">
        <w:rPr>
          <w:rFonts w:ascii="Calibri" w:eastAsia="Calibri" w:hAnsi="Calibri" w:cs="Calibri"/>
        </w:rPr>
        <w:t xml:space="preserve">but not operational will come into service on </w:t>
      </w:r>
      <w:r w:rsidR="00794127" w:rsidRPr="004F5131">
        <w:rPr>
          <w:rFonts w:ascii="Calibri" w:eastAsia="Calibri" w:hAnsi="Calibri" w:cs="Calibri"/>
        </w:rPr>
        <w:t xml:space="preserve">the </w:t>
      </w:r>
      <w:r w:rsidR="00AB1D61" w:rsidRPr="004F5131">
        <w:rPr>
          <w:rFonts w:ascii="Calibri" w:eastAsia="Calibri" w:hAnsi="Calibri" w:cs="Calibri"/>
        </w:rPr>
        <w:t>Franciscan</w:t>
      </w:r>
      <w:r w:rsidR="00794127" w:rsidRPr="004F5131">
        <w:rPr>
          <w:rFonts w:ascii="Calibri" w:eastAsia="Calibri" w:hAnsi="Calibri" w:cs="Calibri"/>
        </w:rPr>
        <w:t xml:space="preserve"> campus</w:t>
      </w:r>
      <w:r w:rsidR="00A259BD" w:rsidRPr="004F5131">
        <w:rPr>
          <w:rFonts w:ascii="Calibri" w:eastAsia="Calibri" w:hAnsi="Calibri" w:cs="Calibri"/>
        </w:rPr>
        <w:t xml:space="preserve"> and </w:t>
      </w:r>
      <w:r w:rsidR="00EA1197" w:rsidRPr="004F5131">
        <w:rPr>
          <w:rFonts w:ascii="Calibri" w:eastAsia="Calibri" w:hAnsi="Calibri" w:cs="Calibri"/>
        </w:rPr>
        <w:t xml:space="preserve">will meet the needs of the projected 5% annual growth in </w:t>
      </w:r>
      <w:r w:rsidR="00794127" w:rsidRPr="004F5131">
        <w:rPr>
          <w:rFonts w:ascii="Calibri" w:eastAsia="Calibri" w:hAnsi="Calibri" w:cs="Calibri"/>
        </w:rPr>
        <w:t xml:space="preserve">the population of children with complex medical needs. </w:t>
      </w:r>
    </w:p>
    <w:p w14:paraId="43514268" w14:textId="77777777" w:rsidR="00794127" w:rsidRPr="004F5131" w:rsidRDefault="00794127" w:rsidP="004F5131">
      <w:pPr>
        <w:tabs>
          <w:tab w:val="left" w:pos="9000"/>
        </w:tabs>
        <w:spacing w:before="1"/>
        <w:ind w:right="353"/>
        <w:jc w:val="both"/>
        <w:rPr>
          <w:rFonts w:ascii="Calibri" w:eastAsia="Calibri" w:hAnsi="Calibri" w:cs="Calibri"/>
        </w:rPr>
      </w:pPr>
    </w:p>
    <w:p w14:paraId="50E5E477" w14:textId="6FD768D3" w:rsidR="004627C3" w:rsidRPr="004F5131" w:rsidRDefault="00794127" w:rsidP="004F5131">
      <w:pPr>
        <w:spacing w:after="120"/>
        <w:rPr>
          <w:rFonts w:ascii="Calibri" w:eastAsia="Calibri" w:hAnsi="Calibri" w:cs="Calibri"/>
        </w:rPr>
      </w:pPr>
      <w:r w:rsidRPr="004F5131">
        <w:rPr>
          <w:rFonts w:ascii="Calibri" w:eastAsia="Calibri" w:hAnsi="Calibri" w:cs="Calibri"/>
        </w:rPr>
        <w:t xml:space="preserve">As with cost containment, the Applicant takes a long-term view of public health outcomes, </w:t>
      </w:r>
      <w:r w:rsidR="004F0693">
        <w:rPr>
          <w:rFonts w:ascii="Calibri" w:eastAsia="Calibri" w:hAnsi="Calibri" w:cs="Calibri"/>
        </w:rPr>
        <w:t xml:space="preserve">around its provision of </w:t>
      </w:r>
      <w:r w:rsidRPr="004F5131">
        <w:rPr>
          <w:rFonts w:ascii="Calibri" w:eastAsia="Calibri" w:hAnsi="Calibri" w:cs="Calibri"/>
        </w:rPr>
        <w:t xml:space="preserve">specialized </w:t>
      </w:r>
      <w:r w:rsidR="004F0693">
        <w:rPr>
          <w:rFonts w:ascii="Calibri" w:eastAsia="Calibri" w:hAnsi="Calibri" w:cs="Calibri"/>
        </w:rPr>
        <w:t xml:space="preserve">children’s </w:t>
      </w:r>
      <w:r w:rsidRPr="004F5131">
        <w:rPr>
          <w:rFonts w:ascii="Calibri" w:eastAsia="Calibri" w:hAnsi="Calibri" w:cs="Calibri"/>
        </w:rPr>
        <w:t>services</w:t>
      </w:r>
      <w:r w:rsidR="004627C3" w:rsidRPr="004F5131">
        <w:rPr>
          <w:rFonts w:ascii="Calibri" w:eastAsia="Calibri" w:hAnsi="Calibri" w:cs="Calibri"/>
        </w:rPr>
        <w:t xml:space="preserve">, </w:t>
      </w:r>
      <w:r w:rsidR="004F0693">
        <w:rPr>
          <w:rFonts w:ascii="Calibri" w:eastAsia="Calibri" w:hAnsi="Calibri" w:cs="Calibri"/>
        </w:rPr>
        <w:t xml:space="preserve">that </w:t>
      </w:r>
      <w:r w:rsidR="004627C3" w:rsidRPr="004F5131">
        <w:rPr>
          <w:rFonts w:ascii="Calibri" w:eastAsia="Calibri" w:hAnsi="Calibri" w:cs="Calibri"/>
        </w:rPr>
        <w:t xml:space="preserve">through timely intervention and ongoing supportive care, such services can mitigate the impact </w:t>
      </w:r>
      <w:r w:rsidR="00723FAF" w:rsidRPr="004F5131">
        <w:rPr>
          <w:rFonts w:ascii="Calibri" w:eastAsia="Calibri" w:hAnsi="Calibri" w:cs="Calibri"/>
        </w:rPr>
        <w:t xml:space="preserve">of </w:t>
      </w:r>
      <w:r w:rsidR="00723FAF">
        <w:rPr>
          <w:rFonts w:ascii="Calibri" w:eastAsia="Calibri" w:hAnsi="Calibri" w:cs="Calibri"/>
        </w:rPr>
        <w:t>the</w:t>
      </w:r>
      <w:r w:rsidR="004F0693">
        <w:rPr>
          <w:rFonts w:ascii="Calibri" w:eastAsia="Calibri" w:hAnsi="Calibri" w:cs="Calibri"/>
        </w:rPr>
        <w:t xml:space="preserve"> </w:t>
      </w:r>
      <w:r w:rsidR="004627C3" w:rsidRPr="004F5131">
        <w:rPr>
          <w:rFonts w:ascii="Calibri" w:eastAsia="Calibri" w:hAnsi="Calibri" w:cs="Calibri"/>
        </w:rPr>
        <w:t>conditions and help children become the healthiest adults they can be.</w:t>
      </w:r>
    </w:p>
    <w:p w14:paraId="3E876F6B" w14:textId="068D3265" w:rsidR="00794127" w:rsidRPr="004F5131" w:rsidRDefault="00794127" w:rsidP="004F5131">
      <w:pPr>
        <w:spacing w:after="120"/>
        <w:rPr>
          <w:rFonts w:ascii="Calibri" w:eastAsia="Calibri" w:hAnsi="Calibri" w:cs="Calibri"/>
        </w:rPr>
      </w:pPr>
      <w:r w:rsidRPr="004F5131">
        <w:rPr>
          <w:rFonts w:ascii="Calibri" w:eastAsia="Calibri" w:hAnsi="Calibri" w:cs="Calibri"/>
        </w:rPr>
        <w:t>The Proposed Project includes contemporary space for staff training which will allow the parties to strengthen their workforce, providing enhanced training, support, and administrative resources.</w:t>
      </w:r>
      <w:r w:rsidR="00EA1197" w:rsidRPr="004F5131">
        <w:rPr>
          <w:rFonts w:ascii="Calibri" w:eastAsia="Calibri" w:hAnsi="Calibri" w:cs="Calibri"/>
        </w:rPr>
        <w:t xml:space="preserve"> </w:t>
      </w:r>
    </w:p>
    <w:p w14:paraId="6CCA3076" w14:textId="77777777" w:rsidR="00794127" w:rsidRPr="004F5131" w:rsidRDefault="00794127" w:rsidP="004F5131">
      <w:pPr>
        <w:tabs>
          <w:tab w:val="left" w:pos="720"/>
        </w:tabs>
        <w:jc w:val="both"/>
        <w:rPr>
          <w:rFonts w:ascii="Calibri" w:eastAsia="Calibri" w:hAnsi="Calibri" w:cs="Calibri"/>
          <w:b/>
          <w:u w:val="single"/>
        </w:rPr>
      </w:pPr>
    </w:p>
    <w:p w14:paraId="23B221D8" w14:textId="606BF396" w:rsidR="00794127" w:rsidRPr="0048789D" w:rsidRDefault="00794127" w:rsidP="004F5131">
      <w:pPr>
        <w:tabs>
          <w:tab w:val="left" w:pos="720"/>
        </w:tabs>
        <w:jc w:val="both"/>
        <w:rPr>
          <w:rFonts w:ascii="Calibri" w:eastAsia="Calibri" w:hAnsi="Calibri" w:cs="Calibri"/>
          <w:b/>
        </w:rPr>
      </w:pPr>
      <w:r w:rsidRPr="0048789D">
        <w:rPr>
          <w:rFonts w:ascii="Calibri" w:eastAsia="Calibri" w:hAnsi="Calibri" w:cs="Calibri"/>
          <w:b/>
        </w:rPr>
        <w:t>Delivery System Transformation</w:t>
      </w:r>
    </w:p>
    <w:p w14:paraId="48C36289" w14:textId="77777777" w:rsidR="00BA6C02" w:rsidRPr="004F5131" w:rsidRDefault="00BA6C02" w:rsidP="004F5131">
      <w:pPr>
        <w:tabs>
          <w:tab w:val="left" w:pos="720"/>
        </w:tabs>
        <w:jc w:val="both"/>
        <w:rPr>
          <w:rFonts w:ascii="Calibri" w:eastAsia="Calibri" w:hAnsi="Calibri" w:cs="Calibri"/>
          <w:b/>
          <w:u w:val="single"/>
        </w:rPr>
      </w:pPr>
    </w:p>
    <w:p w14:paraId="590D01C5" w14:textId="35DD59BE" w:rsidR="00114CA0" w:rsidRPr="004F5131" w:rsidRDefault="00114CA0" w:rsidP="004F5131">
      <w:pPr>
        <w:rPr>
          <w:rFonts w:ascii="Calibri" w:eastAsia="Calibri" w:hAnsi="Calibri" w:cs="Calibri"/>
          <w:bCs/>
        </w:rPr>
      </w:pPr>
      <w:r w:rsidRPr="004F5131">
        <w:rPr>
          <w:rFonts w:ascii="Calibri" w:eastAsia="Calibri" w:hAnsi="Calibri" w:cs="Calibri"/>
          <w:bCs/>
        </w:rPr>
        <w:t xml:space="preserve">The Proposed Project will also </w:t>
      </w:r>
      <w:r w:rsidR="00B275E9" w:rsidRPr="004F5131">
        <w:rPr>
          <w:rFonts w:ascii="Calibri" w:eastAsia="Calibri" w:hAnsi="Calibri" w:cs="Calibri"/>
          <w:bCs/>
        </w:rPr>
        <w:t>expand</w:t>
      </w:r>
      <w:r w:rsidRPr="004F5131">
        <w:rPr>
          <w:rFonts w:ascii="Calibri" w:eastAsia="Calibri" w:hAnsi="Calibri" w:cs="Calibri"/>
          <w:bCs/>
        </w:rPr>
        <w:t xml:space="preserve"> access to </w:t>
      </w:r>
      <w:r w:rsidR="00BA6C02" w:rsidRPr="004F5131">
        <w:rPr>
          <w:rFonts w:ascii="Calibri" w:eastAsia="Calibri" w:hAnsi="Calibri" w:cs="Calibri"/>
          <w:bCs/>
        </w:rPr>
        <w:t xml:space="preserve">children </w:t>
      </w:r>
      <w:proofErr w:type="gramStart"/>
      <w:r w:rsidR="00BA6C02" w:rsidRPr="004F5131">
        <w:rPr>
          <w:rFonts w:ascii="Calibri" w:eastAsia="Calibri" w:hAnsi="Calibri" w:cs="Calibri"/>
          <w:bCs/>
        </w:rPr>
        <w:t>referred</w:t>
      </w:r>
      <w:proofErr w:type="gramEnd"/>
      <w:r w:rsidR="00BA6C02" w:rsidRPr="004F5131">
        <w:rPr>
          <w:rFonts w:ascii="Calibri" w:eastAsia="Calibri" w:hAnsi="Calibri" w:cs="Calibri"/>
          <w:bCs/>
        </w:rPr>
        <w:t xml:space="preserve"> from </w:t>
      </w:r>
      <w:r w:rsidRPr="004F5131">
        <w:rPr>
          <w:rFonts w:ascii="Calibri" w:eastAsia="Calibri" w:hAnsi="Calibri" w:cs="Calibri"/>
          <w:bCs/>
        </w:rPr>
        <w:t xml:space="preserve">all the acute care and community-based institutions across the Commonwealth.  Other Massachusetts providers </w:t>
      </w:r>
      <w:r w:rsidR="00BA6C02" w:rsidRPr="004F5131">
        <w:rPr>
          <w:rFonts w:ascii="Calibri" w:eastAsia="Calibri" w:hAnsi="Calibri" w:cs="Calibri"/>
          <w:bCs/>
        </w:rPr>
        <w:t xml:space="preserve">will continue to be able </w:t>
      </w:r>
      <w:r w:rsidRPr="004F5131">
        <w:rPr>
          <w:rFonts w:ascii="Calibri" w:eastAsia="Calibri" w:hAnsi="Calibri" w:cs="Calibri"/>
          <w:bCs/>
        </w:rPr>
        <w:t xml:space="preserve">to rely on Franciscan for its unique critical services as part of the larger care continuum for children with significant mental health needs or medical complexity requiring post-acute care.  </w:t>
      </w:r>
    </w:p>
    <w:p w14:paraId="10E751F1" w14:textId="77777777" w:rsidR="00BA6C02" w:rsidRPr="004F5131" w:rsidRDefault="00BA6C02" w:rsidP="004F5131">
      <w:pPr>
        <w:rPr>
          <w:rFonts w:ascii="Calibri" w:eastAsia="Calibri" w:hAnsi="Calibri" w:cs="Calibri"/>
        </w:rPr>
      </w:pPr>
    </w:p>
    <w:p w14:paraId="1ECB7E75" w14:textId="40A01875" w:rsidR="00794127" w:rsidRPr="004F5131" w:rsidRDefault="00794127" w:rsidP="004F5131">
      <w:pPr>
        <w:rPr>
          <w:rFonts w:ascii="Calibri" w:eastAsia="Calibri" w:hAnsi="Calibri" w:cs="Calibri"/>
        </w:rPr>
      </w:pPr>
      <w:r w:rsidRPr="004F5131">
        <w:rPr>
          <w:rFonts w:ascii="Calibri" w:eastAsia="Calibri" w:hAnsi="Calibri" w:cs="Calibri"/>
        </w:rPr>
        <w:t xml:space="preserve">The Applicant and </w:t>
      </w:r>
      <w:r w:rsidR="00BA6C02" w:rsidRPr="004F5131">
        <w:rPr>
          <w:rFonts w:ascii="Calibri" w:eastAsia="Calibri" w:hAnsi="Calibri" w:cs="Calibri"/>
        </w:rPr>
        <w:t xml:space="preserve">Franciscan </w:t>
      </w:r>
      <w:r w:rsidRPr="004F5131">
        <w:rPr>
          <w:rFonts w:ascii="Calibri" w:eastAsia="Calibri" w:hAnsi="Calibri" w:cs="Calibri"/>
        </w:rPr>
        <w:t xml:space="preserve">have an established community health mission and have worked to establish linkages with community partners and social services organizations, and </w:t>
      </w:r>
      <w:r w:rsidR="00BA6C02" w:rsidRPr="004F5131">
        <w:rPr>
          <w:rFonts w:ascii="Calibri" w:eastAsia="Calibri" w:hAnsi="Calibri" w:cs="Calibri"/>
        </w:rPr>
        <w:t xml:space="preserve">also </w:t>
      </w:r>
      <w:r w:rsidRPr="004F5131">
        <w:rPr>
          <w:rFonts w:ascii="Calibri" w:eastAsia="Calibri" w:hAnsi="Calibri" w:cs="Calibri"/>
        </w:rPr>
        <w:t xml:space="preserve">have </w:t>
      </w:r>
      <w:r w:rsidR="00BA6C02" w:rsidRPr="004F5131">
        <w:rPr>
          <w:rFonts w:ascii="Calibri" w:eastAsia="Calibri" w:hAnsi="Calibri" w:cs="Calibri"/>
        </w:rPr>
        <w:t>developed</w:t>
      </w:r>
      <w:r w:rsidRPr="004F5131">
        <w:rPr>
          <w:rFonts w:ascii="Calibri" w:eastAsia="Calibri" w:hAnsi="Calibri" w:cs="Calibri"/>
        </w:rPr>
        <w:t xml:space="preserve"> programs targeted at addressing health care social determinants of health.</w:t>
      </w:r>
      <w:r w:rsidR="00AB1D61" w:rsidRPr="004F5131">
        <w:rPr>
          <w:rFonts w:ascii="Calibri" w:eastAsia="Calibri" w:hAnsi="Calibri" w:cs="Calibri"/>
        </w:rPr>
        <w:t xml:space="preserve"> </w:t>
      </w:r>
      <w:r w:rsidRPr="004F5131">
        <w:rPr>
          <w:rFonts w:ascii="Calibri" w:eastAsia="Calibri" w:hAnsi="Calibri" w:cs="Calibri"/>
        </w:rPr>
        <w:t xml:space="preserve">For example, </w:t>
      </w:r>
      <w:r w:rsidR="00873948" w:rsidRPr="004F5131">
        <w:rPr>
          <w:rFonts w:ascii="Calibri" w:eastAsia="Calibri" w:hAnsi="Calibri" w:cs="Calibri"/>
        </w:rPr>
        <w:t xml:space="preserve">as described </w:t>
      </w:r>
      <w:r w:rsidR="00BA6C02" w:rsidRPr="004F5131">
        <w:rPr>
          <w:rFonts w:ascii="Calibri" w:eastAsia="Calibri" w:hAnsi="Calibri" w:cs="Calibri"/>
        </w:rPr>
        <w:t>in Factor 1</w:t>
      </w:r>
      <w:r w:rsidR="00873948" w:rsidRPr="004F5131">
        <w:rPr>
          <w:rFonts w:ascii="Calibri" w:eastAsia="Calibri" w:hAnsi="Calibri" w:cs="Calibri"/>
        </w:rPr>
        <w:t xml:space="preserve">, </w:t>
      </w:r>
      <w:r w:rsidRPr="004F5131">
        <w:rPr>
          <w:rFonts w:ascii="Calibri" w:eastAsia="Calibri" w:hAnsi="Calibri" w:cs="Calibri"/>
        </w:rPr>
        <w:t xml:space="preserve">both </w:t>
      </w:r>
      <w:r w:rsidR="00AB1D61" w:rsidRPr="004F5131">
        <w:rPr>
          <w:rFonts w:ascii="Calibri" w:eastAsia="Calibri" w:hAnsi="Calibri" w:cs="Calibri"/>
        </w:rPr>
        <w:t>Franciscan</w:t>
      </w:r>
      <w:r w:rsidRPr="004F5131">
        <w:rPr>
          <w:rFonts w:ascii="Calibri" w:eastAsia="Calibri" w:hAnsi="Calibri" w:cs="Calibri"/>
        </w:rPr>
        <w:t xml:space="preserve"> and BCH operate mental health programs in area school systems, bringing much needed care to the community to treat </w:t>
      </w:r>
      <w:r w:rsidR="00BA6C02" w:rsidRPr="004F5131">
        <w:rPr>
          <w:rFonts w:ascii="Calibri" w:eastAsia="Calibri" w:hAnsi="Calibri" w:cs="Calibri"/>
        </w:rPr>
        <w:t>children who might otherwise not have access.</w:t>
      </w:r>
      <w:r w:rsidR="00AB1D61" w:rsidRPr="004F5131">
        <w:rPr>
          <w:rFonts w:ascii="Calibri" w:eastAsia="Calibri" w:hAnsi="Calibri" w:cs="Calibri"/>
        </w:rPr>
        <w:t xml:space="preserve"> </w:t>
      </w:r>
      <w:r w:rsidRPr="004F5131">
        <w:rPr>
          <w:rFonts w:ascii="Calibri" w:eastAsia="Calibri" w:hAnsi="Calibri" w:cs="Calibri"/>
        </w:rPr>
        <w:t xml:space="preserve">Through the BCH ACO, BCH supports initiatives aimed at promoting </w:t>
      </w:r>
      <w:r w:rsidRPr="004F5131">
        <w:rPr>
          <w:rFonts w:ascii="Calibri" w:eastAsia="Calibri" w:hAnsi="Calibri" w:cs="Calibri"/>
        </w:rPr>
        <w:lastRenderedPageBreak/>
        <w:t>health equity by reducing social barriers to optimal health and well-being, including initiatives in population management, mental health, and asthma management, response to social needs, complex care, and regional support.</w:t>
      </w:r>
      <w:r w:rsidR="00AB1D61" w:rsidRPr="004F5131">
        <w:rPr>
          <w:rFonts w:ascii="Calibri" w:eastAsia="Calibri" w:hAnsi="Calibri" w:cs="Calibri"/>
        </w:rPr>
        <w:t xml:space="preserve"> </w:t>
      </w:r>
    </w:p>
    <w:p w14:paraId="7FBF0B0B" w14:textId="77777777" w:rsidR="00794127" w:rsidRPr="004F5131" w:rsidRDefault="00794127" w:rsidP="004F5131">
      <w:pPr>
        <w:jc w:val="both"/>
        <w:rPr>
          <w:rFonts w:ascii="Calibri" w:eastAsia="Calibri" w:hAnsi="Calibri" w:cs="Calibri"/>
        </w:rPr>
      </w:pPr>
    </w:p>
    <w:p w14:paraId="08441204" w14:textId="27E017DA" w:rsidR="00794127" w:rsidRPr="004F5131" w:rsidRDefault="44096DDB" w:rsidP="004F5131">
      <w:pPr>
        <w:autoSpaceDE w:val="0"/>
        <w:autoSpaceDN w:val="0"/>
        <w:rPr>
          <w:rFonts w:ascii="Calibri" w:eastAsia="Calibri" w:hAnsi="Calibri" w:cs="Calibri"/>
        </w:rPr>
      </w:pPr>
      <w:r w:rsidRPr="004F5131">
        <w:rPr>
          <w:rFonts w:ascii="Calibri" w:eastAsia="Calibri" w:hAnsi="Calibri" w:cs="Calibri"/>
          <w:color w:val="000000"/>
        </w:rPr>
        <w:t xml:space="preserve">Additionally, </w:t>
      </w:r>
      <w:r w:rsidR="3BC5E85D" w:rsidRPr="004F5131">
        <w:rPr>
          <w:rFonts w:ascii="Calibri" w:eastAsia="Calibri" w:hAnsi="Calibri" w:cs="Calibri"/>
          <w:color w:val="000000"/>
        </w:rPr>
        <w:t xml:space="preserve">the </w:t>
      </w:r>
      <w:r w:rsidRPr="004F5131">
        <w:rPr>
          <w:rFonts w:ascii="Calibri" w:eastAsia="Calibri" w:hAnsi="Calibri" w:cs="Calibri"/>
          <w:color w:val="000000"/>
        </w:rPr>
        <w:t>A</w:t>
      </w:r>
      <w:r w:rsidR="3BC5E85D" w:rsidRPr="004F5131">
        <w:rPr>
          <w:rFonts w:ascii="Calibri" w:eastAsia="Calibri" w:hAnsi="Calibri" w:cs="Calibri"/>
          <w:color w:val="000000"/>
        </w:rPr>
        <w:t xml:space="preserve">pplicant is a member of the learning health collaborative sponsored by Children’s Hospital Association, </w:t>
      </w:r>
      <w:r w:rsidR="3BC5E85D" w:rsidRPr="6F80FCDD">
        <w:rPr>
          <w:rFonts w:ascii="Calibri" w:eastAsia="DengXian" w:hAnsi="Calibri" w:cs="Calibri"/>
          <w:i/>
          <w:iCs/>
          <w:color w:val="000000"/>
          <w:lang w:eastAsia="zh-CN"/>
        </w:rPr>
        <w:t>Children’s Hospital Mental Health Leadership Collaborative</w:t>
      </w:r>
      <w:r w:rsidR="00CA2D59" w:rsidRPr="6F80FCDD">
        <w:rPr>
          <w:rStyle w:val="FootnoteReference"/>
          <w:rFonts w:ascii="Calibri" w:eastAsia="DengXian" w:hAnsi="Calibri" w:cs="Calibri"/>
          <w:i/>
          <w:iCs/>
          <w:color w:val="000000"/>
          <w:lang w:eastAsia="zh-CN"/>
        </w:rPr>
        <w:footnoteReference w:id="49"/>
      </w:r>
      <w:r w:rsidRPr="004F5131">
        <w:rPr>
          <w:rFonts w:ascii="Calibri" w:eastAsia="DengXian" w:hAnsi="Calibri" w:cs="Calibri"/>
          <w:color w:val="000000"/>
          <w:lang w:eastAsia="zh-CN"/>
        </w:rPr>
        <w:t xml:space="preserve"> which </w:t>
      </w:r>
      <w:r w:rsidR="3BC5E85D" w:rsidRPr="004F5131">
        <w:rPr>
          <w:rFonts w:ascii="Calibri" w:eastAsia="DengXian" w:hAnsi="Calibri" w:cs="Calibri"/>
          <w:color w:val="000000"/>
          <w:lang w:eastAsia="zh-CN"/>
        </w:rPr>
        <w:t>brings together the leaders of child mental health departments/divisions embedded within free standing children’s hospitals to function as a clearing house for innovative, effective, and transformative family and multi-generational efforts to address the rising child mental health crisis</w:t>
      </w:r>
      <w:r w:rsidR="3CBF565B" w:rsidRPr="004F5131">
        <w:rPr>
          <w:rFonts w:ascii="Calibri" w:eastAsia="DengXian" w:hAnsi="Calibri" w:cs="Calibri"/>
          <w:color w:val="000000"/>
          <w:lang w:eastAsia="zh-CN"/>
        </w:rPr>
        <w:t xml:space="preserve">; </w:t>
      </w:r>
      <w:r w:rsidR="3BC5E85D" w:rsidRPr="004F5131">
        <w:rPr>
          <w:rFonts w:ascii="Calibri" w:eastAsia="DengXian" w:hAnsi="Calibri" w:cs="Calibri"/>
          <w:color w:val="000000"/>
          <w:lang w:eastAsia="zh-CN"/>
        </w:rPr>
        <w:t xml:space="preserve">through its efforts, </w:t>
      </w:r>
      <w:r w:rsidR="3CBF565B" w:rsidRPr="004F5131">
        <w:rPr>
          <w:rFonts w:ascii="Calibri" w:eastAsia="DengXian" w:hAnsi="Calibri" w:cs="Calibri"/>
          <w:color w:val="000000"/>
          <w:lang w:eastAsia="zh-CN"/>
        </w:rPr>
        <w:t xml:space="preserve">it </w:t>
      </w:r>
      <w:r w:rsidR="3BC5E85D" w:rsidRPr="004F5131">
        <w:rPr>
          <w:rFonts w:ascii="Calibri" w:eastAsia="DengXian" w:hAnsi="Calibri" w:cs="Calibri"/>
          <w:color w:val="000000"/>
          <w:lang w:eastAsia="zh-CN"/>
        </w:rPr>
        <w:t>will improve access to high quality mental health care for children, families, and communities; enhance the capacity of all health care providers to safely care for children with mental illness; and engage communities in systems of change directed at reducing inequities and restoring hope in the future of every child.</w:t>
      </w:r>
      <w:r w:rsidR="2DE6DC4B" w:rsidRPr="004F5131">
        <w:rPr>
          <w:rFonts w:ascii="Calibri" w:eastAsia="DengXian" w:hAnsi="Calibri" w:cs="Calibri"/>
          <w:color w:val="000000"/>
          <w:lang w:eastAsia="zh-CN"/>
        </w:rPr>
        <w:t xml:space="preserve"> </w:t>
      </w:r>
      <w:r w:rsidR="3BC5E85D" w:rsidRPr="004F5131">
        <w:rPr>
          <w:rFonts w:ascii="Calibri" w:eastAsia="DengXian" w:hAnsi="Calibri" w:cs="Calibri"/>
          <w:color w:val="000000"/>
          <w:lang w:eastAsia="zh-CN"/>
        </w:rPr>
        <w:t xml:space="preserve">The continued learnings from this collaborative will inform tactics deployed by the Applicant to enhance the effectiveness of the clinical program outlined in the Proposed Project. </w:t>
      </w:r>
    </w:p>
    <w:p w14:paraId="57CAB6A0" w14:textId="77777777" w:rsidR="0002143F" w:rsidRDefault="0002143F" w:rsidP="00B31381">
      <w:pPr>
        <w:contextualSpacing/>
        <w:rPr>
          <w:rFonts w:ascii="Garamond" w:hAnsi="Garamond"/>
          <w:b/>
          <w:bCs/>
        </w:rPr>
      </w:pPr>
      <w:bookmarkStart w:id="97" w:name="_Toc17731329"/>
      <w:bookmarkStart w:id="98" w:name="_Toc17748249"/>
      <w:bookmarkStart w:id="99" w:name="_Toc17748476"/>
      <w:bookmarkStart w:id="100" w:name="_Toc17748720"/>
      <w:bookmarkStart w:id="101" w:name="_Toc18420199"/>
      <w:bookmarkStart w:id="102" w:name="_Toc18922420"/>
    </w:p>
    <w:bookmarkEnd w:id="97"/>
    <w:bookmarkEnd w:id="98"/>
    <w:bookmarkEnd w:id="99"/>
    <w:bookmarkEnd w:id="100"/>
    <w:bookmarkEnd w:id="101"/>
    <w:bookmarkEnd w:id="102"/>
    <w:p w14:paraId="58905D8C" w14:textId="6B265DB8" w:rsidR="0037053A" w:rsidRPr="0037053A" w:rsidRDefault="055DB74F" w:rsidP="00B31381">
      <w:pPr>
        <w:spacing w:after="160"/>
        <w:rPr>
          <w:rFonts w:ascii="Calibri" w:eastAsia="Calibri" w:hAnsi="Calibri"/>
        </w:rPr>
      </w:pPr>
      <w:r w:rsidRPr="0037053A">
        <w:rPr>
          <w:rFonts w:ascii="Calibri" w:eastAsia="Calibri" w:hAnsi="Calibri"/>
        </w:rPr>
        <w:t>Studies have shown that when not addressed fully, childhood mental health conditions often persist into adulthood and may result in negative social outcomes</w:t>
      </w:r>
      <w:r w:rsidR="00520E72">
        <w:rPr>
          <w:rStyle w:val="FootnoteReference"/>
          <w:rFonts w:ascii="Calibri" w:eastAsia="Calibri" w:hAnsi="Calibri"/>
        </w:rPr>
        <w:footnoteReference w:id="50"/>
      </w:r>
      <w:r w:rsidRPr="0037053A">
        <w:rPr>
          <w:rFonts w:ascii="Calibri" w:eastAsia="Calibri" w:hAnsi="Calibri"/>
        </w:rPr>
        <w:t>, and also increased financial burdens on social support and disability programs.</w:t>
      </w:r>
      <w:r w:rsidR="005E3699" w:rsidRPr="0037053A">
        <w:rPr>
          <w:rFonts w:ascii="Calibri" w:eastAsia="Calibri" w:hAnsi="Calibri"/>
          <w:vertAlign w:val="superscript"/>
        </w:rPr>
        <w:endnoteReference w:id="22"/>
      </w:r>
      <w:r w:rsidR="14A4BF76" w:rsidRPr="0037053A">
        <w:rPr>
          <w:rFonts w:ascii="Calibri" w:eastAsia="Calibri" w:hAnsi="Calibri"/>
        </w:rPr>
        <w:t xml:space="preserve"> </w:t>
      </w:r>
      <w:r w:rsidRPr="0037053A">
        <w:rPr>
          <w:rFonts w:ascii="Calibri" w:eastAsia="Calibri" w:hAnsi="Calibri"/>
        </w:rPr>
        <w:t>Additionally, the provision of timely and appropriate care to complex medical populations reduces the need for more intensive and expensive downstream care that may result if clinically appropriate care that is delayed</w:t>
      </w:r>
      <w:r w:rsidR="261F67FB">
        <w:rPr>
          <w:rFonts w:ascii="Calibri" w:eastAsia="Calibri" w:hAnsi="Calibri"/>
        </w:rPr>
        <w:t xml:space="preserve">. </w:t>
      </w:r>
      <w:r w:rsidRPr="0037053A">
        <w:rPr>
          <w:rFonts w:ascii="Calibri" w:eastAsia="Calibri" w:hAnsi="Calibri"/>
        </w:rPr>
        <w:t>As such, the</w:t>
      </w:r>
      <w:r w:rsidR="7A5DA8AF">
        <w:rPr>
          <w:rFonts w:ascii="Calibri" w:eastAsia="Calibri" w:hAnsi="Calibri"/>
        </w:rPr>
        <w:t xml:space="preserve"> Proposed Project’s initiatives </w:t>
      </w:r>
      <w:r w:rsidRPr="0037053A">
        <w:rPr>
          <w:rFonts w:ascii="Calibri" w:eastAsia="Calibri" w:hAnsi="Calibri"/>
        </w:rPr>
        <w:t>will support the Commonwealth’s cost containment goals.</w:t>
      </w:r>
    </w:p>
    <w:p w14:paraId="6AD16AF6" w14:textId="77777777" w:rsidR="008E54FA" w:rsidRDefault="008E54FA" w:rsidP="00B31381">
      <w:pPr>
        <w:contextualSpacing/>
        <w:rPr>
          <w:rFonts w:ascii="Garamond" w:hAnsi="Garamond"/>
          <w:bCs/>
        </w:rPr>
      </w:pPr>
      <w:bookmarkStart w:id="103" w:name="_Toc17731330"/>
      <w:bookmarkStart w:id="104" w:name="_Toc17748250"/>
      <w:bookmarkStart w:id="105" w:name="_Toc17748477"/>
      <w:bookmarkStart w:id="106" w:name="_Toc17748721"/>
      <w:bookmarkStart w:id="107" w:name="_Toc18420200"/>
      <w:bookmarkStart w:id="108" w:name="_Toc18922421"/>
    </w:p>
    <w:p w14:paraId="08B1F2AB" w14:textId="7882768C" w:rsidR="002D535F" w:rsidRPr="00235C1F" w:rsidRDefault="002D535F" w:rsidP="00B31381">
      <w:pPr>
        <w:contextualSpacing/>
        <w:rPr>
          <w:b/>
          <w:i/>
          <w:iCs/>
        </w:rPr>
      </w:pPr>
      <w:r w:rsidRPr="00235C1F">
        <w:rPr>
          <w:b/>
          <w:i/>
          <w:iCs/>
        </w:rPr>
        <w:t>Analysis</w:t>
      </w:r>
      <w:r w:rsidR="00661459" w:rsidRPr="00235C1F">
        <w:rPr>
          <w:b/>
          <w:i/>
          <w:iCs/>
        </w:rPr>
        <w:t xml:space="preserve"> </w:t>
      </w:r>
    </w:p>
    <w:p w14:paraId="100DFA6F" w14:textId="77777777" w:rsidR="003B0C26" w:rsidRDefault="003B0C26" w:rsidP="00B31381">
      <w:pPr>
        <w:contextualSpacing/>
        <w:rPr>
          <w:rFonts w:ascii="Calibri" w:eastAsia="Calibri" w:hAnsi="Calibri"/>
        </w:rPr>
      </w:pPr>
    </w:p>
    <w:p w14:paraId="45668DD4" w14:textId="49256B0E" w:rsidR="003B0C26" w:rsidRDefault="003B0C26" w:rsidP="00B31381">
      <w:pPr>
        <w:contextualSpacing/>
        <w:rPr>
          <w:rFonts w:ascii="Calibri" w:eastAsia="Calibri" w:hAnsi="Calibri"/>
        </w:rPr>
      </w:pPr>
      <w:r w:rsidRPr="003B0C26">
        <w:rPr>
          <w:rFonts w:ascii="Calibri" w:eastAsia="Calibri" w:hAnsi="Calibri"/>
        </w:rPr>
        <w:t xml:space="preserve">Through the Proposed Capital expenditure of and the hiring of a key leadership role for the Chief Behavioral Health Officer, </w:t>
      </w:r>
      <w:r w:rsidR="00D9699F">
        <w:rPr>
          <w:rFonts w:ascii="Calibri" w:eastAsia="Calibri" w:hAnsi="Calibri"/>
        </w:rPr>
        <w:t xml:space="preserve">and additional programming described in Factor 1(a), </w:t>
      </w:r>
      <w:r w:rsidRPr="003B0C26">
        <w:rPr>
          <w:rFonts w:ascii="Calibri" w:eastAsia="Calibri" w:hAnsi="Calibri"/>
        </w:rPr>
        <w:t xml:space="preserve">the </w:t>
      </w:r>
      <w:bookmarkStart w:id="109" w:name="_9kMIH5YVt4886AJRG2ztleqAytxQu"/>
      <w:r w:rsidRPr="003B0C26">
        <w:rPr>
          <w:rFonts w:ascii="Calibri" w:eastAsia="Calibri" w:hAnsi="Calibri"/>
        </w:rPr>
        <w:t xml:space="preserve">Applicant </w:t>
      </w:r>
      <w:bookmarkEnd w:id="109"/>
      <w:r w:rsidRPr="003B0C26">
        <w:rPr>
          <w:rFonts w:ascii="Calibri" w:eastAsia="Calibri" w:hAnsi="Calibri"/>
        </w:rPr>
        <w:t xml:space="preserve">has begun to implement the vision for a comprehensive approach to pediatric </w:t>
      </w:r>
      <w:r w:rsidR="00060C17">
        <w:rPr>
          <w:rFonts w:ascii="Calibri" w:eastAsia="Calibri" w:hAnsi="Calibri"/>
        </w:rPr>
        <w:t xml:space="preserve">mental </w:t>
      </w:r>
      <w:r w:rsidRPr="003B0C26">
        <w:rPr>
          <w:rFonts w:ascii="Calibri" w:eastAsia="Calibri" w:hAnsi="Calibri"/>
        </w:rPr>
        <w:t>health that fosters linkages and alignment with other providers and critical social service agencies, primary care providers, public and private schools, civic and religious leaders, and other community organizations who seek to improve the health and well-being of children and families.</w:t>
      </w:r>
    </w:p>
    <w:bookmarkEnd w:id="103"/>
    <w:bookmarkEnd w:id="104"/>
    <w:bookmarkEnd w:id="105"/>
    <w:bookmarkEnd w:id="106"/>
    <w:bookmarkEnd w:id="107"/>
    <w:bookmarkEnd w:id="108"/>
    <w:p w14:paraId="220BC651" w14:textId="77777777" w:rsidR="00B707DE" w:rsidRDefault="00B707DE" w:rsidP="00B31381">
      <w:pPr>
        <w:contextualSpacing/>
        <w:rPr>
          <w:rFonts w:ascii="Garamond" w:hAnsi="Garamond"/>
          <w:bCs/>
        </w:rPr>
      </w:pPr>
    </w:p>
    <w:p w14:paraId="126B3F95" w14:textId="3192FDC1" w:rsidR="000E4DCD" w:rsidRPr="0037053A" w:rsidRDefault="00936F6C" w:rsidP="00B31381">
      <w:pPr>
        <w:contextualSpacing/>
        <w:rPr>
          <w:bCs/>
          <w:highlight w:val="yellow"/>
        </w:rPr>
      </w:pPr>
      <w:r w:rsidRPr="007E48F0">
        <w:rPr>
          <w:bCs/>
        </w:rPr>
        <w:lastRenderedPageBreak/>
        <w:t>Central to the goal of Delivery System Transformation is the integration of social services and community-based expertise.</w:t>
      </w:r>
      <w:r w:rsidRPr="00CF26FE">
        <w:rPr>
          <w:rFonts w:ascii="Garamond" w:hAnsi="Garamond"/>
          <w:bCs/>
        </w:rPr>
        <w:t xml:space="preserve"> </w:t>
      </w:r>
      <w:r w:rsidR="003D0133" w:rsidRPr="0037053A">
        <w:rPr>
          <w:bCs/>
        </w:rPr>
        <w:t>The Applicant described how</w:t>
      </w:r>
      <w:r w:rsidR="00661459">
        <w:rPr>
          <w:bCs/>
        </w:rPr>
        <w:t xml:space="preserve"> both parties</w:t>
      </w:r>
      <w:r w:rsidR="000E4DCD" w:rsidRPr="0037053A">
        <w:rPr>
          <w:bCs/>
        </w:rPr>
        <w:t xml:space="preserve"> </w:t>
      </w:r>
      <w:r w:rsidR="00661459">
        <w:rPr>
          <w:bCs/>
        </w:rPr>
        <w:t xml:space="preserve">engage the community in </w:t>
      </w:r>
      <w:r w:rsidR="000E4DCD" w:rsidRPr="0037053A">
        <w:rPr>
          <w:bCs/>
        </w:rPr>
        <w:t xml:space="preserve">an interdisciplinary approach to </w:t>
      </w:r>
      <w:r w:rsidR="00661459">
        <w:rPr>
          <w:bCs/>
        </w:rPr>
        <w:t xml:space="preserve">improve the provision of care in the most appropriate setting </w:t>
      </w:r>
      <w:r w:rsidR="000E4DCD" w:rsidRPr="0037053A">
        <w:rPr>
          <w:bCs/>
        </w:rPr>
        <w:t>that also align</w:t>
      </w:r>
      <w:r w:rsidR="00661459">
        <w:rPr>
          <w:bCs/>
        </w:rPr>
        <w:t>s</w:t>
      </w:r>
      <w:r w:rsidR="000E4DCD" w:rsidRPr="0037053A">
        <w:rPr>
          <w:bCs/>
        </w:rPr>
        <w:t xml:space="preserve"> with patients’ </w:t>
      </w:r>
      <w:r w:rsidR="00661459">
        <w:rPr>
          <w:bCs/>
        </w:rPr>
        <w:t xml:space="preserve">and families’ </w:t>
      </w:r>
      <w:r w:rsidR="000E4DCD" w:rsidRPr="0037053A">
        <w:rPr>
          <w:bCs/>
        </w:rPr>
        <w:t>goals</w:t>
      </w:r>
      <w:r w:rsidR="00661459">
        <w:rPr>
          <w:bCs/>
        </w:rPr>
        <w:t xml:space="preserve"> while trying to </w:t>
      </w:r>
      <w:r w:rsidR="00235C1F">
        <w:rPr>
          <w:bCs/>
        </w:rPr>
        <w:t xml:space="preserve">better </w:t>
      </w:r>
      <w:r w:rsidR="00661459">
        <w:rPr>
          <w:bCs/>
        </w:rPr>
        <w:t xml:space="preserve">address the identified needs around </w:t>
      </w:r>
      <w:r w:rsidR="00235C1F">
        <w:rPr>
          <w:bCs/>
        </w:rPr>
        <w:t xml:space="preserve">SDOH. </w:t>
      </w:r>
    </w:p>
    <w:p w14:paraId="131A8B75" w14:textId="77777777" w:rsidR="00155601" w:rsidRDefault="00155601" w:rsidP="00B31381">
      <w:pPr>
        <w:pStyle w:val="Heading1"/>
        <w:spacing w:before="0" w:line="240" w:lineRule="auto"/>
        <w:rPr>
          <w:rFonts w:ascii="Garamond" w:hAnsi="Garamond"/>
        </w:rPr>
      </w:pPr>
      <w:bookmarkStart w:id="110" w:name="_Toc17748725"/>
      <w:bookmarkStart w:id="111" w:name="_Toc17748726"/>
    </w:p>
    <w:p w14:paraId="40E20CBC" w14:textId="43A00C2B" w:rsidR="00C05378" w:rsidRPr="008E54FA" w:rsidRDefault="00C05378" w:rsidP="00B31381">
      <w:pPr>
        <w:tabs>
          <w:tab w:val="left" w:pos="3240"/>
        </w:tabs>
        <w:contextualSpacing/>
      </w:pPr>
      <w:r w:rsidRPr="008E54FA">
        <w:t xml:space="preserve">As a result of information provided, </w:t>
      </w:r>
      <w:r w:rsidR="00DE4CD3">
        <w:t xml:space="preserve">and additional analysis, </w:t>
      </w:r>
      <w:r w:rsidRPr="008E54FA">
        <w:t xml:space="preserve">staff finds that the Proposed </w:t>
      </w:r>
      <w:r w:rsidR="2B3D2981">
        <w:t xml:space="preserve">Project </w:t>
      </w:r>
      <w:r w:rsidRPr="008E54FA">
        <w:t>has sufficiently met the requirements of Factor 2.</w:t>
      </w:r>
    </w:p>
    <w:p w14:paraId="0F6F08D8" w14:textId="77777777" w:rsidR="002D535F" w:rsidRPr="007A57C4" w:rsidRDefault="002D535F" w:rsidP="00B31381">
      <w:pPr>
        <w:contextualSpacing/>
        <w:rPr>
          <w:rFonts w:ascii="Garamond" w:eastAsia="Calibri" w:hAnsi="Garamond"/>
          <w:bCs/>
        </w:rPr>
      </w:pPr>
    </w:p>
    <w:p w14:paraId="31B30376" w14:textId="39B7C77D" w:rsidR="002D535F" w:rsidRDefault="002D535F" w:rsidP="00B31381">
      <w:pPr>
        <w:pStyle w:val="Heading1"/>
        <w:spacing w:before="0" w:line="240" w:lineRule="auto"/>
        <w:contextualSpacing/>
        <w:rPr>
          <w:rFonts w:asciiTheme="minorHAnsi" w:hAnsiTheme="minorHAnsi" w:cstheme="minorHAnsi"/>
        </w:rPr>
      </w:pPr>
      <w:bookmarkStart w:id="112" w:name="_Toc157428835"/>
      <w:bookmarkStart w:id="113" w:name="_Toc158218028"/>
      <w:r w:rsidRPr="008E54FA">
        <w:rPr>
          <w:rFonts w:asciiTheme="minorHAnsi" w:hAnsiTheme="minorHAnsi" w:cstheme="minorHAnsi"/>
        </w:rPr>
        <w:t>Factor 3: Relevant Licensure/Oversight Compliance</w:t>
      </w:r>
      <w:bookmarkEnd w:id="110"/>
      <w:bookmarkEnd w:id="112"/>
      <w:bookmarkEnd w:id="113"/>
    </w:p>
    <w:p w14:paraId="0FD849BB" w14:textId="77777777" w:rsidR="00DE4CD3" w:rsidRPr="00DE4CD3" w:rsidRDefault="00DE4CD3" w:rsidP="00B31381"/>
    <w:p w14:paraId="685EFDFE" w14:textId="564693CA" w:rsidR="002D535F" w:rsidRPr="008E54FA" w:rsidRDefault="00414E8A" w:rsidP="00B31381">
      <w:pPr>
        <w:contextualSpacing/>
      </w:pPr>
      <w:r w:rsidRPr="008E54FA">
        <w:t xml:space="preserve">The Applicant has provided evidence of compliance and good standing with federal, state, and local laws and regulations and </w:t>
      </w:r>
      <w:r w:rsidR="001377D8" w:rsidRPr="008E54FA">
        <w:t xml:space="preserve">this Factor </w:t>
      </w:r>
      <w:r w:rsidRPr="008E54FA">
        <w:t>will not be addressed further in this report. As a result of information provided by the Applicant, staff finds the Applicant has reasonably met the standards of Factor 3.</w:t>
      </w:r>
    </w:p>
    <w:p w14:paraId="745D1D6C" w14:textId="77777777" w:rsidR="004E3B63" w:rsidRDefault="004E3B63" w:rsidP="00B31381">
      <w:pPr>
        <w:pStyle w:val="Heading1"/>
        <w:spacing w:before="0" w:line="240" w:lineRule="auto"/>
        <w:contextualSpacing/>
        <w:rPr>
          <w:rFonts w:ascii="Garamond" w:hAnsi="Garamond"/>
        </w:rPr>
      </w:pPr>
    </w:p>
    <w:p w14:paraId="1F42F715" w14:textId="5A6CD815" w:rsidR="002D535F" w:rsidRPr="008E54FA" w:rsidRDefault="002D535F" w:rsidP="00B31381">
      <w:pPr>
        <w:pStyle w:val="Heading1"/>
        <w:spacing w:before="0" w:line="240" w:lineRule="auto"/>
        <w:contextualSpacing/>
        <w:rPr>
          <w:rFonts w:asciiTheme="minorHAnsi" w:hAnsiTheme="minorHAnsi" w:cstheme="minorHAnsi"/>
        </w:rPr>
      </w:pPr>
      <w:bookmarkStart w:id="114" w:name="_Toc157428836"/>
      <w:bookmarkStart w:id="115" w:name="_Toc158218029"/>
      <w:r w:rsidRPr="008E54FA">
        <w:rPr>
          <w:rFonts w:asciiTheme="minorHAnsi" w:hAnsiTheme="minorHAnsi" w:cstheme="minorHAnsi"/>
        </w:rPr>
        <w:t>Factor 4: Demonstration of Sufficient Funds Independent CPA Analysis</w:t>
      </w:r>
      <w:bookmarkEnd w:id="111"/>
      <w:bookmarkEnd w:id="114"/>
      <w:bookmarkEnd w:id="115"/>
    </w:p>
    <w:p w14:paraId="5E6B19AD" w14:textId="05F286FB" w:rsidR="00112582" w:rsidRDefault="00112582" w:rsidP="0048789D">
      <w:pPr>
        <w:spacing w:before="240" w:after="160"/>
        <w:rPr>
          <w:rFonts w:ascii="Calibri" w:eastAsia="Calibri" w:hAnsi="Calibri"/>
        </w:rPr>
      </w:pPr>
      <w:r w:rsidRPr="00112582">
        <w:rPr>
          <w:rFonts w:ascii="Calibri" w:eastAsia="Calibri" w:hAnsi="Calibr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proofErr w:type="gramStart"/>
      <w:r w:rsidRPr="00112582">
        <w:rPr>
          <w:rFonts w:ascii="Calibri" w:eastAsia="Calibri" w:hAnsi="Calibri"/>
        </w:rPr>
        <w:t>finding</w:t>
      </w:r>
      <w:proofErr w:type="gramEnd"/>
      <w:r w:rsidRPr="00112582">
        <w:rPr>
          <w:rFonts w:ascii="Calibri" w:eastAsia="Calibri" w:hAnsi="Calibri"/>
        </w:rPr>
        <w:t xml:space="preserve"> must be supported by an analysis by an independent CPA.</w:t>
      </w:r>
    </w:p>
    <w:p w14:paraId="14AD162A" w14:textId="2600C673" w:rsidR="001F2A30" w:rsidRPr="004A0D4C" w:rsidRDefault="65A8BBE4" w:rsidP="004A0D4C">
      <w:pPr>
        <w:rPr>
          <w:rFonts w:ascii="Calibri" w:hAnsi="Calibri" w:cs="Calibri"/>
        </w:rPr>
      </w:pPr>
      <w:r w:rsidRPr="6380A8AC">
        <w:rPr>
          <w:rFonts w:ascii="Calibri" w:hAnsi="Calibri" w:cs="Calibri"/>
        </w:rPr>
        <w:t xml:space="preserve">To arrive at its conclusions, the scope of the CPA report is limited to an analysis of the eleven-year Projections for the fiscal years ending September 30, 2023, through 2033, prepared by Management, and the supporting documentation </w:t>
      </w:r>
      <w:r w:rsidRPr="001F2A30">
        <w:rPr>
          <w:rFonts w:ascii="Calibri" w:hAnsi="Calibri" w:cs="Calibri"/>
        </w:rPr>
        <w:t>as well as third party industry data sources</w:t>
      </w:r>
      <w:r w:rsidR="62B1C973">
        <w:rPr>
          <w:rFonts w:ascii="Calibri" w:hAnsi="Calibri" w:cs="Calibri"/>
        </w:rPr>
        <w:t>.</w:t>
      </w:r>
      <w:r w:rsidR="004A0D4C">
        <w:rPr>
          <w:rStyle w:val="FootnoteReference"/>
          <w:rFonts w:ascii="Calibri" w:hAnsi="Calibri" w:cs="Calibri"/>
        </w:rPr>
        <w:footnoteReference w:id="51"/>
      </w:r>
    </w:p>
    <w:p w14:paraId="4F381649" w14:textId="77777777" w:rsidR="001F2A30" w:rsidRPr="001F2A30" w:rsidRDefault="001F2A30" w:rsidP="0048789D">
      <w:pPr>
        <w:ind w:left="720"/>
        <w:rPr>
          <w:rFonts w:ascii="Calibri" w:hAnsi="Calibri" w:cs="Calibri"/>
        </w:rPr>
      </w:pPr>
    </w:p>
    <w:p w14:paraId="35BBBDDF" w14:textId="77777777" w:rsidR="001F2A30" w:rsidRPr="001F2A30" w:rsidRDefault="65A8BBE4" w:rsidP="0048789D">
      <w:pPr>
        <w:tabs>
          <w:tab w:val="num" w:pos="1260"/>
        </w:tabs>
        <w:rPr>
          <w:rFonts w:ascii="Calibri" w:hAnsi="Calibri" w:cs="Calibri"/>
        </w:rPr>
      </w:pPr>
      <w:r w:rsidRPr="001F2A30">
        <w:rPr>
          <w:rFonts w:ascii="Calibri" w:hAnsi="Calibri" w:cs="Calibri"/>
        </w:rPr>
        <w:t>The CPA calculated and evaluated standard key financial metrics, reflecting profitability, liquidity, and solvency of the projections with the actual performance of CHCC and Franciscan to assess the feasibility and reasonableness of the Projections.</w:t>
      </w:r>
      <w:r w:rsidR="001F2A30" w:rsidRPr="001F2A30">
        <w:rPr>
          <w:rFonts w:ascii="Calibri" w:hAnsi="Calibri" w:cs="Calibri"/>
          <w:vertAlign w:val="superscript"/>
        </w:rPr>
        <w:footnoteReference w:id="52"/>
      </w:r>
      <w:r w:rsidRPr="001F2A30">
        <w:rPr>
          <w:rFonts w:ascii="Calibri" w:hAnsi="Calibri" w:cs="Calibri"/>
        </w:rPr>
        <w:t xml:space="preserve"> To assess the reasonableness </w:t>
      </w:r>
      <w:r w:rsidRPr="001F2A30">
        <w:rPr>
          <w:rFonts w:ascii="Calibri" w:hAnsi="Calibri" w:cs="Calibri"/>
        </w:rPr>
        <w:lastRenderedPageBreak/>
        <w:t>of the projections, the key metrics were compared to the market information from Integra Reports (“Integra”), IBISWorld, and Definitive Healthcare as well as the Applicant’s historical performance.</w:t>
      </w:r>
    </w:p>
    <w:p w14:paraId="45CCFE05" w14:textId="77777777" w:rsidR="001F2A30" w:rsidRPr="001F2A30" w:rsidRDefault="001F2A30" w:rsidP="0048789D">
      <w:pPr>
        <w:rPr>
          <w:rFonts w:ascii="Calibri" w:hAnsi="Calibri" w:cs="Calibri"/>
          <w:b/>
        </w:rPr>
      </w:pPr>
    </w:p>
    <w:p w14:paraId="6439D52A" w14:textId="77777777" w:rsidR="001F2A30" w:rsidRPr="001F2A30" w:rsidRDefault="001F2A30" w:rsidP="007F1D38">
      <w:pPr>
        <w:numPr>
          <w:ilvl w:val="0"/>
          <w:numId w:val="9"/>
        </w:numPr>
        <w:tabs>
          <w:tab w:val="num" w:pos="1260"/>
        </w:tabs>
        <w:spacing w:after="160"/>
        <w:contextualSpacing/>
        <w:rPr>
          <w:rFonts w:ascii="Calibri" w:hAnsi="Calibri" w:cs="Calibri"/>
          <w:b/>
        </w:rPr>
      </w:pPr>
      <w:r w:rsidRPr="001F2A30">
        <w:rPr>
          <w:rFonts w:ascii="Calibri" w:hAnsi="Calibri" w:cs="Calibri"/>
          <w:b/>
        </w:rPr>
        <w:t>Revenue</w:t>
      </w:r>
    </w:p>
    <w:p w14:paraId="19B393D0" w14:textId="77777777" w:rsidR="001F2A30" w:rsidRPr="001F2A30" w:rsidRDefault="001F2A30" w:rsidP="0048789D">
      <w:pPr>
        <w:tabs>
          <w:tab w:val="num" w:pos="1260"/>
        </w:tabs>
        <w:rPr>
          <w:rFonts w:ascii="Calibri" w:hAnsi="Calibri" w:cs="Calibri"/>
        </w:rPr>
      </w:pPr>
    </w:p>
    <w:p w14:paraId="193A4717" w14:textId="77777777" w:rsidR="001F2A30" w:rsidRPr="001F2A30" w:rsidRDefault="001F2A30" w:rsidP="0048789D">
      <w:pPr>
        <w:tabs>
          <w:tab w:val="num" w:pos="1260"/>
        </w:tabs>
        <w:rPr>
          <w:rFonts w:ascii="Calibri" w:hAnsi="Calibri" w:cs="Calibri"/>
        </w:rPr>
      </w:pPr>
      <w:r w:rsidRPr="001F2A30">
        <w:rPr>
          <w:rFonts w:ascii="Calibri" w:hAnsi="Calibri" w:cs="Calibri"/>
        </w:rPr>
        <w:t xml:space="preserve">Revenue includes net patient service revenue (“NPSR”), research grants and contracts, recovery of indirect costs on grants and contracts, other operating revenue, unrestricted contributions net of fundraising expenses, and net assets released from restriction used for operations. </w:t>
      </w:r>
    </w:p>
    <w:p w14:paraId="6BC5FD7E" w14:textId="77777777" w:rsidR="001F2A30" w:rsidRPr="001F2A30" w:rsidRDefault="001F2A30" w:rsidP="0048789D">
      <w:pPr>
        <w:tabs>
          <w:tab w:val="num" w:pos="1260"/>
        </w:tabs>
        <w:rPr>
          <w:rFonts w:ascii="Calibri" w:hAnsi="Calibri" w:cs="Calibri"/>
        </w:rPr>
      </w:pPr>
    </w:p>
    <w:p w14:paraId="259AB732" w14:textId="76B3B4E2" w:rsidR="001F2A30" w:rsidRPr="001F2A30" w:rsidRDefault="65A8BBE4" w:rsidP="0048789D">
      <w:pPr>
        <w:tabs>
          <w:tab w:val="num" w:pos="1260"/>
        </w:tabs>
        <w:rPr>
          <w:rFonts w:ascii="Calibri" w:hAnsi="Calibri" w:cs="Calibri"/>
        </w:rPr>
      </w:pPr>
      <w:r w:rsidRPr="6F80FCDD">
        <w:rPr>
          <w:rFonts w:ascii="Calibri" w:hAnsi="Calibri" w:cs="Calibri"/>
        </w:rPr>
        <w:t xml:space="preserve">Approximately 82.0 percent of revenue is derived from net patient service revenue. With the </w:t>
      </w:r>
      <w:r w:rsidR="137CAD2B" w:rsidRPr="6F80FCDD">
        <w:rPr>
          <w:rFonts w:ascii="Calibri" w:hAnsi="Calibri" w:cs="Calibri"/>
        </w:rPr>
        <w:t>exception of</w:t>
      </w:r>
      <w:r w:rsidRPr="6F80FCDD">
        <w:rPr>
          <w:rFonts w:ascii="Calibri" w:hAnsi="Calibri" w:cs="Calibri"/>
        </w:rPr>
        <w:t xml:space="preserve"> 12.4 percent growth in FY 2023, NPSR is projected to grow between 3.3 percent and 7.4 percent annually over the projection period. These projections are in line with historical growth in NPSR of 7.8 percent and 15.0 percent for FY 2021 and FY 2022. The eleven-year compounded annual growth rate (“CAGR”) for total operating revenue in the Projections of 4.6 percent falls below </w:t>
      </w:r>
      <w:r w:rsidR="00CF6A65">
        <w:rPr>
          <w:rFonts w:ascii="Calibri" w:hAnsi="Calibri" w:cs="Calibri"/>
        </w:rPr>
        <w:t>BCH</w:t>
      </w:r>
      <w:r w:rsidRPr="6F80FCDD">
        <w:rPr>
          <w:rFonts w:ascii="Calibri" w:hAnsi="Calibri" w:cs="Calibri"/>
        </w:rPr>
        <w:t xml:space="preserve">’s revenue growth rates in FY 2021 of 10.4 percent and FY 2022 of 8.8 percent. Based upon the foregoing, The CPA found the revenue growth projected by Management is based on reasonable assumptions and is feasible for the combined operations of </w:t>
      </w:r>
      <w:r w:rsidR="00CF6A65">
        <w:rPr>
          <w:rFonts w:ascii="Calibri" w:hAnsi="Calibri" w:cs="Calibri"/>
        </w:rPr>
        <w:t>BCH</w:t>
      </w:r>
      <w:r w:rsidRPr="6F80FCDD">
        <w:rPr>
          <w:rFonts w:ascii="Calibri" w:hAnsi="Calibri" w:cs="Calibri"/>
        </w:rPr>
        <w:t xml:space="preserve"> and Franciscan.</w:t>
      </w:r>
    </w:p>
    <w:p w14:paraId="3B72CCB6" w14:textId="77777777" w:rsidR="001F2A30" w:rsidRPr="001F2A30" w:rsidRDefault="001F2A30" w:rsidP="0048789D">
      <w:pPr>
        <w:tabs>
          <w:tab w:val="num" w:pos="1260"/>
        </w:tabs>
        <w:rPr>
          <w:rFonts w:ascii="Calibri" w:hAnsi="Calibri" w:cs="Calibri"/>
        </w:rPr>
      </w:pPr>
    </w:p>
    <w:p w14:paraId="3E2429E6" w14:textId="77777777" w:rsidR="001F2A30" w:rsidRPr="001F2A30" w:rsidRDefault="001F2A30" w:rsidP="007F1D38">
      <w:pPr>
        <w:numPr>
          <w:ilvl w:val="0"/>
          <w:numId w:val="9"/>
        </w:numPr>
        <w:tabs>
          <w:tab w:val="num" w:pos="1260"/>
        </w:tabs>
        <w:spacing w:after="160"/>
        <w:contextualSpacing/>
        <w:rPr>
          <w:rFonts w:ascii="Calibri" w:hAnsi="Calibri" w:cs="Calibri"/>
          <w:b/>
        </w:rPr>
      </w:pPr>
      <w:r w:rsidRPr="001F2A30">
        <w:rPr>
          <w:rFonts w:ascii="Calibri" w:hAnsi="Calibri" w:cs="Calibri"/>
          <w:b/>
        </w:rPr>
        <w:t>Operating Expenses</w:t>
      </w:r>
    </w:p>
    <w:p w14:paraId="0C6836D9" w14:textId="77777777" w:rsidR="001F2A30" w:rsidRPr="001F2A30" w:rsidRDefault="001F2A30" w:rsidP="0048789D">
      <w:pPr>
        <w:ind w:left="360"/>
        <w:rPr>
          <w:rFonts w:ascii="Calibri" w:hAnsi="Calibri" w:cs="Calibri"/>
        </w:rPr>
      </w:pPr>
    </w:p>
    <w:p w14:paraId="150CD197" w14:textId="77777777" w:rsidR="001F2A30" w:rsidRPr="001F2A30" w:rsidRDefault="001F2A30" w:rsidP="0048789D">
      <w:pPr>
        <w:rPr>
          <w:rFonts w:ascii="Calibri" w:hAnsi="Calibri" w:cs="Calibri"/>
        </w:rPr>
      </w:pPr>
      <w:r w:rsidRPr="001F2A30">
        <w:rPr>
          <w:rFonts w:ascii="Calibri" w:hAnsi="Calibri" w:cs="Calibri"/>
        </w:rPr>
        <w:t xml:space="preserve">The operating expenses include salaries and benefits (60.0%), supplies and other expenses (23.3%), direct research expenses of grants, health safety net assessment, depreciation and amortization, costs related to asset dispositions, and interest and net interest rate swap cash flows. Salaries and benefits account for approximately 60.0 percent of total operating expenses and supplies and other expenses account for approximately 23.0 percent of total operating expenses throughout the projection period. </w:t>
      </w:r>
    </w:p>
    <w:p w14:paraId="27D14E85" w14:textId="77777777" w:rsidR="001F2A30" w:rsidRPr="001F2A30" w:rsidRDefault="001F2A30" w:rsidP="0048789D">
      <w:pPr>
        <w:rPr>
          <w:rFonts w:ascii="Calibri" w:hAnsi="Calibri" w:cs="Calibri"/>
        </w:rPr>
      </w:pPr>
    </w:p>
    <w:p w14:paraId="23BE14CB" w14:textId="36BC1CD1" w:rsidR="001F2A30" w:rsidRPr="001F2A30" w:rsidRDefault="001F2A30" w:rsidP="0048789D">
      <w:pPr>
        <w:rPr>
          <w:rFonts w:ascii="Calibri" w:hAnsi="Calibri" w:cs="Calibri"/>
        </w:rPr>
      </w:pPr>
      <w:r w:rsidRPr="001F2A30">
        <w:rPr>
          <w:rFonts w:ascii="Calibri" w:hAnsi="Calibri" w:cs="Calibri"/>
        </w:rPr>
        <w:t>Salaries and benefits were projected to increase between 12.6 percent (FY2023)</w:t>
      </w:r>
      <w:r w:rsidR="00AB1D61">
        <w:rPr>
          <w:rFonts w:ascii="Calibri" w:hAnsi="Calibri" w:cs="Calibri"/>
        </w:rPr>
        <w:t xml:space="preserve"> </w:t>
      </w:r>
      <w:r w:rsidRPr="001F2A30">
        <w:rPr>
          <w:rFonts w:ascii="Calibri" w:hAnsi="Calibri" w:cs="Calibri"/>
        </w:rPr>
        <w:t xml:space="preserve">and then between 3.3 percent and 8.2 percent for FY 2024 through FY 2033. Approximately 60.0 percent of the total salaries and benefits relate to the Hospital whose growth was based on growth in full time equivalents (“FTEs”) due to the addition of </w:t>
      </w:r>
      <w:r w:rsidR="00570993" w:rsidRPr="001F2A30">
        <w:rPr>
          <w:rFonts w:ascii="Calibri" w:hAnsi="Calibri" w:cs="Calibri"/>
        </w:rPr>
        <w:t>beds and</w:t>
      </w:r>
      <w:r w:rsidRPr="001F2A30">
        <w:rPr>
          <w:rFonts w:ascii="Calibri" w:hAnsi="Calibri" w:cs="Calibri"/>
        </w:rPr>
        <w:t xml:space="preserve"> change in wages. Supplies were projected to increase annually between 2.5 percent and 10.1 percent for FY 2023 through FY 2033. </w:t>
      </w:r>
    </w:p>
    <w:p w14:paraId="4E30665E" w14:textId="77777777" w:rsidR="001F2A30" w:rsidRPr="001F2A30" w:rsidRDefault="001F2A30" w:rsidP="0048789D">
      <w:pPr>
        <w:rPr>
          <w:rFonts w:ascii="Calibri" w:hAnsi="Calibri" w:cs="Calibri"/>
        </w:rPr>
      </w:pPr>
    </w:p>
    <w:p w14:paraId="31D40DF3" w14:textId="77777777" w:rsidR="001F2A30" w:rsidRPr="001F2A30" w:rsidRDefault="001F2A30" w:rsidP="0048789D">
      <w:pPr>
        <w:rPr>
          <w:rFonts w:ascii="Calibri" w:hAnsi="Calibri" w:cs="Calibri"/>
        </w:rPr>
      </w:pPr>
      <w:r w:rsidRPr="001F2A30">
        <w:rPr>
          <w:rFonts w:ascii="Calibri" w:hAnsi="Calibri" w:cs="Calibri"/>
        </w:rPr>
        <w:t xml:space="preserve">Based upon the foregoing, it is our opinion that the operating expenses projected by Management </w:t>
      </w:r>
      <w:proofErr w:type="gramStart"/>
      <w:r w:rsidRPr="001F2A30">
        <w:rPr>
          <w:rFonts w:ascii="Calibri" w:hAnsi="Calibri" w:cs="Calibri"/>
        </w:rPr>
        <w:t>reflects</w:t>
      </w:r>
      <w:proofErr w:type="gramEnd"/>
      <w:r w:rsidRPr="001F2A30">
        <w:rPr>
          <w:rFonts w:ascii="Calibri" w:hAnsi="Calibri" w:cs="Calibri"/>
        </w:rPr>
        <w:t xml:space="preserve"> reasonable assumptions and are feasible for the Applicant.</w:t>
      </w:r>
    </w:p>
    <w:p w14:paraId="138AA6D9" w14:textId="77777777" w:rsidR="001F2A30" w:rsidRPr="001F2A30" w:rsidRDefault="001F2A30" w:rsidP="0048789D">
      <w:pPr>
        <w:tabs>
          <w:tab w:val="num" w:pos="1260"/>
        </w:tabs>
        <w:rPr>
          <w:rFonts w:ascii="Calibri" w:hAnsi="Calibri" w:cs="Calibri"/>
        </w:rPr>
      </w:pPr>
    </w:p>
    <w:p w14:paraId="492F8F4D" w14:textId="77777777" w:rsidR="001F2A30" w:rsidRPr="001F2A30" w:rsidRDefault="001F2A30" w:rsidP="007F1D38">
      <w:pPr>
        <w:numPr>
          <w:ilvl w:val="0"/>
          <w:numId w:val="9"/>
        </w:numPr>
        <w:tabs>
          <w:tab w:val="num" w:pos="1260"/>
        </w:tabs>
        <w:spacing w:after="160"/>
        <w:contextualSpacing/>
        <w:rPr>
          <w:rFonts w:ascii="Calibri" w:hAnsi="Calibri" w:cs="Calibri"/>
          <w:b/>
        </w:rPr>
      </w:pPr>
      <w:r w:rsidRPr="001F2A30">
        <w:rPr>
          <w:rFonts w:ascii="Calibri" w:hAnsi="Calibri" w:cs="Calibri"/>
          <w:b/>
        </w:rPr>
        <w:lastRenderedPageBreak/>
        <w:t>Capital Expenditures and Proposed Project Funding</w:t>
      </w:r>
    </w:p>
    <w:p w14:paraId="409946DA" w14:textId="77777777" w:rsidR="001F2A30" w:rsidRPr="001F2A30" w:rsidRDefault="001F2A30" w:rsidP="0048789D">
      <w:pPr>
        <w:ind w:left="360"/>
        <w:contextualSpacing/>
        <w:rPr>
          <w:rFonts w:ascii="Calibri" w:hAnsi="Calibri" w:cs="Calibri"/>
          <w:b/>
        </w:rPr>
      </w:pPr>
    </w:p>
    <w:p w14:paraId="533FF6C8" w14:textId="00197992" w:rsidR="001F2A30" w:rsidRPr="001F2A30" w:rsidRDefault="65A8BBE4" w:rsidP="0048789D">
      <w:pPr>
        <w:tabs>
          <w:tab w:val="num" w:pos="1260"/>
        </w:tabs>
        <w:contextualSpacing/>
        <w:rPr>
          <w:rFonts w:ascii="Calibri" w:hAnsi="Calibri" w:cs="Calibri"/>
          <w:highlight w:val="yellow"/>
        </w:rPr>
      </w:pPr>
      <w:r w:rsidRPr="6F80FCDD">
        <w:rPr>
          <w:rFonts w:ascii="Calibri" w:hAnsi="Calibri" w:cs="Calibri"/>
        </w:rPr>
        <w:t xml:space="preserve">The Applicant reviewed the capital costs of $481.4 million (MCE) along with the proposed financing of the Proposed Project. The Proposed Project will be funded by </w:t>
      </w:r>
      <w:r w:rsidR="00CF6A65">
        <w:rPr>
          <w:rFonts w:ascii="Calibri" w:hAnsi="Calibri" w:cs="Calibri"/>
        </w:rPr>
        <w:t>BCH</w:t>
      </w:r>
      <w:r w:rsidRPr="6F80FCDD">
        <w:rPr>
          <w:rFonts w:ascii="Calibri" w:hAnsi="Calibri" w:cs="Calibri"/>
        </w:rPr>
        <w:t xml:space="preserve">’s philanthropic effort (28%), </w:t>
      </w:r>
      <w:r w:rsidR="00CF6A65">
        <w:rPr>
          <w:rFonts w:ascii="Calibri" w:hAnsi="Calibri" w:cs="Calibri"/>
        </w:rPr>
        <w:t>BCH</w:t>
      </w:r>
      <w:r w:rsidRPr="6F80FCDD">
        <w:rPr>
          <w:rFonts w:ascii="Calibri" w:hAnsi="Calibri" w:cs="Calibri"/>
        </w:rPr>
        <w:t xml:space="preserve">’s unrestricted endowment (66%) and Franciscan’s philanthropic effort (6 %). There is an understanding, the construction for the Proposed Project will not commence until 50 percent of the philanthropic pledges are collected by </w:t>
      </w:r>
      <w:r w:rsidR="00CF6A65">
        <w:rPr>
          <w:rFonts w:ascii="Calibri" w:hAnsi="Calibri" w:cs="Calibri"/>
        </w:rPr>
        <w:t>BCH</w:t>
      </w:r>
      <w:r w:rsidRPr="6F80FCDD">
        <w:rPr>
          <w:rFonts w:ascii="Calibri" w:hAnsi="Calibri" w:cs="Calibri"/>
        </w:rPr>
        <w:t xml:space="preserve"> and Franciscan. The funds required for the Proposed Project are approximately 7.0 percent of the total unrestricted endowment. Based on the noted factors, there appears to be sufficient room to accommodate the financing for the Proposed Project within the Applicant’s available capital without the need for debt financing.</w:t>
      </w:r>
    </w:p>
    <w:p w14:paraId="57EB2B79" w14:textId="77777777" w:rsidR="001F2A30" w:rsidRPr="001F2A30" w:rsidRDefault="001F2A30" w:rsidP="0048789D">
      <w:pPr>
        <w:tabs>
          <w:tab w:val="num" w:pos="1260"/>
        </w:tabs>
        <w:rPr>
          <w:rFonts w:ascii="Calibri" w:hAnsi="Calibri" w:cs="Calibri"/>
        </w:rPr>
      </w:pPr>
    </w:p>
    <w:p w14:paraId="4D9EACEA" w14:textId="61FA731E" w:rsidR="001F2A30" w:rsidRDefault="001F2A30" w:rsidP="0048789D">
      <w:pPr>
        <w:tabs>
          <w:tab w:val="num" w:pos="1260"/>
        </w:tabs>
        <w:rPr>
          <w:rFonts w:ascii="Calibri" w:hAnsi="Calibri" w:cs="Calibri"/>
          <w:b/>
          <w:bCs/>
        </w:rPr>
      </w:pPr>
      <w:r w:rsidRPr="001F2A30">
        <w:rPr>
          <w:rFonts w:ascii="Calibri" w:hAnsi="Calibri" w:cs="Calibri"/>
          <w:b/>
          <w:bCs/>
        </w:rPr>
        <w:t>Conclusions on Feasibility</w:t>
      </w:r>
    </w:p>
    <w:p w14:paraId="601F2428" w14:textId="77777777" w:rsidR="001F2A30" w:rsidRPr="001F2A30" w:rsidRDefault="001F2A30" w:rsidP="0048789D">
      <w:pPr>
        <w:tabs>
          <w:tab w:val="num" w:pos="1260"/>
        </w:tabs>
        <w:rPr>
          <w:rFonts w:ascii="Calibri" w:hAnsi="Calibri" w:cs="Calibri"/>
          <w:b/>
          <w:bCs/>
        </w:rPr>
      </w:pPr>
    </w:p>
    <w:p w14:paraId="5B5C68A5" w14:textId="41006A02" w:rsidR="001F2A30" w:rsidRPr="001F2A30" w:rsidRDefault="65A8BBE4" w:rsidP="0048789D">
      <w:pPr>
        <w:tabs>
          <w:tab w:val="num" w:pos="1260"/>
        </w:tabs>
        <w:rPr>
          <w:rFonts w:ascii="Calibri" w:hAnsi="Calibri" w:cs="Calibri"/>
        </w:rPr>
      </w:pPr>
      <w:r w:rsidRPr="6F80FCDD">
        <w:rPr>
          <w:rFonts w:ascii="Calibri" w:hAnsi="Calibri" w:cs="Calibri"/>
        </w:rPr>
        <w:t>The CPA analyzed multiple sources of information pertaining to the Proposed Project. Within the projected financial information, the Projections exhibit a cumulative operating EBIDA surplus of approximately 9.0 percent of cumulative projected total revenue for the eleven years from FY 2023 through FY 2033. Based upon</w:t>
      </w:r>
      <w:r w:rsidR="2DE6DC4B" w:rsidRPr="6F80FCDD">
        <w:rPr>
          <w:rFonts w:ascii="Calibri" w:hAnsi="Calibri" w:cs="Calibri"/>
        </w:rPr>
        <w:t xml:space="preserve"> </w:t>
      </w:r>
      <w:r w:rsidRPr="6F80FCDD">
        <w:rPr>
          <w:rFonts w:ascii="Calibri" w:hAnsi="Calibri" w:cs="Calibri"/>
        </w:rPr>
        <w:t xml:space="preserve">its review, it determined the anticipated EBIDA surplus is a reasonable expectation and is based upon feasible financial assumptions and therefore it concluded that the Projections are reasonable and feasible, and not likely to have a negative impact on the patient panel or result in a liquidation of assets of </w:t>
      </w:r>
      <w:r w:rsidR="00CF6A65">
        <w:rPr>
          <w:rFonts w:ascii="Calibri" w:hAnsi="Calibri" w:cs="Calibri"/>
        </w:rPr>
        <w:t>BCH</w:t>
      </w:r>
      <w:r w:rsidRPr="6F80FCDD">
        <w:rPr>
          <w:rFonts w:ascii="Calibri" w:hAnsi="Calibri" w:cs="Calibri"/>
        </w:rPr>
        <w:t>.</w:t>
      </w:r>
    </w:p>
    <w:p w14:paraId="1A080E17" w14:textId="77777777" w:rsidR="001F2A30" w:rsidRPr="001F2A30" w:rsidRDefault="001F2A30" w:rsidP="0048789D">
      <w:pPr>
        <w:spacing w:before="240" w:after="160"/>
        <w:rPr>
          <w:rFonts w:ascii="Calibri" w:eastAsia="Calibri" w:hAnsi="Calibri"/>
          <w:b/>
          <w:bCs/>
          <w:i/>
          <w:iCs/>
        </w:rPr>
      </w:pPr>
      <w:r w:rsidRPr="001F2A30">
        <w:rPr>
          <w:rFonts w:ascii="Calibri" w:eastAsia="Calibri" w:hAnsi="Calibri"/>
          <w:b/>
          <w:bCs/>
          <w:i/>
          <w:iCs/>
        </w:rPr>
        <w:t xml:space="preserve">Factor 4 Analysis </w:t>
      </w:r>
    </w:p>
    <w:p w14:paraId="29A17285" w14:textId="77777777" w:rsidR="001F2A30" w:rsidRPr="001F2A30" w:rsidRDefault="001F2A30" w:rsidP="0048789D">
      <w:pPr>
        <w:spacing w:before="240" w:after="160"/>
        <w:rPr>
          <w:rFonts w:ascii="Calibri" w:eastAsia="Calibri" w:hAnsi="Calibri"/>
        </w:rPr>
      </w:pPr>
      <w:r w:rsidRPr="001F2A30">
        <w:rPr>
          <w:rFonts w:ascii="Calibri" w:eastAsia="Calibri" w:hAnsi="Calibri"/>
        </w:rPr>
        <w:t>Staff is satisfied with the CPA’s analysis of the Proposed Project’s projections. As a result of information provided by the Applicant and additional analysis, staff finds that the Applicant has demonstrated that the Proposed Project has met Factor 4.</w:t>
      </w:r>
    </w:p>
    <w:p w14:paraId="4430EF26" w14:textId="77777777" w:rsidR="001F2A30" w:rsidRPr="00112582" w:rsidRDefault="001F2A30" w:rsidP="00B31381">
      <w:pPr>
        <w:spacing w:before="240" w:after="160"/>
        <w:rPr>
          <w:rFonts w:ascii="Calibri" w:eastAsia="Calibri" w:hAnsi="Calibri"/>
        </w:rPr>
      </w:pPr>
    </w:p>
    <w:p w14:paraId="21EFEEA8" w14:textId="60CC1373" w:rsidR="002D535F" w:rsidRPr="00AB7675" w:rsidRDefault="002D535F" w:rsidP="00B31381">
      <w:pPr>
        <w:pStyle w:val="Heading1"/>
        <w:spacing w:before="0" w:line="240" w:lineRule="auto"/>
        <w:contextualSpacing/>
        <w:rPr>
          <w:rFonts w:asciiTheme="minorHAnsi" w:hAnsiTheme="minorHAnsi" w:cstheme="minorBidi"/>
        </w:rPr>
      </w:pPr>
      <w:bookmarkStart w:id="117" w:name="_Toc157428837"/>
      <w:bookmarkStart w:id="118" w:name="_Toc158218030"/>
      <w:r w:rsidRPr="4F519356">
        <w:rPr>
          <w:rFonts w:asciiTheme="minorHAnsi" w:hAnsiTheme="minorHAnsi" w:cstheme="minorBidi"/>
        </w:rPr>
        <w:t>Factor 5: Assessment of the Proposed Project’s Relative Merit</w:t>
      </w:r>
      <w:bookmarkEnd w:id="117"/>
      <w:bookmarkEnd w:id="118"/>
    </w:p>
    <w:p w14:paraId="1AB25283" w14:textId="523FB8A8" w:rsidR="00923527" w:rsidRDefault="00923527" w:rsidP="00B31381">
      <w:pPr>
        <w:pStyle w:val="Heading1"/>
        <w:tabs>
          <w:tab w:val="left" w:pos="8910"/>
        </w:tabs>
        <w:spacing w:before="0" w:line="240" w:lineRule="auto"/>
        <w:rPr>
          <w:rFonts w:asciiTheme="minorHAnsi" w:eastAsia="Times New Roman" w:hAnsiTheme="minorHAnsi" w:cstheme="minorHAnsi"/>
        </w:rPr>
      </w:pPr>
      <w:bookmarkStart w:id="119" w:name="_Toc17151192"/>
      <w:bookmarkStart w:id="120" w:name="_Toc17322410"/>
    </w:p>
    <w:p w14:paraId="4D481519" w14:textId="7854B99B" w:rsidR="007D1CA1" w:rsidRPr="007D1CA1" w:rsidRDefault="007D1CA1" w:rsidP="007D1CA1">
      <w:pPr>
        <w:rPr>
          <w:rFonts w:ascii="Calibri" w:hAnsi="Calibri" w:cs="Calibri"/>
        </w:rPr>
      </w:pPr>
      <w:r w:rsidRPr="007D1CA1">
        <w:rPr>
          <w:rFonts w:ascii="Calibri" w:hAnsi="Calibri" w:cs="Calibri"/>
        </w:rPr>
        <w:t xml:space="preserve">Through its multi-year planning process, the Applicant considered a number of alternative approaches to meeting the patient panel needs before its Board of Directors selected the Proposed Project. </w:t>
      </w:r>
      <w:r w:rsidR="00AB1D61">
        <w:rPr>
          <w:rFonts w:ascii="Calibri" w:hAnsi="Calibri" w:cs="Calibri"/>
        </w:rPr>
        <w:t>Franciscan</w:t>
      </w:r>
      <w:r w:rsidRPr="007D1CA1">
        <w:rPr>
          <w:rFonts w:ascii="Calibri" w:hAnsi="Calibri" w:cs="Calibri"/>
        </w:rPr>
        <w:t xml:space="preserve"> conducted a detailed evaluation of two alternatives (summarized</w:t>
      </w:r>
      <w:r w:rsidRPr="007D1CA1">
        <w:rPr>
          <w:rFonts w:ascii="Calibri" w:hAnsi="Calibri" w:cs="Calibri"/>
          <w:spacing w:val="1"/>
        </w:rPr>
        <w:t xml:space="preserve"> </w:t>
      </w:r>
      <w:r w:rsidRPr="007D1CA1">
        <w:rPr>
          <w:rFonts w:ascii="Calibri" w:hAnsi="Calibri" w:cs="Calibri"/>
        </w:rPr>
        <w:t xml:space="preserve">in </w:t>
      </w:r>
      <w:r w:rsidR="00FF7025">
        <w:rPr>
          <w:rFonts w:ascii="Calibri" w:hAnsi="Calibri" w:cs="Calibri"/>
        </w:rPr>
        <w:t>T</w:t>
      </w:r>
      <w:r w:rsidRPr="007D1CA1">
        <w:rPr>
          <w:rFonts w:ascii="Calibri" w:hAnsi="Calibri" w:cs="Calibri"/>
        </w:rPr>
        <w:t>able</w:t>
      </w:r>
      <w:r w:rsidR="00FF7025">
        <w:rPr>
          <w:rFonts w:ascii="Calibri" w:hAnsi="Calibri" w:cs="Calibri"/>
        </w:rPr>
        <w:t xml:space="preserve"> 11</w:t>
      </w:r>
      <w:r w:rsidRPr="007D1CA1">
        <w:rPr>
          <w:rFonts w:ascii="Calibri" w:hAnsi="Calibri" w:cs="Calibri"/>
        </w:rPr>
        <w:t>) and rejected both for the following reasons. Alternative #1 evaluated and rejected a seven-story addition to the Facility’s</w:t>
      </w:r>
      <w:r w:rsidRPr="007D1CA1">
        <w:rPr>
          <w:rFonts w:ascii="Calibri" w:hAnsi="Calibri" w:cs="Calibri"/>
          <w:spacing w:val="1"/>
        </w:rPr>
        <w:t xml:space="preserve"> </w:t>
      </w:r>
      <w:r w:rsidRPr="007D1CA1">
        <w:rPr>
          <w:rFonts w:ascii="Calibri" w:hAnsi="Calibri" w:cs="Calibri"/>
        </w:rPr>
        <w:t>campus, at a cost significantly greater than the proposed project, $680 million. Alternative #2, evaluated and rejected renovation of the existing buildings; this was deemed infeasible given both the age of the buildings (average age of the plant for the campus is 19.5 years with several buildings well over that age) and the necessity to close critical services for a prolonged timeframe to enable the renovation. Relative to the Proposed Project, the alternatives were less operationally efficient, more costly, or infeasible in light of local zoning or other restrictions leading to significant challenges gaining local approvals.</w:t>
      </w:r>
    </w:p>
    <w:p w14:paraId="615E32A7" w14:textId="77777777" w:rsidR="007D1CA1" w:rsidRPr="007D1CA1" w:rsidRDefault="007D1CA1" w:rsidP="007D1CA1">
      <w:pPr>
        <w:jc w:val="both"/>
        <w:rPr>
          <w:rFonts w:ascii="Calibri" w:hAnsi="Calibri" w:cs="Calibri"/>
          <w:sz w:val="28"/>
          <w:szCs w:val="28"/>
        </w:rPr>
      </w:pPr>
    </w:p>
    <w:p w14:paraId="75CA10F3" w14:textId="0E4DF78C" w:rsidR="007D1CA1" w:rsidRPr="00FF7025" w:rsidRDefault="00FF7025" w:rsidP="00FF7025">
      <w:pPr>
        <w:widowControl w:val="0"/>
        <w:autoSpaceDE w:val="0"/>
        <w:autoSpaceDN w:val="0"/>
        <w:jc w:val="center"/>
        <w:rPr>
          <w:rFonts w:ascii="Calibri" w:hAnsi="Calibri" w:cs="Calibri"/>
          <w:b/>
          <w:bCs/>
        </w:rPr>
      </w:pPr>
      <w:r w:rsidRPr="00FF7025">
        <w:rPr>
          <w:rFonts w:ascii="Calibri" w:hAnsi="Calibri" w:cs="Calibri"/>
          <w:b/>
          <w:bCs/>
        </w:rPr>
        <w:t>Table 11: Alternatives Considered to the Proposed Project</w:t>
      </w:r>
    </w:p>
    <w:tbl>
      <w:tblPr>
        <w:tblStyle w:val="TableGrid1"/>
        <w:tblW w:w="10080" w:type="dxa"/>
        <w:tblInd w:w="-95" w:type="dxa"/>
        <w:tblLook w:val="04A0" w:firstRow="1" w:lastRow="0" w:firstColumn="1" w:lastColumn="0" w:noHBand="0" w:noVBand="1"/>
        <w:tblCaption w:val="Evaluation of Alternatives"/>
      </w:tblPr>
      <w:tblGrid>
        <w:gridCol w:w="1530"/>
        <w:gridCol w:w="2700"/>
        <w:gridCol w:w="2905"/>
        <w:gridCol w:w="2945"/>
      </w:tblGrid>
      <w:tr w:rsidR="00C47AA9" w:rsidRPr="00FF7025" w14:paraId="41D5A14F" w14:textId="77777777" w:rsidTr="00E53941">
        <w:trPr>
          <w:cantSplit/>
          <w:tblHeader/>
        </w:trPr>
        <w:tc>
          <w:tcPr>
            <w:tcW w:w="1530" w:type="dxa"/>
            <w:vAlign w:val="bottom"/>
          </w:tcPr>
          <w:p w14:paraId="63F923C6" w14:textId="77777777" w:rsidR="007D1CA1" w:rsidRPr="00FF7025" w:rsidRDefault="007D1CA1" w:rsidP="007D1CA1">
            <w:pPr>
              <w:widowControl w:val="0"/>
              <w:autoSpaceDE w:val="0"/>
              <w:autoSpaceDN w:val="0"/>
              <w:jc w:val="both"/>
              <w:rPr>
                <w:rFonts w:ascii="Calibri" w:hAnsi="Calibri" w:cs="Calibri"/>
              </w:rPr>
            </w:pPr>
          </w:p>
        </w:tc>
        <w:tc>
          <w:tcPr>
            <w:tcW w:w="2700" w:type="dxa"/>
            <w:vAlign w:val="bottom"/>
          </w:tcPr>
          <w:p w14:paraId="67DE598A" w14:textId="77777777" w:rsidR="007D1CA1" w:rsidRPr="00FF7025" w:rsidRDefault="007D1CA1" w:rsidP="007D1CA1">
            <w:pPr>
              <w:widowControl w:val="0"/>
              <w:autoSpaceDE w:val="0"/>
              <w:autoSpaceDN w:val="0"/>
              <w:jc w:val="both"/>
              <w:rPr>
                <w:rFonts w:ascii="Calibri" w:hAnsi="Calibri" w:cs="Calibri"/>
                <w:b/>
                <w:bCs/>
              </w:rPr>
            </w:pPr>
            <w:r w:rsidRPr="00FF7025">
              <w:rPr>
                <w:rFonts w:ascii="Calibri" w:hAnsi="Calibri" w:cs="Calibri"/>
                <w:b/>
                <w:bCs/>
                <w:color w:val="000000"/>
              </w:rPr>
              <w:t>Proposed Project</w:t>
            </w:r>
          </w:p>
        </w:tc>
        <w:tc>
          <w:tcPr>
            <w:tcW w:w="2905" w:type="dxa"/>
            <w:vAlign w:val="bottom"/>
          </w:tcPr>
          <w:p w14:paraId="581DF193" w14:textId="77777777" w:rsidR="007D1CA1" w:rsidRPr="00FF7025" w:rsidRDefault="007D1CA1" w:rsidP="007D1CA1">
            <w:pPr>
              <w:widowControl w:val="0"/>
              <w:autoSpaceDE w:val="0"/>
              <w:autoSpaceDN w:val="0"/>
              <w:jc w:val="both"/>
              <w:rPr>
                <w:rFonts w:ascii="Calibri" w:hAnsi="Calibri" w:cs="Calibri"/>
                <w:b/>
                <w:bCs/>
              </w:rPr>
            </w:pPr>
            <w:r w:rsidRPr="00FF7025">
              <w:rPr>
                <w:rFonts w:ascii="Calibri" w:hAnsi="Calibri" w:cs="Calibri"/>
                <w:b/>
                <w:bCs/>
                <w:color w:val="000000"/>
              </w:rPr>
              <w:t>Alternative #1</w:t>
            </w:r>
          </w:p>
        </w:tc>
        <w:tc>
          <w:tcPr>
            <w:tcW w:w="2945" w:type="dxa"/>
            <w:vAlign w:val="bottom"/>
          </w:tcPr>
          <w:p w14:paraId="0FC98A91" w14:textId="77777777" w:rsidR="007D1CA1" w:rsidRPr="00FF7025" w:rsidRDefault="007D1CA1" w:rsidP="007D1CA1">
            <w:pPr>
              <w:widowControl w:val="0"/>
              <w:autoSpaceDE w:val="0"/>
              <w:autoSpaceDN w:val="0"/>
              <w:jc w:val="both"/>
              <w:rPr>
                <w:rFonts w:ascii="Calibri" w:hAnsi="Calibri" w:cs="Calibri"/>
                <w:b/>
                <w:bCs/>
              </w:rPr>
            </w:pPr>
            <w:r w:rsidRPr="00FF7025">
              <w:rPr>
                <w:rFonts w:ascii="Calibri" w:hAnsi="Calibri" w:cs="Calibri"/>
                <w:b/>
                <w:bCs/>
                <w:color w:val="000000"/>
              </w:rPr>
              <w:t>Alternative #2</w:t>
            </w:r>
          </w:p>
        </w:tc>
      </w:tr>
      <w:tr w:rsidR="00C47AA9" w:rsidRPr="00FF7025" w14:paraId="4AEAE6AF" w14:textId="77777777" w:rsidTr="00E53941">
        <w:trPr>
          <w:cantSplit/>
        </w:trPr>
        <w:tc>
          <w:tcPr>
            <w:tcW w:w="1530" w:type="dxa"/>
            <w:vAlign w:val="center"/>
          </w:tcPr>
          <w:p w14:paraId="3B9A3C3A" w14:textId="77777777" w:rsidR="007D1CA1" w:rsidRPr="00FF7025" w:rsidRDefault="007D1CA1" w:rsidP="007D1CA1">
            <w:pPr>
              <w:widowControl w:val="0"/>
              <w:autoSpaceDE w:val="0"/>
              <w:autoSpaceDN w:val="0"/>
              <w:jc w:val="center"/>
              <w:rPr>
                <w:rFonts w:ascii="Calibri" w:hAnsi="Calibri" w:cs="Calibri"/>
                <w:b/>
                <w:bCs/>
              </w:rPr>
            </w:pPr>
            <w:r w:rsidRPr="00FF7025">
              <w:rPr>
                <w:rFonts w:ascii="Calibri" w:hAnsi="Calibri" w:cs="Calibri"/>
                <w:b/>
                <w:bCs/>
                <w:color w:val="000000"/>
              </w:rPr>
              <w:t>Description</w:t>
            </w:r>
          </w:p>
        </w:tc>
        <w:tc>
          <w:tcPr>
            <w:tcW w:w="2700" w:type="dxa"/>
            <w:vAlign w:val="center"/>
          </w:tcPr>
          <w:p w14:paraId="27053F75" w14:textId="77777777"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 xml:space="preserve">Construction of a four-story building: 278,000 GSF </w:t>
            </w:r>
          </w:p>
        </w:tc>
        <w:tc>
          <w:tcPr>
            <w:tcW w:w="2905" w:type="dxa"/>
            <w:vAlign w:val="center"/>
          </w:tcPr>
          <w:p w14:paraId="0F6042CC" w14:textId="7ED6AEEF"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Seven-story building Addition</w:t>
            </w:r>
          </w:p>
        </w:tc>
        <w:tc>
          <w:tcPr>
            <w:tcW w:w="2945" w:type="dxa"/>
            <w:vAlign w:val="center"/>
          </w:tcPr>
          <w:p w14:paraId="7AEF5709" w14:textId="77777777"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Renovation of existing facility</w:t>
            </w:r>
          </w:p>
        </w:tc>
      </w:tr>
      <w:tr w:rsidR="00C47AA9" w:rsidRPr="00FF7025" w14:paraId="24C7E59C" w14:textId="77777777" w:rsidTr="00E53941">
        <w:trPr>
          <w:cantSplit/>
        </w:trPr>
        <w:tc>
          <w:tcPr>
            <w:tcW w:w="1530" w:type="dxa"/>
            <w:vAlign w:val="center"/>
          </w:tcPr>
          <w:p w14:paraId="30A0AF80" w14:textId="77777777" w:rsidR="007D1CA1" w:rsidRPr="00FF7025" w:rsidRDefault="007D1CA1" w:rsidP="007D1CA1">
            <w:pPr>
              <w:widowControl w:val="0"/>
              <w:autoSpaceDE w:val="0"/>
              <w:autoSpaceDN w:val="0"/>
              <w:jc w:val="center"/>
              <w:rPr>
                <w:rFonts w:ascii="Calibri" w:hAnsi="Calibri" w:cs="Calibri"/>
                <w:b/>
                <w:bCs/>
              </w:rPr>
            </w:pPr>
            <w:r w:rsidRPr="00FF7025">
              <w:rPr>
                <w:rFonts w:ascii="Calibri" w:hAnsi="Calibri" w:cs="Calibri"/>
                <w:b/>
                <w:bCs/>
                <w:color w:val="000000"/>
              </w:rPr>
              <w:t>Quality</w:t>
            </w:r>
          </w:p>
        </w:tc>
        <w:tc>
          <w:tcPr>
            <w:tcW w:w="2700" w:type="dxa"/>
            <w:vAlign w:val="center"/>
          </w:tcPr>
          <w:p w14:paraId="1F7998DE" w14:textId="77777777"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Comparable</w:t>
            </w:r>
          </w:p>
        </w:tc>
        <w:tc>
          <w:tcPr>
            <w:tcW w:w="2905" w:type="dxa"/>
            <w:vAlign w:val="center"/>
          </w:tcPr>
          <w:p w14:paraId="16EA4E8C" w14:textId="77777777"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Comparable</w:t>
            </w:r>
          </w:p>
        </w:tc>
        <w:tc>
          <w:tcPr>
            <w:tcW w:w="2945" w:type="dxa"/>
            <w:vAlign w:val="center"/>
          </w:tcPr>
          <w:p w14:paraId="35D418CB" w14:textId="77777777"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Inferior and Unable to Meet Demand of Growing Population</w:t>
            </w:r>
          </w:p>
        </w:tc>
      </w:tr>
      <w:tr w:rsidR="00C47AA9" w:rsidRPr="00FF7025" w14:paraId="3ADC3ED0" w14:textId="77777777" w:rsidTr="00E53941">
        <w:trPr>
          <w:cantSplit/>
        </w:trPr>
        <w:tc>
          <w:tcPr>
            <w:tcW w:w="1530" w:type="dxa"/>
            <w:vAlign w:val="center"/>
          </w:tcPr>
          <w:p w14:paraId="23C05E8D" w14:textId="77777777" w:rsidR="007D1CA1" w:rsidRPr="00FF7025" w:rsidRDefault="007D1CA1" w:rsidP="007D1CA1">
            <w:pPr>
              <w:widowControl w:val="0"/>
              <w:autoSpaceDE w:val="0"/>
              <w:autoSpaceDN w:val="0"/>
              <w:jc w:val="center"/>
              <w:rPr>
                <w:rFonts w:ascii="Calibri" w:hAnsi="Calibri" w:cs="Calibri"/>
                <w:b/>
                <w:bCs/>
              </w:rPr>
            </w:pPr>
            <w:r w:rsidRPr="00FF7025">
              <w:rPr>
                <w:rFonts w:ascii="Calibri" w:hAnsi="Calibri" w:cs="Calibri"/>
                <w:b/>
                <w:bCs/>
                <w:color w:val="000000"/>
              </w:rPr>
              <w:t>Efficiency</w:t>
            </w:r>
          </w:p>
        </w:tc>
        <w:tc>
          <w:tcPr>
            <w:tcW w:w="2700" w:type="dxa"/>
            <w:vAlign w:val="center"/>
          </w:tcPr>
          <w:p w14:paraId="25F808A3" w14:textId="77777777"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Most operationally efficient</w:t>
            </w:r>
          </w:p>
        </w:tc>
        <w:tc>
          <w:tcPr>
            <w:tcW w:w="2905" w:type="dxa"/>
            <w:vAlign w:val="center"/>
          </w:tcPr>
          <w:p w14:paraId="37701EA5" w14:textId="77777777"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Less Operationally Efficient Design (and significant challenges expected in obtaining local approvals)</w:t>
            </w:r>
          </w:p>
        </w:tc>
        <w:tc>
          <w:tcPr>
            <w:tcW w:w="2945" w:type="dxa"/>
            <w:vAlign w:val="center"/>
          </w:tcPr>
          <w:p w14:paraId="63547A14" w14:textId="77777777"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Deemed infeasible due to age of facilities and shutdown of services for long period of time)</w:t>
            </w:r>
          </w:p>
        </w:tc>
      </w:tr>
      <w:tr w:rsidR="00C47AA9" w:rsidRPr="00FF7025" w14:paraId="13406D66" w14:textId="77777777" w:rsidTr="00E53941">
        <w:trPr>
          <w:cantSplit/>
        </w:trPr>
        <w:tc>
          <w:tcPr>
            <w:tcW w:w="1530" w:type="dxa"/>
            <w:vAlign w:val="center"/>
          </w:tcPr>
          <w:p w14:paraId="2E627A78" w14:textId="77777777" w:rsidR="007D1CA1" w:rsidRPr="00FF7025" w:rsidRDefault="007D1CA1" w:rsidP="007D1CA1">
            <w:pPr>
              <w:widowControl w:val="0"/>
              <w:autoSpaceDE w:val="0"/>
              <w:autoSpaceDN w:val="0"/>
              <w:jc w:val="center"/>
              <w:rPr>
                <w:rFonts w:ascii="Calibri" w:hAnsi="Calibri" w:cs="Calibri"/>
                <w:b/>
                <w:bCs/>
              </w:rPr>
            </w:pPr>
            <w:r w:rsidRPr="00FF7025">
              <w:rPr>
                <w:rFonts w:ascii="Calibri" w:hAnsi="Calibri" w:cs="Calibri"/>
                <w:b/>
                <w:bCs/>
                <w:color w:val="000000"/>
              </w:rPr>
              <w:t>Costs</w:t>
            </w:r>
          </w:p>
        </w:tc>
        <w:tc>
          <w:tcPr>
            <w:tcW w:w="2700" w:type="dxa"/>
            <w:vAlign w:val="center"/>
          </w:tcPr>
          <w:p w14:paraId="13011D52" w14:textId="77777777"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Lowest Capital Cost and Most Operationally Efficient</w:t>
            </w:r>
          </w:p>
        </w:tc>
        <w:tc>
          <w:tcPr>
            <w:tcW w:w="2905" w:type="dxa"/>
            <w:vAlign w:val="center"/>
          </w:tcPr>
          <w:p w14:paraId="2CCE9075" w14:textId="77777777"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Higher Capital Cost approximately $680 million)</w:t>
            </w:r>
          </w:p>
        </w:tc>
        <w:tc>
          <w:tcPr>
            <w:tcW w:w="2945" w:type="dxa"/>
            <w:vAlign w:val="center"/>
          </w:tcPr>
          <w:p w14:paraId="0B889ECA" w14:textId="77777777" w:rsidR="007D1CA1" w:rsidRPr="00FF7025" w:rsidRDefault="007D1CA1" w:rsidP="007D1CA1">
            <w:pPr>
              <w:widowControl w:val="0"/>
              <w:autoSpaceDE w:val="0"/>
              <w:autoSpaceDN w:val="0"/>
              <w:rPr>
                <w:rFonts w:ascii="Calibri" w:hAnsi="Calibri" w:cs="Calibri"/>
              </w:rPr>
            </w:pPr>
            <w:r w:rsidRPr="00FF7025">
              <w:rPr>
                <w:rFonts w:ascii="Calibri" w:hAnsi="Calibri" w:cs="Calibri"/>
                <w:color w:val="000000"/>
              </w:rPr>
              <w:t>Higher Capital Cost and Not Operationally Feasible</w:t>
            </w:r>
          </w:p>
        </w:tc>
      </w:tr>
    </w:tbl>
    <w:p w14:paraId="29B19682" w14:textId="77777777" w:rsidR="007D1CA1" w:rsidRPr="007D1CA1" w:rsidRDefault="007D1CA1" w:rsidP="007D1CA1">
      <w:pPr>
        <w:widowControl w:val="0"/>
        <w:autoSpaceDE w:val="0"/>
        <w:autoSpaceDN w:val="0"/>
        <w:jc w:val="both"/>
        <w:rPr>
          <w:rFonts w:ascii="Calibri" w:hAnsi="Calibri" w:cs="Calibri"/>
          <w:sz w:val="28"/>
          <w:szCs w:val="28"/>
        </w:rPr>
      </w:pPr>
    </w:p>
    <w:p w14:paraId="1CE7B266" w14:textId="77777777" w:rsidR="007D1CA1" w:rsidRPr="007D1CA1" w:rsidRDefault="007D1CA1" w:rsidP="007D1CA1">
      <w:pPr>
        <w:widowControl w:val="0"/>
        <w:autoSpaceDE w:val="0"/>
        <w:autoSpaceDN w:val="0"/>
        <w:rPr>
          <w:rFonts w:ascii="Calibri" w:hAnsi="Calibri" w:cs="Calibri"/>
          <w:sz w:val="28"/>
          <w:szCs w:val="28"/>
        </w:rPr>
      </w:pPr>
    </w:p>
    <w:p w14:paraId="719BF75E" w14:textId="6D2D19B4" w:rsidR="007D1CA1" w:rsidRDefault="007D1CA1" w:rsidP="007D1CA1">
      <w:pPr>
        <w:rPr>
          <w:rFonts w:ascii="Calibri" w:hAnsi="Calibri" w:cs="Calibri"/>
        </w:rPr>
      </w:pPr>
      <w:r w:rsidRPr="00043C03">
        <w:rPr>
          <w:rFonts w:ascii="Calibri" w:hAnsi="Calibri" w:cs="Calibri"/>
        </w:rPr>
        <w:t>The Applicant notes that the Proposed Project</w:t>
      </w:r>
      <w:r w:rsidRPr="007D1CA1">
        <w:rPr>
          <w:rFonts w:ascii="Calibri" w:hAnsi="Calibri" w:cs="Calibri"/>
        </w:rPr>
        <w:t>’s</w:t>
      </w:r>
      <w:r w:rsidRPr="00043C03">
        <w:rPr>
          <w:rFonts w:ascii="Calibri" w:hAnsi="Calibri" w:cs="Calibri"/>
        </w:rPr>
        <w:t xml:space="preserve"> design is the result of a robust institutional master plan under review by the Boston Planning and Development Agency and was informed by input from community members, patients and family members, and staff that may be impacted by or have an interest in the Proposed Project. This design maximizes use of </w:t>
      </w:r>
      <w:r w:rsidR="00AB1D61">
        <w:rPr>
          <w:rFonts w:ascii="Calibri" w:hAnsi="Calibri" w:cs="Calibri"/>
        </w:rPr>
        <w:t>Franciscan</w:t>
      </w:r>
      <w:r w:rsidRPr="00043C03">
        <w:rPr>
          <w:rFonts w:ascii="Calibri" w:hAnsi="Calibri" w:cs="Calibri"/>
        </w:rPr>
        <w:t>'s existing square footage to address demand constraints and allows for future expansion of the campus if warranted.</w:t>
      </w:r>
      <w:r w:rsidRPr="007D1CA1">
        <w:rPr>
          <w:rFonts w:ascii="Calibri" w:hAnsi="Calibri" w:cs="Calibri"/>
        </w:rPr>
        <w:t xml:space="preserve"> The Applicant asserts the</w:t>
      </w:r>
      <w:r w:rsidRPr="00043C03">
        <w:rPr>
          <w:rFonts w:ascii="Calibri" w:hAnsi="Calibri" w:cs="Calibri"/>
        </w:rPr>
        <w:t xml:space="preserve"> expanded access will positively impact patient flow </w:t>
      </w:r>
      <w:r w:rsidRPr="007D1CA1">
        <w:rPr>
          <w:rFonts w:ascii="Calibri" w:hAnsi="Calibri" w:cs="Calibri"/>
        </w:rPr>
        <w:t xml:space="preserve">and efficiency </w:t>
      </w:r>
      <w:r w:rsidRPr="00043C03">
        <w:rPr>
          <w:rFonts w:ascii="Calibri" w:hAnsi="Calibri" w:cs="Calibri"/>
        </w:rPr>
        <w:t>throughout</w:t>
      </w:r>
      <w:r w:rsidRPr="007D1CA1">
        <w:rPr>
          <w:rFonts w:ascii="Calibri" w:hAnsi="Calibri" w:cs="Calibri"/>
        </w:rPr>
        <w:t xml:space="preserve"> </w:t>
      </w:r>
      <w:r w:rsidRPr="00043C03">
        <w:rPr>
          <w:rFonts w:ascii="Calibri" w:hAnsi="Calibri" w:cs="Calibri"/>
        </w:rPr>
        <w:t xml:space="preserve">for this patient panel </w:t>
      </w:r>
      <w:r w:rsidRPr="007D1CA1">
        <w:rPr>
          <w:rFonts w:ascii="Calibri" w:hAnsi="Calibri" w:cs="Calibri"/>
        </w:rPr>
        <w:t xml:space="preserve">who are at times being treated in </w:t>
      </w:r>
      <w:r w:rsidRPr="00043C03">
        <w:rPr>
          <w:rFonts w:ascii="Calibri" w:hAnsi="Calibri" w:cs="Calibri"/>
        </w:rPr>
        <w:t xml:space="preserve">more expensive acute settings, particularly in emergency departments and intensive care units. Overall, these improvements will result in enhancements in </w:t>
      </w:r>
      <w:r w:rsidRPr="007D1CA1">
        <w:rPr>
          <w:rFonts w:ascii="Calibri" w:hAnsi="Calibri" w:cs="Calibri"/>
        </w:rPr>
        <w:t xml:space="preserve">care delivery, </w:t>
      </w:r>
      <w:r w:rsidRPr="00043C03">
        <w:rPr>
          <w:rFonts w:ascii="Calibri" w:hAnsi="Calibri" w:cs="Calibri"/>
        </w:rPr>
        <w:t>health outcomes</w:t>
      </w:r>
      <w:r w:rsidRPr="007D1CA1">
        <w:rPr>
          <w:rFonts w:ascii="Calibri" w:hAnsi="Calibri" w:cs="Calibri"/>
        </w:rPr>
        <w:t>,</w:t>
      </w:r>
      <w:r w:rsidRPr="00043C03">
        <w:rPr>
          <w:rFonts w:ascii="Calibri" w:hAnsi="Calibri" w:cs="Calibri"/>
        </w:rPr>
        <w:t xml:space="preserve"> and quality of life for </w:t>
      </w:r>
      <w:r w:rsidR="00AB1D61">
        <w:rPr>
          <w:rFonts w:ascii="Calibri" w:hAnsi="Calibri" w:cs="Calibri"/>
        </w:rPr>
        <w:t>Franciscan</w:t>
      </w:r>
      <w:r w:rsidRPr="00043C03">
        <w:rPr>
          <w:rFonts w:ascii="Calibri" w:hAnsi="Calibri" w:cs="Calibri"/>
        </w:rPr>
        <w:t>'s vulnerable patient panel, detailed in Factor F1</w:t>
      </w:r>
      <w:r w:rsidRPr="007D1CA1">
        <w:rPr>
          <w:rFonts w:ascii="Calibri" w:hAnsi="Calibri" w:cs="Calibri"/>
        </w:rPr>
        <w:t>(</w:t>
      </w:r>
      <w:r w:rsidRPr="00043C03">
        <w:rPr>
          <w:rFonts w:ascii="Calibri" w:hAnsi="Calibri" w:cs="Calibri"/>
        </w:rPr>
        <w:t>b</w:t>
      </w:r>
      <w:r w:rsidRPr="007D1CA1">
        <w:rPr>
          <w:rFonts w:ascii="Calibri" w:hAnsi="Calibri" w:cs="Calibri"/>
        </w:rPr>
        <w:t>).</w:t>
      </w:r>
    </w:p>
    <w:p w14:paraId="26F83826" w14:textId="77777777" w:rsidR="00F009DC" w:rsidRDefault="00F009DC" w:rsidP="007D1CA1"/>
    <w:p w14:paraId="1C136F4A" w14:textId="48BB31C3" w:rsidR="007D1CA1" w:rsidRDefault="00B2250E" w:rsidP="007D1CA1">
      <w:pPr>
        <w:rPr>
          <w:b/>
          <w:bCs/>
          <w:i/>
          <w:iCs/>
        </w:rPr>
      </w:pPr>
      <w:r w:rsidRPr="00F009DC">
        <w:rPr>
          <w:b/>
          <w:bCs/>
          <w:i/>
          <w:iCs/>
        </w:rPr>
        <w:t>Analysis</w:t>
      </w:r>
    </w:p>
    <w:p w14:paraId="5070DD0E" w14:textId="77777777" w:rsidR="00F009DC" w:rsidRPr="00F009DC" w:rsidRDefault="00F009DC" w:rsidP="007D1CA1">
      <w:pPr>
        <w:rPr>
          <w:b/>
          <w:bCs/>
          <w:i/>
          <w:iCs/>
        </w:rPr>
      </w:pPr>
    </w:p>
    <w:p w14:paraId="6350CE81" w14:textId="451533BF" w:rsidR="00F009DC" w:rsidRPr="00F009DC" w:rsidRDefault="00F009DC" w:rsidP="00F009DC">
      <w:r w:rsidRPr="00F009DC">
        <w:t>Staff finds that the Applicant has appropriately considered the quality, efficiency, and capital and operating costs of the Proposed Project and concurs that the</w:t>
      </w:r>
      <w:r>
        <w:t xml:space="preserve"> Proposed Project is the most</w:t>
      </w:r>
      <w:r w:rsidRPr="00F009DC">
        <w:t xml:space="preserve"> feasible alternative. As a result of information provided by the Applicant and additional analysis, staff finds that the Applicant has demonstrated that the Proposed Project has met Factor 5. </w:t>
      </w:r>
    </w:p>
    <w:p w14:paraId="509B26D3" w14:textId="6B2D4909" w:rsidR="00F009DC" w:rsidRPr="00F009DC" w:rsidRDefault="00F009DC" w:rsidP="007D1CA1"/>
    <w:p w14:paraId="4357DD0C" w14:textId="77777777" w:rsidR="00F009DC" w:rsidRPr="00F009DC" w:rsidRDefault="00F009DC" w:rsidP="007D1CA1"/>
    <w:p w14:paraId="34F6CE1E" w14:textId="2F352122" w:rsidR="00FF3353" w:rsidRDefault="00FF3353" w:rsidP="00FF3353">
      <w:pPr>
        <w:pStyle w:val="Heading1"/>
        <w:spacing w:before="0" w:line="240" w:lineRule="auto"/>
        <w:rPr>
          <w:rFonts w:asciiTheme="minorHAnsi" w:eastAsia="Times New Roman" w:hAnsiTheme="minorHAnsi" w:cstheme="minorHAnsi"/>
        </w:rPr>
      </w:pPr>
      <w:bookmarkStart w:id="121" w:name="_Toc158218031"/>
      <w:bookmarkStart w:id="122" w:name="_Toc150336177"/>
      <w:bookmarkStart w:id="123" w:name="_Toc157428838"/>
      <w:r w:rsidRPr="00AB7675">
        <w:rPr>
          <w:rFonts w:asciiTheme="minorHAnsi" w:eastAsia="Times New Roman" w:hAnsiTheme="minorHAnsi" w:cstheme="minorHAnsi"/>
        </w:rPr>
        <w:t>Factor 6: Fulfillment of DPH Community-based Health Initiatives Guideline</w:t>
      </w:r>
      <w:bookmarkEnd w:id="121"/>
      <w:r>
        <w:rPr>
          <w:rFonts w:asciiTheme="minorHAnsi" w:eastAsia="Times New Roman" w:hAnsiTheme="minorHAnsi" w:cstheme="minorHAnsi"/>
        </w:rPr>
        <w:t xml:space="preserve"> </w:t>
      </w:r>
      <w:bookmarkEnd w:id="122"/>
      <w:bookmarkEnd w:id="123"/>
    </w:p>
    <w:p w14:paraId="0456B3F1" w14:textId="77777777" w:rsidR="00E90163" w:rsidRPr="00E90163" w:rsidRDefault="00E90163" w:rsidP="00E90163"/>
    <w:p w14:paraId="7E5BBD3F" w14:textId="66A16A16" w:rsidR="00FF3353" w:rsidRPr="009C5B9C" w:rsidRDefault="00FF3353" w:rsidP="00FF3353">
      <w:pPr>
        <w:pStyle w:val="paragraph"/>
        <w:spacing w:before="0" w:beforeAutospacing="0" w:after="0" w:afterAutospacing="0"/>
        <w:ind w:right="540"/>
        <w:textAlignment w:val="baseline"/>
        <w:rPr>
          <w:rFonts w:ascii="Segoe UI" w:hAnsi="Segoe UI" w:cs="Segoe UI"/>
        </w:rPr>
      </w:pPr>
      <w:r w:rsidRPr="009C5B9C">
        <w:rPr>
          <w:rStyle w:val="normaltextrun"/>
          <w:rFonts w:ascii="Calibri" w:hAnsi="Calibri" w:cs="Calibri"/>
          <w:b/>
          <w:bCs/>
          <w:color w:val="000000"/>
        </w:rPr>
        <w:t>Summary, relevant background and context for this application</w:t>
      </w:r>
      <w:r w:rsidRPr="009C5B9C">
        <w:rPr>
          <w:rStyle w:val="normaltextrun"/>
          <w:rFonts w:ascii="Calibri" w:hAnsi="Calibri" w:cs="Calibri"/>
          <w:color w:val="000000"/>
        </w:rPr>
        <w:t xml:space="preserve">: For this project, the Applicant submitted </w:t>
      </w:r>
      <w:r w:rsidR="00074E5D">
        <w:rPr>
          <w:rStyle w:val="normaltextrun"/>
          <w:rFonts w:ascii="Calibri" w:hAnsi="Calibri" w:cs="Calibri"/>
          <w:color w:val="000000"/>
        </w:rPr>
        <w:t>Franciscan</w:t>
      </w:r>
      <w:r w:rsidRPr="009C5B9C">
        <w:rPr>
          <w:rStyle w:val="normaltextrun"/>
          <w:rFonts w:ascii="Calibri" w:hAnsi="Calibri" w:cs="Calibri"/>
          <w:color w:val="000000"/>
        </w:rPr>
        <w:t xml:space="preserve">’s 2021 Community Health Needs Assessment (CHNA), Community Engagement Self-Assessment and Community Engagement Plan, and CHI </w:t>
      </w:r>
      <w:r w:rsidRPr="009C5B9C">
        <w:rPr>
          <w:rStyle w:val="normaltextrun"/>
          <w:rFonts w:ascii="Calibri" w:hAnsi="Calibri" w:cs="Calibri"/>
          <w:color w:val="000000"/>
        </w:rPr>
        <w:lastRenderedPageBreak/>
        <w:t xml:space="preserve">Narrative. </w:t>
      </w:r>
      <w:r w:rsidR="00074E5D">
        <w:rPr>
          <w:rStyle w:val="normaltextrun"/>
          <w:rFonts w:ascii="Calibri" w:hAnsi="Calibri" w:cs="Calibri"/>
          <w:color w:val="000000"/>
        </w:rPr>
        <w:t>Franciscan</w:t>
      </w:r>
      <w:r w:rsidRPr="009C5B9C">
        <w:rPr>
          <w:rStyle w:val="normaltextrun"/>
          <w:rFonts w:ascii="Calibri" w:hAnsi="Calibri" w:cs="Calibri"/>
          <w:color w:val="000000"/>
        </w:rPr>
        <w:t xml:space="preserve"> and Boston Children’s Hospital (BCH) will work in collaboration with to implement the local CHI project. </w:t>
      </w:r>
      <w:r w:rsidRPr="009C5B9C">
        <w:rPr>
          <w:rStyle w:val="eop"/>
          <w:rFonts w:ascii="Calibri" w:hAnsi="Calibri" w:cs="Calibri"/>
          <w:color w:val="000000"/>
        </w:rPr>
        <w:t> </w:t>
      </w:r>
    </w:p>
    <w:p w14:paraId="207819CB" w14:textId="77777777" w:rsidR="00FF3353" w:rsidRPr="009C5B9C" w:rsidRDefault="00FF3353" w:rsidP="00FF3353">
      <w:pPr>
        <w:pStyle w:val="paragraph"/>
        <w:spacing w:before="0" w:beforeAutospacing="0" w:after="0" w:afterAutospacing="0"/>
        <w:ind w:right="540"/>
        <w:textAlignment w:val="baseline"/>
        <w:rPr>
          <w:rFonts w:ascii="Segoe UI" w:hAnsi="Segoe UI" w:cs="Segoe UI"/>
        </w:rPr>
      </w:pPr>
      <w:r w:rsidRPr="009C5B9C">
        <w:rPr>
          <w:rStyle w:val="eop"/>
          <w:rFonts w:ascii="Calibri" w:hAnsi="Calibri" w:cs="Calibri"/>
          <w:color w:val="000000"/>
        </w:rPr>
        <w:t> </w:t>
      </w:r>
    </w:p>
    <w:p w14:paraId="3A82369F" w14:textId="71D90E46" w:rsidR="00FF3353" w:rsidRPr="009C5B9C" w:rsidRDefault="00074E5D" w:rsidP="00FF3353">
      <w:pPr>
        <w:pStyle w:val="paragraph"/>
        <w:spacing w:before="0" w:beforeAutospacing="0" w:after="0" w:afterAutospacing="0"/>
        <w:ind w:right="540"/>
        <w:textAlignment w:val="baseline"/>
        <w:rPr>
          <w:rFonts w:ascii="Segoe UI" w:hAnsi="Segoe UI" w:cs="Segoe UI"/>
        </w:rPr>
      </w:pPr>
      <w:r>
        <w:rPr>
          <w:rStyle w:val="normaltextrun"/>
          <w:rFonts w:ascii="Calibri" w:hAnsi="Calibri" w:cs="Calibri"/>
          <w:b/>
          <w:bCs/>
          <w:color w:val="000000"/>
        </w:rPr>
        <w:t>Franciscan</w:t>
      </w:r>
      <w:r w:rsidR="00FF3353" w:rsidRPr="009C5B9C">
        <w:rPr>
          <w:rStyle w:val="normaltextrun"/>
          <w:rFonts w:ascii="Calibri" w:hAnsi="Calibri" w:cs="Calibri"/>
          <w:b/>
          <w:bCs/>
          <w:color w:val="000000"/>
        </w:rPr>
        <w:t>’s 2021 CHNA</w:t>
      </w:r>
      <w:r w:rsidR="00FF3353" w:rsidRPr="009C5B9C">
        <w:rPr>
          <w:rStyle w:val="normaltextrun"/>
          <w:rFonts w:ascii="Calibri" w:hAnsi="Calibri" w:cs="Calibri"/>
          <w:color w:val="000000"/>
        </w:rPr>
        <w:t xml:space="preserve"> assessed the Allston and Brighton neighborhoods of Boston, with a focus on youth and children. Using the social determinants of health and health equity frameworks, the CHNA was developed through primary and secondary data collection activities including quantitative data analysis, and 14 key informant interviews with community leaders and parents. </w:t>
      </w:r>
      <w:r w:rsidR="007D2071">
        <w:rPr>
          <w:rStyle w:val="normaltextrun"/>
          <w:rFonts w:ascii="Calibri" w:hAnsi="Calibri" w:cs="Calibri"/>
          <w:color w:val="000000"/>
        </w:rPr>
        <w:t>F</w:t>
      </w:r>
      <w:r w:rsidR="00FF3353" w:rsidRPr="009C5B9C">
        <w:rPr>
          <w:rStyle w:val="normaltextrun"/>
          <w:rFonts w:ascii="Calibri" w:hAnsi="Calibri" w:cs="Calibri"/>
          <w:color w:val="000000"/>
        </w:rPr>
        <w:t>ocusing specifically on pediatric health needs, the Applicant prioritized the assessment and engagement efforts of children and families living in the Allston/Brighton community.</w:t>
      </w:r>
      <w:r w:rsidR="00FF3353" w:rsidRPr="009C5B9C">
        <w:rPr>
          <w:rStyle w:val="eop"/>
          <w:rFonts w:ascii="Calibri" w:hAnsi="Calibri" w:cs="Calibri"/>
          <w:color w:val="000000"/>
        </w:rPr>
        <w:t> </w:t>
      </w:r>
    </w:p>
    <w:p w14:paraId="30763C3E" w14:textId="77777777" w:rsidR="00FF3353" w:rsidRPr="009C5B9C" w:rsidRDefault="00FF3353" w:rsidP="00FF3353">
      <w:pPr>
        <w:pStyle w:val="paragraph"/>
        <w:spacing w:before="0" w:beforeAutospacing="0" w:after="0" w:afterAutospacing="0"/>
        <w:ind w:right="540"/>
        <w:textAlignment w:val="baseline"/>
        <w:rPr>
          <w:rFonts w:ascii="Segoe UI" w:hAnsi="Segoe UI" w:cs="Segoe UI"/>
        </w:rPr>
      </w:pPr>
      <w:r w:rsidRPr="009C5B9C">
        <w:rPr>
          <w:rStyle w:val="eop"/>
          <w:rFonts w:ascii="Calibri" w:hAnsi="Calibri" w:cs="Calibri"/>
          <w:color w:val="000000"/>
        </w:rPr>
        <w:t> </w:t>
      </w:r>
    </w:p>
    <w:p w14:paraId="42F1DF21" w14:textId="77777777" w:rsidR="00FF3353" w:rsidRPr="009C5B9C" w:rsidRDefault="00FF3353" w:rsidP="00FF3353">
      <w:pPr>
        <w:pStyle w:val="paragraph"/>
        <w:spacing w:before="0" w:beforeAutospacing="0" w:after="0" w:afterAutospacing="0"/>
        <w:ind w:right="540"/>
        <w:textAlignment w:val="baseline"/>
        <w:rPr>
          <w:rFonts w:ascii="Segoe UI" w:hAnsi="Segoe UI" w:cs="Segoe UI"/>
        </w:rPr>
      </w:pPr>
      <w:r w:rsidRPr="009C5B9C">
        <w:rPr>
          <w:rStyle w:val="normaltextrun"/>
          <w:rFonts w:ascii="Calibri" w:hAnsi="Calibri" w:cs="Calibri"/>
          <w:color w:val="000000"/>
        </w:rPr>
        <w:t xml:space="preserve">The CHNA identified priority areas and described key findings and themes from the service area and participating communities. Community needs included affordable housing, transportation, employment, food security, substance use supports, and access to mental and oral health services for children and families—particularly for low-income residents. Family </w:t>
      </w:r>
      <w:proofErr w:type="gramStart"/>
      <w:r w:rsidRPr="009C5B9C">
        <w:rPr>
          <w:rStyle w:val="normaltextrun"/>
          <w:rFonts w:ascii="Calibri" w:hAnsi="Calibri" w:cs="Calibri"/>
          <w:color w:val="000000"/>
        </w:rPr>
        <w:t>supports</w:t>
      </w:r>
      <w:proofErr w:type="gramEnd"/>
      <w:r w:rsidRPr="009C5B9C">
        <w:rPr>
          <w:rStyle w:val="normaltextrun"/>
          <w:rFonts w:ascii="Calibri" w:hAnsi="Calibri" w:cs="Calibri"/>
          <w:color w:val="000000"/>
        </w:rPr>
        <w:t xml:space="preserve"> and youth programming (e.g., afterschool and job readiness) were also identified as focus areas. The definition of “family supports” varied among residents and included factors such as system navigation and increased community engagement from health system(s) with community organizations—specifically in communities of color and immigrant communities. </w:t>
      </w:r>
      <w:r w:rsidRPr="009C5B9C">
        <w:rPr>
          <w:rStyle w:val="eop"/>
          <w:rFonts w:ascii="Calibri" w:hAnsi="Calibri" w:cs="Calibri"/>
          <w:color w:val="000000"/>
        </w:rPr>
        <w:t> </w:t>
      </w:r>
    </w:p>
    <w:p w14:paraId="5409CF33" w14:textId="77777777" w:rsidR="00FF3353" w:rsidRPr="009C5B9C" w:rsidRDefault="00FF3353" w:rsidP="00FF3353">
      <w:pPr>
        <w:pStyle w:val="paragraph"/>
        <w:spacing w:before="0" w:beforeAutospacing="0" w:after="0" w:afterAutospacing="0"/>
        <w:ind w:right="540"/>
        <w:textAlignment w:val="baseline"/>
        <w:rPr>
          <w:rFonts w:ascii="Segoe UI" w:hAnsi="Segoe UI" w:cs="Segoe UI"/>
        </w:rPr>
      </w:pPr>
      <w:r w:rsidRPr="009C5B9C">
        <w:rPr>
          <w:rStyle w:val="eop"/>
          <w:rFonts w:ascii="Calibri" w:hAnsi="Calibri" w:cs="Calibri"/>
          <w:color w:val="000000"/>
        </w:rPr>
        <w:t> </w:t>
      </w:r>
    </w:p>
    <w:p w14:paraId="175ECC0B" w14:textId="77777777" w:rsidR="00FF3353" w:rsidRPr="009C5B9C" w:rsidRDefault="00FF3353" w:rsidP="00FF3353">
      <w:pPr>
        <w:pStyle w:val="paragraph"/>
        <w:spacing w:before="0" w:beforeAutospacing="0" w:after="0" w:afterAutospacing="0"/>
        <w:ind w:right="540"/>
        <w:textAlignment w:val="baseline"/>
        <w:rPr>
          <w:rFonts w:ascii="Segoe UI" w:hAnsi="Segoe UI" w:cs="Segoe UI"/>
        </w:rPr>
      </w:pPr>
      <w:r w:rsidRPr="009C5B9C">
        <w:rPr>
          <w:rStyle w:val="normaltextrun"/>
          <w:rFonts w:ascii="Calibri" w:hAnsi="Calibri" w:cs="Calibri"/>
        </w:rPr>
        <w:t>There are, however, differences in alignment between the Applicant’s prioritization of needs identified in the 2021 CHNA and CHI principles. If the CHNA is used as a guide for choosing CHI strategies, the Applicant will need to revisit key findings from the 2021 CHNA to ensure the CHI project goals are in line with CHI principles, more specifically the upstream health priority areas of housing, employment, education, social and built environment and violence and trauma. DPH will support the Applicant in this work to root CHI investments in priority areas and identify needs at the root cause level to support sustainable systems-level solutions. </w:t>
      </w:r>
      <w:r w:rsidRPr="009C5B9C">
        <w:rPr>
          <w:rStyle w:val="eop"/>
          <w:rFonts w:ascii="Calibri" w:hAnsi="Calibri" w:cs="Calibri"/>
        </w:rPr>
        <w:t> </w:t>
      </w:r>
    </w:p>
    <w:p w14:paraId="2AC686C8" w14:textId="77777777" w:rsidR="00FF3353" w:rsidRPr="009C5B9C" w:rsidRDefault="00FF3353" w:rsidP="00FF3353">
      <w:pPr>
        <w:pStyle w:val="paragraph"/>
        <w:spacing w:before="0" w:beforeAutospacing="0" w:after="0" w:afterAutospacing="0"/>
        <w:ind w:right="540"/>
        <w:textAlignment w:val="baseline"/>
        <w:rPr>
          <w:rFonts w:ascii="Segoe UI" w:hAnsi="Segoe UI" w:cs="Segoe UI"/>
        </w:rPr>
      </w:pPr>
      <w:r w:rsidRPr="009C5B9C">
        <w:rPr>
          <w:rStyle w:val="eop"/>
          <w:rFonts w:ascii="Calibri" w:hAnsi="Calibri" w:cs="Calibri"/>
          <w:color w:val="000000"/>
        </w:rPr>
        <w:t> </w:t>
      </w:r>
    </w:p>
    <w:p w14:paraId="1D2D76C2" w14:textId="77777777" w:rsidR="00FF3353" w:rsidRPr="009C5B9C" w:rsidRDefault="00FF3353" w:rsidP="00FF3353">
      <w:pPr>
        <w:pStyle w:val="paragraph"/>
        <w:spacing w:before="0" w:beforeAutospacing="0" w:after="0" w:afterAutospacing="0"/>
        <w:textAlignment w:val="baseline"/>
        <w:rPr>
          <w:rFonts w:ascii="Segoe UI" w:hAnsi="Segoe UI" w:cs="Segoe UI"/>
        </w:rPr>
      </w:pPr>
      <w:r w:rsidRPr="009C5B9C">
        <w:rPr>
          <w:rStyle w:val="normaltextrun"/>
          <w:rFonts w:ascii="Calibri" w:hAnsi="Calibri" w:cs="Calibri"/>
          <w:b/>
          <w:bCs/>
          <w:color w:val="000000"/>
        </w:rPr>
        <w:t xml:space="preserve">The Community Engagement Plan and Self-Assessment </w:t>
      </w:r>
      <w:r w:rsidRPr="009C5B9C">
        <w:rPr>
          <w:rStyle w:val="normaltextrun"/>
          <w:rFonts w:ascii="Calibri" w:hAnsi="Calibri" w:cs="Calibri"/>
          <w:color w:val="000000"/>
        </w:rPr>
        <w:t>provided a summary of community engagement processes and socio-demographic information, data and highlights related to topics and themes of community needs. Through data analysis and key informant interviews, the Applicant and participating community residents identified the key focus areas also highlighted in the 2021 CHNA.</w:t>
      </w:r>
      <w:r w:rsidRPr="009C5B9C">
        <w:rPr>
          <w:rStyle w:val="eop"/>
          <w:rFonts w:ascii="Calibri" w:hAnsi="Calibri" w:cs="Calibri"/>
          <w:color w:val="000000"/>
        </w:rPr>
        <w:t> </w:t>
      </w:r>
    </w:p>
    <w:p w14:paraId="7431AA9E" w14:textId="77777777" w:rsidR="00FF3353" w:rsidRPr="009C5B9C" w:rsidRDefault="00FF3353" w:rsidP="00FF3353">
      <w:pPr>
        <w:pStyle w:val="paragraph"/>
        <w:spacing w:before="0" w:beforeAutospacing="0" w:after="0" w:afterAutospacing="0"/>
        <w:textAlignment w:val="baseline"/>
        <w:rPr>
          <w:rFonts w:ascii="Segoe UI" w:hAnsi="Segoe UI" w:cs="Segoe UI"/>
        </w:rPr>
      </w:pPr>
      <w:r w:rsidRPr="009C5B9C">
        <w:rPr>
          <w:rStyle w:val="eop"/>
          <w:rFonts w:ascii="Calibri" w:hAnsi="Calibri" w:cs="Calibri"/>
          <w:color w:val="000000"/>
        </w:rPr>
        <w:t> </w:t>
      </w:r>
    </w:p>
    <w:p w14:paraId="306B6DCE" w14:textId="37DC9AF5" w:rsidR="00FF3353" w:rsidRPr="009C5B9C" w:rsidRDefault="00FF3353" w:rsidP="00FF3353">
      <w:pPr>
        <w:pStyle w:val="paragraph"/>
        <w:spacing w:before="0" w:beforeAutospacing="0" w:after="0" w:afterAutospacing="0"/>
        <w:textAlignment w:val="baseline"/>
        <w:rPr>
          <w:rFonts w:ascii="Segoe UI" w:hAnsi="Segoe UI" w:cs="Segoe UI"/>
        </w:rPr>
      </w:pPr>
      <w:r w:rsidRPr="009C5B9C">
        <w:rPr>
          <w:rStyle w:val="normaltextrun"/>
          <w:rFonts w:ascii="Calibri" w:hAnsi="Calibri" w:cs="Calibri"/>
          <w:b/>
          <w:bCs/>
          <w:color w:val="000000"/>
        </w:rPr>
        <w:t>Stakeholder Assessments</w:t>
      </w:r>
      <w:r w:rsidRPr="009C5B9C">
        <w:rPr>
          <w:rStyle w:val="normaltextrun"/>
          <w:rFonts w:ascii="Calibri" w:hAnsi="Calibri" w:cs="Calibri"/>
          <w:color w:val="000000"/>
        </w:rPr>
        <w:t xml:space="preserve"> were not required for this application because a CHI Advisory Board has not been established for this CHI project. Upon Notice of Approval, </w:t>
      </w:r>
      <w:r w:rsidR="00074E5D">
        <w:rPr>
          <w:rStyle w:val="normaltextrun"/>
          <w:rFonts w:ascii="Calibri" w:hAnsi="Calibri" w:cs="Calibri"/>
          <w:color w:val="000000"/>
        </w:rPr>
        <w:t>Franciscan</w:t>
      </w:r>
      <w:r w:rsidRPr="009C5B9C">
        <w:rPr>
          <w:rStyle w:val="normaltextrun"/>
          <w:rFonts w:ascii="Calibri" w:hAnsi="Calibri" w:cs="Calibri"/>
          <w:color w:val="000000"/>
        </w:rPr>
        <w:t xml:space="preserve"> will collaborate with Boston Children’s Hospital Office of Community Health to establish</w:t>
      </w:r>
      <w:r w:rsidRPr="009C5B9C">
        <w:rPr>
          <w:rStyle w:val="contextualspellingandgrammarerror"/>
          <w:rFonts w:ascii="Calibri" w:hAnsi="Calibri" w:cs="Calibri"/>
          <w:color w:val="000000"/>
        </w:rPr>
        <w:t xml:space="preserve"> a</w:t>
      </w:r>
      <w:r w:rsidRPr="009C5B9C">
        <w:rPr>
          <w:rStyle w:val="normaltextrun"/>
          <w:rFonts w:ascii="Calibri" w:hAnsi="Calibri" w:cs="Calibri"/>
          <w:color w:val="000000"/>
        </w:rPr>
        <w:t xml:space="preserve"> CHI Advisory Board. The individuals who make up the Board must reflect the sectors outlined in the CHNA/CHIP Self-Assessment Form. </w:t>
      </w:r>
      <w:r w:rsidRPr="009C5B9C">
        <w:rPr>
          <w:rStyle w:val="eop"/>
          <w:rFonts w:ascii="Calibri" w:hAnsi="Calibri" w:cs="Calibri"/>
          <w:color w:val="000000"/>
        </w:rPr>
        <w:t> </w:t>
      </w:r>
    </w:p>
    <w:p w14:paraId="24603BCC" w14:textId="77777777" w:rsidR="00FF3353" w:rsidRPr="009C5B9C" w:rsidRDefault="00FF3353" w:rsidP="00FF3353">
      <w:pPr>
        <w:pStyle w:val="paragraph"/>
        <w:spacing w:before="0" w:beforeAutospacing="0" w:after="0" w:afterAutospacing="0"/>
        <w:textAlignment w:val="baseline"/>
        <w:rPr>
          <w:rFonts w:ascii="Segoe UI" w:hAnsi="Segoe UI" w:cs="Segoe UI"/>
        </w:rPr>
      </w:pPr>
      <w:r w:rsidRPr="009C5B9C">
        <w:rPr>
          <w:rStyle w:val="eop"/>
          <w:rFonts w:ascii="Calibri" w:hAnsi="Calibri" w:cs="Calibri"/>
          <w:color w:val="000000"/>
        </w:rPr>
        <w:t> </w:t>
      </w:r>
    </w:p>
    <w:p w14:paraId="1AE2D149" w14:textId="31866C1F" w:rsidR="00FF3353" w:rsidRPr="009C5B9C" w:rsidRDefault="00FF3353" w:rsidP="00FF3353">
      <w:pPr>
        <w:pStyle w:val="paragraph"/>
        <w:spacing w:before="0" w:beforeAutospacing="0" w:after="0" w:afterAutospacing="0"/>
        <w:textAlignment w:val="baseline"/>
        <w:rPr>
          <w:rFonts w:ascii="Segoe UI" w:hAnsi="Segoe UI" w:cs="Segoe UI"/>
        </w:rPr>
      </w:pPr>
      <w:r w:rsidRPr="009C5B9C">
        <w:rPr>
          <w:rStyle w:val="normaltextrun"/>
          <w:rFonts w:ascii="Calibri" w:hAnsi="Calibri" w:cs="Calibri"/>
          <w:color w:val="000000"/>
        </w:rPr>
        <w:t xml:space="preserve">Within 12 months of the CHI Advisory Board’s first meeting, the Applicant will ensure the Board members complete stakeholder assessment to provide DPH with individuals’ engagement levels </w:t>
      </w:r>
      <w:r w:rsidRPr="009C5B9C">
        <w:rPr>
          <w:rStyle w:val="normaltextrun"/>
          <w:rFonts w:ascii="Calibri" w:hAnsi="Calibri" w:cs="Calibri"/>
          <w:color w:val="000000"/>
        </w:rPr>
        <w:lastRenderedPageBreak/>
        <w:t>(</w:t>
      </w:r>
      <w:r w:rsidR="00570993" w:rsidRPr="009C5B9C">
        <w:rPr>
          <w:rStyle w:val="normaltextrun"/>
          <w:rFonts w:ascii="Calibri" w:hAnsi="Calibri" w:cs="Calibri"/>
          <w:color w:val="000000"/>
        </w:rPr>
        <w:t>e.g.,</w:t>
      </w:r>
      <w:r w:rsidRPr="009C5B9C">
        <w:rPr>
          <w:rStyle w:val="normaltextrun"/>
          <w:rFonts w:ascii="Calibri" w:hAnsi="Calibri" w:cs="Calibri"/>
          <w:color w:val="000000"/>
        </w:rPr>
        <w:t xml:space="preserve"> their personal participation and role) and their analysis of how the Applicant is engaging the community in the CHI implementation process.</w:t>
      </w:r>
      <w:r w:rsidRPr="009C5B9C">
        <w:rPr>
          <w:rStyle w:val="eop"/>
          <w:rFonts w:ascii="Calibri" w:hAnsi="Calibri" w:cs="Calibri"/>
          <w:color w:val="000000"/>
        </w:rPr>
        <w:t> </w:t>
      </w:r>
    </w:p>
    <w:p w14:paraId="0A839EA3" w14:textId="77777777" w:rsidR="00FF3353" w:rsidRPr="009C5B9C" w:rsidRDefault="00FF3353" w:rsidP="00FF3353">
      <w:pPr>
        <w:pStyle w:val="paragraph"/>
        <w:spacing w:before="0" w:beforeAutospacing="0" w:after="0" w:afterAutospacing="0"/>
        <w:textAlignment w:val="baseline"/>
        <w:rPr>
          <w:rFonts w:ascii="Segoe UI" w:hAnsi="Segoe UI" w:cs="Segoe UI"/>
        </w:rPr>
      </w:pPr>
      <w:r w:rsidRPr="009C5B9C">
        <w:rPr>
          <w:rStyle w:val="eop"/>
          <w:rFonts w:ascii="Calibri" w:hAnsi="Calibri" w:cs="Calibri"/>
          <w:color w:val="000000"/>
        </w:rPr>
        <w:t> </w:t>
      </w:r>
    </w:p>
    <w:p w14:paraId="766980C5" w14:textId="68F51A6B" w:rsidR="00FF3353" w:rsidRPr="009C5B9C" w:rsidRDefault="00FF3353" w:rsidP="00FF3353">
      <w:pPr>
        <w:pStyle w:val="paragraph"/>
        <w:spacing w:before="0" w:beforeAutospacing="0" w:after="0" w:afterAutospacing="0"/>
        <w:textAlignment w:val="baseline"/>
        <w:rPr>
          <w:rFonts w:ascii="Segoe UI" w:hAnsi="Segoe UI" w:cs="Segoe UI"/>
        </w:rPr>
      </w:pPr>
      <w:r w:rsidRPr="009C5B9C">
        <w:rPr>
          <w:rStyle w:val="normaltextrun"/>
          <w:rFonts w:ascii="Calibri" w:hAnsi="Calibri" w:cs="Calibri"/>
          <w:b/>
          <w:bCs/>
          <w:color w:val="000000"/>
        </w:rPr>
        <w:t xml:space="preserve">The CHI Narrative </w:t>
      </w:r>
      <w:r w:rsidRPr="009C5B9C">
        <w:rPr>
          <w:rStyle w:val="normaltextrun"/>
          <w:rFonts w:ascii="Calibri" w:hAnsi="Calibri" w:cs="Calibri"/>
          <w:color w:val="000000"/>
        </w:rPr>
        <w:t xml:space="preserve">provided an overview of the CHI funds breakdown and processes, as well as advisory committee establishment plans and an explanation of administrative monies. The Applicant plans to engage a local consultant to evaluate the CHI implementation and community engagement process. </w:t>
      </w:r>
      <w:r w:rsidR="00074E5D">
        <w:rPr>
          <w:rStyle w:val="normaltextrun"/>
          <w:rFonts w:ascii="Calibri" w:hAnsi="Calibri" w:cs="Calibri"/>
          <w:color w:val="000000"/>
        </w:rPr>
        <w:t>Franciscan</w:t>
      </w:r>
      <w:r w:rsidRPr="009C5B9C">
        <w:rPr>
          <w:rStyle w:val="normaltextrun"/>
          <w:rFonts w:ascii="Calibri" w:hAnsi="Calibri" w:cs="Calibri"/>
          <w:color w:val="000000"/>
        </w:rPr>
        <w:t xml:space="preserve"> requests to distribute the local CHI funds over an 8-year period with the goal of evaluating the CHI project over this time. </w:t>
      </w:r>
      <w:r w:rsidRPr="009C5B9C">
        <w:rPr>
          <w:rStyle w:val="eop"/>
          <w:rFonts w:ascii="Calibri" w:hAnsi="Calibri" w:cs="Calibri"/>
          <w:color w:val="000000"/>
        </w:rPr>
        <w:t> </w:t>
      </w:r>
    </w:p>
    <w:p w14:paraId="487DF030" w14:textId="77777777" w:rsidR="00FF3353" w:rsidRPr="009C5B9C" w:rsidRDefault="00FF3353" w:rsidP="00FF3353">
      <w:pPr>
        <w:pStyle w:val="paragraph"/>
        <w:spacing w:before="0" w:beforeAutospacing="0" w:after="0" w:afterAutospacing="0"/>
        <w:textAlignment w:val="baseline"/>
        <w:rPr>
          <w:rFonts w:ascii="Segoe UI" w:hAnsi="Segoe UI" w:cs="Segoe UI"/>
        </w:rPr>
      </w:pPr>
      <w:r w:rsidRPr="009C5B9C">
        <w:rPr>
          <w:rStyle w:val="eop"/>
          <w:rFonts w:ascii="Calibri" w:hAnsi="Calibri" w:cs="Calibri"/>
          <w:color w:val="000000"/>
        </w:rPr>
        <w:t> </w:t>
      </w:r>
    </w:p>
    <w:p w14:paraId="22744D90" w14:textId="77777777" w:rsidR="00FF3353" w:rsidRPr="009C5B9C" w:rsidRDefault="00FF3353" w:rsidP="00FF3353">
      <w:pPr>
        <w:pStyle w:val="paragraph"/>
        <w:spacing w:before="0" w:beforeAutospacing="0" w:after="0" w:afterAutospacing="0"/>
        <w:textAlignment w:val="baseline"/>
        <w:rPr>
          <w:rFonts w:ascii="Segoe UI" w:hAnsi="Segoe UI" w:cs="Segoe UI"/>
        </w:rPr>
      </w:pPr>
      <w:r w:rsidRPr="009C5B9C">
        <w:rPr>
          <w:rStyle w:val="normaltextrun"/>
          <w:rFonts w:ascii="Calibri" w:hAnsi="Calibri" w:cs="Calibri"/>
          <w:color w:val="000000"/>
        </w:rPr>
        <w:t>The Applicant plans to utilize administrative funds to support ongoing community engagement throughout the CHI funding period. The proposed timeline and use of administrative and evaluation funds are appropriate and in line with CHI planning guidelines. </w:t>
      </w:r>
      <w:r w:rsidRPr="009C5B9C">
        <w:rPr>
          <w:rStyle w:val="eop"/>
          <w:rFonts w:ascii="Calibri" w:hAnsi="Calibri" w:cs="Calibri"/>
          <w:color w:val="000000"/>
        </w:rPr>
        <w:t> </w:t>
      </w:r>
    </w:p>
    <w:p w14:paraId="62D044E8" w14:textId="77777777" w:rsidR="00FF3353" w:rsidRPr="009C5B9C" w:rsidRDefault="00FF3353" w:rsidP="00FF3353">
      <w:pPr>
        <w:pStyle w:val="paragraph"/>
        <w:spacing w:before="0" w:beforeAutospacing="0" w:after="0" w:afterAutospacing="0"/>
        <w:ind w:left="360"/>
        <w:textAlignment w:val="baseline"/>
        <w:rPr>
          <w:rFonts w:ascii="Segoe UI" w:hAnsi="Segoe UI" w:cs="Segoe UI"/>
        </w:rPr>
      </w:pPr>
      <w:r w:rsidRPr="009C5B9C">
        <w:rPr>
          <w:rStyle w:val="eop"/>
          <w:rFonts w:ascii="Calibri" w:hAnsi="Calibri" w:cs="Calibri"/>
          <w:color w:val="000000"/>
        </w:rPr>
        <w:t> </w:t>
      </w:r>
    </w:p>
    <w:p w14:paraId="6AF06FF0" w14:textId="77777777" w:rsidR="00FF3353" w:rsidRDefault="00FF3353" w:rsidP="00FF3353">
      <w:pPr>
        <w:pStyle w:val="paragraph"/>
        <w:spacing w:before="0" w:beforeAutospacing="0" w:after="0" w:afterAutospacing="0"/>
        <w:textAlignment w:val="baseline"/>
        <w:rPr>
          <w:rStyle w:val="normaltextrun"/>
          <w:rFonts w:ascii="Calibri" w:hAnsi="Calibri" w:cs="Calibri"/>
          <w:color w:val="000000"/>
        </w:rPr>
      </w:pPr>
      <w:r w:rsidRPr="009C5B9C">
        <w:rPr>
          <w:rStyle w:val="normaltextrun"/>
          <w:rFonts w:ascii="Calibri" w:hAnsi="Calibri" w:cs="Calibri"/>
          <w:b/>
          <w:bCs/>
          <w:i/>
          <w:iCs/>
          <w:color w:val="000000"/>
        </w:rPr>
        <w:t>Summary Analysis</w:t>
      </w:r>
      <w:r w:rsidRPr="009C5B9C">
        <w:rPr>
          <w:rStyle w:val="normaltextrun"/>
          <w:rFonts w:ascii="Calibri" w:hAnsi="Calibri" w:cs="Calibri"/>
          <w:color w:val="000000"/>
        </w:rPr>
        <w:t xml:space="preserve">: </w:t>
      </w:r>
    </w:p>
    <w:p w14:paraId="25034D77" w14:textId="77777777" w:rsidR="00FF3353" w:rsidRPr="009C5B9C" w:rsidRDefault="00FF3353" w:rsidP="00FF3353">
      <w:pPr>
        <w:pStyle w:val="paragraph"/>
        <w:spacing w:before="0" w:beforeAutospacing="0" w:after="0" w:afterAutospacing="0"/>
        <w:textAlignment w:val="baseline"/>
        <w:rPr>
          <w:rFonts w:ascii="Segoe UI" w:hAnsi="Segoe UI" w:cs="Segoe UI"/>
        </w:rPr>
      </w:pPr>
      <w:r w:rsidRPr="009C5B9C">
        <w:rPr>
          <w:rStyle w:val="normaltextrun"/>
          <w:rFonts w:ascii="Calibri" w:hAnsi="Calibri" w:cs="Calibri"/>
          <w:color w:val="000000"/>
        </w:rPr>
        <w:t>As a result of information provided by the Applicant and additional analysis, staff finds that with the conditions outlined below, and with their ongoing commitment to meaningful community engagement and proposed timeline, the Applicant has demonstrated that the Proposed Project has met Factor 6.  </w:t>
      </w:r>
      <w:r w:rsidRPr="009C5B9C">
        <w:rPr>
          <w:rStyle w:val="eop"/>
          <w:rFonts w:ascii="Calibri" w:hAnsi="Calibri" w:cs="Calibri"/>
          <w:color w:val="000000"/>
        </w:rPr>
        <w:t> </w:t>
      </w:r>
    </w:p>
    <w:p w14:paraId="5AB6AD7D" w14:textId="0D41D422" w:rsidR="007D476D" w:rsidRPr="00CF314B" w:rsidRDefault="007D476D" w:rsidP="00B31381">
      <w:pPr>
        <w:pStyle w:val="Heading1"/>
        <w:spacing w:line="240" w:lineRule="auto"/>
        <w:rPr>
          <w:rFonts w:asciiTheme="minorHAnsi" w:hAnsiTheme="minorHAnsi" w:cstheme="minorHAnsi"/>
        </w:rPr>
      </w:pPr>
      <w:bookmarkStart w:id="124" w:name="_Toc99645443"/>
      <w:bookmarkStart w:id="125" w:name="_Toc157428839"/>
      <w:bookmarkStart w:id="126" w:name="_Toc158218032"/>
      <w:bookmarkEnd w:id="119"/>
      <w:bookmarkEnd w:id="120"/>
      <w:r w:rsidRPr="00CF314B">
        <w:rPr>
          <w:rFonts w:asciiTheme="minorHAnsi" w:hAnsiTheme="minorHAnsi" w:cstheme="minorHAnsi"/>
        </w:rPr>
        <w:t xml:space="preserve">Ten </w:t>
      </w:r>
      <w:proofErr w:type="gramStart"/>
      <w:r w:rsidRPr="00CF314B">
        <w:rPr>
          <w:rFonts w:asciiTheme="minorHAnsi" w:hAnsiTheme="minorHAnsi" w:cstheme="minorHAnsi"/>
        </w:rPr>
        <w:t>Tax</w:t>
      </w:r>
      <w:r w:rsidR="00820AB0" w:rsidRPr="00CF314B">
        <w:rPr>
          <w:rFonts w:asciiTheme="minorHAnsi" w:hAnsiTheme="minorHAnsi" w:cstheme="minorHAnsi"/>
        </w:rPr>
        <w:t>-</w:t>
      </w:r>
      <w:r w:rsidRPr="00CF314B">
        <w:rPr>
          <w:rFonts w:asciiTheme="minorHAnsi" w:hAnsiTheme="minorHAnsi" w:cstheme="minorHAnsi"/>
        </w:rPr>
        <w:t>Payer</w:t>
      </w:r>
      <w:proofErr w:type="gramEnd"/>
      <w:r w:rsidRPr="00CF314B">
        <w:rPr>
          <w:rFonts w:asciiTheme="minorHAnsi" w:hAnsiTheme="minorHAnsi" w:cstheme="minorHAnsi"/>
        </w:rPr>
        <w:t xml:space="preserve"> and Public Comments on the Application</w:t>
      </w:r>
      <w:bookmarkEnd w:id="124"/>
      <w:bookmarkEnd w:id="125"/>
      <w:bookmarkEnd w:id="126"/>
    </w:p>
    <w:p w14:paraId="13AE33D0" w14:textId="77777777" w:rsidR="007D476D" w:rsidRPr="00CF314B" w:rsidRDefault="007D476D" w:rsidP="00B31381">
      <w:pPr>
        <w:pStyle w:val="Heading1"/>
        <w:spacing w:before="0" w:line="240" w:lineRule="auto"/>
        <w:rPr>
          <w:rFonts w:asciiTheme="minorHAnsi" w:hAnsiTheme="minorHAnsi" w:cstheme="minorHAnsi"/>
          <w:b w:val="0"/>
          <w:bCs w:val="0"/>
        </w:rPr>
      </w:pPr>
    </w:p>
    <w:p w14:paraId="1B77F90C" w14:textId="4EBC68F0" w:rsidR="007D476D" w:rsidRPr="00CF314B" w:rsidRDefault="007D476D" w:rsidP="00B31381">
      <w:pPr>
        <w:rPr>
          <w:bCs/>
        </w:rPr>
      </w:pPr>
      <w:r w:rsidRPr="00CF314B">
        <w:rPr>
          <w:bCs/>
        </w:rPr>
        <w:t>Any person, and any Ten Taxpayer group (TTG), may provide written or oral comment at any time during the first 30 days following the Filing Date of an Application, or during the first ten days after a public hearing.</w:t>
      </w:r>
    </w:p>
    <w:p w14:paraId="0CF6BC1D" w14:textId="77777777" w:rsidR="00CF314B" w:rsidRPr="00CF314B" w:rsidRDefault="00CF314B" w:rsidP="00B31381">
      <w:pPr>
        <w:rPr>
          <w:bCs/>
        </w:rPr>
      </w:pPr>
    </w:p>
    <w:p w14:paraId="602B569F" w14:textId="64E3BC20" w:rsidR="00CF314B" w:rsidRPr="00CF314B" w:rsidRDefault="00C53D9C" w:rsidP="00CF314B">
      <w:pPr>
        <w:rPr>
          <w:bCs/>
        </w:rPr>
      </w:pPr>
      <w:r w:rsidRPr="6380A8AC">
        <w:t xml:space="preserve">Three TTGs registered </w:t>
      </w:r>
      <w:r w:rsidR="4D692C38" w:rsidRPr="6380A8AC">
        <w:t xml:space="preserve">regarding </w:t>
      </w:r>
      <w:r w:rsidRPr="6380A8AC">
        <w:t>the Proposed Project.</w:t>
      </w:r>
      <w:r w:rsidR="004A0D4C" w:rsidRPr="6380A8AC">
        <w:rPr>
          <w:rStyle w:val="FootnoteReference"/>
        </w:rPr>
        <w:footnoteReference w:id="53"/>
      </w:r>
      <w:r w:rsidRPr="00CF314B">
        <w:rPr>
          <w:bCs/>
        </w:rPr>
        <w:t xml:space="preserve"> </w:t>
      </w:r>
    </w:p>
    <w:p w14:paraId="10BF92AC" w14:textId="77777777" w:rsidR="00D20EF6" w:rsidRPr="00CF314B" w:rsidRDefault="00D20EF6" w:rsidP="00B31381">
      <w:pPr>
        <w:rPr>
          <w:bCs/>
        </w:rPr>
      </w:pPr>
    </w:p>
    <w:p w14:paraId="33E7D26C" w14:textId="1DE5D73D" w:rsidR="009A7F2F" w:rsidRPr="009A7F2F" w:rsidRDefault="4D727309" w:rsidP="009A7F2F">
      <w:pPr>
        <w:rPr>
          <w:bCs/>
        </w:rPr>
      </w:pPr>
      <w:r w:rsidRPr="6380A8AC">
        <w:t xml:space="preserve">The Department held a virtual public hearing on November 30, 2023, concerning the Proposed Project. </w:t>
      </w:r>
      <w:r w:rsidR="7C653CAE" w:rsidRPr="6380A8AC">
        <w:t>Sixteen</w:t>
      </w:r>
      <w:r w:rsidRPr="6380A8AC">
        <w:t xml:space="preserve"> people, including the Applicant and two elected officials, </w:t>
      </w:r>
      <w:r w:rsidR="4D692C38" w:rsidRPr="6380A8AC">
        <w:t xml:space="preserve">the TTGs and a few family members of patients </w:t>
      </w:r>
      <w:r w:rsidRPr="6380A8AC">
        <w:t xml:space="preserve">provided oral comments during the hearing. </w:t>
      </w:r>
      <w:r w:rsidR="4D692C38" w:rsidRPr="6380A8AC">
        <w:t xml:space="preserve">All of </w:t>
      </w:r>
      <w:r w:rsidRPr="6380A8AC">
        <w:t xml:space="preserve">the oral comments expressed </w:t>
      </w:r>
      <w:r w:rsidR="4D692C38" w:rsidRPr="6380A8AC">
        <w:t xml:space="preserve">the need for and benefits of </w:t>
      </w:r>
      <w:r w:rsidRPr="6380A8AC">
        <w:t>the Proposed Project. While there was over</w:t>
      </w:r>
      <w:r w:rsidR="4D692C38" w:rsidRPr="6380A8AC">
        <w:t>all</w:t>
      </w:r>
      <w:r w:rsidRPr="6380A8AC">
        <w:t xml:space="preserve"> support for the project, </w:t>
      </w:r>
      <w:r w:rsidR="4D692C38" w:rsidRPr="6380A8AC">
        <w:t xml:space="preserve">many expressed the need for ongoing </w:t>
      </w:r>
      <w:r w:rsidRPr="6380A8AC">
        <w:t xml:space="preserve">community engagement </w:t>
      </w:r>
      <w:r w:rsidR="4D692C38" w:rsidRPr="6380A8AC">
        <w:t xml:space="preserve">and </w:t>
      </w:r>
      <w:r w:rsidRPr="6380A8AC">
        <w:t xml:space="preserve">active involvement of the Allston-Brighton community in the decision-making process </w:t>
      </w:r>
      <w:r w:rsidR="4D692C38" w:rsidRPr="6380A8AC">
        <w:t>regarding</w:t>
      </w:r>
      <w:r w:rsidRPr="6380A8AC">
        <w:t xml:space="preserve"> investment </w:t>
      </w:r>
      <w:r w:rsidR="4D692C38" w:rsidRPr="6380A8AC">
        <w:t xml:space="preserve">of </w:t>
      </w:r>
      <w:r w:rsidRPr="6380A8AC">
        <w:t>the</w:t>
      </w:r>
      <w:r w:rsidR="4D692C38" w:rsidRPr="6380A8AC">
        <w:t xml:space="preserve"> CHI funds </w:t>
      </w:r>
      <w:r w:rsidR="7C653CAE" w:rsidRPr="6380A8AC">
        <w:t xml:space="preserve">and strongly </w:t>
      </w:r>
      <w:r w:rsidR="4D692C38" w:rsidRPr="6380A8AC">
        <w:t>advocate</w:t>
      </w:r>
      <w:r w:rsidR="7C653CAE" w:rsidRPr="6380A8AC">
        <w:t>d</w:t>
      </w:r>
      <w:r w:rsidR="4D692C38" w:rsidRPr="6380A8AC">
        <w:t xml:space="preserve"> for </w:t>
      </w:r>
      <w:r w:rsidR="7C653CAE" w:rsidRPr="6380A8AC">
        <w:t xml:space="preserve">ensuring their </w:t>
      </w:r>
      <w:r w:rsidRPr="6380A8AC">
        <w:t>invest</w:t>
      </w:r>
      <w:r w:rsidR="4D692C38" w:rsidRPr="6380A8AC">
        <w:t>ment</w:t>
      </w:r>
      <w:r w:rsidRPr="6380A8AC">
        <w:t xml:space="preserve"> in the Allston-Brighton community. The request</w:t>
      </w:r>
      <w:r w:rsidR="1AEC4189" w:rsidRPr="6380A8AC">
        <w:t>s</w:t>
      </w:r>
      <w:r w:rsidRPr="6380A8AC">
        <w:t xml:space="preserve"> emphasized the importance of allocating the invested funds </w:t>
      </w:r>
      <w:r w:rsidR="1AEC4189" w:rsidRPr="6380A8AC">
        <w:t>in</w:t>
      </w:r>
      <w:r w:rsidRPr="6380A8AC">
        <w:t xml:space="preserve"> areas such as housing and substance abuse treatment centers, aiming to benefit the Allston-Brighton community.</w:t>
      </w:r>
      <w:r w:rsidR="00431225" w:rsidRPr="6380A8AC">
        <w:rPr>
          <w:rStyle w:val="FootnoteReference"/>
        </w:rPr>
        <w:footnoteReference w:id="54"/>
      </w:r>
    </w:p>
    <w:p w14:paraId="55A8807F" w14:textId="77777777" w:rsidR="009A7F2F" w:rsidRPr="00D20EF6" w:rsidRDefault="009A7F2F" w:rsidP="00B31381">
      <w:pPr>
        <w:rPr>
          <w:bCs/>
          <w:highlight w:val="yellow"/>
        </w:rPr>
      </w:pPr>
    </w:p>
    <w:p w14:paraId="75D89FBA" w14:textId="68B0C312" w:rsidR="00F14924" w:rsidRPr="00CF314B" w:rsidRDefault="00F14924" w:rsidP="00CF314B">
      <w:pPr>
        <w:rPr>
          <w:b/>
          <w:bCs/>
          <w:i/>
          <w:iCs/>
        </w:rPr>
      </w:pPr>
      <w:r w:rsidRPr="00CF314B">
        <w:rPr>
          <w:b/>
          <w:bCs/>
          <w:i/>
          <w:iCs/>
        </w:rPr>
        <w:t>Analysis</w:t>
      </w:r>
    </w:p>
    <w:p w14:paraId="60388159" w14:textId="77777777" w:rsidR="00820AB0" w:rsidRDefault="00820AB0" w:rsidP="00B31381">
      <w:pPr>
        <w:pStyle w:val="ListParagraph"/>
        <w:spacing w:line="240" w:lineRule="auto"/>
        <w:ind w:left="360"/>
        <w:rPr>
          <w:rFonts w:cstheme="minorHAnsi"/>
          <w:i/>
          <w:iCs/>
          <w:sz w:val="24"/>
          <w:szCs w:val="24"/>
        </w:rPr>
      </w:pPr>
    </w:p>
    <w:p w14:paraId="4AF8AA51" w14:textId="25318265" w:rsidR="009A7F2F" w:rsidRDefault="00F14924" w:rsidP="00B31381">
      <w:pPr>
        <w:pStyle w:val="ListParagraph"/>
        <w:spacing w:line="240" w:lineRule="auto"/>
        <w:ind w:left="0"/>
        <w:rPr>
          <w:rFonts w:cstheme="minorHAnsi"/>
          <w:sz w:val="24"/>
          <w:szCs w:val="24"/>
        </w:rPr>
      </w:pPr>
      <w:r w:rsidRPr="00645C54">
        <w:rPr>
          <w:rFonts w:cstheme="minorHAnsi"/>
          <w:sz w:val="24"/>
          <w:szCs w:val="24"/>
        </w:rPr>
        <w:t xml:space="preserve">Staff finds that the comments provided were consistent with </w:t>
      </w:r>
      <w:r w:rsidR="00645C54" w:rsidRPr="00645C54">
        <w:rPr>
          <w:rFonts w:cstheme="minorHAnsi"/>
          <w:sz w:val="24"/>
          <w:szCs w:val="24"/>
        </w:rPr>
        <w:t xml:space="preserve">needs expressed by </w:t>
      </w:r>
      <w:r w:rsidRPr="00645C54">
        <w:rPr>
          <w:rFonts w:cstheme="minorHAnsi"/>
          <w:sz w:val="24"/>
          <w:szCs w:val="24"/>
        </w:rPr>
        <w:t>the Applicant</w:t>
      </w:r>
      <w:r w:rsidR="00645C54" w:rsidRPr="00645C54">
        <w:rPr>
          <w:rFonts w:cstheme="minorHAnsi"/>
          <w:sz w:val="24"/>
          <w:szCs w:val="24"/>
        </w:rPr>
        <w:t xml:space="preserve"> and its</w:t>
      </w:r>
      <w:r w:rsidRPr="00645C54">
        <w:rPr>
          <w:rFonts w:cstheme="minorHAnsi"/>
          <w:sz w:val="24"/>
          <w:szCs w:val="24"/>
        </w:rPr>
        <w:t xml:space="preserve"> assertions that the project would improve upon </w:t>
      </w:r>
      <w:r w:rsidR="00645C54" w:rsidRPr="00645C54">
        <w:rPr>
          <w:rFonts w:cstheme="minorHAnsi"/>
          <w:sz w:val="24"/>
          <w:szCs w:val="24"/>
        </w:rPr>
        <w:t xml:space="preserve">community engagement, delivery of </w:t>
      </w:r>
      <w:r w:rsidRPr="00645C54">
        <w:rPr>
          <w:rFonts w:cstheme="minorHAnsi"/>
          <w:sz w:val="24"/>
          <w:szCs w:val="24"/>
        </w:rPr>
        <w:t xml:space="preserve">services </w:t>
      </w:r>
      <w:r w:rsidR="00645C54" w:rsidRPr="00645C54">
        <w:rPr>
          <w:rFonts w:cstheme="minorHAnsi"/>
          <w:sz w:val="24"/>
          <w:szCs w:val="24"/>
        </w:rPr>
        <w:t xml:space="preserve">across the care-continuum, </w:t>
      </w:r>
      <w:r w:rsidRPr="00645C54">
        <w:rPr>
          <w:rFonts w:cstheme="minorHAnsi"/>
          <w:sz w:val="24"/>
          <w:szCs w:val="24"/>
        </w:rPr>
        <w:t>and staff</w:t>
      </w:r>
      <w:r w:rsidR="00645C54" w:rsidRPr="00645C54">
        <w:rPr>
          <w:rFonts w:cstheme="minorHAnsi"/>
          <w:sz w:val="24"/>
          <w:szCs w:val="24"/>
        </w:rPr>
        <w:t xml:space="preserve"> retention through improved training development more flexibility in assignments</w:t>
      </w:r>
      <w:r w:rsidRPr="00645C54">
        <w:rPr>
          <w:rFonts w:cstheme="minorHAnsi"/>
          <w:sz w:val="24"/>
          <w:szCs w:val="24"/>
        </w:rPr>
        <w:t xml:space="preserve">, </w:t>
      </w:r>
      <w:r w:rsidR="00645C54" w:rsidRPr="00645C54">
        <w:rPr>
          <w:rFonts w:cstheme="minorHAnsi"/>
          <w:sz w:val="24"/>
          <w:szCs w:val="24"/>
        </w:rPr>
        <w:t xml:space="preserve">thereby improving upon access, </w:t>
      </w:r>
      <w:r w:rsidRPr="00645C54">
        <w:rPr>
          <w:rFonts w:cstheme="minorHAnsi"/>
          <w:sz w:val="24"/>
          <w:szCs w:val="24"/>
        </w:rPr>
        <w:t xml:space="preserve">coordination of care </w:t>
      </w:r>
      <w:r w:rsidR="00645C54" w:rsidRPr="00645C54">
        <w:rPr>
          <w:rFonts w:cstheme="minorHAnsi"/>
          <w:sz w:val="24"/>
          <w:szCs w:val="24"/>
        </w:rPr>
        <w:t xml:space="preserve">and </w:t>
      </w:r>
      <w:r w:rsidR="00820AB0" w:rsidRPr="00645C54">
        <w:rPr>
          <w:rFonts w:cstheme="minorHAnsi"/>
          <w:sz w:val="24"/>
          <w:szCs w:val="24"/>
        </w:rPr>
        <w:t>reduc</w:t>
      </w:r>
      <w:r w:rsidR="00645C54" w:rsidRPr="00645C54">
        <w:rPr>
          <w:rFonts w:cstheme="minorHAnsi"/>
          <w:sz w:val="24"/>
          <w:szCs w:val="24"/>
        </w:rPr>
        <w:t>tion of</w:t>
      </w:r>
      <w:r w:rsidR="00820AB0" w:rsidRPr="00645C54">
        <w:rPr>
          <w:rFonts w:cstheme="minorHAnsi"/>
          <w:sz w:val="24"/>
          <w:szCs w:val="24"/>
        </w:rPr>
        <w:t xml:space="preserve"> disparities in service delivery and </w:t>
      </w:r>
      <w:r w:rsidR="00645C54" w:rsidRPr="00645C54">
        <w:rPr>
          <w:rFonts w:cstheme="minorHAnsi"/>
          <w:sz w:val="24"/>
          <w:szCs w:val="24"/>
        </w:rPr>
        <w:t xml:space="preserve">as </w:t>
      </w:r>
      <w:r w:rsidR="00820AB0" w:rsidRPr="00645C54">
        <w:rPr>
          <w:rFonts w:cstheme="minorHAnsi"/>
          <w:sz w:val="24"/>
          <w:szCs w:val="24"/>
        </w:rPr>
        <w:t>addressed in discussions of Factors 1 and 2.</w:t>
      </w:r>
      <w:r w:rsidR="00820AB0" w:rsidRPr="00820AB0">
        <w:rPr>
          <w:rFonts w:cstheme="minorHAnsi"/>
          <w:sz w:val="24"/>
          <w:szCs w:val="24"/>
        </w:rPr>
        <w:t xml:space="preserve"> </w:t>
      </w:r>
    </w:p>
    <w:p w14:paraId="7C159929" w14:textId="4660C094" w:rsidR="00BB40B4" w:rsidRPr="001E489E" w:rsidRDefault="00BB40B4" w:rsidP="00944366">
      <w:pPr>
        <w:pStyle w:val="Heading1"/>
        <w:spacing w:before="0"/>
        <w:rPr>
          <w:rFonts w:asciiTheme="minorHAnsi" w:hAnsiTheme="minorHAnsi" w:cstheme="minorHAnsi"/>
          <w:sz w:val="24"/>
          <w:szCs w:val="24"/>
        </w:rPr>
      </w:pPr>
      <w:bookmarkStart w:id="127" w:name="_Toc157428840"/>
      <w:bookmarkStart w:id="128" w:name="_Toc158218033"/>
      <w:r w:rsidRPr="001E489E">
        <w:rPr>
          <w:rFonts w:asciiTheme="minorHAnsi" w:hAnsiTheme="minorHAnsi" w:cstheme="minorHAnsi"/>
        </w:rPr>
        <w:t>Findings and Recommendations</w:t>
      </w:r>
      <w:bookmarkEnd w:id="127"/>
      <w:bookmarkEnd w:id="128"/>
    </w:p>
    <w:p w14:paraId="6298736C" w14:textId="68713E6F" w:rsidR="002D535F" w:rsidRPr="00AB7675" w:rsidRDefault="002D535F" w:rsidP="001B10BB">
      <w:pPr>
        <w:pStyle w:val="Heading1"/>
        <w:spacing w:before="0" w:line="240" w:lineRule="auto"/>
        <w:rPr>
          <w:rFonts w:asciiTheme="minorHAnsi" w:hAnsiTheme="minorHAnsi" w:cstheme="minorHAnsi"/>
        </w:rPr>
      </w:pPr>
    </w:p>
    <w:p w14:paraId="2730A88D" w14:textId="685F56BC" w:rsidR="00D20EF6" w:rsidRDefault="003709A3" w:rsidP="00B35EBE">
      <w:r w:rsidRPr="005C4E9A">
        <w:t>Based upon a review of the materials submitted, the Department finds that the Applicant has met each DoN factor and recommends approval of this Application for Determination of Need.</w:t>
      </w:r>
      <w:r w:rsidR="006B46C1">
        <w:t xml:space="preserve"> </w:t>
      </w:r>
    </w:p>
    <w:p w14:paraId="08F9C49A" w14:textId="77777777" w:rsidR="00D20EF6" w:rsidRDefault="00D20EF6" w:rsidP="00B35EBE"/>
    <w:p w14:paraId="101AB34E" w14:textId="77777777" w:rsidR="00ED115A" w:rsidRPr="00ED115A" w:rsidRDefault="00060E5A" w:rsidP="00ED115A">
      <w:pPr>
        <w:rPr>
          <w:rFonts w:eastAsia="Times New Roman"/>
        </w:rPr>
      </w:pPr>
      <w:r w:rsidRPr="00060E5A">
        <w:t xml:space="preserve">In addition to the measures provided in Appendix 1, commencing with the approval of this DoN, and continuing for a period of five years after the Proposed Project is complete, the </w:t>
      </w:r>
      <w:r w:rsidR="00ED115A" w:rsidRPr="00ED115A">
        <w:rPr>
          <w:rFonts w:eastAsia="Times New Roman"/>
        </w:rPr>
        <w:t xml:space="preserve">Holder shall provide the following information as part of the annual report required by 105 CMR 100.310(A)(12): </w:t>
      </w:r>
    </w:p>
    <w:p w14:paraId="6B5D7B25" w14:textId="77777777" w:rsidR="00ED115A" w:rsidRPr="00ED115A" w:rsidRDefault="00ED115A" w:rsidP="00ED115A">
      <w:pPr>
        <w:rPr>
          <w:rFonts w:eastAsia="Times New Roman"/>
        </w:rPr>
      </w:pPr>
    </w:p>
    <w:p w14:paraId="7C4A230A" w14:textId="5F480F4A" w:rsidR="00ED115A" w:rsidRPr="00ED115A" w:rsidRDefault="00ED115A" w:rsidP="00ED115A">
      <w:pPr>
        <w:numPr>
          <w:ilvl w:val="0"/>
          <w:numId w:val="23"/>
        </w:numPr>
        <w:rPr>
          <w:rFonts w:eastAsia="Times New Roman"/>
        </w:rPr>
      </w:pPr>
      <w:r w:rsidRPr="00ED115A">
        <w:rPr>
          <w:rFonts w:eastAsia="Times New Roman"/>
        </w:rPr>
        <w:t>The number of patients who transfer from all referring facilities to Franciscan or to other facilities, by facility, service and by payor mix</w:t>
      </w:r>
      <w:r w:rsidR="00671913">
        <w:rPr>
          <w:rFonts w:eastAsia="Times New Roman"/>
        </w:rPr>
        <w:t>, by quarter.</w:t>
      </w:r>
    </w:p>
    <w:p w14:paraId="432F265A" w14:textId="45052638" w:rsidR="00ED115A" w:rsidRPr="00ED115A" w:rsidRDefault="00ED115A" w:rsidP="00ED115A">
      <w:pPr>
        <w:numPr>
          <w:ilvl w:val="0"/>
          <w:numId w:val="23"/>
        </w:numPr>
        <w:rPr>
          <w:rFonts w:eastAsia="Times New Roman"/>
        </w:rPr>
      </w:pPr>
      <w:r w:rsidRPr="00ED115A">
        <w:rPr>
          <w:rFonts w:eastAsia="Times New Roman"/>
        </w:rPr>
        <w:t>The number of patients who transfer from Franciscan to BCH or to other facilities by facility, service and by payor mix</w:t>
      </w:r>
      <w:r w:rsidR="00671913">
        <w:rPr>
          <w:rFonts w:eastAsia="Times New Roman"/>
        </w:rPr>
        <w:t>, by quarter.</w:t>
      </w:r>
    </w:p>
    <w:p w14:paraId="02DF1DF2" w14:textId="01F47561" w:rsidR="00ED115A" w:rsidRDefault="00ED115A" w:rsidP="00DC561A">
      <w:pPr>
        <w:numPr>
          <w:ilvl w:val="0"/>
          <w:numId w:val="23"/>
        </w:numPr>
        <w:rPr>
          <w:rFonts w:eastAsia="Times New Roman"/>
        </w:rPr>
      </w:pPr>
      <w:r w:rsidRPr="00ED115A">
        <w:rPr>
          <w:rFonts w:eastAsia="Times New Roman"/>
        </w:rPr>
        <w:t>The number and percent of patients clinically eligible to transfer from BCH to Franciscan who do not transfer to Franciscan for lack of capacity with average wait times</w:t>
      </w:r>
      <w:r w:rsidR="00671913">
        <w:rPr>
          <w:rFonts w:eastAsia="Times New Roman"/>
        </w:rPr>
        <w:t>, by quarter.</w:t>
      </w:r>
    </w:p>
    <w:p w14:paraId="21FA618E" w14:textId="77777777" w:rsidR="00671913" w:rsidRPr="00DC561A" w:rsidRDefault="00671913" w:rsidP="00DC561A">
      <w:pPr>
        <w:pStyle w:val="ListParagraph"/>
        <w:numPr>
          <w:ilvl w:val="0"/>
          <w:numId w:val="23"/>
        </w:numPr>
        <w:spacing w:line="240" w:lineRule="auto"/>
        <w:rPr>
          <w:rFonts w:ascii="Calibri" w:eastAsia="Calibri" w:hAnsi="Calibri" w:cs="Calibri"/>
          <w:sz w:val="24"/>
          <w:szCs w:val="24"/>
        </w:rPr>
      </w:pPr>
      <w:r w:rsidRPr="00DC561A">
        <w:rPr>
          <w:rFonts w:ascii="Calibri" w:eastAsia="Calibri" w:hAnsi="Calibri" w:cs="Calibri"/>
          <w:sz w:val="24"/>
          <w:szCs w:val="24"/>
        </w:rPr>
        <w:t xml:space="preserve">The Applicant will report on the Applicant’s progress and findings regarding the Applicant’s stated vision at both Franciscan and BCH: </w:t>
      </w:r>
      <w:r w:rsidRPr="00DC561A">
        <w:rPr>
          <w:rFonts w:ascii="Calibri" w:eastAsia="Calibri" w:hAnsi="Calibri" w:cs="Calibri"/>
          <w:i/>
          <w:sz w:val="24"/>
          <w:szCs w:val="24"/>
        </w:rPr>
        <w:t>The Applicant envisions establishing an integrated network of mental health service providers, supporting workforce development, improving staffing ability for mental health services, and expanding mental health research and anticipates that these efforts will result in improved outcomes.</w:t>
      </w:r>
      <w:r w:rsidRPr="00DC561A">
        <w:rPr>
          <w:rFonts w:ascii="Calibri" w:eastAsia="Calibri" w:hAnsi="Calibri" w:cs="Calibri"/>
          <w:sz w:val="24"/>
          <w:szCs w:val="24"/>
        </w:rPr>
        <w:t xml:space="preserve"> </w:t>
      </w:r>
    </w:p>
    <w:p w14:paraId="0431EB25" w14:textId="77777777" w:rsidR="00937788" w:rsidRPr="00697734" w:rsidRDefault="00937788" w:rsidP="00937788">
      <w:pPr>
        <w:pStyle w:val="Heading1"/>
        <w:rPr>
          <w:rFonts w:ascii="Segoe UI" w:hAnsi="Segoe UI" w:cs="Segoe UI"/>
        </w:rPr>
      </w:pPr>
      <w:bookmarkStart w:id="129" w:name="_Toc157428841"/>
      <w:bookmarkStart w:id="130" w:name="_Toc158218034"/>
      <w:r w:rsidRPr="00697734">
        <w:rPr>
          <w:rStyle w:val="normaltextrun"/>
          <w:rFonts w:ascii="Calibri" w:hAnsi="Calibri" w:cs="Calibri"/>
          <w:color w:val="2F5496"/>
        </w:rPr>
        <w:t>Conditions</w:t>
      </w:r>
      <w:bookmarkStart w:id="131" w:name="_Toc150336180"/>
      <w:bookmarkEnd w:id="129"/>
      <w:bookmarkEnd w:id="130"/>
      <w:r w:rsidRPr="00697734">
        <w:rPr>
          <w:rStyle w:val="normaltextrun"/>
          <w:rFonts w:ascii="Calibri" w:hAnsi="Calibri" w:cs="Calibri"/>
          <w:color w:val="2F5496"/>
        </w:rPr>
        <w:t xml:space="preserve"> </w:t>
      </w:r>
      <w:bookmarkEnd w:id="131"/>
    </w:p>
    <w:p w14:paraId="0A16A1AB" w14:textId="77777777" w:rsidR="00937788" w:rsidRPr="00671913" w:rsidRDefault="00937788" w:rsidP="00671913">
      <w:pPr>
        <w:pStyle w:val="paragraph"/>
        <w:numPr>
          <w:ilvl w:val="0"/>
          <w:numId w:val="14"/>
        </w:numPr>
        <w:spacing w:before="0" w:beforeAutospacing="0" w:after="0" w:afterAutospacing="0"/>
        <w:textAlignment w:val="baseline"/>
        <w:rPr>
          <w:rFonts w:ascii="Calibri" w:hAnsi="Calibri" w:cs="Calibri"/>
        </w:rPr>
      </w:pPr>
      <w:r w:rsidRPr="00671913">
        <w:rPr>
          <w:rStyle w:val="normaltextrun"/>
          <w:rFonts w:ascii="Calibri" w:hAnsi="Calibri" w:cs="Calibri"/>
          <w:color w:val="000000"/>
        </w:rPr>
        <w:t>Of the total required CHI contribution of $24,068,550.00</w:t>
      </w:r>
      <w:r w:rsidRPr="00671913">
        <w:rPr>
          <w:rStyle w:val="eop"/>
          <w:rFonts w:ascii="Calibri" w:hAnsi="Calibri" w:cs="Calibri"/>
          <w:color w:val="000000"/>
        </w:rPr>
        <w:t> </w:t>
      </w:r>
    </w:p>
    <w:p w14:paraId="2144CB94" w14:textId="77777777" w:rsidR="00937788" w:rsidRPr="00671913" w:rsidRDefault="00937788" w:rsidP="00671913">
      <w:pPr>
        <w:pStyle w:val="paragraph"/>
        <w:spacing w:before="0" w:beforeAutospacing="0" w:after="0" w:afterAutospacing="0"/>
        <w:ind w:left="360" w:right="540"/>
        <w:textAlignment w:val="baseline"/>
        <w:rPr>
          <w:rFonts w:ascii="Segoe UI" w:hAnsi="Segoe UI" w:cs="Segoe UI"/>
        </w:rPr>
      </w:pPr>
    </w:p>
    <w:p w14:paraId="6742B7EB" w14:textId="77777777" w:rsidR="00937788" w:rsidRPr="00671913" w:rsidRDefault="00937788" w:rsidP="00671913">
      <w:pPr>
        <w:pStyle w:val="paragraph"/>
        <w:numPr>
          <w:ilvl w:val="0"/>
          <w:numId w:val="15"/>
        </w:numPr>
        <w:spacing w:before="0" w:beforeAutospacing="0" w:after="0" w:afterAutospacing="0"/>
        <w:textAlignment w:val="baseline"/>
        <w:rPr>
          <w:rFonts w:ascii="Calibri" w:hAnsi="Calibri" w:cs="Calibri"/>
        </w:rPr>
      </w:pPr>
      <w:r w:rsidRPr="00671913">
        <w:rPr>
          <w:rStyle w:val="normaltextrun"/>
          <w:rFonts w:ascii="Calibri" w:hAnsi="Calibri" w:cs="Calibri"/>
          <w:color w:val="000000"/>
        </w:rPr>
        <w:t>$5,896,794.75 will be directed to the CHI Statewide Initiative </w:t>
      </w:r>
      <w:r w:rsidRPr="00671913">
        <w:rPr>
          <w:rStyle w:val="eop"/>
          <w:rFonts w:ascii="Calibri" w:hAnsi="Calibri" w:cs="Calibri"/>
          <w:color w:val="000000"/>
        </w:rPr>
        <w:t> </w:t>
      </w:r>
    </w:p>
    <w:p w14:paraId="05969355" w14:textId="77777777" w:rsidR="00937788" w:rsidRPr="00671913" w:rsidRDefault="00937788" w:rsidP="00671913">
      <w:pPr>
        <w:pStyle w:val="paragraph"/>
        <w:numPr>
          <w:ilvl w:val="0"/>
          <w:numId w:val="15"/>
        </w:numPr>
        <w:spacing w:before="0" w:beforeAutospacing="0" w:after="0" w:afterAutospacing="0"/>
        <w:textAlignment w:val="baseline"/>
        <w:rPr>
          <w:rFonts w:ascii="Calibri" w:hAnsi="Calibri" w:cs="Calibri"/>
        </w:rPr>
      </w:pPr>
      <w:r w:rsidRPr="00671913">
        <w:rPr>
          <w:rStyle w:val="normaltextrun"/>
          <w:rFonts w:ascii="Calibri" w:hAnsi="Calibri" w:cs="Calibri"/>
          <w:color w:val="000000"/>
        </w:rPr>
        <w:t>$17,690,384,25 will be dedicated to local approaches to the DoN Health Priorities </w:t>
      </w:r>
      <w:r w:rsidRPr="00671913">
        <w:rPr>
          <w:rStyle w:val="eop"/>
          <w:rFonts w:ascii="Calibri" w:hAnsi="Calibri" w:cs="Calibri"/>
          <w:color w:val="000000"/>
        </w:rPr>
        <w:t> </w:t>
      </w:r>
    </w:p>
    <w:p w14:paraId="7C9ED900" w14:textId="77777777" w:rsidR="00937788" w:rsidRPr="00671913" w:rsidRDefault="00937788" w:rsidP="00671913">
      <w:pPr>
        <w:pStyle w:val="paragraph"/>
        <w:numPr>
          <w:ilvl w:val="0"/>
          <w:numId w:val="15"/>
        </w:numPr>
        <w:spacing w:before="0" w:beforeAutospacing="0" w:after="0" w:afterAutospacing="0"/>
        <w:textAlignment w:val="baseline"/>
        <w:rPr>
          <w:rStyle w:val="eop"/>
          <w:rFonts w:ascii="Calibri" w:hAnsi="Calibri" w:cs="Calibri"/>
        </w:rPr>
      </w:pPr>
      <w:r w:rsidRPr="00671913">
        <w:rPr>
          <w:rStyle w:val="normaltextrun"/>
          <w:rFonts w:ascii="Calibri" w:hAnsi="Calibri" w:cs="Calibri"/>
          <w:color w:val="000000"/>
        </w:rPr>
        <w:t xml:space="preserve">$481,371.00 will be designated as the administrative </w:t>
      </w:r>
      <w:proofErr w:type="gramStart"/>
      <w:r w:rsidRPr="00671913">
        <w:rPr>
          <w:rStyle w:val="normaltextrun"/>
          <w:rFonts w:ascii="Calibri" w:hAnsi="Calibri" w:cs="Calibri"/>
          <w:color w:val="000000"/>
        </w:rPr>
        <w:t>allowance</w:t>
      </w:r>
      <w:proofErr w:type="gramEnd"/>
      <w:r w:rsidRPr="00671913">
        <w:rPr>
          <w:rStyle w:val="eop"/>
          <w:rFonts w:ascii="Calibri" w:hAnsi="Calibri" w:cs="Calibri"/>
          <w:color w:val="000000"/>
        </w:rPr>
        <w:t> </w:t>
      </w:r>
    </w:p>
    <w:p w14:paraId="74F7CCE2" w14:textId="77777777" w:rsidR="00937788" w:rsidRPr="00671913" w:rsidRDefault="00937788" w:rsidP="00671913">
      <w:pPr>
        <w:pStyle w:val="paragraph"/>
        <w:spacing w:before="0" w:beforeAutospacing="0" w:after="0" w:afterAutospacing="0"/>
        <w:ind w:left="720"/>
        <w:textAlignment w:val="baseline"/>
        <w:rPr>
          <w:rFonts w:ascii="Calibri" w:hAnsi="Calibri" w:cs="Calibri"/>
        </w:rPr>
      </w:pPr>
    </w:p>
    <w:p w14:paraId="617BEBEA" w14:textId="61CADE1C" w:rsidR="00937788" w:rsidRPr="00671913" w:rsidRDefault="00937788" w:rsidP="00671913">
      <w:pPr>
        <w:pStyle w:val="paragraph"/>
        <w:numPr>
          <w:ilvl w:val="0"/>
          <w:numId w:val="14"/>
        </w:numPr>
        <w:spacing w:before="0" w:beforeAutospacing="0" w:after="0" w:afterAutospacing="0"/>
        <w:textAlignment w:val="baseline"/>
        <w:rPr>
          <w:rStyle w:val="eop"/>
          <w:rFonts w:ascii="Calibri" w:hAnsi="Calibri" w:cs="Calibri"/>
        </w:rPr>
      </w:pPr>
      <w:r w:rsidRPr="00671913">
        <w:rPr>
          <w:rStyle w:val="normaltextrun"/>
          <w:rFonts w:ascii="Calibri" w:hAnsi="Calibri" w:cs="Calibri"/>
          <w:color w:val="000000"/>
        </w:rPr>
        <w:t>Within 12 months of the CHI Advisory Board’s first meeting, the Applicant will ensure the Board members complete stakeholder assessment to provide DPH.</w:t>
      </w:r>
      <w:r w:rsidRPr="00671913">
        <w:rPr>
          <w:rStyle w:val="eop"/>
          <w:rFonts w:ascii="Calibri" w:hAnsi="Calibri" w:cs="Calibri"/>
          <w:color w:val="000000"/>
        </w:rPr>
        <w:t> </w:t>
      </w:r>
    </w:p>
    <w:p w14:paraId="6A166CE9" w14:textId="77777777" w:rsidR="00937788" w:rsidRPr="00671913" w:rsidRDefault="00937788" w:rsidP="00671913">
      <w:pPr>
        <w:pStyle w:val="paragraph"/>
        <w:spacing w:before="0" w:beforeAutospacing="0" w:after="0" w:afterAutospacing="0"/>
        <w:ind w:left="360"/>
        <w:textAlignment w:val="baseline"/>
        <w:rPr>
          <w:rFonts w:ascii="Calibri" w:hAnsi="Calibri" w:cs="Calibri"/>
        </w:rPr>
      </w:pPr>
    </w:p>
    <w:p w14:paraId="795D1EFA" w14:textId="77777777" w:rsidR="00937788" w:rsidRPr="00671913" w:rsidRDefault="00937788" w:rsidP="00671913">
      <w:pPr>
        <w:pStyle w:val="paragraph"/>
        <w:numPr>
          <w:ilvl w:val="0"/>
          <w:numId w:val="14"/>
        </w:numPr>
        <w:spacing w:before="0" w:beforeAutospacing="0" w:after="0" w:afterAutospacing="0"/>
        <w:textAlignment w:val="baseline"/>
        <w:rPr>
          <w:rFonts w:ascii="Calibri" w:hAnsi="Calibri" w:cs="Calibri"/>
        </w:rPr>
      </w:pPr>
      <w:r w:rsidRPr="00671913">
        <w:rPr>
          <w:rStyle w:val="normaltextrun"/>
          <w:rFonts w:ascii="Calibri" w:hAnsi="Calibri" w:cs="Calibri"/>
          <w:color w:val="000000"/>
        </w:rPr>
        <w:t>To comply with the Holder’s obligation to contribute to the Statewide CHI Initiative, the Holder must submit a check for $5,896,794.75 to Health Resources in Action (the fiscal agent for the CHI Statewide Initiative). </w:t>
      </w:r>
      <w:r w:rsidRPr="00671913">
        <w:rPr>
          <w:rStyle w:val="eop"/>
          <w:rFonts w:ascii="Calibri" w:hAnsi="Calibri" w:cs="Calibri"/>
          <w:color w:val="000000"/>
        </w:rPr>
        <w:t> </w:t>
      </w:r>
    </w:p>
    <w:p w14:paraId="047A5216" w14:textId="77777777" w:rsidR="00937788" w:rsidRPr="00671913" w:rsidRDefault="00937788" w:rsidP="00671913">
      <w:pPr>
        <w:pStyle w:val="paragraph"/>
        <w:numPr>
          <w:ilvl w:val="0"/>
          <w:numId w:val="16"/>
        </w:numPr>
        <w:spacing w:before="0" w:beforeAutospacing="0" w:after="0" w:afterAutospacing="0"/>
        <w:textAlignment w:val="baseline"/>
        <w:rPr>
          <w:rFonts w:ascii="Calibri" w:hAnsi="Calibri" w:cs="Calibri"/>
        </w:rPr>
      </w:pPr>
      <w:r w:rsidRPr="00671913">
        <w:rPr>
          <w:rStyle w:val="normaltextrun"/>
          <w:rFonts w:ascii="Calibri" w:hAnsi="Calibri" w:cs="Calibri"/>
          <w:color w:val="000000"/>
        </w:rPr>
        <w:t>The Holder must submit the funds to HRiA within 30 days from the date of the Notice of Approval. </w:t>
      </w:r>
      <w:r w:rsidRPr="00671913">
        <w:rPr>
          <w:rStyle w:val="eop"/>
          <w:rFonts w:ascii="Calibri" w:hAnsi="Calibri" w:cs="Calibri"/>
          <w:color w:val="000000"/>
        </w:rPr>
        <w:t> </w:t>
      </w:r>
    </w:p>
    <w:p w14:paraId="63ABD3CE" w14:textId="77777777" w:rsidR="00937788" w:rsidRPr="00671913" w:rsidRDefault="00937788" w:rsidP="00671913">
      <w:pPr>
        <w:pStyle w:val="paragraph"/>
        <w:numPr>
          <w:ilvl w:val="0"/>
          <w:numId w:val="16"/>
        </w:numPr>
        <w:spacing w:before="0" w:beforeAutospacing="0" w:after="0" w:afterAutospacing="0"/>
        <w:textAlignment w:val="baseline"/>
        <w:rPr>
          <w:rFonts w:ascii="Calibri" w:hAnsi="Calibri" w:cs="Calibri"/>
        </w:rPr>
      </w:pPr>
      <w:r w:rsidRPr="00671913">
        <w:rPr>
          <w:rStyle w:val="normaltextrun"/>
          <w:rFonts w:ascii="Calibri" w:hAnsi="Calibri" w:cs="Calibri"/>
          <w:color w:val="000000"/>
        </w:rPr>
        <w:t>The Holder must promptly notify DPH (CHI contact staff) when the payment has been made.</w:t>
      </w:r>
      <w:r w:rsidRPr="00671913">
        <w:rPr>
          <w:rStyle w:val="eop"/>
          <w:rFonts w:ascii="Calibri" w:hAnsi="Calibri" w:cs="Calibri"/>
          <w:color w:val="000000"/>
        </w:rPr>
        <w:t> </w:t>
      </w:r>
    </w:p>
    <w:p w14:paraId="51E9806B" w14:textId="77777777" w:rsidR="00937788" w:rsidRPr="00671913" w:rsidRDefault="00937788" w:rsidP="00671913">
      <w:pPr>
        <w:pStyle w:val="paragraph"/>
        <w:spacing w:before="0" w:beforeAutospacing="0" w:after="0" w:afterAutospacing="0"/>
        <w:ind w:left="1080" w:right="540"/>
        <w:textAlignment w:val="baseline"/>
        <w:rPr>
          <w:rFonts w:ascii="Segoe UI" w:hAnsi="Segoe UI" w:cs="Segoe UI"/>
        </w:rPr>
      </w:pPr>
      <w:r w:rsidRPr="00671913">
        <w:rPr>
          <w:rStyle w:val="eop"/>
          <w:rFonts w:ascii="Calibri" w:hAnsi="Calibri" w:cs="Calibri"/>
          <w:color w:val="000000"/>
        </w:rPr>
        <w:t> </w:t>
      </w:r>
    </w:p>
    <w:p w14:paraId="05F06902" w14:textId="77777777" w:rsidR="00937788" w:rsidRPr="00671913" w:rsidRDefault="00937788" w:rsidP="00671913">
      <w:pPr>
        <w:pStyle w:val="paragraph"/>
        <w:spacing w:before="0" w:beforeAutospacing="0" w:after="0" w:afterAutospacing="0"/>
        <w:ind w:left="1800"/>
        <w:textAlignment w:val="baseline"/>
        <w:rPr>
          <w:rFonts w:ascii="Segoe UI" w:hAnsi="Segoe UI" w:cs="Segoe UI"/>
        </w:rPr>
      </w:pPr>
      <w:r w:rsidRPr="00671913">
        <w:rPr>
          <w:rStyle w:val="normaltextrun"/>
          <w:rFonts w:ascii="Calibri" w:hAnsi="Calibri" w:cs="Calibri"/>
          <w:color w:val="000000"/>
        </w:rPr>
        <w:t>Payment should be sent to: </w:t>
      </w:r>
      <w:r w:rsidRPr="00671913">
        <w:rPr>
          <w:rStyle w:val="eop"/>
          <w:rFonts w:ascii="Calibri" w:hAnsi="Calibri" w:cs="Calibri"/>
          <w:color w:val="000000"/>
        </w:rPr>
        <w:t> </w:t>
      </w:r>
    </w:p>
    <w:p w14:paraId="72F926EC" w14:textId="77777777" w:rsidR="00937788" w:rsidRPr="00671913" w:rsidRDefault="00937788" w:rsidP="00671913">
      <w:pPr>
        <w:pStyle w:val="paragraph"/>
        <w:spacing w:before="0" w:beforeAutospacing="0" w:after="0" w:afterAutospacing="0"/>
        <w:ind w:left="1800"/>
        <w:textAlignment w:val="baseline"/>
        <w:rPr>
          <w:rFonts w:ascii="Segoe UI" w:hAnsi="Segoe UI" w:cs="Segoe UI"/>
        </w:rPr>
      </w:pPr>
      <w:r w:rsidRPr="00671913">
        <w:rPr>
          <w:rStyle w:val="normaltextrun"/>
          <w:rFonts w:ascii="Calibri" w:hAnsi="Calibri" w:cs="Calibri"/>
          <w:color w:val="000000"/>
        </w:rPr>
        <w:t>Health Resources in Action, Inc. (HRiA) </w:t>
      </w:r>
      <w:r w:rsidRPr="00671913">
        <w:rPr>
          <w:rStyle w:val="eop"/>
          <w:rFonts w:ascii="Calibri" w:hAnsi="Calibri" w:cs="Calibri"/>
          <w:color w:val="000000"/>
        </w:rPr>
        <w:t> </w:t>
      </w:r>
    </w:p>
    <w:p w14:paraId="5B572A96" w14:textId="77777777" w:rsidR="00937788" w:rsidRPr="00671913" w:rsidRDefault="00937788" w:rsidP="00671913">
      <w:pPr>
        <w:pStyle w:val="paragraph"/>
        <w:spacing w:before="0" w:beforeAutospacing="0" w:after="0" w:afterAutospacing="0"/>
        <w:ind w:left="1800"/>
        <w:textAlignment w:val="baseline"/>
        <w:rPr>
          <w:rFonts w:ascii="Segoe UI" w:hAnsi="Segoe UI" w:cs="Segoe UI"/>
        </w:rPr>
      </w:pPr>
      <w:r w:rsidRPr="00671913">
        <w:rPr>
          <w:rStyle w:val="normaltextrun"/>
          <w:rFonts w:ascii="Calibri" w:hAnsi="Calibri" w:cs="Calibri"/>
          <w:color w:val="000000"/>
        </w:rPr>
        <w:t xml:space="preserve">2 Boylston Street, 4th </w:t>
      </w:r>
      <w:proofErr w:type="gramStart"/>
      <w:r w:rsidRPr="00671913">
        <w:rPr>
          <w:rStyle w:val="normaltextrun"/>
          <w:rFonts w:ascii="Calibri" w:hAnsi="Calibri" w:cs="Calibri"/>
          <w:color w:val="000000"/>
        </w:rPr>
        <w:t>Floor</w:t>
      </w:r>
      <w:proofErr w:type="gramEnd"/>
      <w:r w:rsidRPr="00671913">
        <w:rPr>
          <w:rStyle w:val="normaltextrun"/>
          <w:rFonts w:ascii="Calibri" w:hAnsi="Calibri" w:cs="Calibri"/>
          <w:color w:val="000000"/>
        </w:rPr>
        <w:t> </w:t>
      </w:r>
      <w:r w:rsidRPr="00671913">
        <w:rPr>
          <w:rStyle w:val="eop"/>
          <w:rFonts w:ascii="Calibri" w:hAnsi="Calibri" w:cs="Calibri"/>
          <w:color w:val="000000"/>
        </w:rPr>
        <w:t> </w:t>
      </w:r>
    </w:p>
    <w:p w14:paraId="3A09AA43" w14:textId="77777777" w:rsidR="00937788" w:rsidRPr="00671913" w:rsidRDefault="00937788" w:rsidP="00671913">
      <w:pPr>
        <w:pStyle w:val="paragraph"/>
        <w:spacing w:before="0" w:beforeAutospacing="0" w:after="0" w:afterAutospacing="0"/>
        <w:ind w:left="1800"/>
        <w:textAlignment w:val="baseline"/>
        <w:rPr>
          <w:rFonts w:ascii="Segoe UI" w:hAnsi="Segoe UI" w:cs="Segoe UI"/>
        </w:rPr>
      </w:pPr>
      <w:r w:rsidRPr="00671913">
        <w:rPr>
          <w:rStyle w:val="normaltextrun"/>
          <w:rFonts w:ascii="Calibri" w:hAnsi="Calibri" w:cs="Calibri"/>
          <w:color w:val="000000"/>
        </w:rPr>
        <w:t>Boston, MA 02116 </w:t>
      </w:r>
      <w:r w:rsidRPr="00671913">
        <w:rPr>
          <w:rStyle w:val="eop"/>
          <w:rFonts w:ascii="Calibri" w:hAnsi="Calibri" w:cs="Calibri"/>
          <w:color w:val="000000"/>
        </w:rPr>
        <w:t> </w:t>
      </w:r>
    </w:p>
    <w:p w14:paraId="224CD080" w14:textId="11EAA1AC" w:rsidR="004B7CA1" w:rsidRPr="00671913" w:rsidRDefault="004B7CA1" w:rsidP="00671913">
      <w:pPr>
        <w:pStyle w:val="Heading1"/>
        <w:spacing w:line="240" w:lineRule="auto"/>
        <w:rPr>
          <w:rFonts w:asciiTheme="minorHAnsi" w:hAnsiTheme="minorHAnsi" w:cstheme="minorHAnsi"/>
        </w:rPr>
      </w:pPr>
      <w:bookmarkStart w:id="132" w:name="_Toc158218035"/>
      <w:bookmarkStart w:id="133" w:name="_Toc157428842"/>
      <w:r w:rsidRPr="00671913">
        <w:rPr>
          <w:rFonts w:asciiTheme="minorHAnsi" w:hAnsiTheme="minorHAnsi" w:cstheme="minorHAnsi"/>
        </w:rPr>
        <w:t>Appendix 1</w:t>
      </w:r>
      <w:bookmarkEnd w:id="132"/>
      <w:r w:rsidR="00D20EF6" w:rsidRPr="00671913">
        <w:rPr>
          <w:rFonts w:asciiTheme="minorHAnsi" w:hAnsiTheme="minorHAnsi" w:cstheme="minorHAnsi"/>
        </w:rPr>
        <w:t xml:space="preserve"> </w:t>
      </w:r>
      <w:bookmarkEnd w:id="133"/>
    </w:p>
    <w:p w14:paraId="785BEE86" w14:textId="79DA93CC" w:rsidR="004B7CA1" w:rsidRPr="00671913" w:rsidRDefault="004B7CA1" w:rsidP="00671913"/>
    <w:p w14:paraId="4474DB9C" w14:textId="64F8A388" w:rsidR="004B7CA1" w:rsidRPr="00671913" w:rsidRDefault="004B7CA1" w:rsidP="00671913">
      <w:r w:rsidRPr="00671913">
        <w:t xml:space="preserve">The Holder shall provide, in its annual report to the </w:t>
      </w:r>
      <w:proofErr w:type="gramStart"/>
      <w:r w:rsidRPr="00671913">
        <w:t>Department</w:t>
      </w:r>
      <w:proofErr w:type="gramEnd"/>
      <w:r w:rsidRPr="00671913">
        <w:t xml:space="preserve"> the following outcome measures. These metrics will become part of the annual reporting on the approved DoN, required pursuant to 105 CMR 100.310(A)(12). </w:t>
      </w:r>
    </w:p>
    <w:p w14:paraId="1179CC86" w14:textId="77777777" w:rsidR="00ED115A" w:rsidRPr="00671913" w:rsidRDefault="00ED115A" w:rsidP="00671913">
      <w:pPr>
        <w:jc w:val="both"/>
        <w:rPr>
          <w:rFonts w:ascii="Calibri" w:eastAsia="Calibri" w:hAnsi="Calibri" w:cs="Calibri"/>
        </w:rPr>
      </w:pPr>
    </w:p>
    <w:p w14:paraId="109E685D" w14:textId="3E0E11D4" w:rsidR="00053725" w:rsidRDefault="00053725" w:rsidP="00671913">
      <w:pPr>
        <w:jc w:val="both"/>
        <w:rPr>
          <w:rFonts w:ascii="Calibri" w:eastAsia="Calibri" w:hAnsi="Calibri" w:cs="Calibri"/>
        </w:rPr>
      </w:pPr>
      <w:r w:rsidRPr="00671913">
        <w:rPr>
          <w:rFonts w:ascii="Calibri" w:eastAsia="Calibri" w:hAnsi="Calibri" w:cs="Calibri"/>
        </w:rPr>
        <w:t xml:space="preserve">To assess the impact of the Proposed Project, </w:t>
      </w:r>
      <w:r w:rsidR="00ED115A" w:rsidRPr="00671913">
        <w:rPr>
          <w:rFonts w:ascii="Calibri" w:eastAsia="Calibri" w:hAnsi="Calibri" w:cs="Calibri"/>
        </w:rPr>
        <w:t xml:space="preserve">annually </w:t>
      </w:r>
      <w:r w:rsidRPr="00671913">
        <w:rPr>
          <w:rFonts w:ascii="Calibri" w:eastAsia="Calibri" w:hAnsi="Calibri" w:cs="Calibri"/>
        </w:rPr>
        <w:t xml:space="preserve">the Applicant will evaluate </w:t>
      </w:r>
      <w:r w:rsidR="00ED115A" w:rsidRPr="00671913">
        <w:rPr>
          <w:rFonts w:ascii="Calibri" w:eastAsia="Calibri" w:hAnsi="Calibri" w:cs="Calibri"/>
        </w:rPr>
        <w:t xml:space="preserve">and report </w:t>
      </w:r>
      <w:r w:rsidRPr="00671913">
        <w:rPr>
          <w:rFonts w:ascii="Calibri" w:eastAsia="Calibri" w:hAnsi="Calibri" w:cs="Calibri"/>
        </w:rPr>
        <w:t>the following measures</w:t>
      </w:r>
      <w:r w:rsidR="00ED115A" w:rsidRPr="00671913">
        <w:rPr>
          <w:rFonts w:ascii="Calibri" w:eastAsia="Calibri" w:hAnsi="Calibri" w:cs="Calibri"/>
        </w:rPr>
        <w:t xml:space="preserve"> by quarter</w:t>
      </w:r>
      <w:r w:rsidRPr="00671913">
        <w:rPr>
          <w:rFonts w:ascii="Calibri" w:eastAsia="Calibri" w:hAnsi="Calibri" w:cs="Calibri"/>
        </w:rPr>
        <w:t>:</w:t>
      </w:r>
    </w:p>
    <w:p w14:paraId="0D1D9C90" w14:textId="77777777" w:rsidR="00671913" w:rsidRDefault="00671913" w:rsidP="00671913">
      <w:pPr>
        <w:jc w:val="both"/>
        <w:rPr>
          <w:rFonts w:ascii="Calibri" w:eastAsia="Calibri" w:hAnsi="Calibri" w:cs="Calibri"/>
        </w:rPr>
      </w:pPr>
    </w:p>
    <w:tbl>
      <w:tblPr>
        <w:tblW w:w="10604"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gridCol w:w="810"/>
        <w:gridCol w:w="1244"/>
      </w:tblGrid>
      <w:tr w:rsidR="00E00387" w:rsidRPr="00671913" w14:paraId="3CFC80B0" w14:textId="77777777" w:rsidTr="00E53941">
        <w:trPr>
          <w:cantSplit/>
          <w:trHeight w:val="290"/>
          <w:tblHeader/>
        </w:trPr>
        <w:tc>
          <w:tcPr>
            <w:tcW w:w="8550" w:type="dxa"/>
            <w:shd w:val="clear" w:color="auto" w:fill="auto"/>
            <w:noWrap/>
            <w:vAlign w:val="bottom"/>
            <w:hideMark/>
          </w:tcPr>
          <w:p w14:paraId="367E1BEF" w14:textId="77777777" w:rsidR="00671913" w:rsidRPr="00671913" w:rsidRDefault="00671913" w:rsidP="00671913">
            <w:pPr>
              <w:jc w:val="both"/>
              <w:rPr>
                <w:rFonts w:ascii="Calibri" w:eastAsia="Calibri" w:hAnsi="Calibri" w:cs="Calibri"/>
              </w:rPr>
            </w:pPr>
            <w:r w:rsidRPr="00671913">
              <w:rPr>
                <w:rFonts w:ascii="Calibri" w:eastAsia="Calibri" w:hAnsi="Calibri" w:cs="Calibri"/>
              </w:rPr>
              <w:t>Measure</w:t>
            </w:r>
          </w:p>
        </w:tc>
        <w:tc>
          <w:tcPr>
            <w:tcW w:w="2054" w:type="dxa"/>
            <w:gridSpan w:val="2"/>
            <w:shd w:val="clear" w:color="auto" w:fill="auto"/>
            <w:noWrap/>
            <w:vAlign w:val="bottom"/>
            <w:hideMark/>
          </w:tcPr>
          <w:p w14:paraId="1F027984" w14:textId="77777777" w:rsidR="00671913" w:rsidRPr="00671913" w:rsidRDefault="00671913" w:rsidP="00671913">
            <w:pPr>
              <w:jc w:val="both"/>
              <w:rPr>
                <w:rFonts w:ascii="Calibri" w:eastAsia="Calibri" w:hAnsi="Calibri" w:cs="Calibri"/>
              </w:rPr>
            </w:pPr>
            <w:r w:rsidRPr="00671913">
              <w:rPr>
                <w:rFonts w:ascii="Calibri" w:eastAsia="Calibri" w:hAnsi="Calibri" w:cs="Calibri"/>
              </w:rPr>
              <w:t>Current Baseline</w:t>
            </w:r>
          </w:p>
        </w:tc>
      </w:tr>
      <w:tr w:rsidR="00E00387" w:rsidRPr="00671913" w14:paraId="2EBEE993" w14:textId="77777777" w:rsidTr="00E53941">
        <w:trPr>
          <w:cantSplit/>
          <w:trHeight w:val="290"/>
          <w:tblHeader/>
        </w:trPr>
        <w:tc>
          <w:tcPr>
            <w:tcW w:w="8550" w:type="dxa"/>
            <w:shd w:val="clear" w:color="auto" w:fill="auto"/>
            <w:noWrap/>
            <w:vAlign w:val="bottom"/>
            <w:hideMark/>
          </w:tcPr>
          <w:p w14:paraId="3DE1C192" w14:textId="77777777" w:rsidR="00671913" w:rsidRPr="00671913" w:rsidRDefault="00671913" w:rsidP="00671913">
            <w:pPr>
              <w:jc w:val="both"/>
              <w:rPr>
                <w:rFonts w:ascii="Calibri" w:eastAsia="Calibri" w:hAnsi="Calibri" w:cs="Calibri"/>
              </w:rPr>
            </w:pPr>
          </w:p>
        </w:tc>
        <w:tc>
          <w:tcPr>
            <w:tcW w:w="810" w:type="dxa"/>
            <w:shd w:val="clear" w:color="auto" w:fill="auto"/>
            <w:noWrap/>
            <w:vAlign w:val="bottom"/>
            <w:hideMark/>
          </w:tcPr>
          <w:p w14:paraId="18CBCB85" w14:textId="3CD2DBBC" w:rsidR="00671913" w:rsidRPr="00671913" w:rsidRDefault="000B4E5C" w:rsidP="00671913">
            <w:pPr>
              <w:jc w:val="both"/>
              <w:rPr>
                <w:rFonts w:ascii="Calibri" w:eastAsia="Calibri" w:hAnsi="Calibri" w:cs="Calibri"/>
              </w:rPr>
            </w:pPr>
            <w:r>
              <w:rPr>
                <w:rFonts w:ascii="Calibri" w:eastAsia="Calibri" w:hAnsi="Calibri" w:cs="Calibri"/>
              </w:rPr>
              <w:t>BCH</w:t>
            </w:r>
          </w:p>
        </w:tc>
        <w:tc>
          <w:tcPr>
            <w:tcW w:w="1244" w:type="dxa"/>
            <w:shd w:val="clear" w:color="auto" w:fill="auto"/>
            <w:noWrap/>
            <w:vAlign w:val="bottom"/>
            <w:hideMark/>
          </w:tcPr>
          <w:p w14:paraId="5D4B59BF" w14:textId="77777777" w:rsidR="00671913" w:rsidRPr="00671913" w:rsidRDefault="00671913" w:rsidP="00671913">
            <w:pPr>
              <w:jc w:val="both"/>
              <w:rPr>
                <w:rFonts w:ascii="Calibri" w:eastAsia="Calibri" w:hAnsi="Calibri" w:cs="Calibri"/>
              </w:rPr>
            </w:pPr>
            <w:r w:rsidRPr="00671913">
              <w:rPr>
                <w:rFonts w:ascii="Calibri" w:eastAsia="Calibri" w:hAnsi="Calibri" w:cs="Calibri"/>
              </w:rPr>
              <w:t>Franciscan</w:t>
            </w:r>
          </w:p>
        </w:tc>
      </w:tr>
      <w:tr w:rsidR="00E00387" w:rsidRPr="00671913" w14:paraId="56ACD379" w14:textId="77777777" w:rsidTr="00E53941">
        <w:trPr>
          <w:cantSplit/>
          <w:trHeight w:val="290"/>
        </w:trPr>
        <w:tc>
          <w:tcPr>
            <w:tcW w:w="8550" w:type="dxa"/>
            <w:shd w:val="clear" w:color="auto" w:fill="auto"/>
            <w:noWrap/>
            <w:vAlign w:val="bottom"/>
            <w:hideMark/>
          </w:tcPr>
          <w:p w14:paraId="6D138989" w14:textId="1D977CFA" w:rsidR="00671913" w:rsidRPr="000B4E5C" w:rsidRDefault="00671913" w:rsidP="000B4E5C">
            <w:pPr>
              <w:pStyle w:val="ListParagraph"/>
              <w:numPr>
                <w:ilvl w:val="0"/>
                <w:numId w:val="25"/>
              </w:numPr>
              <w:spacing w:after="0" w:line="240" w:lineRule="auto"/>
              <w:ind w:left="340" w:hanging="250"/>
              <w:rPr>
                <w:rFonts w:ascii="Calibri" w:eastAsia="Calibri" w:hAnsi="Calibri" w:cs="Calibri"/>
                <w:sz w:val="24"/>
                <w:szCs w:val="24"/>
              </w:rPr>
            </w:pPr>
            <w:r w:rsidRPr="000B4E5C">
              <w:rPr>
                <w:rFonts w:ascii="Calibri" w:eastAsia="Calibri" w:hAnsi="Calibri" w:cs="Calibri"/>
                <w:sz w:val="24"/>
                <w:szCs w:val="24"/>
              </w:rPr>
              <w:t>The daily average of staffed beds for mental health services at BCH and Franciscan</w:t>
            </w:r>
          </w:p>
        </w:tc>
        <w:tc>
          <w:tcPr>
            <w:tcW w:w="810" w:type="dxa"/>
            <w:shd w:val="clear" w:color="auto" w:fill="auto"/>
            <w:noWrap/>
          </w:tcPr>
          <w:p w14:paraId="21904482" w14:textId="5FA78D94" w:rsidR="00671913" w:rsidRPr="00671913" w:rsidRDefault="00671913" w:rsidP="000B4E5C">
            <w:pPr>
              <w:jc w:val="both"/>
              <w:rPr>
                <w:rFonts w:ascii="Calibri" w:eastAsia="Calibri" w:hAnsi="Calibri" w:cs="Calibri"/>
              </w:rPr>
            </w:pPr>
          </w:p>
        </w:tc>
        <w:tc>
          <w:tcPr>
            <w:tcW w:w="1244" w:type="dxa"/>
            <w:shd w:val="clear" w:color="auto" w:fill="auto"/>
            <w:noWrap/>
          </w:tcPr>
          <w:p w14:paraId="36A0ECE5" w14:textId="004484CE" w:rsidR="00671913" w:rsidRPr="00671913" w:rsidRDefault="00671913" w:rsidP="000B4E5C">
            <w:pPr>
              <w:jc w:val="both"/>
              <w:rPr>
                <w:rFonts w:ascii="Calibri" w:eastAsia="Calibri" w:hAnsi="Calibri" w:cs="Calibri"/>
              </w:rPr>
            </w:pPr>
          </w:p>
        </w:tc>
      </w:tr>
      <w:tr w:rsidR="00E00387" w:rsidRPr="00671913" w14:paraId="1655462A" w14:textId="77777777" w:rsidTr="00E53941">
        <w:trPr>
          <w:cantSplit/>
          <w:trHeight w:val="290"/>
        </w:trPr>
        <w:tc>
          <w:tcPr>
            <w:tcW w:w="8550" w:type="dxa"/>
            <w:shd w:val="clear" w:color="auto" w:fill="auto"/>
            <w:noWrap/>
            <w:vAlign w:val="bottom"/>
          </w:tcPr>
          <w:p w14:paraId="331104D6" w14:textId="76841901" w:rsidR="000B4E5C" w:rsidRPr="000B4E5C" w:rsidRDefault="000B4E5C" w:rsidP="000B4E5C">
            <w:pPr>
              <w:pStyle w:val="ListParagraph"/>
              <w:numPr>
                <w:ilvl w:val="0"/>
                <w:numId w:val="25"/>
              </w:numPr>
              <w:spacing w:after="0" w:line="240" w:lineRule="auto"/>
              <w:ind w:left="340" w:hanging="250"/>
              <w:rPr>
                <w:rFonts w:ascii="Calibri" w:eastAsia="Calibri" w:hAnsi="Calibri" w:cs="Calibri"/>
                <w:sz w:val="24"/>
                <w:szCs w:val="24"/>
              </w:rPr>
            </w:pPr>
            <w:r w:rsidRPr="000B4E5C">
              <w:rPr>
                <w:rFonts w:ascii="Calibri" w:eastAsia="Calibri" w:hAnsi="Calibri" w:cs="Calibri"/>
                <w:sz w:val="24"/>
                <w:szCs w:val="24"/>
              </w:rPr>
              <w:t>The daily average of staffed beds for post-acute rehabilitation services at Franciscan.</w:t>
            </w:r>
          </w:p>
        </w:tc>
        <w:tc>
          <w:tcPr>
            <w:tcW w:w="810" w:type="dxa"/>
            <w:shd w:val="clear" w:color="auto" w:fill="auto"/>
            <w:noWrap/>
          </w:tcPr>
          <w:p w14:paraId="2EF346B5" w14:textId="77777777" w:rsidR="000B4E5C" w:rsidRPr="00671913" w:rsidRDefault="000B4E5C" w:rsidP="000B4E5C">
            <w:pPr>
              <w:jc w:val="both"/>
              <w:rPr>
                <w:rFonts w:ascii="Calibri" w:eastAsia="Calibri" w:hAnsi="Calibri" w:cs="Calibri"/>
              </w:rPr>
            </w:pPr>
          </w:p>
        </w:tc>
        <w:tc>
          <w:tcPr>
            <w:tcW w:w="1244" w:type="dxa"/>
            <w:shd w:val="clear" w:color="auto" w:fill="auto"/>
            <w:noWrap/>
          </w:tcPr>
          <w:p w14:paraId="45EC53BD" w14:textId="77777777" w:rsidR="000B4E5C" w:rsidRPr="00671913" w:rsidRDefault="000B4E5C" w:rsidP="000B4E5C">
            <w:pPr>
              <w:jc w:val="both"/>
              <w:rPr>
                <w:rFonts w:ascii="Calibri" w:eastAsia="Calibri" w:hAnsi="Calibri" w:cs="Calibri"/>
              </w:rPr>
            </w:pPr>
          </w:p>
        </w:tc>
      </w:tr>
      <w:tr w:rsidR="00E00387" w:rsidRPr="00671913" w14:paraId="577590EC" w14:textId="77777777" w:rsidTr="00E53941">
        <w:trPr>
          <w:cantSplit/>
          <w:trHeight w:val="290"/>
        </w:trPr>
        <w:tc>
          <w:tcPr>
            <w:tcW w:w="8550" w:type="dxa"/>
            <w:shd w:val="clear" w:color="auto" w:fill="auto"/>
            <w:noWrap/>
            <w:vAlign w:val="bottom"/>
            <w:hideMark/>
          </w:tcPr>
          <w:p w14:paraId="3F39B155" w14:textId="57A247E7" w:rsidR="00671913" w:rsidRPr="000B4E5C" w:rsidRDefault="00671913" w:rsidP="000B4E5C">
            <w:pPr>
              <w:pStyle w:val="ListParagraph"/>
              <w:numPr>
                <w:ilvl w:val="0"/>
                <w:numId w:val="25"/>
              </w:numPr>
              <w:spacing w:after="0" w:line="240" w:lineRule="auto"/>
              <w:ind w:left="340" w:hanging="250"/>
              <w:rPr>
                <w:rFonts w:ascii="Calibri" w:eastAsia="Calibri" w:hAnsi="Calibri" w:cs="Calibri"/>
                <w:sz w:val="24"/>
                <w:szCs w:val="24"/>
              </w:rPr>
            </w:pPr>
            <w:r w:rsidRPr="000B4E5C">
              <w:rPr>
                <w:rFonts w:ascii="Calibri" w:eastAsia="Calibri" w:hAnsi="Calibri" w:cs="Calibri"/>
                <w:sz w:val="24"/>
                <w:szCs w:val="24"/>
              </w:rPr>
              <w:t xml:space="preserve">The daily average of emergency department admissions at </w:t>
            </w:r>
            <w:r w:rsidR="000B4E5C" w:rsidRPr="000B4E5C">
              <w:rPr>
                <w:rFonts w:ascii="Calibri" w:eastAsia="Calibri" w:hAnsi="Calibri" w:cs="Calibri"/>
                <w:sz w:val="24"/>
                <w:szCs w:val="24"/>
              </w:rPr>
              <w:t>BCH</w:t>
            </w:r>
            <w:r w:rsidRPr="000B4E5C">
              <w:rPr>
                <w:rFonts w:ascii="Calibri" w:eastAsia="Calibri" w:hAnsi="Calibri" w:cs="Calibri"/>
                <w:sz w:val="24"/>
                <w:szCs w:val="24"/>
              </w:rPr>
              <w:t>.</w:t>
            </w:r>
          </w:p>
        </w:tc>
        <w:tc>
          <w:tcPr>
            <w:tcW w:w="810" w:type="dxa"/>
            <w:shd w:val="clear" w:color="auto" w:fill="auto"/>
            <w:noWrap/>
          </w:tcPr>
          <w:p w14:paraId="2354E4B2" w14:textId="2CE43F78" w:rsidR="00671913" w:rsidRPr="00671913" w:rsidRDefault="00671913" w:rsidP="000B4E5C">
            <w:pPr>
              <w:jc w:val="both"/>
              <w:rPr>
                <w:rFonts w:ascii="Calibri" w:eastAsia="Calibri" w:hAnsi="Calibri" w:cs="Calibri"/>
              </w:rPr>
            </w:pPr>
          </w:p>
        </w:tc>
        <w:tc>
          <w:tcPr>
            <w:tcW w:w="1244" w:type="dxa"/>
            <w:shd w:val="clear" w:color="auto" w:fill="auto"/>
            <w:noWrap/>
          </w:tcPr>
          <w:p w14:paraId="0AD639D7" w14:textId="39EF5031" w:rsidR="00671913" w:rsidRPr="00671913" w:rsidRDefault="00671913" w:rsidP="000B4E5C">
            <w:pPr>
              <w:jc w:val="both"/>
              <w:rPr>
                <w:rFonts w:ascii="Calibri" w:eastAsia="Calibri" w:hAnsi="Calibri" w:cs="Calibri"/>
              </w:rPr>
            </w:pPr>
          </w:p>
        </w:tc>
      </w:tr>
      <w:tr w:rsidR="00E00387" w:rsidRPr="00671913" w14:paraId="46C88739" w14:textId="77777777" w:rsidTr="00E53941">
        <w:trPr>
          <w:cantSplit/>
          <w:trHeight w:val="290"/>
        </w:trPr>
        <w:tc>
          <w:tcPr>
            <w:tcW w:w="8550" w:type="dxa"/>
            <w:shd w:val="clear" w:color="auto" w:fill="auto"/>
            <w:noWrap/>
            <w:vAlign w:val="bottom"/>
            <w:hideMark/>
          </w:tcPr>
          <w:p w14:paraId="544580D4" w14:textId="07AD54E5" w:rsidR="00671913" w:rsidRPr="000B4E5C" w:rsidRDefault="00671913" w:rsidP="000B4E5C">
            <w:pPr>
              <w:pStyle w:val="ListParagraph"/>
              <w:numPr>
                <w:ilvl w:val="0"/>
                <w:numId w:val="25"/>
              </w:numPr>
              <w:spacing w:after="0" w:line="240" w:lineRule="auto"/>
              <w:ind w:left="340" w:hanging="250"/>
              <w:rPr>
                <w:rFonts w:ascii="Calibri" w:eastAsia="Calibri" w:hAnsi="Calibri" w:cs="Calibri"/>
                <w:sz w:val="24"/>
                <w:szCs w:val="24"/>
              </w:rPr>
            </w:pPr>
            <w:r w:rsidRPr="000B4E5C">
              <w:rPr>
                <w:rFonts w:ascii="Calibri" w:eastAsia="Calibri" w:hAnsi="Calibri" w:cs="Calibri"/>
                <w:sz w:val="24"/>
                <w:szCs w:val="24"/>
              </w:rPr>
              <w:t>The number of rehabilitation/post-acute patients transferred from</w:t>
            </w:r>
            <w:r w:rsidR="000B4E5C" w:rsidRPr="000B4E5C">
              <w:rPr>
                <w:rFonts w:ascii="Calibri" w:eastAsia="Calibri" w:hAnsi="Calibri" w:cs="Calibri"/>
                <w:sz w:val="24"/>
                <w:szCs w:val="24"/>
              </w:rPr>
              <w:t xml:space="preserve"> BCH</w:t>
            </w:r>
            <w:r w:rsidRPr="000B4E5C">
              <w:rPr>
                <w:rFonts w:ascii="Calibri" w:eastAsia="Calibri" w:hAnsi="Calibri" w:cs="Calibri"/>
                <w:sz w:val="24"/>
                <w:szCs w:val="24"/>
              </w:rPr>
              <w:t xml:space="preserve"> to Franciscan.</w:t>
            </w:r>
          </w:p>
        </w:tc>
        <w:tc>
          <w:tcPr>
            <w:tcW w:w="810" w:type="dxa"/>
            <w:shd w:val="clear" w:color="auto" w:fill="auto"/>
            <w:noWrap/>
          </w:tcPr>
          <w:p w14:paraId="096C2FB8" w14:textId="48E42BCF" w:rsidR="00671913" w:rsidRPr="00671913" w:rsidRDefault="00671913" w:rsidP="000B4E5C">
            <w:pPr>
              <w:jc w:val="both"/>
              <w:rPr>
                <w:rFonts w:ascii="Calibri" w:eastAsia="Calibri" w:hAnsi="Calibri" w:cs="Calibri"/>
              </w:rPr>
            </w:pPr>
          </w:p>
        </w:tc>
        <w:tc>
          <w:tcPr>
            <w:tcW w:w="1244" w:type="dxa"/>
            <w:shd w:val="clear" w:color="auto" w:fill="auto"/>
            <w:noWrap/>
          </w:tcPr>
          <w:p w14:paraId="166F4C23" w14:textId="4B63A600" w:rsidR="00671913" w:rsidRPr="00671913" w:rsidRDefault="00671913" w:rsidP="000B4E5C">
            <w:pPr>
              <w:jc w:val="both"/>
              <w:rPr>
                <w:rFonts w:ascii="Calibri" w:eastAsia="Calibri" w:hAnsi="Calibri" w:cs="Calibri"/>
              </w:rPr>
            </w:pPr>
          </w:p>
        </w:tc>
      </w:tr>
      <w:tr w:rsidR="00E00387" w:rsidRPr="00671913" w14:paraId="2977DE76" w14:textId="77777777" w:rsidTr="00E53941">
        <w:trPr>
          <w:cantSplit/>
          <w:trHeight w:val="290"/>
        </w:trPr>
        <w:tc>
          <w:tcPr>
            <w:tcW w:w="8550" w:type="dxa"/>
            <w:shd w:val="clear" w:color="auto" w:fill="auto"/>
            <w:noWrap/>
            <w:vAlign w:val="bottom"/>
            <w:hideMark/>
          </w:tcPr>
          <w:p w14:paraId="15F86B81" w14:textId="4EFD618A" w:rsidR="00671913" w:rsidRPr="000B4E5C" w:rsidRDefault="22D211E5" w:rsidP="000B4E5C">
            <w:pPr>
              <w:pStyle w:val="ListParagraph"/>
              <w:numPr>
                <w:ilvl w:val="0"/>
                <w:numId w:val="25"/>
              </w:numPr>
              <w:spacing w:after="0" w:line="240" w:lineRule="auto"/>
              <w:ind w:left="340" w:hanging="250"/>
              <w:rPr>
                <w:rFonts w:ascii="Calibri" w:eastAsia="Calibri" w:hAnsi="Calibri" w:cs="Calibri"/>
                <w:sz w:val="24"/>
                <w:szCs w:val="24"/>
              </w:rPr>
            </w:pPr>
            <w:r w:rsidRPr="6F80FCDD">
              <w:rPr>
                <w:rFonts w:ascii="Calibri" w:eastAsia="Calibri" w:hAnsi="Calibri" w:cs="Calibri"/>
                <w:sz w:val="24"/>
                <w:szCs w:val="24"/>
              </w:rPr>
              <w:t xml:space="preserve">The number of children who obtain dental services at </w:t>
            </w:r>
            <w:r w:rsidR="00CF6A65">
              <w:rPr>
                <w:rFonts w:ascii="Calibri" w:eastAsia="Calibri" w:hAnsi="Calibri" w:cs="Calibri"/>
                <w:sz w:val="24"/>
                <w:szCs w:val="24"/>
              </w:rPr>
              <w:t>BCH</w:t>
            </w:r>
            <w:r w:rsidRPr="6F80FCDD">
              <w:rPr>
                <w:rFonts w:ascii="Calibri" w:eastAsia="Calibri" w:hAnsi="Calibri" w:cs="Calibri"/>
                <w:sz w:val="24"/>
                <w:szCs w:val="24"/>
              </w:rPr>
              <w:t xml:space="preserve"> and Franciscan.</w:t>
            </w:r>
          </w:p>
        </w:tc>
        <w:tc>
          <w:tcPr>
            <w:tcW w:w="810" w:type="dxa"/>
            <w:shd w:val="clear" w:color="auto" w:fill="auto"/>
            <w:noWrap/>
          </w:tcPr>
          <w:p w14:paraId="7640E683" w14:textId="435E7BE3" w:rsidR="00671913" w:rsidRPr="00671913" w:rsidRDefault="00671913" w:rsidP="000B4E5C">
            <w:pPr>
              <w:jc w:val="both"/>
              <w:rPr>
                <w:rFonts w:ascii="Calibri" w:eastAsia="Calibri" w:hAnsi="Calibri" w:cs="Calibri"/>
              </w:rPr>
            </w:pPr>
          </w:p>
        </w:tc>
        <w:tc>
          <w:tcPr>
            <w:tcW w:w="1244" w:type="dxa"/>
            <w:shd w:val="clear" w:color="auto" w:fill="auto"/>
            <w:noWrap/>
          </w:tcPr>
          <w:p w14:paraId="32D827B3" w14:textId="74718DEC" w:rsidR="00671913" w:rsidRPr="00671913" w:rsidRDefault="00671913" w:rsidP="000B4E5C">
            <w:pPr>
              <w:jc w:val="both"/>
              <w:rPr>
                <w:rFonts w:ascii="Calibri" w:eastAsia="Calibri" w:hAnsi="Calibri" w:cs="Calibri"/>
              </w:rPr>
            </w:pPr>
          </w:p>
        </w:tc>
      </w:tr>
    </w:tbl>
    <w:p w14:paraId="1B12ACDB" w14:textId="77777777" w:rsidR="00671913" w:rsidRPr="00671913" w:rsidRDefault="00671913" w:rsidP="00671913">
      <w:pPr>
        <w:jc w:val="both"/>
        <w:rPr>
          <w:rFonts w:ascii="Calibri" w:eastAsia="Calibri" w:hAnsi="Calibri" w:cs="Calibri"/>
        </w:rPr>
      </w:pPr>
    </w:p>
    <w:p w14:paraId="2816778D" w14:textId="77777777" w:rsidR="00053725" w:rsidRPr="00671913" w:rsidRDefault="00053725" w:rsidP="00671913">
      <w:pPr>
        <w:jc w:val="both"/>
        <w:rPr>
          <w:rFonts w:ascii="Calibri" w:eastAsia="Calibri" w:hAnsi="Calibri" w:cs="Calibri"/>
        </w:rPr>
      </w:pPr>
    </w:p>
    <w:p w14:paraId="04C104D2" w14:textId="2F60CD6A" w:rsidR="005C4091" w:rsidRPr="001E489E" w:rsidRDefault="005C4091" w:rsidP="001B10BB"/>
    <w:p w14:paraId="6D8ECC46" w14:textId="084D75E6" w:rsidR="00440B1E" w:rsidRDefault="00440B1E" w:rsidP="001B10BB"/>
    <w:p w14:paraId="1EB0AAFC" w14:textId="77777777" w:rsidR="00440B1E" w:rsidRDefault="00440B1E">
      <w:pPr>
        <w:spacing w:after="200" w:line="276" w:lineRule="auto"/>
      </w:pPr>
      <w:r>
        <w:br w:type="page"/>
      </w:r>
    </w:p>
    <w:p w14:paraId="0248112C" w14:textId="47A4AE4B" w:rsidR="00F14924" w:rsidRDefault="00F14924" w:rsidP="00F14924">
      <w:pPr>
        <w:spacing w:after="200" w:line="276" w:lineRule="auto"/>
        <w:sectPr w:rsidR="00F14924" w:rsidSect="007E483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432" w:gutter="0"/>
          <w:cols w:space="720"/>
          <w:titlePg/>
          <w:docGrid w:linePitch="360"/>
        </w:sectPr>
      </w:pPr>
    </w:p>
    <w:p w14:paraId="5C88A18A" w14:textId="3A305B6A" w:rsidR="00F61BC0" w:rsidRPr="001E489E" w:rsidRDefault="00F61BC0" w:rsidP="001B10BB"/>
    <w:sectPr w:rsidR="00F61BC0" w:rsidRPr="001E489E" w:rsidSect="007E4837">
      <w:headerReference w:type="even" r:id="rId17"/>
      <w:headerReference w:type="default" r:id="rId18"/>
      <w:footerReference w:type="even" r:id="rId19"/>
      <w:footerReference w:type="default" r:id="rId20"/>
      <w:headerReference w:type="first" r:id="rId21"/>
      <w:footerReference w:type="first" r:id="rId22"/>
      <w:endnotePr>
        <w:numFmt w:val="lowerLetter"/>
      </w:endnotePr>
      <w:type w:val="continuous"/>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A151" w14:textId="77777777" w:rsidR="007E4837" w:rsidRDefault="007E4837" w:rsidP="008C0709">
      <w:r>
        <w:separator/>
      </w:r>
    </w:p>
  </w:endnote>
  <w:endnote w:type="continuationSeparator" w:id="0">
    <w:p w14:paraId="1AC511F0" w14:textId="77777777" w:rsidR="007E4837" w:rsidRDefault="007E4837" w:rsidP="008C0709">
      <w:r>
        <w:continuationSeparator/>
      </w:r>
    </w:p>
  </w:endnote>
  <w:endnote w:type="continuationNotice" w:id="1">
    <w:p w14:paraId="67099E69" w14:textId="77777777" w:rsidR="007E4837" w:rsidRDefault="007E4837"/>
  </w:endnote>
  <w:endnote w:id="2">
    <w:p w14:paraId="2ACB5C0E" w14:textId="77777777" w:rsidR="00060C17" w:rsidRPr="008A7EBE" w:rsidRDefault="00060C17" w:rsidP="00CD0882">
      <w:pPr>
        <w:pStyle w:val="EndnoteText"/>
        <w:jc w:val="both"/>
        <w:rPr>
          <w:rFonts w:cs="Calibri"/>
        </w:rPr>
      </w:pPr>
      <w:r w:rsidRPr="008A7EBE">
        <w:rPr>
          <w:rFonts w:cs="Calibri"/>
          <w:vertAlign w:val="superscript"/>
        </w:rPr>
        <w:endnoteRef/>
      </w:r>
      <w:r w:rsidRPr="008A7EBE">
        <w:rPr>
          <w:rFonts w:cs="Calibri"/>
          <w:i/>
        </w:rPr>
        <w:t xml:space="preserve"> See</w:t>
      </w:r>
      <w:r w:rsidRPr="008A7EBE">
        <w:rPr>
          <w:rFonts w:cs="Calibri"/>
        </w:rPr>
        <w:t xml:space="preserve"> </w:t>
      </w:r>
      <w:r w:rsidRPr="008A7EBE">
        <w:rPr>
          <w:rFonts w:cs="Calibri"/>
          <w:smallCaps/>
        </w:rPr>
        <w:t>Mass. Exec. Office of Health and Human Srvcs</w:t>
      </w:r>
      <w:r w:rsidRPr="008A7EBE">
        <w:rPr>
          <w:rFonts w:cs="Calibri"/>
        </w:rPr>
        <w:t>.,</w:t>
      </w:r>
      <w:r w:rsidRPr="008A7EBE">
        <w:rPr>
          <w:rFonts w:cs="Calibri"/>
          <w:i/>
        </w:rPr>
        <w:t xml:space="preserve"> Roadmap for Behavioral Health Reform: Ensuring the right treatment when and where people need it</w:t>
      </w:r>
      <w:r w:rsidRPr="008A7EBE">
        <w:rPr>
          <w:rFonts w:cs="Calibri"/>
        </w:rPr>
        <w:t xml:space="preserve"> (Feb. 2021),</w:t>
      </w:r>
      <w:r w:rsidRPr="008A7EBE">
        <w:rPr>
          <w:rFonts w:cs="Calibri"/>
          <w:i/>
        </w:rPr>
        <w:t xml:space="preserve"> available at</w:t>
      </w:r>
      <w:r w:rsidRPr="008A7EBE">
        <w:rPr>
          <w:rFonts w:cs="Calibri"/>
        </w:rPr>
        <w:t xml:space="preserve"> https://www.mass.gov/doc/stakeholder-presentation-on-the-roadmap-for-behavioral-health-reform/download hereinafter, the “</w:t>
      </w:r>
      <w:r w:rsidRPr="008A7EBE">
        <w:rPr>
          <w:rFonts w:cs="Calibri"/>
          <w:i/>
        </w:rPr>
        <w:t>Roadmap</w:t>
      </w:r>
      <w:r w:rsidRPr="008A7EBE">
        <w:rPr>
          <w:rFonts w:cs="Calibri"/>
        </w:rPr>
        <w:t xml:space="preserve">.” </w:t>
      </w:r>
    </w:p>
  </w:endnote>
  <w:endnote w:id="3">
    <w:p w14:paraId="1F30C609" w14:textId="29C31B63" w:rsidR="00DB773D" w:rsidRPr="00F95EBD" w:rsidRDefault="00DB773D" w:rsidP="005361B1">
      <w:pPr>
        <w:pStyle w:val="EndnoteText"/>
        <w:rPr>
          <w:rFonts w:cs="Calibri"/>
        </w:rPr>
      </w:pPr>
      <w:r w:rsidRPr="00F95EBD">
        <w:rPr>
          <w:rStyle w:val="EndnoteReference"/>
          <w:rFonts w:cs="Calibri"/>
        </w:rPr>
        <w:endnoteRef/>
      </w:r>
      <w:r w:rsidRPr="00F95EBD">
        <w:rPr>
          <w:rFonts w:cs="Calibri"/>
        </w:rPr>
        <w:t xml:space="preserve"> </w:t>
      </w:r>
      <w:r w:rsidRPr="00F95EBD">
        <w:rPr>
          <w:rFonts w:cs="Calibri"/>
          <w:i/>
        </w:rPr>
        <w:t>See</w:t>
      </w:r>
      <w:r w:rsidRPr="00F95EBD">
        <w:rPr>
          <w:rFonts w:cs="Calibri"/>
        </w:rPr>
        <w:t xml:space="preserve"> Beavais, B, Richter, J., Forest, S, Palmer, E, Spear, B, Turner, R. </w:t>
      </w:r>
      <w:r w:rsidRPr="00F95EBD">
        <w:rPr>
          <w:rFonts w:cs="Calibri"/>
          <w:i/>
        </w:rPr>
        <w:t>A reason to renovate:  The association between hospital age of plan and value based purchasing performance.</w:t>
      </w:r>
      <w:r w:rsidRPr="00F95EBD">
        <w:rPr>
          <w:rFonts w:cs="Calibri"/>
        </w:rPr>
        <w:t xml:space="preserve"> Health Care Revenue Management, (Jan/Mar 2021) available at </w:t>
      </w:r>
      <w:r w:rsidR="00B73799">
        <w:rPr>
          <w:rFonts w:cs="Calibri"/>
        </w:rPr>
        <w:t xml:space="preserve">     </w:t>
      </w:r>
      <w:hyperlink r:id="rId1" w:history="1">
        <w:r w:rsidRPr="00F95EBD">
          <w:rPr>
            <w:rFonts w:cs="Calibri"/>
            <w:color w:val="0000FF"/>
            <w:u w:val="single"/>
          </w:rPr>
          <w:t>A reason to renovate: The association between hospital age of plant and value-based purchasing performance - PubMed (nih.gov)</w:t>
        </w:r>
      </w:hyperlink>
      <w:r w:rsidRPr="00F95EBD">
        <w:rPr>
          <w:rFonts w:cs="Calibri"/>
        </w:rPr>
        <w:t xml:space="preserve">. </w:t>
      </w:r>
    </w:p>
  </w:endnote>
  <w:endnote w:id="4">
    <w:p w14:paraId="74F96E44" w14:textId="4BF38F11" w:rsidR="00FE2B1C" w:rsidRPr="00203617" w:rsidRDefault="00FE2B1C" w:rsidP="008E5A5F">
      <w:pPr>
        <w:pStyle w:val="FootnoteText1"/>
        <w:rPr>
          <w:rFonts w:cs="Calibri"/>
        </w:rPr>
      </w:pPr>
      <w:r w:rsidRPr="00203617">
        <w:rPr>
          <w:rStyle w:val="EndnoteReference"/>
          <w:rFonts w:cs="Calibri"/>
        </w:rPr>
        <w:endnoteRef/>
      </w:r>
      <w:r w:rsidRPr="00203617">
        <w:rPr>
          <w:rFonts w:cs="Calibri"/>
        </w:rPr>
        <w:t xml:space="preserve"> </w:t>
      </w:r>
      <w:r w:rsidRPr="00203617">
        <w:rPr>
          <w:rFonts w:cs="Calibri"/>
          <w:i/>
        </w:rPr>
        <w:t>See</w:t>
      </w:r>
      <w:r w:rsidRPr="00203617">
        <w:rPr>
          <w:rFonts w:cs="Calibri"/>
        </w:rPr>
        <w:t xml:space="preserve"> Karen Dineen Wagner, MD, PhD, </w:t>
      </w:r>
      <w:hyperlink r:id="rId2" w:history="1">
        <w:r w:rsidRPr="00E53941">
          <w:rPr>
            <w:rStyle w:val="Hyperlink"/>
            <w:rFonts w:cs="Calibri"/>
            <w:i/>
            <w:iCs/>
            <w:color w:val="auto"/>
            <w:u w:val="none"/>
          </w:rPr>
          <w:t>New Findings About Children 's Mental Health During COVID-19</w:t>
        </w:r>
      </w:hyperlink>
      <w:r w:rsidRPr="00E53941">
        <w:rPr>
          <w:rFonts w:cs="Calibri"/>
        </w:rPr>
        <w:t xml:space="preserve">, </w:t>
      </w:r>
      <w:r w:rsidRPr="00E53941">
        <w:rPr>
          <w:rFonts w:cs="Calibri"/>
          <w:smallCaps/>
        </w:rPr>
        <w:t xml:space="preserve">Psychiatric </w:t>
      </w:r>
      <w:r w:rsidRPr="00203617">
        <w:rPr>
          <w:rFonts w:cs="Calibri"/>
          <w:smallCaps/>
        </w:rPr>
        <w:t>Times</w:t>
      </w:r>
      <w:r w:rsidRPr="00203617">
        <w:rPr>
          <w:rFonts w:cs="Calibri"/>
        </w:rPr>
        <w:t xml:space="preserve"> (October 7, 2020), </w:t>
      </w:r>
      <w:r w:rsidRPr="00203617">
        <w:rPr>
          <w:rFonts w:cs="Calibri"/>
          <w:i/>
          <w:iCs/>
        </w:rPr>
        <w:t xml:space="preserve">available at </w:t>
      </w:r>
      <w:hyperlink r:id="rId3" w:history="1">
        <w:r w:rsidRPr="00203617">
          <w:rPr>
            <w:rStyle w:val="Hyperlink1"/>
            <w:rFonts w:cs="Calibri"/>
            <w:i/>
            <w:iCs/>
          </w:rPr>
          <w:t>https://www.luriechildrens.org/en/blog/childrens-mental-health-pandemic-statistics</w:t>
        </w:r>
      </w:hyperlink>
    </w:p>
  </w:endnote>
  <w:endnote w:id="5">
    <w:p w14:paraId="20080D82" w14:textId="1C8B8A91" w:rsidR="00FE2B1C" w:rsidRPr="00203617" w:rsidRDefault="00FE2B1C" w:rsidP="008E5A5F">
      <w:pPr>
        <w:pStyle w:val="FootnoteText1"/>
        <w:rPr>
          <w:rFonts w:cs="Calibri"/>
        </w:rPr>
      </w:pPr>
      <w:r w:rsidRPr="00203617">
        <w:rPr>
          <w:rStyle w:val="EndnoteReference"/>
          <w:rFonts w:cs="Calibri"/>
        </w:rPr>
        <w:endnoteRef/>
      </w:r>
      <w:r w:rsidRPr="00203617">
        <w:rPr>
          <w:rFonts w:cs="Calibri"/>
        </w:rPr>
        <w:t xml:space="preserve"> </w:t>
      </w:r>
      <w:r w:rsidRPr="00203617">
        <w:rPr>
          <w:rFonts w:cs="Calibri"/>
          <w:i/>
        </w:rPr>
        <w:t>See</w:t>
      </w:r>
      <w:r w:rsidRPr="00203617">
        <w:rPr>
          <w:rFonts w:cs="Calibri"/>
        </w:rPr>
        <w:t xml:space="preserve"> Leeb RT, Bitsko RH, Radhakrishnan L, Martinez P, Njai R, Holland KM, </w:t>
      </w:r>
      <w:hyperlink r:id="rId4" w:history="1">
        <w:r w:rsidRPr="00BE3BAA">
          <w:rPr>
            <w:rStyle w:val="Hyperlink"/>
            <w:rFonts w:cs="Calibri"/>
            <w:i/>
            <w:iCs/>
            <w:color w:val="auto"/>
            <w:u w:val="none"/>
          </w:rPr>
          <w:t>Mental Health- Related Emergency Department Visits Among Children Aged &lt; 18 Years During the COVID-19 Pandemic - United States</w:t>
        </w:r>
      </w:hyperlink>
      <w:r w:rsidRPr="00BE3BAA">
        <w:rPr>
          <w:rFonts w:cs="Calibri"/>
          <w:i/>
          <w:iCs/>
        </w:rPr>
        <w:t xml:space="preserve">, January </w:t>
      </w:r>
      <w:r w:rsidRPr="00203617">
        <w:rPr>
          <w:rFonts w:cs="Calibri"/>
          <w:i/>
          <w:iCs/>
        </w:rPr>
        <w:t>1-0ctober 17, 2020</w:t>
      </w:r>
      <w:r w:rsidRPr="00203617">
        <w:rPr>
          <w:rFonts w:cs="Calibri"/>
        </w:rPr>
        <w:t xml:space="preserve">, </w:t>
      </w:r>
      <w:r w:rsidRPr="00203617">
        <w:rPr>
          <w:rFonts w:cs="Calibri"/>
          <w:smallCaps/>
        </w:rPr>
        <w:t>MMWR Morb. Mortal Wkly. Rep.</w:t>
      </w:r>
      <w:r w:rsidRPr="00203617">
        <w:rPr>
          <w:rFonts w:cs="Calibri"/>
        </w:rPr>
        <w:t xml:space="preserve"> (2020), 69:1675-1680, </w:t>
      </w:r>
      <w:r w:rsidRPr="00203617">
        <w:rPr>
          <w:rFonts w:cs="Calibri"/>
          <w:i/>
          <w:iCs/>
        </w:rPr>
        <w:t>available at</w:t>
      </w:r>
      <w:r w:rsidRPr="00203617">
        <w:rPr>
          <w:rFonts w:cs="Calibri"/>
        </w:rPr>
        <w:t xml:space="preserve"> </w:t>
      </w:r>
      <w:hyperlink r:id="rId5" w:history="1">
        <w:r w:rsidRPr="00203617">
          <w:rPr>
            <w:rStyle w:val="Hyperlink1"/>
            <w:rFonts w:cs="Calibri"/>
          </w:rPr>
          <w:t>http://dx.doi.org/10.15585/mmwr.mm6945a3</w:t>
        </w:r>
      </w:hyperlink>
      <w:r w:rsidRPr="00203617">
        <w:rPr>
          <w:rFonts w:cs="Calibri"/>
        </w:rPr>
        <w:t>.</w:t>
      </w:r>
    </w:p>
  </w:endnote>
  <w:endnote w:id="6">
    <w:p w14:paraId="7A61F796" w14:textId="30E7FB06" w:rsidR="00FE2B1C" w:rsidRPr="002E6C0E" w:rsidRDefault="00FE2B1C" w:rsidP="00181DDA">
      <w:pPr>
        <w:pStyle w:val="RBNBasicNoSpace"/>
        <w:rPr>
          <w:rFonts w:ascii="Calibri" w:hAnsi="Calibri" w:cs="Calibri"/>
          <w:i/>
          <w:iCs/>
          <w:sz w:val="20"/>
        </w:rPr>
      </w:pPr>
      <w:r w:rsidRPr="002E6C0E">
        <w:rPr>
          <w:rStyle w:val="EndnoteReference"/>
          <w:rFonts w:ascii="Calibri" w:hAnsi="Calibri" w:cs="Calibri"/>
          <w:sz w:val="20"/>
        </w:rPr>
        <w:endnoteRef/>
      </w:r>
      <w:r w:rsidRPr="002E6C0E">
        <w:rPr>
          <w:rFonts w:ascii="Calibri" w:hAnsi="Calibri" w:cs="Calibri"/>
          <w:sz w:val="20"/>
        </w:rPr>
        <w:t xml:space="preserve"> </w:t>
      </w:r>
      <w:r w:rsidRPr="002E6C0E">
        <w:rPr>
          <w:rFonts w:ascii="Calibri" w:hAnsi="Calibri" w:cs="Calibri"/>
          <w:i/>
          <w:sz w:val="20"/>
        </w:rPr>
        <w:t>See</w:t>
      </w:r>
      <w:r w:rsidRPr="002E6C0E">
        <w:rPr>
          <w:rFonts w:ascii="Calibri" w:hAnsi="Calibri" w:cs="Calibri"/>
          <w:sz w:val="20"/>
        </w:rPr>
        <w:t xml:space="preserve"> </w:t>
      </w:r>
      <w:r w:rsidRPr="002E6C0E">
        <w:rPr>
          <w:rFonts w:ascii="Calibri" w:hAnsi="Calibri" w:cs="Calibri"/>
          <w:smallCaps/>
          <w:sz w:val="20"/>
        </w:rPr>
        <w:t>Mass. Dep’t. of Pub. Health, Bureau of Fam.</w:t>
      </w:r>
      <w:r w:rsidRPr="00BE3BAA">
        <w:rPr>
          <w:rFonts w:ascii="Calibri" w:hAnsi="Calibri" w:cs="Calibri"/>
          <w:smallCaps/>
          <w:sz w:val="20"/>
        </w:rPr>
        <w:t xml:space="preserve"> Health &amp; Nutrition</w:t>
      </w:r>
      <w:r w:rsidRPr="00BE3BAA">
        <w:rPr>
          <w:rFonts w:ascii="Calibri" w:hAnsi="Calibri" w:cs="Calibri"/>
          <w:sz w:val="20"/>
        </w:rPr>
        <w:t xml:space="preserve">, </w:t>
      </w:r>
      <w:hyperlink r:id="rId6" w:history="1">
        <w:r w:rsidRPr="00BE3BAA">
          <w:rPr>
            <w:rStyle w:val="Hyperlink"/>
            <w:rFonts w:ascii="Calibri" w:hAnsi="Calibri" w:cs="Calibri"/>
            <w:i/>
            <w:iCs/>
            <w:color w:val="auto"/>
            <w:sz w:val="20"/>
            <w:u w:val="none"/>
          </w:rPr>
          <w:t>FY21 Application and FY2019 Report for the Maternal and Child Health Services Block Grant Program</w:t>
        </w:r>
      </w:hyperlink>
      <w:r w:rsidRPr="00BE3BAA">
        <w:rPr>
          <w:rFonts w:ascii="Calibri" w:hAnsi="Calibri" w:cs="Calibri"/>
          <w:sz w:val="20"/>
        </w:rPr>
        <w:t xml:space="preserve"> (</w:t>
      </w:r>
      <w:r w:rsidRPr="002E6C0E">
        <w:rPr>
          <w:rFonts w:ascii="Calibri" w:hAnsi="Calibri" w:cs="Calibri"/>
          <w:sz w:val="20"/>
        </w:rPr>
        <w:t xml:space="preserve">August 21, 2020), </w:t>
      </w:r>
      <w:r w:rsidRPr="002E6C0E">
        <w:rPr>
          <w:rFonts w:ascii="Calibri" w:hAnsi="Calibri" w:cs="Calibri"/>
          <w:i/>
          <w:iCs/>
          <w:sz w:val="20"/>
        </w:rPr>
        <w:t>available at</w:t>
      </w:r>
    </w:p>
    <w:p w14:paraId="1B64388B" w14:textId="77777777" w:rsidR="00FE2B1C" w:rsidRPr="002E6C0E" w:rsidRDefault="00000000" w:rsidP="00181DDA">
      <w:pPr>
        <w:pStyle w:val="RBNBasicNoSpace"/>
        <w:rPr>
          <w:rFonts w:ascii="Calibri" w:hAnsi="Calibri" w:cs="Calibri"/>
          <w:sz w:val="20"/>
        </w:rPr>
      </w:pPr>
      <w:hyperlink r:id="rId7" w:history="1">
        <w:r w:rsidR="00FE2B1C" w:rsidRPr="002E6C0E">
          <w:rPr>
            <w:rStyle w:val="Hyperlink1"/>
            <w:rFonts w:ascii="Calibri" w:hAnsi="Calibri" w:cs="Calibri"/>
            <w:sz w:val="20"/>
          </w:rPr>
          <w:t>https://mchb.tvisdata.hrsa.gov/</w:t>
        </w:r>
        <w:bookmarkStart w:id="62" w:name="_9kR3WTr266479I2lrt"/>
        <w:r w:rsidR="00FE2B1C" w:rsidRPr="002E6C0E">
          <w:rPr>
            <w:rStyle w:val="Hyperlink1"/>
            <w:rFonts w:ascii="Calibri" w:hAnsi="Calibri" w:cs="Calibri"/>
            <w:sz w:val="20"/>
          </w:rPr>
          <w:t>Admin</w:t>
        </w:r>
        <w:bookmarkEnd w:id="62"/>
        <w:r w:rsidR="00FE2B1C" w:rsidRPr="002E6C0E">
          <w:rPr>
            <w:rStyle w:val="Hyperlink1"/>
            <w:rFonts w:ascii="Calibri" w:hAnsi="Calibri" w:cs="Calibri"/>
            <w:sz w:val="20"/>
          </w:rPr>
          <w:t>/FileUpload/DownloadStateUploadedPdf?filetype=PrintVersion&amp;state=MA&amp;year=2021</w:t>
        </w:r>
      </w:hyperlink>
      <w:r w:rsidR="00FE2B1C" w:rsidRPr="002E6C0E">
        <w:rPr>
          <w:rStyle w:val="Hyperlink1"/>
          <w:rFonts w:ascii="Calibri" w:hAnsi="Calibri" w:cs="Calibri"/>
          <w:sz w:val="20"/>
        </w:rPr>
        <w:t>.</w:t>
      </w:r>
      <w:r w:rsidR="00FE2B1C" w:rsidRPr="002E6C0E">
        <w:rPr>
          <w:rFonts w:ascii="Calibri" w:hAnsi="Calibri" w:cs="Calibri"/>
          <w:sz w:val="20"/>
        </w:rPr>
        <w:t xml:space="preserve"> </w:t>
      </w:r>
    </w:p>
  </w:endnote>
  <w:endnote w:id="7">
    <w:p w14:paraId="71B3F7E3" w14:textId="4D892D78" w:rsidR="00FE2B1C" w:rsidRDefault="00FE2B1C">
      <w:pPr>
        <w:pStyle w:val="EndnoteText"/>
      </w:pPr>
      <w:r>
        <w:rPr>
          <w:rStyle w:val="EndnoteReference"/>
        </w:rPr>
        <w:endnoteRef/>
      </w:r>
      <w:r>
        <w:t xml:space="preserve"> See </w:t>
      </w:r>
      <w:hyperlink r:id="rId8" w:history="1">
        <w:r w:rsidRPr="002C3A70">
          <w:rPr>
            <w:rStyle w:val="Hyperlink"/>
            <w:color w:val="234170" w:themeColor="text2" w:themeShade="BF"/>
          </w:rPr>
          <w:t>https://www.mass.gov/doc/narrative-pdf-the-childrens-medical-center-corporation-change-in-service/download</w:t>
        </w:r>
      </w:hyperlink>
      <w:r>
        <w:t xml:space="preserve"> </w:t>
      </w:r>
    </w:p>
  </w:endnote>
  <w:endnote w:id="8">
    <w:p w14:paraId="506F3E6A" w14:textId="13246964" w:rsidR="00B73799" w:rsidRDefault="00B73799">
      <w:pPr>
        <w:pStyle w:val="EndnoteText"/>
      </w:pPr>
      <w:r>
        <w:rPr>
          <w:rStyle w:val="EndnoteReference"/>
        </w:rPr>
        <w:endnoteRef/>
      </w:r>
      <w:r>
        <w:t xml:space="preserve"> </w:t>
      </w:r>
      <w:hyperlink r:id="rId9" w:history="1">
        <w:r w:rsidRPr="002C3A70">
          <w:rPr>
            <w:rStyle w:val="Hyperlink"/>
            <w:color w:val="234170" w:themeColor="text2" w:themeShade="BF"/>
          </w:rPr>
          <w:t>https://www.mass.gov/info-details/the-childrens-medical-center-corporation-health-care-conservation-project-boston-childrens-hospital</w:t>
        </w:r>
      </w:hyperlink>
      <w:r>
        <w:t xml:space="preserve"> </w:t>
      </w:r>
    </w:p>
  </w:endnote>
  <w:endnote w:id="9">
    <w:p w14:paraId="6B5E1729" w14:textId="118EB50C" w:rsidR="00B73799" w:rsidRPr="00A42DDF" w:rsidRDefault="00B73799" w:rsidP="00D523F2">
      <w:pPr>
        <w:pStyle w:val="FootnoteText1"/>
      </w:pPr>
      <w:r w:rsidRPr="00203617">
        <w:rPr>
          <w:rStyle w:val="EndnoteReference"/>
          <w:rFonts w:cs="Calibri"/>
        </w:rPr>
        <w:endnoteRef/>
      </w:r>
      <w:r w:rsidRPr="00203617">
        <w:rPr>
          <w:rFonts w:cs="Calibri"/>
          <w:i/>
        </w:rPr>
        <w:t>See</w:t>
      </w:r>
      <w:r w:rsidRPr="00203617">
        <w:rPr>
          <w:rFonts w:cs="Calibri"/>
        </w:rPr>
        <w:t xml:space="preserve"> </w:t>
      </w:r>
      <w:hyperlink r:id="rId10" w:history="1">
        <w:r w:rsidRPr="00BE3BAA">
          <w:rPr>
            <w:rStyle w:val="Hyperlink"/>
            <w:rFonts w:cs="Calibri"/>
            <w:i/>
            <w:iCs/>
            <w:color w:val="auto"/>
            <w:u w:val="none"/>
          </w:rPr>
          <w:t>Franciscan Children’s 2021 Community Health Needs Assessment</w:t>
        </w:r>
        <w:r w:rsidRPr="00BE3BAA">
          <w:rPr>
            <w:rStyle w:val="Hyperlink"/>
            <w:rFonts w:cs="Calibri"/>
            <w:color w:val="auto"/>
            <w:u w:val="none"/>
          </w:rPr>
          <w:t xml:space="preserve"> (</w:t>
        </w:r>
      </w:hyperlink>
      <w:r w:rsidRPr="00BE3BAA">
        <w:rPr>
          <w:rFonts w:cs="Calibri"/>
        </w:rPr>
        <w:t>July 2021</w:t>
      </w:r>
      <w:r w:rsidRPr="00203617">
        <w:rPr>
          <w:rFonts w:cs="Calibri"/>
        </w:rPr>
        <w:t xml:space="preserve">), </w:t>
      </w:r>
      <w:r w:rsidRPr="00203617">
        <w:rPr>
          <w:rFonts w:cs="Calibri"/>
          <w:i/>
          <w:iCs/>
        </w:rPr>
        <w:t>available at</w:t>
      </w:r>
      <w:r w:rsidRPr="00203617">
        <w:rPr>
          <w:rFonts w:cs="Calibri"/>
        </w:rPr>
        <w:t xml:space="preserve"> </w:t>
      </w:r>
      <w:hyperlink r:id="rId11" w:history="1">
        <w:r w:rsidRPr="00203617">
          <w:rPr>
            <w:rStyle w:val="Hyperlink1"/>
            <w:rFonts w:cs="Calibri"/>
          </w:rPr>
          <w:t>https://franciscanchildrens.org/wp-content/uploads/2021/07/Franciscan-Childrens-CHNA-Full-Report.pdf</w:t>
        </w:r>
      </w:hyperlink>
      <w:r w:rsidRPr="00203617">
        <w:rPr>
          <w:rStyle w:val="Hyperlink1"/>
          <w:rFonts w:cs="Calibri"/>
        </w:rPr>
        <w:t>.</w:t>
      </w:r>
      <w:r w:rsidRPr="00203617">
        <w:rPr>
          <w:rFonts w:cs="Calibri"/>
        </w:rPr>
        <w:t xml:space="preserve"> </w:t>
      </w:r>
    </w:p>
  </w:endnote>
  <w:endnote w:id="10">
    <w:p w14:paraId="13AB7B74" w14:textId="2E6EC7BB" w:rsidR="00B73799" w:rsidRPr="00203617" w:rsidRDefault="00B73799" w:rsidP="00D523F2">
      <w:pPr>
        <w:pStyle w:val="FootnoteText1"/>
        <w:rPr>
          <w:rFonts w:cs="Calibri"/>
        </w:rPr>
      </w:pPr>
      <w:r w:rsidRPr="00203617">
        <w:rPr>
          <w:rStyle w:val="EndnoteReference"/>
          <w:rFonts w:cs="Calibri"/>
        </w:rPr>
        <w:endnoteRef/>
      </w:r>
      <w:r w:rsidRPr="00203617">
        <w:rPr>
          <w:rFonts w:cs="Calibri"/>
        </w:rPr>
        <w:t xml:space="preserve"> </w:t>
      </w:r>
      <w:r w:rsidRPr="00203617">
        <w:rPr>
          <w:rFonts w:cs="Calibri"/>
          <w:i/>
        </w:rPr>
        <w:t>See</w:t>
      </w:r>
      <w:r w:rsidRPr="00203617">
        <w:rPr>
          <w:rFonts w:cs="Calibri"/>
        </w:rPr>
        <w:t xml:space="preserve"> </w:t>
      </w:r>
      <w:hyperlink r:id="rId12" w:history="1">
        <w:r w:rsidRPr="00BE3BAA">
          <w:rPr>
            <w:rStyle w:val="Hyperlink"/>
            <w:rFonts w:cs="Calibri"/>
            <w:i/>
            <w:iCs/>
            <w:color w:val="auto"/>
            <w:u w:val="none"/>
          </w:rPr>
          <w:t>Boston Children’s Hospital 2019 Community Health Needs Assessment Final Report</w:t>
        </w:r>
      </w:hyperlink>
      <w:r w:rsidRPr="00BE3BAA">
        <w:rPr>
          <w:rFonts w:cs="Calibri"/>
          <w:i/>
          <w:iCs/>
        </w:rPr>
        <w:t xml:space="preserve">, </w:t>
      </w:r>
      <w:r w:rsidRPr="00203617">
        <w:rPr>
          <w:rFonts w:cs="Calibri"/>
          <w:i/>
          <w:iCs/>
        </w:rPr>
        <w:t>available at</w:t>
      </w:r>
      <w:r w:rsidRPr="00203617">
        <w:rPr>
          <w:rFonts w:cs="Calibri"/>
        </w:rPr>
        <w:t xml:space="preserve"> </w:t>
      </w:r>
      <w:hyperlink r:id="rId13" w:history="1">
        <w:r w:rsidRPr="00203617">
          <w:rPr>
            <w:rStyle w:val="Hyperlink1"/>
            <w:rFonts w:cs="Calibri"/>
          </w:rPr>
          <w:t>https://www.childrenshospital.org/sites/default/files/2022-04/communithy-health-chna-final-report-09302020.pdf</w:t>
        </w:r>
      </w:hyperlink>
      <w:r w:rsidRPr="00203617">
        <w:rPr>
          <w:rFonts w:cs="Calibri"/>
        </w:rPr>
        <w:t xml:space="preserve">. </w:t>
      </w:r>
    </w:p>
  </w:endnote>
  <w:endnote w:id="11">
    <w:p w14:paraId="38A2B4D6" w14:textId="1F41B5F1" w:rsidR="008B22EE" w:rsidRPr="002C622A" w:rsidRDefault="008B22EE" w:rsidP="008B22EE">
      <w:pPr>
        <w:pStyle w:val="EndnoteText"/>
        <w:rPr>
          <w:rFonts w:cs="Calibri"/>
        </w:rPr>
      </w:pPr>
      <w:r w:rsidRPr="002C622A">
        <w:rPr>
          <w:rStyle w:val="EndnoteReference"/>
          <w:rFonts w:cs="Calibri"/>
        </w:rPr>
        <w:endnoteRef/>
      </w:r>
      <w:r w:rsidRPr="002C622A">
        <w:rPr>
          <w:rFonts w:cs="Calibri"/>
        </w:rPr>
        <w:t xml:space="preserve"> </w:t>
      </w:r>
      <w:r w:rsidRPr="002C622A">
        <w:rPr>
          <w:rFonts w:cs="Calibri"/>
          <w:bCs/>
          <w:smallCaps/>
        </w:rPr>
        <w:t xml:space="preserve">Children’s Hosp. </w:t>
      </w:r>
      <w:proofErr w:type="spellStart"/>
      <w:r w:rsidRPr="002C622A">
        <w:rPr>
          <w:rFonts w:cs="Calibri"/>
          <w:bCs/>
          <w:smallCaps/>
        </w:rPr>
        <w:t>Ass’n</w:t>
      </w:r>
      <w:proofErr w:type="spellEnd"/>
      <w:r w:rsidRPr="002C622A">
        <w:rPr>
          <w:rFonts w:cs="Calibri"/>
          <w:bCs/>
          <w:smallCaps/>
        </w:rPr>
        <w:t>.</w:t>
      </w:r>
      <w:r w:rsidRPr="002C622A">
        <w:rPr>
          <w:rFonts w:cs="Calibri"/>
          <w:bCs/>
        </w:rPr>
        <w:t xml:space="preserve">, </w:t>
      </w:r>
      <w:hyperlink r:id="rId14" w:history="1">
        <w:r w:rsidRPr="00BE3BAA">
          <w:rPr>
            <w:rStyle w:val="Hyperlink"/>
            <w:rFonts w:cs="Calibri"/>
            <w:bCs/>
            <w:i/>
            <w:iCs/>
            <w:color w:val="auto"/>
            <w:u w:val="none"/>
          </w:rPr>
          <w:t>Optimizing Health Care for Children with Medical Complexity</w:t>
        </w:r>
        <w:r w:rsidRPr="00BE3BAA">
          <w:rPr>
            <w:rStyle w:val="Hyperlink"/>
            <w:rFonts w:cs="Calibri"/>
            <w:bCs/>
            <w:color w:val="auto"/>
            <w:u w:val="none"/>
          </w:rPr>
          <w:t>,</w:t>
        </w:r>
      </w:hyperlink>
      <w:r w:rsidRPr="00BE3BAA">
        <w:rPr>
          <w:rFonts w:cs="Calibri"/>
          <w:bCs/>
        </w:rPr>
        <w:t xml:space="preserve"> (October </w:t>
      </w:r>
      <w:r w:rsidRPr="002C622A">
        <w:rPr>
          <w:rFonts w:cs="Calibri"/>
          <w:bCs/>
        </w:rPr>
        <w:t xml:space="preserve">15, 2013) </w:t>
      </w:r>
      <w:r w:rsidRPr="002C622A">
        <w:rPr>
          <w:rFonts w:cs="Calibri"/>
          <w:bCs/>
          <w:i/>
          <w:iCs/>
        </w:rPr>
        <w:t xml:space="preserve">available at </w:t>
      </w:r>
      <w:hyperlink r:id="rId15" w:history="1">
        <w:r w:rsidR="00BE3BAA" w:rsidRPr="002C3A70">
          <w:rPr>
            <w:rStyle w:val="Hyperlink"/>
            <w:rFonts w:cs="Calibri"/>
            <w:bCs/>
            <w:color w:val="234170" w:themeColor="text2" w:themeShade="BF"/>
          </w:rPr>
          <w:t>https://www.childrenshospitals.org/-/media/Files/CHA/Main/Issues_and_Advocacy/Key_Issues /Children_With_Medical_Complexity/Issue_Briefs_and_Reports/OptimizingHealthCareReport_10152013.pdf</w:t>
        </w:r>
      </w:hyperlink>
      <w:r w:rsidR="00BE3BAA">
        <w:rPr>
          <w:rFonts w:cs="Calibri"/>
          <w:bCs/>
        </w:rPr>
        <w:t xml:space="preserve"> </w:t>
      </w:r>
    </w:p>
  </w:endnote>
  <w:endnote w:id="12">
    <w:p w14:paraId="550038CD" w14:textId="77777777" w:rsidR="008B22EE" w:rsidRDefault="008B22EE" w:rsidP="008B22EE">
      <w:pPr>
        <w:pStyle w:val="EndnoteText"/>
      </w:pPr>
      <w:r>
        <w:rPr>
          <w:rStyle w:val="EndnoteReference"/>
        </w:rPr>
        <w:endnoteRef/>
      </w:r>
      <w:r>
        <w:t xml:space="preserve"> </w:t>
      </w:r>
      <w:r w:rsidRPr="002C622A">
        <w:rPr>
          <w:rFonts w:cs="Calibri"/>
          <w:smallCaps/>
        </w:rPr>
        <w:t>Mass. Health Policy Comm’n</w:t>
      </w:r>
      <w:r w:rsidRPr="002C622A">
        <w:rPr>
          <w:rFonts w:cs="Calibri"/>
        </w:rPr>
        <w:t xml:space="preserve">, </w:t>
      </w:r>
      <w:r w:rsidRPr="002C622A">
        <w:rPr>
          <w:rFonts w:cs="Calibri"/>
          <w:i/>
        </w:rPr>
        <w:t>Children with Medical Complexity in the Commonwealth</w:t>
      </w:r>
      <w:r w:rsidRPr="002C622A">
        <w:rPr>
          <w:rFonts w:cs="Calibri"/>
        </w:rPr>
        <w:t xml:space="preserve"> (Oct. 6, 2021).</w:t>
      </w:r>
    </w:p>
  </w:endnote>
  <w:endnote w:id="13">
    <w:p w14:paraId="21E30E84" w14:textId="01714974" w:rsidR="002844A6" w:rsidRPr="00203617" w:rsidRDefault="002844A6" w:rsidP="002A3BEE">
      <w:pPr>
        <w:pStyle w:val="EndnoteText"/>
        <w:rPr>
          <w:rFonts w:cs="Calibri"/>
        </w:rPr>
      </w:pPr>
      <w:r w:rsidRPr="00203617">
        <w:rPr>
          <w:rStyle w:val="EndnoteReference"/>
          <w:rFonts w:cs="Calibri"/>
        </w:rPr>
        <w:endnoteRef/>
      </w:r>
      <w:r w:rsidRPr="00203617">
        <w:rPr>
          <w:rFonts w:cs="Calibri"/>
        </w:rPr>
        <w:t xml:space="preserve"> </w:t>
      </w:r>
      <w:r w:rsidRPr="00203617">
        <w:rPr>
          <w:rFonts w:cs="Calibri"/>
          <w:i/>
          <w:iCs/>
        </w:rPr>
        <w:t>See</w:t>
      </w:r>
      <w:r w:rsidRPr="00203617">
        <w:rPr>
          <w:rFonts w:cs="Calibri"/>
        </w:rPr>
        <w:t xml:space="preserve"> </w:t>
      </w:r>
      <w:r w:rsidRPr="00203617">
        <w:rPr>
          <w:rFonts w:cs="Calibri"/>
          <w:smallCaps/>
        </w:rPr>
        <w:t>Nat’l Inst. of Dental &amp; Craniofacial Research</w:t>
      </w:r>
      <w:r w:rsidRPr="00203617">
        <w:rPr>
          <w:rFonts w:cs="Calibri"/>
        </w:rPr>
        <w:t xml:space="preserve">, </w:t>
      </w:r>
      <w:hyperlink r:id="rId16" w:history="1">
        <w:r w:rsidRPr="002C3A70">
          <w:rPr>
            <w:rStyle w:val="Hyperlink"/>
            <w:rFonts w:cs="Calibri"/>
            <w:i/>
            <w:color w:val="auto"/>
            <w:u w:val="none"/>
          </w:rPr>
          <w:t>Developmental Disabilities &amp; Oral Health</w:t>
        </w:r>
      </w:hyperlink>
      <w:r w:rsidRPr="002C3A70">
        <w:rPr>
          <w:rFonts w:cs="Calibri"/>
          <w:i/>
        </w:rPr>
        <w:t xml:space="preserve">, available </w:t>
      </w:r>
      <w:r w:rsidRPr="00203617">
        <w:rPr>
          <w:rFonts w:cs="Calibri"/>
          <w:i/>
        </w:rPr>
        <w:t xml:space="preserve">at </w:t>
      </w:r>
      <w:hyperlink r:id="rId17" w:history="1">
        <w:r w:rsidRPr="002C3A70">
          <w:rPr>
            <w:rStyle w:val="Hyperlink"/>
            <w:rFonts w:cs="Calibri"/>
            <w:color w:val="234170" w:themeColor="text2" w:themeShade="BF"/>
          </w:rPr>
          <w:t>https://www.nidcr.nih.gov/health-info/developmental-disabilities</w:t>
        </w:r>
      </w:hyperlink>
      <w:r w:rsidRPr="00203617">
        <w:rPr>
          <w:rFonts w:cs="Calibri"/>
        </w:rPr>
        <w:t>.</w:t>
      </w:r>
    </w:p>
  </w:endnote>
  <w:endnote w:id="14">
    <w:p w14:paraId="1EB097CD" w14:textId="1CCD8F12" w:rsidR="002844A6" w:rsidRDefault="002844A6" w:rsidP="002A3BEE">
      <w:pPr>
        <w:pStyle w:val="EndnoteText"/>
      </w:pPr>
      <w:r w:rsidRPr="00203617">
        <w:rPr>
          <w:rStyle w:val="EndnoteReference"/>
          <w:rFonts w:cs="Calibri"/>
        </w:rPr>
        <w:endnoteRef/>
      </w:r>
      <w:r w:rsidRPr="00203617">
        <w:rPr>
          <w:rFonts w:cs="Calibri"/>
        </w:rPr>
        <w:t xml:space="preserve"> </w:t>
      </w:r>
      <w:r w:rsidRPr="00203617">
        <w:rPr>
          <w:rFonts w:cs="Calibri"/>
          <w:i/>
          <w:iCs/>
        </w:rPr>
        <w:t>See</w:t>
      </w:r>
      <w:r w:rsidRPr="00203617">
        <w:rPr>
          <w:rFonts w:cs="Calibri"/>
        </w:rPr>
        <w:t xml:space="preserve"> </w:t>
      </w:r>
      <w:r w:rsidRPr="00203617">
        <w:rPr>
          <w:rFonts w:cs="Calibri"/>
          <w:smallCaps/>
        </w:rPr>
        <w:t>Mass. Health DRISP</w:t>
      </w:r>
      <w:r w:rsidRPr="00203617">
        <w:rPr>
          <w:rFonts w:cs="Calibri"/>
        </w:rPr>
        <w:t xml:space="preserve">, </w:t>
      </w:r>
      <w:hyperlink r:id="rId18" w:history="1">
        <w:r w:rsidRPr="002C3A70">
          <w:rPr>
            <w:rStyle w:val="Hyperlink"/>
            <w:rFonts w:cs="Calibri"/>
            <w:i/>
            <w:color w:val="auto"/>
            <w:u w:val="none"/>
          </w:rPr>
          <w:t>Oral Health Integration for MassHealth ACOs</w:t>
        </w:r>
      </w:hyperlink>
      <w:r w:rsidRPr="002C3A70">
        <w:rPr>
          <w:rFonts w:cs="Calibri"/>
          <w:i/>
        </w:rPr>
        <w:t xml:space="preserve">, </w:t>
      </w:r>
      <w:r w:rsidRPr="00203617">
        <w:rPr>
          <w:rFonts w:cs="Calibri"/>
          <w:i/>
        </w:rPr>
        <w:t xml:space="preserve">available at </w:t>
      </w:r>
      <w:hyperlink r:id="rId19" w:history="1">
        <w:r w:rsidRPr="002C3A70">
          <w:rPr>
            <w:rStyle w:val="Hyperlink"/>
            <w:rFonts w:cs="Calibri"/>
            <w:color w:val="234170" w:themeColor="text2" w:themeShade="BF"/>
          </w:rPr>
          <w:t>https://www.ma-dsrip-ta.com/wp-content/uploads/2020/09/Oral-Health-FAQ-Factsheet.pdf</w:t>
        </w:r>
      </w:hyperlink>
      <w:r w:rsidRPr="00203617">
        <w:rPr>
          <w:rFonts w:cs="Calibri"/>
        </w:rPr>
        <w:t>.</w:t>
      </w:r>
    </w:p>
  </w:endnote>
  <w:endnote w:id="15">
    <w:p w14:paraId="3E489679" w14:textId="77777777" w:rsidR="00B73799" w:rsidRPr="00E36554" w:rsidRDefault="00B73799" w:rsidP="00E36554">
      <w:pPr>
        <w:pStyle w:val="EndnoteText"/>
        <w:rPr>
          <w:rFonts w:cs="Calibri"/>
        </w:rPr>
      </w:pPr>
      <w:r w:rsidRPr="00E36554">
        <w:rPr>
          <w:rStyle w:val="EndnoteReference"/>
          <w:rFonts w:cs="Calibri"/>
        </w:rPr>
        <w:endnoteRef/>
      </w:r>
      <w:r w:rsidRPr="00E36554">
        <w:rPr>
          <w:rFonts w:cs="Calibri"/>
        </w:rPr>
        <w:t xml:space="preserve"> </w:t>
      </w:r>
      <w:r w:rsidRPr="00E36554">
        <w:rPr>
          <w:rFonts w:cs="Calibri"/>
          <w:i/>
        </w:rPr>
        <w:t>See</w:t>
      </w:r>
      <w:r w:rsidRPr="00E36554">
        <w:rPr>
          <w:rFonts w:cs="Calibri"/>
        </w:rPr>
        <w:t xml:space="preserve"> Elizabeth Williams and MaryBeth Musumeci, </w:t>
      </w:r>
      <w:hyperlink r:id="rId20" w:history="1">
        <w:r w:rsidRPr="002C3A70">
          <w:rPr>
            <w:rStyle w:val="Hyperlink"/>
            <w:rFonts w:cs="Calibri"/>
            <w:i/>
            <w:iCs/>
            <w:color w:val="234170" w:themeColor="text2" w:themeShade="BF"/>
          </w:rPr>
          <w:t>Children with special health care needs: Coverage, affordability, and HCBS Access</w:t>
        </w:r>
      </w:hyperlink>
      <w:r w:rsidRPr="00E36554">
        <w:rPr>
          <w:rFonts w:cs="Calibri"/>
        </w:rPr>
        <w:t xml:space="preserve">, KFF (October 4, 2021), </w:t>
      </w:r>
      <w:r w:rsidRPr="00E36554">
        <w:rPr>
          <w:rFonts w:cs="Calibri"/>
          <w:i/>
          <w:iCs/>
        </w:rPr>
        <w:t>available at</w:t>
      </w:r>
      <w:r w:rsidRPr="00E36554">
        <w:rPr>
          <w:rFonts w:cs="Calibri"/>
        </w:rPr>
        <w:t xml:space="preserve"> </w:t>
      </w:r>
      <w:hyperlink r:id="rId21" w:history="1">
        <w:r w:rsidRPr="002C3A70">
          <w:rPr>
            <w:rStyle w:val="Hyperlink"/>
            <w:rFonts w:cs="Calibri"/>
            <w:color w:val="234170" w:themeColor="text2" w:themeShade="BF"/>
          </w:rPr>
          <w:t>https://www.kff.org/medicaid/issue-brief/children-with-special-health-care-needs-coverage-affordability-and-hcbs-access/</w:t>
        </w:r>
      </w:hyperlink>
      <w:r w:rsidRPr="00E36554">
        <w:rPr>
          <w:rFonts w:cs="Calibri"/>
        </w:rPr>
        <w:t>.</w:t>
      </w:r>
    </w:p>
  </w:endnote>
  <w:endnote w:id="16">
    <w:p w14:paraId="7813BA2C" w14:textId="18EB8659" w:rsidR="00B73799" w:rsidRDefault="00B73799" w:rsidP="00C92EEA">
      <w:pPr>
        <w:pStyle w:val="EndnoteText"/>
      </w:pPr>
      <w:r>
        <w:rPr>
          <w:rStyle w:val="EndnoteReference"/>
        </w:rPr>
        <w:endnoteRef/>
      </w:r>
      <w:r>
        <w:t xml:space="preserve"> </w:t>
      </w:r>
      <w:hyperlink r:id="rId22" w:history="1">
        <w:r w:rsidRPr="002C3A70">
          <w:rPr>
            <w:rStyle w:val="Hyperlink"/>
            <w:color w:val="234170" w:themeColor="text2" w:themeShade="BF"/>
          </w:rPr>
          <w:t>https://www.healthit.gov/topic/health-it-and-health-information-exchange-basics/benefits-ehrs</w:t>
        </w:r>
      </w:hyperlink>
      <w:r>
        <w:t xml:space="preserve"> </w:t>
      </w:r>
    </w:p>
  </w:endnote>
  <w:endnote w:id="17">
    <w:p w14:paraId="03C4F38B" w14:textId="1C5038BC" w:rsidR="00B73799" w:rsidRPr="007B203A" w:rsidRDefault="00B73799" w:rsidP="00076B1A">
      <w:pPr>
        <w:pStyle w:val="EndnoteText"/>
        <w:contextualSpacing/>
        <w:rPr>
          <w:rFonts w:cstheme="minorHAnsi"/>
        </w:rPr>
      </w:pPr>
      <w:r w:rsidRPr="007B203A">
        <w:rPr>
          <w:rStyle w:val="EndnoteReference"/>
          <w:rFonts w:cstheme="minorHAnsi"/>
        </w:rPr>
        <w:endnoteRef/>
      </w:r>
      <w:r w:rsidRPr="002C3A70">
        <w:rPr>
          <w:rFonts w:cstheme="minorHAnsi"/>
        </w:rPr>
        <w:t xml:space="preserve"> </w:t>
      </w:r>
      <w:hyperlink r:id="rId23" w:history="1">
        <w:r w:rsidRPr="002C3A70">
          <w:rPr>
            <w:rStyle w:val="Hyperlink"/>
            <w:rFonts w:eastAsia="Times New Roman" w:cstheme="minorHAnsi"/>
            <w:color w:val="auto"/>
            <w:u w:val="none"/>
          </w:rPr>
          <w:t>Community Engagement Standards for Community Health Planning Guideline</w:t>
        </w:r>
      </w:hyperlink>
      <w:r w:rsidRPr="007B203A">
        <w:rPr>
          <w:rFonts w:eastAsia="Times New Roman" w:cstheme="minorHAnsi"/>
        </w:rPr>
        <w:t xml:space="preserve">. </w:t>
      </w:r>
      <w:hyperlink r:id="rId24" w:history="1">
        <w:r w:rsidR="002C3A70" w:rsidRPr="002C3A70">
          <w:rPr>
            <w:rStyle w:val="Hyperlink"/>
            <w:rFonts w:eastAsia="Times New Roman" w:cstheme="minorHAnsi"/>
            <w:color w:val="234170" w:themeColor="text2" w:themeShade="BF"/>
          </w:rPr>
          <w:t>https://www.mass.gov/doc/community-engagement-guidelines-for-community-health-planning-pdf/download</w:t>
        </w:r>
      </w:hyperlink>
      <w:r w:rsidR="002C3A70">
        <w:rPr>
          <w:rFonts w:eastAsia="Times New Roman" w:cstheme="minorHAnsi"/>
        </w:rPr>
        <w:t xml:space="preserve"> </w:t>
      </w:r>
      <w:r w:rsidRPr="007B203A">
        <w:rPr>
          <w:rFonts w:eastAsia="Times New Roman" w:cstheme="minorHAnsi"/>
        </w:rPr>
        <w:t>.</w:t>
      </w:r>
      <w:r w:rsidRPr="007B203A">
        <w:rPr>
          <w:rFonts w:cstheme="minorHAnsi"/>
        </w:rPr>
        <w:t xml:space="preserve"> </w:t>
      </w:r>
    </w:p>
  </w:endnote>
  <w:endnote w:id="18">
    <w:p w14:paraId="35BFD950" w14:textId="09F35DF5" w:rsidR="00B73799" w:rsidRPr="007B203A" w:rsidRDefault="00B73799" w:rsidP="00076B1A">
      <w:pPr>
        <w:pStyle w:val="EndnoteText"/>
        <w:rPr>
          <w:rFonts w:cstheme="minorHAnsi"/>
        </w:rPr>
      </w:pPr>
      <w:r w:rsidRPr="007B203A">
        <w:rPr>
          <w:rStyle w:val="EndnoteReference"/>
          <w:rFonts w:cstheme="minorHAnsi"/>
        </w:rPr>
        <w:endnoteRef/>
      </w:r>
      <w:r w:rsidRPr="007B203A">
        <w:rPr>
          <w:rFonts w:cstheme="minorHAnsi"/>
        </w:rPr>
        <w:t xml:space="preserve"> </w:t>
      </w:r>
      <w:hyperlink r:id="rId25" w:history="1">
        <w:r w:rsidRPr="002C3A70">
          <w:rPr>
            <w:rStyle w:val="Hyperlink"/>
            <w:rFonts w:cstheme="minorHAnsi"/>
            <w:color w:val="234170" w:themeColor="text2" w:themeShade="BF"/>
            <w:u w:val="none"/>
          </w:rPr>
          <w:t>DoN Regulation 100.210 (A)(1)(e)</w:t>
        </w:r>
        <w:r w:rsidRPr="002C3A70">
          <w:rPr>
            <w:rStyle w:val="Hyperlink"/>
            <w:rFonts w:cstheme="minorHAnsi"/>
            <w:color w:val="234170" w:themeColor="text2" w:themeShade="BF"/>
          </w:rPr>
          <w:t>.</w:t>
        </w:r>
      </w:hyperlink>
      <w:r w:rsidRPr="007B203A">
        <w:rPr>
          <w:rFonts w:cstheme="minorHAnsi"/>
        </w:rPr>
        <w:t xml:space="preserve"> </w:t>
      </w:r>
      <w:hyperlink r:id="rId26" w:history="1">
        <w:r w:rsidRPr="007B203A">
          <w:rPr>
            <w:rStyle w:val="Hyperlink"/>
            <w:rFonts w:cstheme="minorHAnsi"/>
            <w:color w:val="auto"/>
          </w:rPr>
          <w:t>at https://www.mass.gov/files/documents/2018/12/31/jud-lib-105cmr100.pdf</w:t>
        </w:r>
      </w:hyperlink>
      <w:r w:rsidRPr="007B203A">
        <w:rPr>
          <w:rStyle w:val="Hyperlink"/>
          <w:rFonts w:cstheme="minorHAnsi"/>
          <w:color w:val="auto"/>
          <w:u w:val="none"/>
        </w:rPr>
        <w:t>.</w:t>
      </w:r>
    </w:p>
  </w:endnote>
  <w:endnote w:id="19">
    <w:p w14:paraId="2E5EFA59" w14:textId="77777777" w:rsidR="00B73799" w:rsidRDefault="00B73799" w:rsidP="00550940">
      <w:pPr>
        <w:pStyle w:val="EndnoteText"/>
      </w:pPr>
      <w:r w:rsidRPr="00F41535">
        <w:rPr>
          <w:rStyle w:val="EndnoteReference"/>
          <w:rFonts w:ascii="Calibri" w:hAnsi="Calibri" w:cs="Calibri"/>
        </w:rPr>
        <w:endnoteRef/>
      </w:r>
      <w:r w:rsidRPr="00F41535">
        <w:rPr>
          <w:rFonts w:ascii="Calibri" w:hAnsi="Calibri" w:cs="Calibri"/>
        </w:rPr>
        <w:t xml:space="preserve"> </w:t>
      </w:r>
      <w:r w:rsidRPr="00F41535">
        <w:rPr>
          <w:rFonts w:ascii="Calibri" w:hAnsi="Calibri" w:cs="Calibri"/>
          <w:i/>
        </w:rPr>
        <w:t>See</w:t>
      </w:r>
      <w:r w:rsidRPr="00F41535">
        <w:rPr>
          <w:rFonts w:ascii="Calibri" w:hAnsi="Calibri" w:cs="Calibri"/>
        </w:rPr>
        <w:t xml:space="preserve"> Brykman K, Houston R, Bailey M, </w:t>
      </w:r>
      <w:hyperlink r:id="rId27" w:history="1">
        <w:r w:rsidRPr="00F41535">
          <w:rPr>
            <w:rStyle w:val="Hyperlink1"/>
            <w:rFonts w:ascii="Calibri" w:hAnsi="Calibri" w:cs="Calibri"/>
            <w:i/>
            <w:iCs/>
          </w:rPr>
          <w:t>Value-Based Payment to Support Children’s Health and Wellness</w:t>
        </w:r>
      </w:hyperlink>
      <w:r w:rsidRPr="00F41535">
        <w:rPr>
          <w:rFonts w:ascii="Calibri" w:hAnsi="Calibri" w:cs="Calibri"/>
          <w:i/>
          <w:iCs/>
        </w:rPr>
        <w:t xml:space="preserve"> </w:t>
      </w:r>
      <w:r w:rsidRPr="00F41535">
        <w:rPr>
          <w:rFonts w:ascii="Calibri" w:hAnsi="Calibri" w:cs="Calibri"/>
        </w:rPr>
        <w:t xml:space="preserve">(September 2021), </w:t>
      </w:r>
      <w:r w:rsidRPr="00F41535">
        <w:rPr>
          <w:rFonts w:ascii="Calibri" w:hAnsi="Calibri" w:cs="Calibri"/>
          <w:i/>
          <w:iCs/>
        </w:rPr>
        <w:t>available at</w:t>
      </w:r>
      <w:r w:rsidRPr="00F41535">
        <w:rPr>
          <w:rFonts w:ascii="Calibri" w:hAnsi="Calibri" w:cs="Calibri"/>
        </w:rPr>
        <w:t xml:space="preserve"> </w:t>
      </w:r>
      <w:hyperlink r:id="rId28" w:history="1">
        <w:r w:rsidRPr="00F41535">
          <w:rPr>
            <w:rStyle w:val="Hyperlink1"/>
            <w:rFonts w:ascii="Calibri" w:hAnsi="Calibri" w:cs="Calibri"/>
          </w:rPr>
          <w:t>https://www.bluecrossmafoundation.org/sites/g/files/csphws2101/files/2021-09/Value-Based%20Pmt_Childrens-Health_ExSum_FINAL.pdf</w:t>
        </w:r>
      </w:hyperlink>
      <w:r w:rsidRPr="00F41535">
        <w:rPr>
          <w:rFonts w:ascii="Calibri" w:hAnsi="Calibri" w:cs="Calibri"/>
        </w:rPr>
        <w:t>.</w:t>
      </w:r>
    </w:p>
  </w:endnote>
  <w:endnote w:id="20">
    <w:p w14:paraId="0CB6F79C" w14:textId="77777777" w:rsidR="00B73799" w:rsidRPr="00F41535" w:rsidRDefault="00B73799" w:rsidP="00550940">
      <w:pPr>
        <w:pStyle w:val="EndnoteText"/>
        <w:rPr>
          <w:rFonts w:ascii="Calibri" w:hAnsi="Calibri" w:cs="Calibri"/>
        </w:rPr>
      </w:pPr>
      <w:r w:rsidRPr="00F41535">
        <w:rPr>
          <w:rStyle w:val="EndnoteReference"/>
          <w:rFonts w:ascii="Calibri" w:hAnsi="Calibri" w:cs="Calibri"/>
        </w:rPr>
        <w:endnoteRef/>
      </w:r>
      <w:r w:rsidRPr="00F41535">
        <w:rPr>
          <w:rFonts w:ascii="Calibri" w:hAnsi="Calibri" w:cs="Calibri"/>
        </w:rPr>
        <w:t xml:space="preserve"> </w:t>
      </w:r>
      <w:r w:rsidRPr="00F41535">
        <w:rPr>
          <w:rFonts w:ascii="Calibri" w:hAnsi="Calibri" w:cs="Calibri"/>
          <w:i/>
        </w:rPr>
        <w:t>See</w:t>
      </w:r>
      <w:r w:rsidRPr="00F41535">
        <w:rPr>
          <w:rFonts w:ascii="Calibri" w:hAnsi="Calibri" w:cs="Calibri"/>
        </w:rPr>
        <w:t xml:space="preserve"> Suryavanshi MS, Yang Y, </w:t>
      </w:r>
      <w:hyperlink r:id="rId29" w:history="1">
        <w:r w:rsidRPr="00F41535">
          <w:rPr>
            <w:rStyle w:val="Hyperlink1"/>
            <w:rFonts w:ascii="Calibri" w:hAnsi="Calibri" w:cs="Calibri"/>
            <w:i/>
            <w:iCs/>
          </w:rPr>
          <w:t>Clinical and Economic Burden of Mental Disorders Among Children With Chronic Physical Conditions</w:t>
        </w:r>
      </w:hyperlink>
      <w:r w:rsidRPr="00F41535">
        <w:rPr>
          <w:rFonts w:ascii="Calibri" w:hAnsi="Calibri" w:cs="Calibri"/>
          <w:i/>
          <w:iCs/>
        </w:rPr>
        <w:t xml:space="preserve">, United States, 2008–2013. </w:t>
      </w:r>
      <w:bookmarkStart w:id="89" w:name="_9kR3WTr6GC469NK4orC6nr7xjxG84"/>
      <w:r w:rsidRPr="00F41535">
        <w:rPr>
          <w:rFonts w:ascii="Calibri" w:hAnsi="Calibri" w:cs="Calibri"/>
          <w:i/>
          <w:iCs/>
        </w:rPr>
        <w:t xml:space="preserve">[Erratum appears in </w:t>
      </w:r>
      <w:r w:rsidRPr="00F41535">
        <w:rPr>
          <w:rFonts w:ascii="Calibri" w:hAnsi="Calibri" w:cs="Calibri"/>
          <w:smallCaps/>
        </w:rPr>
        <w:t>Prev. Chronic Dis.</w:t>
      </w:r>
      <w:r w:rsidRPr="00F41535">
        <w:rPr>
          <w:rFonts w:ascii="Calibri" w:hAnsi="Calibri" w:cs="Calibri"/>
          <w:i/>
          <w:iCs/>
        </w:rPr>
        <w:t xml:space="preserve"> 2016;13. </w:t>
      </w:r>
      <w:hyperlink r:id="rId30" w:history="1">
        <w:r w:rsidRPr="00F41535">
          <w:rPr>
            <w:rStyle w:val="Hyperlink1"/>
            <w:rFonts w:ascii="Calibri" w:hAnsi="Calibri" w:cs="Calibri"/>
            <w:i/>
            <w:iCs/>
          </w:rPr>
          <w:t>http://www.cdc.gov/pcd/issues/2016/15_0535e.htm</w:t>
        </w:r>
      </w:hyperlink>
      <w:r w:rsidRPr="00F41535">
        <w:rPr>
          <w:rFonts w:ascii="Calibri" w:hAnsi="Calibri" w:cs="Calibri"/>
          <w:i/>
          <w:iCs/>
        </w:rPr>
        <w:t>.]</w:t>
      </w:r>
      <w:bookmarkEnd w:id="89"/>
      <w:r w:rsidRPr="00F41535">
        <w:rPr>
          <w:rFonts w:ascii="Calibri" w:hAnsi="Calibri" w:cs="Calibri"/>
        </w:rPr>
        <w:t xml:space="preserve"> </w:t>
      </w:r>
      <w:hyperlink r:id="rId31" w:history="1">
        <w:r w:rsidRPr="00F41535">
          <w:rPr>
            <w:rStyle w:val="Hyperlink1"/>
            <w:rFonts w:ascii="Calibri" w:hAnsi="Calibri" w:cs="Calibri"/>
            <w:smallCaps/>
          </w:rPr>
          <w:t>Prev. Chronic Dis</w:t>
        </w:r>
      </w:hyperlink>
      <w:r w:rsidRPr="00F41535">
        <w:rPr>
          <w:rFonts w:ascii="Calibri" w:hAnsi="Calibri" w:cs="Calibri"/>
          <w:smallCaps/>
        </w:rPr>
        <w:t>.</w:t>
      </w:r>
      <w:r w:rsidRPr="00F41535">
        <w:rPr>
          <w:rFonts w:ascii="Calibri" w:hAnsi="Calibri" w:cs="Calibri"/>
        </w:rPr>
        <w:t xml:space="preserve"> (2016), 13:150535 </w:t>
      </w:r>
      <w:r w:rsidRPr="00F41535">
        <w:rPr>
          <w:rFonts w:ascii="Calibri" w:hAnsi="Calibri" w:cs="Calibri"/>
          <w:i/>
          <w:iCs/>
        </w:rPr>
        <w:t xml:space="preserve">available at </w:t>
      </w:r>
      <w:r w:rsidRPr="00F41535">
        <w:rPr>
          <w:rFonts w:ascii="Calibri" w:hAnsi="Calibri" w:cs="Calibri"/>
        </w:rPr>
        <w:t> </w:t>
      </w:r>
      <w:hyperlink r:id="rId32" w:history="1">
        <w:r w:rsidRPr="00F41535">
          <w:rPr>
            <w:rStyle w:val="Hyperlink1"/>
            <w:rFonts w:ascii="Calibri" w:hAnsi="Calibri" w:cs="Calibri"/>
          </w:rPr>
          <w:t>http://dx.doi.org/10.5888/pcd13.150535</w:t>
        </w:r>
      </w:hyperlink>
      <w:r w:rsidRPr="00F41535">
        <w:rPr>
          <w:rFonts w:ascii="Calibri" w:hAnsi="Calibri" w:cs="Calibri"/>
        </w:rPr>
        <w:t xml:space="preserve">. </w:t>
      </w:r>
    </w:p>
  </w:endnote>
  <w:endnote w:id="21">
    <w:p w14:paraId="3673DD60" w14:textId="77777777" w:rsidR="00B73799" w:rsidRPr="00794127" w:rsidRDefault="00B73799" w:rsidP="00794127">
      <w:pPr>
        <w:pStyle w:val="EndnoteText"/>
        <w:rPr>
          <w:rFonts w:cs="Calibri"/>
        </w:rPr>
      </w:pPr>
      <w:r w:rsidRPr="00794127">
        <w:rPr>
          <w:rStyle w:val="EndnoteReference"/>
          <w:rFonts w:cs="Calibri"/>
        </w:rPr>
        <w:endnoteRef/>
      </w:r>
      <w:r w:rsidRPr="00794127">
        <w:rPr>
          <w:rFonts w:cs="Calibri"/>
        </w:rPr>
        <w:t xml:space="preserve"> </w:t>
      </w:r>
      <w:r w:rsidRPr="00794127">
        <w:rPr>
          <w:rFonts w:cs="Calibri"/>
          <w:i/>
        </w:rPr>
        <w:t>See</w:t>
      </w:r>
      <w:r w:rsidRPr="00794127">
        <w:rPr>
          <w:rFonts w:cs="Calibri"/>
        </w:rPr>
        <w:t xml:space="preserve"> Suryavanshi MS, Yang Y, </w:t>
      </w:r>
      <w:r w:rsidRPr="00794127">
        <w:rPr>
          <w:rFonts w:cs="Calibri"/>
          <w:i/>
          <w:iCs/>
        </w:rPr>
        <w:t>Clinical and Economic Burden of Mental Disorders Among Children With Chronic Physical Conditions</w:t>
      </w:r>
      <w:r w:rsidRPr="00794127">
        <w:rPr>
          <w:rFonts w:cs="Calibri"/>
        </w:rPr>
        <w:t>.</w:t>
      </w:r>
    </w:p>
  </w:endnote>
  <w:endnote w:id="22">
    <w:p w14:paraId="61DC1939" w14:textId="5CDBC5EE" w:rsidR="00685C18" w:rsidRDefault="00685C18" w:rsidP="007B203A">
      <w:pPr>
        <w:pStyle w:val="EndnoteText"/>
      </w:pPr>
      <w:r>
        <w:rPr>
          <w:rStyle w:val="EndnoteReference"/>
        </w:rPr>
        <w:endnoteRef/>
      </w:r>
      <w:r>
        <w:t>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CB42" w14:textId="77777777" w:rsidR="00650E6A" w:rsidRDefault="00650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511052"/>
      <w:docPartObj>
        <w:docPartGallery w:val="Page Numbers (Bottom of Page)"/>
        <w:docPartUnique/>
      </w:docPartObj>
    </w:sdtPr>
    <w:sdtEndPr>
      <w:rPr>
        <w:noProof/>
      </w:rPr>
    </w:sdtEndPr>
    <w:sdtContent>
      <w:p w14:paraId="521232CB" w14:textId="160CDF7B" w:rsidR="00685C18" w:rsidRDefault="00685C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F90F82" w14:textId="77777777" w:rsidR="00685C18" w:rsidRDefault="00685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AAB9" w14:textId="77777777" w:rsidR="00650E6A" w:rsidRDefault="00650E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998" w14:textId="77777777" w:rsidR="00E92504" w:rsidRDefault="00E92504">
    <w:pPr>
      <w:pStyle w:val="Footer"/>
    </w:pPr>
  </w:p>
  <w:p w14:paraId="71FEF4A2" w14:textId="77777777" w:rsidR="00E92504" w:rsidRDefault="00E9250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3D3B6AFF" w14:textId="30BBEC25" w:rsidR="00E92504" w:rsidRPr="003E6FCA" w:rsidRDefault="00E92504">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15</w:t>
        </w:r>
        <w:r w:rsidRPr="003E6FCA">
          <w:rPr>
            <w:rFonts w:ascii="Garamond" w:hAnsi="Garamond"/>
            <w:noProof/>
            <w:sz w:val="24"/>
            <w:szCs w:val="24"/>
          </w:rPr>
          <w:fldChar w:fldCharType="end"/>
        </w:r>
      </w:p>
    </w:sdtContent>
  </w:sdt>
  <w:p w14:paraId="2B84946D" w14:textId="77777777" w:rsidR="00E92504" w:rsidRDefault="00E92504">
    <w:pPr>
      <w:pStyle w:val="Footer"/>
    </w:pPr>
  </w:p>
  <w:p w14:paraId="6A56BD2D" w14:textId="77777777" w:rsidR="00E92504" w:rsidRDefault="00E9250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9965" w14:textId="77777777" w:rsidR="00E92504" w:rsidRDefault="00E9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7FDC" w14:textId="77777777" w:rsidR="007E4837" w:rsidRDefault="007E4837" w:rsidP="008C0709">
      <w:r>
        <w:separator/>
      </w:r>
    </w:p>
  </w:footnote>
  <w:footnote w:type="continuationSeparator" w:id="0">
    <w:p w14:paraId="7CACF900" w14:textId="77777777" w:rsidR="007E4837" w:rsidRDefault="007E4837" w:rsidP="008C0709">
      <w:r>
        <w:continuationSeparator/>
      </w:r>
    </w:p>
  </w:footnote>
  <w:footnote w:type="continuationNotice" w:id="1">
    <w:p w14:paraId="3AA8E6B1" w14:textId="77777777" w:rsidR="007E4837" w:rsidRDefault="007E4837"/>
  </w:footnote>
  <w:footnote w:id="2">
    <w:p w14:paraId="0003D2D6" w14:textId="1557E4F5" w:rsidR="6380A8AC" w:rsidRDefault="6380A8AC" w:rsidP="001600D5">
      <w:pPr>
        <w:pStyle w:val="FootnoteText"/>
        <w:rPr>
          <w:rFonts w:ascii="Calibri" w:hAnsi="Calibri" w:cs="Calibri"/>
        </w:rPr>
      </w:pPr>
      <w:r w:rsidRPr="6380A8AC">
        <w:rPr>
          <w:rStyle w:val="FootnoteReference"/>
        </w:rPr>
        <w:footnoteRef/>
      </w:r>
      <w:r>
        <w:t xml:space="preserve"> which included of updating, modernizing and expanding services</w:t>
      </w:r>
    </w:p>
  </w:footnote>
  <w:footnote w:id="3">
    <w:p w14:paraId="5382169B" w14:textId="392998AE" w:rsidR="00685C18" w:rsidRDefault="00685C18" w:rsidP="001600D5">
      <w:pPr>
        <w:pStyle w:val="FootnoteText"/>
      </w:pPr>
      <w:r>
        <w:rPr>
          <w:rStyle w:val="FootnoteReference"/>
        </w:rPr>
        <w:footnoteRef/>
      </w:r>
      <w:r>
        <w:t xml:space="preserve"> DPH operated facilities, like Pappas Rehabilitation Hospital for Children, (PRHC) do not operate under a BHCSQ license.</w:t>
      </w:r>
    </w:p>
  </w:footnote>
  <w:footnote w:id="4">
    <w:p w14:paraId="3AACDB38" w14:textId="08E6CE57" w:rsidR="00685C18" w:rsidRDefault="00685C18" w:rsidP="001600D5">
      <w:pPr>
        <w:pStyle w:val="FootnoteText"/>
      </w:pPr>
      <w:r>
        <w:rPr>
          <w:rStyle w:val="FootnoteReference"/>
        </w:rPr>
        <w:footnoteRef/>
      </w:r>
      <w:r>
        <w:t xml:space="preserve"> P</w:t>
      </w:r>
      <w:r w:rsidRPr="00C717CE">
        <w:t>atients with medically complex conditions includ</w:t>
      </w:r>
      <w:r>
        <w:t>e:</w:t>
      </w:r>
      <w:r w:rsidRPr="00C717CE">
        <w:t xml:space="preserve"> chronic lung disease, feeding problems, technology dependency (including gastronomy tubes and ventilators), brain or spinal cord injury. </w:t>
      </w:r>
    </w:p>
  </w:footnote>
  <w:footnote w:id="5">
    <w:p w14:paraId="57FBE5D1" w14:textId="48505E03" w:rsidR="00CE0E60" w:rsidRDefault="00CE0E60" w:rsidP="001600D5">
      <w:pPr>
        <w:pStyle w:val="FootnoteText"/>
      </w:pPr>
      <w:r>
        <w:rPr>
          <w:rStyle w:val="FootnoteReference"/>
        </w:rPr>
        <w:footnoteRef/>
      </w:r>
      <w:r>
        <w:t xml:space="preserve"> The </w:t>
      </w:r>
      <w:r w:rsidR="00C1433A">
        <w:t>s</w:t>
      </w:r>
      <w:r>
        <w:t>chool p</w:t>
      </w:r>
      <w:r w:rsidRPr="00CF76B1">
        <w:t>rovide</w:t>
      </w:r>
      <w:r>
        <w:t>s</w:t>
      </w:r>
      <w:r w:rsidRPr="00CF76B1">
        <w:t xml:space="preserve"> collaborative special education, therapeutic, and health services</w:t>
      </w:r>
      <w:r w:rsidR="00C1433A">
        <w:t xml:space="preserve">, including </w:t>
      </w:r>
      <w:r w:rsidR="00AC7FE5">
        <w:t>mental health</w:t>
      </w:r>
      <w:r w:rsidRPr="00CF76B1">
        <w:t xml:space="preserve"> to more than 60 students, ages 3 to 22, with significant, complex needs from more than 30 cities and towns across Massachusetts.</w:t>
      </w:r>
      <w:r>
        <w:t xml:space="preserve"> </w:t>
      </w:r>
      <w:hyperlink r:id="rId1" w:history="1">
        <w:r w:rsidRPr="002C3A70">
          <w:rPr>
            <w:rStyle w:val="Hyperlink"/>
            <w:color w:val="234170" w:themeColor="text2" w:themeShade="BF"/>
          </w:rPr>
          <w:t>More information at franciscanchildrens.org</w:t>
        </w:r>
      </w:hyperlink>
    </w:p>
  </w:footnote>
  <w:footnote w:id="6">
    <w:p w14:paraId="0904BA8C" w14:textId="3A1CF17D" w:rsidR="009D2E3B" w:rsidRDefault="009D2E3B" w:rsidP="00CD0882">
      <w:pPr>
        <w:pStyle w:val="FootnoteText"/>
      </w:pPr>
      <w:r>
        <w:rPr>
          <w:rStyle w:val="FootnoteReference"/>
        </w:rPr>
        <w:footnoteRef/>
      </w:r>
      <w:r>
        <w:t xml:space="preserve"> </w:t>
      </w:r>
      <w:hyperlink r:id="rId2" w:history="1">
        <w:r w:rsidR="00A14DF5" w:rsidRPr="002C3A70">
          <w:rPr>
            <w:rStyle w:val="Hyperlink"/>
            <w:color w:val="234170" w:themeColor="text2" w:themeShade="BF"/>
          </w:rPr>
          <w:t>https://www.mass.gov/doc/boston-childrens-hospital-approval/download</w:t>
        </w:r>
      </w:hyperlink>
      <w:r w:rsidR="00A14DF5">
        <w:t xml:space="preserve"> </w:t>
      </w:r>
      <w:r w:rsidR="00A14DF5" w:rsidRPr="00A14DF5">
        <w:t>This would remove 12 beds from BCH’s license resulting in a change from 485 to 473 licensed beds. At Franciscan, the net new beds is only 4 because of a shift in the bed configuration.</w:t>
      </w:r>
    </w:p>
  </w:footnote>
  <w:footnote w:id="7">
    <w:p w14:paraId="48B1CD42" w14:textId="6D0D01DE" w:rsidR="00FE200B" w:rsidRDefault="00FE200B" w:rsidP="00CD0882">
      <w:pPr>
        <w:pStyle w:val="FootnoteText"/>
      </w:pPr>
      <w:r>
        <w:rPr>
          <w:rStyle w:val="FootnoteReference"/>
        </w:rPr>
        <w:footnoteRef/>
      </w:r>
      <w:r>
        <w:t xml:space="preserve"> </w:t>
      </w:r>
      <w:hyperlink r:id="rId3" w:history="1">
        <w:r w:rsidRPr="002C3A70">
          <w:rPr>
            <w:rStyle w:val="Hyperlink"/>
            <w:color w:val="234170" w:themeColor="text2" w:themeShade="BF"/>
          </w:rPr>
          <w:t>https://www.mass.gov/doc/staff-report-pdf-the-childrens-medical-center-corporation/download</w:t>
        </w:r>
      </w:hyperlink>
      <w:r>
        <w:t xml:space="preserve"> </w:t>
      </w:r>
    </w:p>
  </w:footnote>
  <w:footnote w:id="8">
    <w:p w14:paraId="3969B69A" w14:textId="77777777" w:rsidR="00685C18" w:rsidRPr="00167D81" w:rsidRDefault="00685C18" w:rsidP="00CD0882">
      <w:pPr>
        <w:pStyle w:val="FootnoteText"/>
        <w:rPr>
          <w:rFonts w:cstheme="minorHAnsi"/>
        </w:rPr>
      </w:pPr>
      <w:r w:rsidRPr="00167D81">
        <w:rPr>
          <w:rStyle w:val="FootnoteReference"/>
          <w:rFonts w:cstheme="minorHAnsi"/>
        </w:rPr>
        <w:footnoteRef/>
      </w:r>
      <w:r w:rsidRPr="00167D81">
        <w:rPr>
          <w:rFonts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9">
    <w:p w14:paraId="1CDA4055" w14:textId="4A3F208A" w:rsidR="00460CA7" w:rsidRPr="007928A3" w:rsidRDefault="00460CA7" w:rsidP="00460CA7">
      <w:pPr>
        <w:pStyle w:val="FootnoteText"/>
        <w:rPr>
          <w:rFonts w:cs="Calibri"/>
        </w:rPr>
      </w:pPr>
      <w:r w:rsidRPr="007928A3">
        <w:rPr>
          <w:rStyle w:val="FootnoteReference"/>
          <w:rFonts w:cs="Calibri"/>
        </w:rPr>
        <w:footnoteRef/>
      </w:r>
      <w:r w:rsidRPr="007928A3">
        <w:rPr>
          <w:rFonts w:cs="Calibri"/>
        </w:rPr>
        <w:t xml:space="preserve"> </w:t>
      </w:r>
      <w:r>
        <w:rPr>
          <w:rFonts w:cs="Calibri"/>
        </w:rPr>
        <w:t>Franciscan</w:t>
      </w:r>
      <w:r w:rsidRPr="007928A3">
        <w:rPr>
          <w:rFonts w:cs="Calibri"/>
        </w:rPr>
        <w:t xml:space="preserve">’s Primary Care Clinic had 6,696 patient visits in FY 18 and 5,888 in FY19 before it closed. </w:t>
      </w:r>
      <w:r>
        <w:rPr>
          <w:rFonts w:cs="Calibri"/>
        </w:rPr>
        <w:t>Franciscan</w:t>
      </w:r>
      <w:r w:rsidRPr="007928A3">
        <w:rPr>
          <w:rFonts w:cs="Calibri"/>
        </w:rPr>
        <w:t xml:space="preserve"> coordinated with Charles River Community Health Center to provide patients a local Brighton option to continue quality care. </w:t>
      </w:r>
    </w:p>
  </w:footnote>
  <w:footnote w:id="10">
    <w:p w14:paraId="73A5C60B" w14:textId="77777777" w:rsidR="00055F68" w:rsidRPr="005756E2" w:rsidRDefault="00055F68" w:rsidP="00055F68">
      <w:pPr>
        <w:pStyle w:val="FootnoteText"/>
        <w:rPr>
          <w:rFonts w:cstheme="minorHAnsi"/>
        </w:rPr>
      </w:pPr>
      <w:r w:rsidRPr="005756E2">
        <w:rPr>
          <w:rStyle w:val="FootnoteReference"/>
          <w:rFonts w:cstheme="minorHAnsi"/>
        </w:rPr>
        <w:footnoteRef/>
      </w:r>
      <w:r>
        <w:rPr>
          <w:rFonts w:cstheme="minorHAnsi"/>
        </w:rPr>
        <w:t xml:space="preserve"> Because the data is collected differently, the Applicant urges caution in comparing the two entities. </w:t>
      </w:r>
    </w:p>
  </w:footnote>
  <w:footnote w:id="11">
    <w:p w14:paraId="34AADD28" w14:textId="65F6C564" w:rsidR="00055F68" w:rsidRPr="00167D81" w:rsidRDefault="00055F68" w:rsidP="00055F68">
      <w:pPr>
        <w:pStyle w:val="FootnoteText"/>
        <w:rPr>
          <w:rFonts w:cstheme="minorHAnsi"/>
        </w:rPr>
      </w:pPr>
      <w:r w:rsidRPr="00167D81">
        <w:rPr>
          <w:rStyle w:val="FootnoteReference"/>
          <w:rFonts w:cstheme="minorHAnsi"/>
        </w:rPr>
        <w:footnoteRef/>
      </w:r>
      <w:r w:rsidRPr="00167D81">
        <w:rPr>
          <w:rFonts w:cstheme="minorHAnsi"/>
        </w:rPr>
        <w:t xml:space="preserve">  </w:t>
      </w:r>
      <w:r>
        <w:rPr>
          <w:rFonts w:cstheme="minorHAnsi"/>
        </w:rPr>
        <w:t xml:space="preserve">See </w:t>
      </w:r>
      <w:hyperlink r:id="rId4" w:history="1">
        <w:r w:rsidRPr="00453E28">
          <w:rPr>
            <w:rStyle w:val="Hyperlink"/>
            <w:rFonts w:cstheme="minorHAnsi"/>
            <w:color w:val="auto"/>
            <w:u w:val="none"/>
          </w:rPr>
          <w:t>Tables 1-10 of the DoN Application</w:t>
        </w:r>
      </w:hyperlink>
      <w:r w:rsidRPr="00453E28">
        <w:rPr>
          <w:rFonts w:cstheme="minorHAnsi"/>
        </w:rPr>
        <w:t xml:space="preserve"> for </w:t>
      </w:r>
      <w:r>
        <w:rPr>
          <w:rFonts w:cstheme="minorHAnsi"/>
        </w:rPr>
        <w:t xml:space="preserve">detailed </w:t>
      </w:r>
      <w:r w:rsidRPr="00167D81">
        <w:rPr>
          <w:rFonts w:cstheme="minorHAnsi"/>
        </w:rPr>
        <w:t>information of both Patient Panels</w:t>
      </w:r>
      <w:r>
        <w:rPr>
          <w:rFonts w:cstheme="minorHAnsi"/>
        </w:rPr>
        <w:t xml:space="preserve"> </w:t>
      </w:r>
      <w:hyperlink r:id="rId5" w:history="1">
        <w:r w:rsidRPr="002C3A70">
          <w:rPr>
            <w:rStyle w:val="Hyperlink"/>
            <w:rFonts w:cstheme="minorHAnsi"/>
            <w:color w:val="234170" w:themeColor="text2" w:themeShade="BF"/>
          </w:rPr>
          <w:t>https://www.mass.gov/doc/application-with-exhibits-pdf/download</w:t>
        </w:r>
      </w:hyperlink>
      <w:r>
        <w:rPr>
          <w:rFonts w:cstheme="minorHAnsi"/>
        </w:rPr>
        <w:t xml:space="preserve"> </w:t>
      </w:r>
    </w:p>
  </w:footnote>
  <w:footnote w:id="12">
    <w:p w14:paraId="13C1CC01" w14:textId="64B0125E" w:rsidR="007928A3" w:rsidRDefault="007928A3" w:rsidP="007928A3">
      <w:pPr>
        <w:pStyle w:val="FootnoteText"/>
      </w:pPr>
      <w:r>
        <w:rPr>
          <w:rStyle w:val="FootnoteReference"/>
        </w:rPr>
        <w:footnoteRef/>
      </w:r>
      <w:r>
        <w:t xml:space="preserve"> For </w:t>
      </w:r>
      <w:proofErr w:type="gramStart"/>
      <w:r>
        <w:t>example</w:t>
      </w:r>
      <w:proofErr w:type="gramEnd"/>
      <w:r>
        <w:t xml:space="preserve"> for patients </w:t>
      </w:r>
      <w:r w:rsidRPr="00E211FA">
        <w:rPr>
          <w:iCs/>
        </w:rPr>
        <w:t>with genetic or chronic conditions.</w:t>
      </w:r>
    </w:p>
  </w:footnote>
  <w:footnote w:id="13">
    <w:p w14:paraId="4E3B4B6B" w14:textId="23DCA541" w:rsidR="00B651DE" w:rsidRDefault="00B651DE" w:rsidP="00B651DE">
      <w:pPr>
        <w:pStyle w:val="FootnoteText"/>
      </w:pPr>
      <w:r>
        <w:rPr>
          <w:rStyle w:val="FootnoteReference"/>
        </w:rPr>
        <w:footnoteRef/>
      </w:r>
      <w:r>
        <w:t xml:space="preserve"> See </w:t>
      </w:r>
      <w:hyperlink r:id="rId6" w:history="1">
        <w:r w:rsidRPr="00453E28">
          <w:rPr>
            <w:rStyle w:val="Hyperlink"/>
            <w:color w:val="auto"/>
            <w:u w:val="none"/>
          </w:rPr>
          <w:t>Table 6 of Application Narrative</w:t>
        </w:r>
      </w:hyperlink>
      <w:r>
        <w:t xml:space="preserve"> </w:t>
      </w:r>
      <w:hyperlink r:id="rId7" w:history="1">
        <w:r w:rsidRPr="002C3A70">
          <w:rPr>
            <w:rStyle w:val="Hyperlink"/>
            <w:color w:val="234170" w:themeColor="text2" w:themeShade="BF"/>
          </w:rPr>
          <w:t>https://www.mass.gov/doc/narrative-pdf-franciscan-hospital/download</w:t>
        </w:r>
      </w:hyperlink>
      <w:r>
        <w:t xml:space="preserve"> </w:t>
      </w:r>
    </w:p>
  </w:footnote>
  <w:footnote w:id="14">
    <w:p w14:paraId="27916200" w14:textId="77777777" w:rsidR="00AB4AA7" w:rsidRDefault="00AB4AA7" w:rsidP="00AB4AA7">
      <w:pPr>
        <w:pStyle w:val="FootnoteText"/>
      </w:pPr>
      <w:r>
        <w:rPr>
          <w:rStyle w:val="FootnoteReference"/>
        </w:rPr>
        <w:footnoteRef/>
      </w:r>
      <w:r>
        <w:t xml:space="preserve"> </w:t>
      </w:r>
      <w:r w:rsidRPr="00C0325B">
        <w:t>Section 7 of Chapter 124 of the Acts of 2019</w:t>
      </w:r>
    </w:p>
  </w:footnote>
  <w:footnote w:id="15">
    <w:p w14:paraId="418099A2" w14:textId="044D0AD6" w:rsidR="00453E28" w:rsidRPr="00A01C6D" w:rsidRDefault="00453E28" w:rsidP="00474BD9">
      <w:pPr>
        <w:pStyle w:val="FootnoteText"/>
        <w:rPr>
          <w:rFonts w:cstheme="minorHAnsi"/>
        </w:rPr>
      </w:pPr>
      <w:r w:rsidRPr="00A01C6D">
        <w:rPr>
          <w:rStyle w:val="FootnoteReference"/>
          <w:rFonts w:cstheme="minorHAnsi"/>
        </w:rPr>
        <w:footnoteRef/>
      </w:r>
      <w:r w:rsidRPr="00A01C6D">
        <w:rPr>
          <w:rFonts w:cstheme="minorHAnsi"/>
        </w:rPr>
        <w:t xml:space="preserve"> CMCC collects this information by percentage of Revenue, and </w:t>
      </w:r>
      <w:r>
        <w:rPr>
          <w:rFonts w:cstheme="minorHAnsi"/>
        </w:rPr>
        <w:t>Franciscan</w:t>
      </w:r>
      <w:r w:rsidRPr="00A01C6D">
        <w:rPr>
          <w:rFonts w:cstheme="minorHAnsi"/>
        </w:rPr>
        <w:t xml:space="preserve"> by percentage of patients.</w:t>
      </w:r>
      <w:r>
        <w:rPr>
          <w:rFonts w:cstheme="minorHAnsi"/>
        </w:rPr>
        <w:t xml:space="preserve"> As such comparisons cannot be made across the two. </w:t>
      </w:r>
    </w:p>
  </w:footnote>
  <w:footnote w:id="16">
    <w:p w14:paraId="1AED0D71" w14:textId="77777777" w:rsidR="00E9172C" w:rsidRPr="00F95EBD" w:rsidRDefault="00E9172C" w:rsidP="00E9172C">
      <w:pPr>
        <w:pStyle w:val="FootnoteText"/>
      </w:pPr>
      <w:r w:rsidRPr="00F95EBD">
        <w:rPr>
          <w:rStyle w:val="FootnoteReference"/>
        </w:rPr>
        <w:footnoteRef/>
      </w:r>
      <w:r w:rsidRPr="00F95EBD">
        <w:t xml:space="preserve"> The "average age of a hospital plant" refers to the mean age of the equipment, </w:t>
      </w:r>
      <w:proofErr w:type="gramStart"/>
      <w:r w:rsidRPr="00F95EBD">
        <w:t>infrastructure</w:t>
      </w:r>
      <w:proofErr w:type="gramEnd"/>
      <w:r w:rsidRPr="00F95EBD">
        <w:t xml:space="preserve"> </w:t>
      </w:r>
      <w:r>
        <w:t xml:space="preserve">and </w:t>
      </w:r>
      <w:r w:rsidRPr="00F95EBD">
        <w:t>physical facilities,</w:t>
      </w:r>
      <w:r>
        <w:t xml:space="preserve"> </w:t>
      </w:r>
      <w:r w:rsidRPr="00F95EBD">
        <w:t>of a hospital. This includes buildings, medical equipment, HVAC systems, and other major components that make up the physical environment of the hospital.</w:t>
      </w:r>
    </w:p>
  </w:footnote>
  <w:footnote w:id="17">
    <w:p w14:paraId="743E69B5" w14:textId="03799FB7" w:rsidR="000716DE" w:rsidRPr="00F95EBD" w:rsidRDefault="000716DE" w:rsidP="005361B1">
      <w:pPr>
        <w:pStyle w:val="FootnoteText"/>
      </w:pPr>
      <w:r w:rsidRPr="00F95EBD">
        <w:rPr>
          <w:rStyle w:val="FootnoteReference"/>
        </w:rPr>
        <w:footnoteRef/>
      </w:r>
      <w:r w:rsidRPr="00F95EBD">
        <w:t xml:space="preserve"> </w:t>
      </w:r>
      <w:r w:rsidR="00DD329F" w:rsidRPr="00F95EBD">
        <w:t>Moody’s Investors Service reports the average age of 130</w:t>
      </w:r>
      <w:r w:rsidR="00DD329F" w:rsidRPr="00F95EBD">
        <w:rPr>
          <w:iCs/>
        </w:rPr>
        <w:t> freestanding hospitals, single-state health systems and multistate health systems</w:t>
      </w:r>
      <w:r w:rsidR="00DD329F" w:rsidRPr="00F95EBD">
        <w:t xml:space="preserve">. </w:t>
      </w:r>
      <w:r w:rsidRPr="00F95EBD">
        <w:rPr>
          <w:rFonts w:ascii="Calibri" w:eastAsia="Calibri" w:hAnsi="Calibri" w:cs="Calibri"/>
        </w:rPr>
        <w:t xml:space="preserve">See </w:t>
      </w:r>
      <w:r w:rsidRPr="00F95EBD">
        <w:rPr>
          <w:rFonts w:ascii="Calibri" w:eastAsia="Calibri" w:hAnsi="Calibri" w:cs="Calibri"/>
          <w:i/>
          <w:iCs/>
          <w:color w:val="292929"/>
          <w:shd w:val="clear" w:color="auto" w:fill="FFFFFF"/>
        </w:rPr>
        <w:t>Moody's Investors Service, "Not-for-profit and public healthcare – US: Medians" report, September 2020. </w:t>
      </w:r>
    </w:p>
  </w:footnote>
  <w:footnote w:id="18">
    <w:p w14:paraId="1C7C0A74" w14:textId="1BE6F221" w:rsidR="00AB4AA7" w:rsidRDefault="00AB4AA7" w:rsidP="00AB4AA7">
      <w:pPr>
        <w:pStyle w:val="FootnoteText"/>
      </w:pPr>
      <w:r>
        <w:rPr>
          <w:rStyle w:val="FootnoteReference"/>
        </w:rPr>
        <w:footnoteRef/>
      </w:r>
      <w:r>
        <w:t xml:space="preserve"> </w:t>
      </w:r>
      <w:r w:rsidR="00060C17">
        <w:t>The Applicant states that r</w:t>
      </w:r>
      <w:r>
        <w:t xml:space="preserve">eference is made throughout to </w:t>
      </w:r>
      <w:r w:rsidRPr="00060C17">
        <w:rPr>
          <w:b/>
          <w:bCs/>
        </w:rPr>
        <w:t>mental health services</w:t>
      </w:r>
      <w:r>
        <w:t xml:space="preserve">, </w:t>
      </w:r>
      <w:r w:rsidRPr="00060C17">
        <w:rPr>
          <w:b/>
          <w:bCs/>
        </w:rPr>
        <w:t>rather than</w:t>
      </w:r>
      <w:r>
        <w:t xml:space="preserve"> behavioral health services as contemplated by the Affiliation DoN. This change is made to reflect that the Proposed Project seeks to address the broader category of conditions</w:t>
      </w:r>
      <w:r w:rsidR="00FE2B1C">
        <w:t>,</w:t>
      </w:r>
      <w:r>
        <w:t xml:space="preserve"> mental health conditions</w:t>
      </w:r>
      <w:r w:rsidR="00DC2B5B">
        <w:t>,</w:t>
      </w:r>
      <w:r>
        <w:t xml:space="preserve"> that do not necessarily include behavioral symptoms.</w:t>
      </w:r>
    </w:p>
  </w:footnote>
  <w:footnote w:id="19">
    <w:p w14:paraId="347541B4" w14:textId="08B75B8C" w:rsidR="00CA7685" w:rsidRDefault="00CA7685">
      <w:pPr>
        <w:pStyle w:val="FootnoteText"/>
      </w:pPr>
      <w:r>
        <w:rPr>
          <w:rStyle w:val="FootnoteReference"/>
        </w:rPr>
        <w:footnoteRef/>
      </w:r>
      <w:r>
        <w:t xml:space="preserve"> With licensed capacity of 112, approximately in all 3 bedded rooms, approximately one third are out of service.</w:t>
      </w:r>
    </w:p>
  </w:footnote>
  <w:footnote w:id="20">
    <w:p w14:paraId="1CF8F7A4" w14:textId="75E0CE3E" w:rsidR="00612DC8" w:rsidRDefault="00612DC8">
      <w:pPr>
        <w:pStyle w:val="FootnoteText"/>
      </w:pPr>
      <w:r>
        <w:rPr>
          <w:rStyle w:val="FootnoteReference"/>
        </w:rPr>
        <w:footnoteRef/>
      </w:r>
      <w:r>
        <w:t xml:space="preserve"> The Applicant states ~60% of medically complex </w:t>
      </w:r>
      <w:r w:rsidR="00AD3FF8">
        <w:t xml:space="preserve">Children </w:t>
      </w:r>
      <w:r>
        <w:t xml:space="preserve">are on </w:t>
      </w:r>
      <w:r w:rsidR="00FE2B1C">
        <w:t>ventilators. (</w:t>
      </w:r>
      <w:r w:rsidR="008A3250">
        <w:t>Discussed</w:t>
      </w:r>
      <w:r>
        <w:t xml:space="preserve"> further in Factor 1</w:t>
      </w:r>
      <w:r w:rsidR="00AD3FF8">
        <w:t>.</w:t>
      </w:r>
      <w:r w:rsidR="00FE2B1C">
        <w:t>)</w:t>
      </w:r>
    </w:p>
  </w:footnote>
  <w:footnote w:id="21">
    <w:p w14:paraId="5DA9B751" w14:textId="77777777" w:rsidR="00AB4AA7" w:rsidRDefault="00AB4AA7" w:rsidP="00AB4AA7">
      <w:pPr>
        <w:pStyle w:val="FootnoteText"/>
      </w:pPr>
      <w:r>
        <w:rPr>
          <w:rStyle w:val="FootnoteReference"/>
        </w:rPr>
        <w:footnoteRef/>
      </w:r>
      <w:r>
        <w:t xml:space="preserve"> </w:t>
      </w:r>
      <w:r w:rsidRPr="00C66A18">
        <w:t>This was exacerbated during the COVID-19 pandemic when there was a sharp increase in children requiring respiratory rehabilitation following an acute inpatient admission, prior to being discharged home.</w:t>
      </w:r>
    </w:p>
  </w:footnote>
  <w:footnote w:id="22">
    <w:p w14:paraId="580F7FDA" w14:textId="3AD5B631" w:rsidR="00713F0D" w:rsidRDefault="00713F0D">
      <w:pPr>
        <w:pStyle w:val="FootnoteText"/>
      </w:pPr>
      <w:r>
        <w:rPr>
          <w:rStyle w:val="FootnoteReference"/>
        </w:rPr>
        <w:footnoteRef/>
      </w:r>
      <w:r>
        <w:t xml:space="preserve"> Which it attributes to </w:t>
      </w:r>
      <w:r w:rsidRPr="00713F0D">
        <w:t>burnout and insufficient reimbursement for the provision of mental health services across the spectrum of levels of mental health providers</w:t>
      </w:r>
      <w:r>
        <w:t>.</w:t>
      </w:r>
    </w:p>
  </w:footnote>
  <w:footnote w:id="23">
    <w:p w14:paraId="528C8C91" w14:textId="74F3F32F" w:rsidR="008E5A5F" w:rsidRDefault="008E5A5F" w:rsidP="008E5A5F">
      <w:pPr>
        <w:pStyle w:val="FootnoteText1"/>
      </w:pPr>
      <w:r>
        <w:rPr>
          <w:rStyle w:val="FootnoteReference"/>
        </w:rPr>
        <w:footnoteRef/>
      </w:r>
      <w:r>
        <w:t xml:space="preserve"> </w:t>
      </w:r>
      <w:r w:rsidR="00566437">
        <w:t>T</w:t>
      </w:r>
      <w:r w:rsidR="00566437" w:rsidRPr="00566437">
        <w:t>he National Institute of Mental Health’s estimates that nearly half of U.S. adolescents ages 13-18 have at least one mental health condition with nearly a quarter having severe impairment. Fewer than half of young people with these disorders receive treatment and the mean duration of time from first symptom onset to first contact with any mental health provider is ten years.</w:t>
      </w:r>
      <w:r w:rsidR="00566437">
        <w:t xml:space="preserve"> </w:t>
      </w:r>
      <w:hyperlink r:id="rId8" w:history="1">
        <w:r w:rsidRPr="00B11FC0">
          <w:rPr>
            <w:rStyle w:val="Hyperlink1"/>
          </w:rPr>
          <w:t>https://www.aap.org/en/advocacy/child-and-adolescent-healthy-mental-development/aap-aacap-cha-declaration-of-a-national-emergency-in-child-and-adolescent-mental-health/</w:t>
        </w:r>
      </w:hyperlink>
      <w:r>
        <w:t xml:space="preserve">. </w:t>
      </w:r>
    </w:p>
  </w:footnote>
  <w:footnote w:id="24">
    <w:p w14:paraId="6994B38D" w14:textId="678E8A82" w:rsidR="00413A79" w:rsidRPr="00F95EBD" w:rsidRDefault="00413A79" w:rsidP="00413A79">
      <w:pPr>
        <w:pStyle w:val="FootnoteText1"/>
        <w:rPr>
          <w:rFonts w:cs="Calibri"/>
        </w:rPr>
      </w:pPr>
      <w:r w:rsidRPr="00F95EBD">
        <w:rPr>
          <w:rStyle w:val="FootnoteReference"/>
          <w:rFonts w:cs="Calibri"/>
        </w:rPr>
        <w:footnoteRef/>
      </w:r>
      <w:r w:rsidRPr="00F95EBD">
        <w:rPr>
          <w:rFonts w:cs="Calibri"/>
        </w:rPr>
        <w:t xml:space="preserve"> </w:t>
      </w:r>
      <w:r w:rsidRPr="00F95EBD">
        <w:rPr>
          <w:rFonts w:cs="Calibri"/>
          <w:i/>
        </w:rPr>
        <w:t>See</w:t>
      </w:r>
      <w:r w:rsidRPr="00F95EBD">
        <w:rPr>
          <w:rFonts w:cs="Calibri"/>
        </w:rPr>
        <w:t xml:space="preserve"> </w:t>
      </w:r>
      <w:r w:rsidRPr="00F95EBD">
        <w:rPr>
          <w:rFonts w:cs="Calibri"/>
          <w:smallCaps/>
        </w:rPr>
        <w:t>The U.S. Surgeon General’s Advisory</w:t>
      </w:r>
      <w:r w:rsidRPr="00F95EBD">
        <w:rPr>
          <w:rFonts w:cs="Calibri"/>
          <w:i/>
          <w:smallCaps/>
        </w:rPr>
        <w:t>,</w:t>
      </w:r>
      <w:r w:rsidRPr="00F95EBD">
        <w:rPr>
          <w:rFonts w:cs="Calibri"/>
          <w:smallCaps/>
        </w:rPr>
        <w:t xml:space="preserve"> U.S. Dep’t of Health and Human Srvcs., Public Health Srvc., Off. of the Surgeon Gen., </w:t>
      </w:r>
      <w:hyperlink r:id="rId9" w:history="1">
        <w:r w:rsidRPr="00DE78E3">
          <w:rPr>
            <w:rStyle w:val="Hyperlink"/>
            <w:rFonts w:cs="Calibri"/>
            <w:i/>
            <w:color w:val="auto"/>
            <w:u w:val="none"/>
          </w:rPr>
          <w:t>Protecting Youth Mental Health</w:t>
        </w:r>
      </w:hyperlink>
      <w:r w:rsidRPr="00DE78E3">
        <w:rPr>
          <w:rFonts w:cs="Calibri"/>
        </w:rPr>
        <w:t xml:space="preserve">, </w:t>
      </w:r>
      <w:r w:rsidRPr="00F95EBD">
        <w:rPr>
          <w:rFonts w:cs="Calibri"/>
        </w:rPr>
        <w:t xml:space="preserve">(2021) (noting that “in 2016, of the 7.7 million children with treatable mental health disorder, about half did not receive adequate treatment). </w:t>
      </w:r>
      <w:hyperlink r:id="rId10" w:history="1">
        <w:r w:rsidRPr="00F95EBD">
          <w:rPr>
            <w:rStyle w:val="Hyperlink1"/>
            <w:rFonts w:cs="Calibri"/>
          </w:rPr>
          <w:t>https://www.hhs.gov/sites/default/files/surgeon-general-youth-mental-health-advisory.pdf</w:t>
        </w:r>
      </w:hyperlink>
      <w:r w:rsidRPr="00F95EBD">
        <w:rPr>
          <w:rFonts w:cs="Calibri"/>
        </w:rPr>
        <w:t>. The report further notes that “researching covering 80,000 youth globally found that depressive and anxiety symptoms doubled during the pandemic, with 25% of youth experiencing depressive and 20% experiencing anxiety symptoms.</w:t>
      </w:r>
    </w:p>
  </w:footnote>
  <w:footnote w:id="25">
    <w:p w14:paraId="6FFAEFCB" w14:textId="77777777" w:rsidR="008E5A5F" w:rsidRDefault="008E5A5F" w:rsidP="008E5A5F">
      <w:pPr>
        <w:pStyle w:val="FootnoteText"/>
      </w:pPr>
      <w:r>
        <w:rPr>
          <w:rStyle w:val="FootnoteReference"/>
        </w:rPr>
        <w:footnoteRef/>
      </w:r>
      <w:r>
        <w:t xml:space="preserve"> </w:t>
      </w:r>
      <w:r w:rsidRPr="00C575A0">
        <w:t>The Massachusetts FY21 Application and FY19 Report for the Maternal and Child Health Services Block Grant Program found that mental health was a priority issue in the areas of child health, adolescent health, and children and youth with special health needs.</w:t>
      </w:r>
      <w:r w:rsidRPr="00C575A0">
        <w:rPr>
          <w:vertAlign w:val="superscript"/>
        </w:rPr>
        <w:footnoteRef/>
      </w:r>
      <w:r>
        <w:t xml:space="preserve"> </w:t>
      </w:r>
    </w:p>
  </w:footnote>
  <w:footnote w:id="26">
    <w:p w14:paraId="1B642253" w14:textId="16B56233" w:rsidR="00EC4496" w:rsidRDefault="00EC4496">
      <w:pPr>
        <w:pStyle w:val="FootnoteText"/>
      </w:pPr>
      <w:r>
        <w:rPr>
          <w:rStyle w:val="FootnoteReference"/>
        </w:rPr>
        <w:footnoteRef/>
      </w:r>
      <w:r>
        <w:t xml:space="preserve"> </w:t>
      </w:r>
      <w:r w:rsidR="008F35CE" w:rsidRPr="008F35CE">
        <w:t>Franciscan</w:t>
      </w:r>
      <w:r w:rsidR="008F35CE" w:rsidRPr="00AD46C5">
        <w:t>’s outpatient behavioral health department has three separate components –</w:t>
      </w:r>
      <w:r w:rsidR="008F35CE" w:rsidRPr="008F35CE">
        <w:t xml:space="preserve"> 1) </w:t>
      </w:r>
      <w:r w:rsidR="008F35CE" w:rsidRPr="00AD46C5">
        <w:t xml:space="preserve">neuropsychological assessment, </w:t>
      </w:r>
      <w:r w:rsidR="008F35CE" w:rsidRPr="008F35CE">
        <w:t xml:space="preserve">2) </w:t>
      </w:r>
      <w:r w:rsidR="008F35CE" w:rsidRPr="00AD46C5">
        <w:t xml:space="preserve">therapy, and </w:t>
      </w:r>
      <w:r w:rsidR="008F35CE" w:rsidRPr="008F35CE">
        <w:t xml:space="preserve">3) </w:t>
      </w:r>
      <w:r w:rsidR="008F35CE" w:rsidRPr="00AD46C5">
        <w:t xml:space="preserve">psychiatry – each with a distinct waitlist. </w:t>
      </w:r>
      <w:r w:rsidR="008F35CE" w:rsidRPr="008F35CE">
        <w:t>1) The</w:t>
      </w:r>
      <w:r w:rsidR="008F35CE" w:rsidRPr="00AD46C5">
        <w:t xml:space="preserve"> neuropsychological assessment program uses a variety of instruments to evaluate neurological </w:t>
      </w:r>
      <w:r w:rsidR="008F35CE" w:rsidRPr="008F35CE">
        <w:t xml:space="preserve">conditions </w:t>
      </w:r>
      <w:r w:rsidR="008F35CE" w:rsidRPr="00AD46C5">
        <w:t>and assess children struggling with a</w:t>
      </w:r>
      <w:r w:rsidR="008F35CE" w:rsidRPr="008F35CE">
        <w:t xml:space="preserve">n </w:t>
      </w:r>
      <w:r w:rsidR="008F35CE" w:rsidRPr="00AD46C5">
        <w:t xml:space="preserve">array of clinical presentations. </w:t>
      </w:r>
      <w:r w:rsidR="008F35CE" w:rsidRPr="008F35CE">
        <w:t xml:space="preserve">2) </w:t>
      </w:r>
      <w:r w:rsidR="008F35CE" w:rsidRPr="00AD46C5">
        <w:t>Therapy services can be individual, group, or family in approach</w:t>
      </w:r>
      <w:r w:rsidR="008F35CE" w:rsidRPr="008F35CE">
        <w:t>,</w:t>
      </w:r>
      <w:r w:rsidR="008F35CE" w:rsidRPr="00AD46C5">
        <w:t xml:space="preserve"> and are provided by psychologists, social workers, and mental health counselors typically on a weekly or bi-weekly frequency. </w:t>
      </w:r>
      <w:r w:rsidR="008F35CE" w:rsidRPr="008F35CE">
        <w:t xml:space="preserve">3) </w:t>
      </w:r>
      <w:r w:rsidR="008F35CE" w:rsidRPr="00AD46C5">
        <w:t xml:space="preserve">Psychiatry provides medication management and evaluation services. </w:t>
      </w:r>
    </w:p>
  </w:footnote>
  <w:footnote w:id="27">
    <w:p w14:paraId="59067AEC" w14:textId="3626F79F" w:rsidR="00EB34B4" w:rsidRDefault="00EB34B4">
      <w:pPr>
        <w:pStyle w:val="FootnoteText"/>
      </w:pPr>
      <w:r>
        <w:rPr>
          <w:rStyle w:val="FootnoteReference"/>
        </w:rPr>
        <w:footnoteRef/>
      </w:r>
      <w:r>
        <w:t xml:space="preserve"> </w:t>
      </w:r>
      <w:r w:rsidRPr="00D523F2">
        <w:rPr>
          <w:rFonts w:ascii="Calibri" w:eastAsia="Calibri" w:hAnsi="Calibri" w:cs="Calibri"/>
        </w:rPr>
        <w:t>including mood disorders, depression anxiety, adjustment disorders, post-traumatic stress disorder, other trauma related disorders, attention deficit disorder (</w:t>
      </w:r>
      <w:r>
        <w:rPr>
          <w:rFonts w:ascii="Calibri" w:eastAsia="Calibri" w:hAnsi="Calibri" w:cs="Calibri"/>
        </w:rPr>
        <w:t>“</w:t>
      </w:r>
      <w:r w:rsidRPr="00D523F2">
        <w:rPr>
          <w:rFonts w:ascii="Calibri" w:eastAsia="Calibri" w:hAnsi="Calibri" w:cs="Calibri"/>
        </w:rPr>
        <w:t>ADHD</w:t>
      </w:r>
      <w:r>
        <w:rPr>
          <w:rFonts w:ascii="Calibri" w:eastAsia="Calibri" w:hAnsi="Calibri" w:cs="Calibri"/>
        </w:rPr>
        <w:t>”</w:t>
      </w:r>
      <w:r w:rsidRPr="00D523F2">
        <w:rPr>
          <w:rFonts w:ascii="Calibri" w:eastAsia="Calibri" w:hAnsi="Calibri" w:cs="Calibri"/>
        </w:rPr>
        <w:t>), disruptive behavior disorders and psychosis.</w:t>
      </w:r>
    </w:p>
  </w:footnote>
  <w:footnote w:id="28">
    <w:p w14:paraId="57277598" w14:textId="4CF44CCE" w:rsidR="00EB34B4" w:rsidRPr="005407E0" w:rsidRDefault="00EB34B4" w:rsidP="00EB34B4">
      <w:pPr>
        <w:pStyle w:val="FootnoteText"/>
        <w:jc w:val="both"/>
        <w:rPr>
          <w:rFonts w:cs="Calibri"/>
        </w:rPr>
      </w:pPr>
      <w:r w:rsidRPr="005407E0">
        <w:rPr>
          <w:rStyle w:val="FootnoteReference"/>
          <w:rFonts w:cs="Calibri"/>
        </w:rPr>
        <w:footnoteRef/>
      </w:r>
      <w:r w:rsidRPr="005407E0">
        <w:rPr>
          <w:rFonts w:cs="Calibri"/>
        </w:rPr>
        <w:t xml:space="preserve"> </w:t>
      </w:r>
      <w:r>
        <w:rPr>
          <w:rFonts w:cs="Calibri"/>
        </w:rPr>
        <w:t>Franciscan</w:t>
      </w:r>
      <w:r w:rsidRPr="005407E0">
        <w:rPr>
          <w:rFonts w:cs="Calibri"/>
        </w:rPr>
        <w:t xml:space="preserve"> has a long-standing contractual relationship with McLean Hospital under which McLean provides professional staffing and program management for </w:t>
      </w:r>
      <w:r>
        <w:rPr>
          <w:rFonts w:cs="Calibri"/>
        </w:rPr>
        <w:t>Franciscan</w:t>
      </w:r>
      <w:r w:rsidRPr="005407E0">
        <w:rPr>
          <w:rFonts w:cs="Calibri"/>
        </w:rPr>
        <w:t xml:space="preserve">’s psychiatric acute inpatient unit and CBAT.  Pursuant to that contractual relationship, McLean clinical leadership has directly participated in the development of plans for potential pediatric </w:t>
      </w:r>
      <w:r w:rsidR="00060C17">
        <w:rPr>
          <w:rFonts w:cs="Calibri"/>
        </w:rPr>
        <w:t xml:space="preserve">mental </w:t>
      </w:r>
      <w:r w:rsidRPr="005407E0">
        <w:rPr>
          <w:rFonts w:cs="Calibri"/>
        </w:rPr>
        <w:t xml:space="preserve">health service improvements and expansions under the Proposed Project.   </w:t>
      </w:r>
    </w:p>
  </w:footnote>
  <w:footnote w:id="29">
    <w:p w14:paraId="26DEBA87" w14:textId="5E8EC846" w:rsidR="00801DAD" w:rsidRDefault="00801DAD">
      <w:pPr>
        <w:pStyle w:val="FootnoteText"/>
      </w:pPr>
      <w:r>
        <w:rPr>
          <w:rStyle w:val="FootnoteReference"/>
        </w:rPr>
        <w:footnoteRef/>
      </w:r>
      <w:r>
        <w:t xml:space="preserve"> Approved in 202</w:t>
      </w:r>
      <w:r w:rsidR="008E5A5F">
        <w:t>1</w:t>
      </w:r>
      <w:r>
        <w:t xml:space="preserve"> </w:t>
      </w:r>
      <w:r w:rsidR="008E5A5F">
        <w:t xml:space="preserve">as part </w:t>
      </w:r>
      <w:r w:rsidR="00B73799">
        <w:t>of the</w:t>
      </w:r>
      <w:r>
        <w:t xml:space="preserve"> COVID </w:t>
      </w:r>
      <w:r w:rsidR="008E5A5F">
        <w:t xml:space="preserve">state of </w:t>
      </w:r>
      <w:r>
        <w:t xml:space="preserve">emergency </w:t>
      </w:r>
      <w:hyperlink r:id="rId11" w:history="1">
        <w:r w:rsidRPr="002C3A70">
          <w:rPr>
            <w:rStyle w:val="Hyperlink"/>
            <w:color w:val="234170" w:themeColor="text2" w:themeShade="BF"/>
          </w:rPr>
          <w:t>https://www.mass.gov/doc/boston-childrens-hospital-approval/download</w:t>
        </w:r>
      </w:hyperlink>
      <w:r>
        <w:t xml:space="preserve"> </w:t>
      </w:r>
    </w:p>
  </w:footnote>
  <w:footnote w:id="30">
    <w:p w14:paraId="550B669C" w14:textId="2278566F" w:rsidR="6F80FCDD" w:rsidRPr="003967E5" w:rsidRDefault="0071798F" w:rsidP="6F80FCDD">
      <w:pPr>
        <w:rPr>
          <w:rFonts w:ascii="Calibri" w:eastAsia="Calibri" w:hAnsi="Calibri" w:cs="Calibri"/>
          <w:sz w:val="20"/>
          <w:szCs w:val="20"/>
        </w:rPr>
      </w:pPr>
      <w:r w:rsidRPr="003967E5">
        <w:rPr>
          <w:rStyle w:val="FootnoteReference"/>
          <w:sz w:val="20"/>
          <w:szCs w:val="20"/>
        </w:rPr>
        <w:footnoteRef/>
      </w:r>
      <w:r w:rsidR="6F80FCDD" w:rsidRPr="003967E5">
        <w:rPr>
          <w:sz w:val="20"/>
          <w:szCs w:val="20"/>
        </w:rPr>
        <w:t xml:space="preserve"> The Franciscan program provides onsite direct care to the Melvin King School, the Boston Public School’s complex of intensive therapeutic schools. </w:t>
      </w:r>
      <w:r w:rsidR="6F80FCDD" w:rsidRPr="003967E5">
        <w:rPr>
          <w:rFonts w:ascii="Calibri" w:eastAsia="Calibri" w:hAnsi="Calibri" w:cs="Calibri"/>
          <w:sz w:val="20"/>
          <w:szCs w:val="20"/>
        </w:rPr>
        <w:t>BCH’s Neighborhood Partnerships Program partners with 11 schools in 2020-2021 to provide mental health services to 1,469 students and 1,500 hours of training and consultation to Boston school staff. These programs serve clinical conditions, including adjustment disorders, depression, other mood disorders, self-harm behaviors, anxiety, ADHD, autism and IDD, and patients with co-occurring medical and mental health needs.</w:t>
      </w:r>
    </w:p>
  </w:footnote>
  <w:footnote w:id="31">
    <w:p w14:paraId="2077689E" w14:textId="77777777" w:rsidR="008A3250" w:rsidRPr="00521456" w:rsidRDefault="008A3250" w:rsidP="008A3250">
      <w:pPr>
        <w:pStyle w:val="FootnoteText"/>
      </w:pPr>
      <w:r>
        <w:rPr>
          <w:rStyle w:val="FootnoteReference"/>
        </w:rPr>
        <w:footnoteRef/>
      </w:r>
      <w:r w:rsidRPr="00521456">
        <w:t xml:space="preserve">The need for access to such school-based services for children is supported by </w:t>
      </w:r>
      <w:r w:rsidRPr="00060C17">
        <w:rPr>
          <w:i/>
          <w:iCs/>
        </w:rPr>
        <w:t>The Behavioral Health Workforce Report</w:t>
      </w:r>
      <w:r w:rsidRPr="00521456">
        <w:t xml:space="preserve">, Substance Abuse Mental Health Services Administration that reported that approximately 10% of U.S. school children in 2020 would have serious emotional disturbance/serious mental illness, and that schools represent an important resource for child mental health services and continue to be a major need nationally. </w:t>
      </w:r>
    </w:p>
    <w:p w14:paraId="1FF53670" w14:textId="77777777" w:rsidR="008A3250" w:rsidRDefault="008A3250" w:rsidP="008A3250">
      <w:pPr>
        <w:pStyle w:val="FootnoteText"/>
      </w:pPr>
      <w:r>
        <w:t xml:space="preserve"> </w:t>
      </w:r>
    </w:p>
  </w:footnote>
  <w:footnote w:id="32">
    <w:p w14:paraId="18B75B9A" w14:textId="1D4BBD57" w:rsidR="00F505CA" w:rsidRDefault="00F505CA">
      <w:pPr>
        <w:pStyle w:val="FootnoteText"/>
      </w:pPr>
      <w:r>
        <w:rPr>
          <w:rStyle w:val="FootnoteReference"/>
        </w:rPr>
        <w:footnoteRef/>
      </w:r>
      <w:r>
        <w:t xml:space="preserve"> See </w:t>
      </w:r>
      <w:hyperlink r:id="rId12" w:history="1">
        <w:r w:rsidRPr="00DE78E3">
          <w:rPr>
            <w:rStyle w:val="Hyperlink"/>
            <w:color w:val="auto"/>
            <w:u w:val="none"/>
          </w:rPr>
          <w:t>Table 10</w:t>
        </w:r>
        <w:r w:rsidR="00266E9E" w:rsidRPr="00DE78E3">
          <w:rPr>
            <w:rStyle w:val="Hyperlink"/>
            <w:color w:val="auto"/>
            <w:u w:val="none"/>
          </w:rPr>
          <w:t xml:space="preserve"> p. 33 of the Application</w:t>
        </w:r>
      </w:hyperlink>
      <w:r w:rsidR="00266E9E">
        <w:t xml:space="preserve"> </w:t>
      </w:r>
      <w:hyperlink r:id="rId13" w:history="1">
        <w:r w:rsidR="00266E9E" w:rsidRPr="002C3A70">
          <w:rPr>
            <w:rStyle w:val="Hyperlink"/>
            <w:color w:val="234170" w:themeColor="text2" w:themeShade="BF"/>
          </w:rPr>
          <w:t>https://www.mass.gov/doc/narrative-pdf-franciscan-hospital/download</w:t>
        </w:r>
      </w:hyperlink>
      <w:r w:rsidR="00266E9E">
        <w:t xml:space="preserve"> </w:t>
      </w:r>
    </w:p>
  </w:footnote>
  <w:footnote w:id="33">
    <w:p w14:paraId="67E02716" w14:textId="0AB804BB" w:rsidR="00302E5E" w:rsidRPr="00302E5E" w:rsidRDefault="00302E5E" w:rsidP="00302E5E">
      <w:pPr>
        <w:pStyle w:val="FootnoteText"/>
        <w:rPr>
          <w:lang w:val="en"/>
        </w:rPr>
      </w:pPr>
      <w:r>
        <w:rPr>
          <w:rStyle w:val="FootnoteReference"/>
        </w:rPr>
        <w:footnoteRef/>
      </w:r>
      <w:r>
        <w:rPr>
          <w:lang w:val="en"/>
        </w:rPr>
        <w:t>A</w:t>
      </w:r>
      <w:r w:rsidRPr="00302E5E">
        <w:rPr>
          <w:lang w:val="en"/>
        </w:rPr>
        <w:t>fter accounting for the number census numbers</w:t>
      </w:r>
      <w:r w:rsidR="001E7EE6">
        <w:rPr>
          <w:lang w:val="en"/>
        </w:rPr>
        <w:t xml:space="preserve"> in the beds</w:t>
      </w:r>
      <w:r w:rsidRPr="00302E5E">
        <w:rPr>
          <w:lang w:val="en"/>
        </w:rPr>
        <w:t xml:space="preserve"> (~12) already being served and moving from Waltham.</w:t>
      </w:r>
    </w:p>
    <w:p w14:paraId="35E0880F" w14:textId="1D48709A" w:rsidR="00302E5E" w:rsidRDefault="00302E5E">
      <w:pPr>
        <w:pStyle w:val="FootnoteText"/>
      </w:pPr>
    </w:p>
  </w:footnote>
  <w:footnote w:id="34">
    <w:p w14:paraId="0CA53303" w14:textId="77777777" w:rsidR="008B22EE" w:rsidRDefault="008B22EE" w:rsidP="008B22EE">
      <w:pPr>
        <w:pStyle w:val="FootnoteText"/>
      </w:pPr>
      <w:r>
        <w:rPr>
          <w:rStyle w:val="FootnoteReference"/>
        </w:rPr>
        <w:footnoteRef/>
      </w:r>
      <w:r>
        <w:t xml:space="preserve"> </w:t>
      </w:r>
      <w:r w:rsidRPr="00C0325B">
        <w:t>Section 7 of Chapter 124 of the Acts of 2019</w:t>
      </w:r>
    </w:p>
  </w:footnote>
  <w:footnote w:id="35">
    <w:p w14:paraId="0FF3BB97" w14:textId="089A61FD" w:rsidR="00FD624E" w:rsidRPr="00203617" w:rsidRDefault="00FD624E" w:rsidP="00FD624E">
      <w:pPr>
        <w:pStyle w:val="ListParagraph"/>
        <w:spacing w:after="0" w:line="240" w:lineRule="auto"/>
        <w:ind w:left="0"/>
        <w:rPr>
          <w:rFonts w:cs="Calibri"/>
        </w:rPr>
      </w:pPr>
      <w:r w:rsidRPr="00203617">
        <w:rPr>
          <w:rStyle w:val="FootnoteReference"/>
          <w:rFonts w:cs="Calibri"/>
          <w:sz w:val="20"/>
        </w:rPr>
        <w:footnoteRef/>
      </w:r>
      <w:r w:rsidRPr="00203617">
        <w:rPr>
          <w:rFonts w:cs="Calibri"/>
          <w:sz w:val="20"/>
        </w:rPr>
        <w:t xml:space="preserve"> </w:t>
      </w:r>
      <w:r>
        <w:rPr>
          <w:rFonts w:cs="Calibri"/>
          <w:sz w:val="20"/>
        </w:rPr>
        <w:t>Franciscan</w:t>
      </w:r>
      <w:r w:rsidRPr="00203617">
        <w:rPr>
          <w:rFonts w:cs="Calibri"/>
          <w:sz w:val="20"/>
        </w:rPr>
        <w:t xml:space="preserve"> conducted a federally funded multi-year family engagement study funded by the PCORI which found that children with complex medical needs and their families are challenged by the complexity of the health care system as these families often rely on multiple health and social service </w:t>
      </w:r>
      <w:r w:rsidR="009741CC" w:rsidRPr="00203617">
        <w:rPr>
          <w:rFonts w:cs="Calibri"/>
          <w:sz w:val="20"/>
        </w:rPr>
        <w:t>systems and</w:t>
      </w:r>
      <w:r w:rsidRPr="00203617">
        <w:rPr>
          <w:rFonts w:cs="Calibri"/>
          <w:sz w:val="20"/>
        </w:rPr>
        <w:t xml:space="preserve"> navigate across multiple sources of care which is burdensome particularly in connection with care transitions. The study noted families’ desire for general medical provider updates and help with coordination regarding appointments, medication, and urgent care. Parents expressed particular interest in medical homes and care teams’ assistance.</w:t>
      </w:r>
    </w:p>
  </w:footnote>
  <w:footnote w:id="36">
    <w:p w14:paraId="0B6EFC3D" w14:textId="77777777" w:rsidR="00794BF2" w:rsidRPr="000C0AAA" w:rsidRDefault="00794BF2" w:rsidP="00794BF2">
      <w:pPr>
        <w:pStyle w:val="FootnoteText"/>
        <w:jc w:val="both"/>
        <w:rPr>
          <w:highlight w:val="yellow"/>
        </w:rPr>
      </w:pPr>
      <w:r w:rsidRPr="00B7678C">
        <w:rPr>
          <w:rStyle w:val="FootnoteReference"/>
          <w:rFonts w:ascii="Calibri" w:hAnsi="Calibri" w:cs="Calibri"/>
        </w:rPr>
        <w:footnoteRef/>
      </w:r>
      <w:r w:rsidRPr="00B7678C">
        <w:rPr>
          <w:rFonts w:ascii="Calibri" w:hAnsi="Calibri" w:cs="Calibri"/>
        </w:rPr>
        <w:t xml:space="preserve"> </w:t>
      </w:r>
      <w:r w:rsidRPr="00B7678C">
        <w:rPr>
          <w:rFonts w:ascii="Calibri" w:hAnsi="Calibri" w:cs="Calibri"/>
          <w:i/>
        </w:rPr>
        <w:t>See</w:t>
      </w:r>
      <w:r w:rsidRPr="00B7678C">
        <w:rPr>
          <w:rFonts w:ascii="Calibri" w:hAnsi="Calibri" w:cs="Calibri"/>
        </w:rPr>
        <w:t xml:space="preserve"> </w:t>
      </w:r>
      <w:r w:rsidRPr="00B7678C">
        <w:rPr>
          <w:rFonts w:ascii="Calibri" w:hAnsi="Calibri" w:cs="Calibri"/>
          <w:smallCaps/>
        </w:rPr>
        <w:t>Mass. Health Policy Comm’n</w:t>
      </w:r>
      <w:r w:rsidRPr="00B7678C">
        <w:rPr>
          <w:rFonts w:ascii="Calibri" w:hAnsi="Calibri" w:cs="Calibri"/>
        </w:rPr>
        <w:t xml:space="preserve">, </w:t>
      </w:r>
      <w:r w:rsidRPr="00B7678C">
        <w:rPr>
          <w:rFonts w:ascii="Calibri" w:hAnsi="Calibri" w:cs="Calibri"/>
          <w:i/>
        </w:rPr>
        <w:t>Children with Medical Complexity in the Commonwealth</w:t>
      </w:r>
      <w:r w:rsidRPr="00B7678C">
        <w:rPr>
          <w:rFonts w:ascii="Calibri" w:hAnsi="Calibri" w:cs="Calibri"/>
        </w:rPr>
        <w:t xml:space="preserve"> (Oct. 6, 2021).</w:t>
      </w:r>
    </w:p>
  </w:footnote>
  <w:footnote w:id="37">
    <w:p w14:paraId="792DCC06" w14:textId="769B3888" w:rsidR="0091551B" w:rsidRDefault="0091551B">
      <w:pPr>
        <w:pStyle w:val="FootnoteText"/>
      </w:pPr>
      <w:r>
        <w:rPr>
          <w:rStyle w:val="FootnoteReference"/>
        </w:rPr>
        <w:footnoteRef/>
      </w:r>
      <w:r>
        <w:t xml:space="preserve"> Since these patients would not solely originate at BCH, the Applicant does not have data on the volume of transfers out of state.</w:t>
      </w:r>
    </w:p>
  </w:footnote>
  <w:footnote w:id="38">
    <w:p w14:paraId="27B90C73" w14:textId="44308185" w:rsidR="00FD624E" w:rsidRDefault="00FD624E">
      <w:pPr>
        <w:pStyle w:val="FootnoteText"/>
      </w:pPr>
      <w:r>
        <w:rPr>
          <w:rStyle w:val="FootnoteReference"/>
        </w:rPr>
        <w:footnoteRef/>
      </w:r>
      <w:r>
        <w:t xml:space="preserve"> As noted earlier, the Applicant states it has not operated a</w:t>
      </w:r>
      <w:r w:rsidR="008204B9">
        <w:t>ll of</w:t>
      </w:r>
      <w:r>
        <w:t xml:space="preserve"> its licensed capacity (80 medical rehabilitation beds) for over a decade.</w:t>
      </w:r>
    </w:p>
  </w:footnote>
  <w:footnote w:id="39">
    <w:p w14:paraId="77BC4FA3" w14:textId="0752FBC5" w:rsidR="00203617" w:rsidRDefault="00203617" w:rsidP="00203617">
      <w:pPr>
        <w:pStyle w:val="FootnoteText"/>
      </w:pPr>
      <w:r w:rsidRPr="002A68D5">
        <w:rPr>
          <w:rStyle w:val="FootnoteReference"/>
          <w:rFonts w:ascii="Calibri" w:hAnsi="Calibri" w:cs="Calibri"/>
        </w:rPr>
        <w:footnoteRef/>
      </w:r>
      <w:r w:rsidRPr="002A68D5">
        <w:rPr>
          <w:rFonts w:ascii="Calibri" w:hAnsi="Calibri" w:cs="Calibri"/>
        </w:rPr>
        <w:t xml:space="preserve"> </w:t>
      </w:r>
      <w:r w:rsidR="00AB1D61">
        <w:rPr>
          <w:rFonts w:ascii="Calibri" w:hAnsi="Calibri" w:cs="Calibri"/>
        </w:rPr>
        <w:t>Franciscan</w:t>
      </w:r>
      <w:r w:rsidRPr="002A68D5">
        <w:rPr>
          <w:rFonts w:ascii="Calibri" w:hAnsi="Calibri" w:cs="Calibri"/>
        </w:rPr>
        <w:t xml:space="preserve"> has a long-standing contractual relationship with the Boston University Henry M. Goldman School of Dental Medicine (“BUGSDM”) under which </w:t>
      </w:r>
      <w:r w:rsidR="00AB1D61">
        <w:rPr>
          <w:rFonts w:ascii="Calibri" w:hAnsi="Calibri" w:cs="Calibri"/>
        </w:rPr>
        <w:t>Franciscan</w:t>
      </w:r>
      <w:r w:rsidRPr="002A68D5">
        <w:rPr>
          <w:rFonts w:ascii="Calibri" w:hAnsi="Calibri" w:cs="Calibri"/>
        </w:rPr>
        <w:t xml:space="preserve"> serves as a primary training location for BUGSDM residents and fellows </w:t>
      </w:r>
      <w:r>
        <w:t xml:space="preserve">who </w:t>
      </w:r>
      <w:r w:rsidRPr="002A68D5">
        <w:rPr>
          <w:rFonts w:ascii="Calibri" w:hAnsi="Calibri" w:cs="Calibri"/>
        </w:rPr>
        <w:t xml:space="preserve">provide pediatric dental services to children in </w:t>
      </w:r>
      <w:r w:rsidR="00AB1D61">
        <w:rPr>
          <w:rFonts w:ascii="Calibri" w:hAnsi="Calibri" w:cs="Calibri"/>
        </w:rPr>
        <w:t>Franciscan</w:t>
      </w:r>
      <w:r w:rsidRPr="002A68D5">
        <w:rPr>
          <w:rFonts w:ascii="Calibri" w:hAnsi="Calibri" w:cs="Calibri"/>
        </w:rPr>
        <w:t xml:space="preserve">’s dental clinic and dental surgery as part of BUGSDM academic programs.  </w:t>
      </w:r>
    </w:p>
  </w:footnote>
  <w:footnote w:id="40">
    <w:p w14:paraId="122FA0B9" w14:textId="533369F4" w:rsidR="00C550DF" w:rsidRPr="00C550DF" w:rsidRDefault="00310F27" w:rsidP="00A714BF">
      <w:pPr>
        <w:rPr>
          <w:rFonts w:ascii="Calibri" w:eastAsia="Calibri" w:hAnsi="Calibri" w:cs="Calibri"/>
          <w:sz w:val="20"/>
          <w:szCs w:val="20"/>
        </w:rPr>
      </w:pPr>
      <w:r>
        <w:rPr>
          <w:rStyle w:val="FootnoteReference"/>
        </w:rPr>
        <w:footnoteRef/>
      </w:r>
      <w:r>
        <w:t xml:space="preserve"> </w:t>
      </w:r>
      <w:r w:rsidR="00C550DF" w:rsidRPr="00A714BF">
        <w:rPr>
          <w:sz w:val="20"/>
          <w:szCs w:val="20"/>
        </w:rPr>
        <w:t>1</w:t>
      </w:r>
      <w:r w:rsidR="000A2958" w:rsidRPr="00A714BF">
        <w:rPr>
          <w:sz w:val="20"/>
          <w:szCs w:val="20"/>
        </w:rPr>
        <w:t>)</w:t>
      </w:r>
      <w:r w:rsidR="00C550DF" w:rsidRPr="00A714BF">
        <w:rPr>
          <w:rFonts w:ascii="Calibri" w:eastAsia="Calibri" w:hAnsi="Calibri" w:cs="Calibri"/>
          <w:sz w:val="20"/>
          <w:szCs w:val="20"/>
        </w:rPr>
        <w:t xml:space="preserve">The nurse-to-patient ratios that Franciscan must maintain to ensure that timely, high-quality care is provided, is higher than other sub-acute facilities, because its mental health pediatric patients require more care than adults with similar conditions. </w:t>
      </w:r>
      <w:r w:rsidR="000A2958" w:rsidRPr="00A714BF">
        <w:rPr>
          <w:rFonts w:ascii="Calibri" w:eastAsia="Calibri" w:hAnsi="Calibri" w:cs="Calibri"/>
          <w:sz w:val="20"/>
          <w:szCs w:val="20"/>
        </w:rPr>
        <w:t xml:space="preserve">2) </w:t>
      </w:r>
      <w:r w:rsidR="00C550DF" w:rsidRPr="00C550DF">
        <w:rPr>
          <w:rFonts w:ascii="Calibri" w:eastAsia="Calibri" w:hAnsi="Calibri" w:cs="Calibri"/>
          <w:sz w:val="20"/>
          <w:szCs w:val="20"/>
        </w:rPr>
        <w:t>Following the Affiliation, the Applicant has made key clinical leadership commitments, including recruiting a Franciscan Children’s Chief Behavioral Health Officer who also holds a leadership role within the Department of Psychiatry and Behavioral Health at BCH with the aim to “ensure” effective cross system integration among the onsite clinical services and staff at the school-based programs and the wider provider community.</w:t>
      </w:r>
      <w:r w:rsidR="000A2958" w:rsidRPr="00A714BF">
        <w:rPr>
          <w:rFonts w:ascii="Calibri" w:eastAsia="Calibri" w:hAnsi="Calibri" w:cs="Calibri"/>
          <w:sz w:val="20"/>
          <w:szCs w:val="20"/>
        </w:rPr>
        <w:t xml:space="preserve"> 3) </w:t>
      </w:r>
      <w:r w:rsidR="00C550DF" w:rsidRPr="00C550DF">
        <w:rPr>
          <w:rFonts w:ascii="Calibri" w:eastAsia="Calibri" w:hAnsi="Calibri" w:cs="Calibri"/>
          <w:sz w:val="20"/>
          <w:szCs w:val="20"/>
        </w:rPr>
        <w:t>The Applicant is evaluating the best integration models for leadership, training, and is working to develop enhanced lines of communication among clinical teams located in and out of the schools (e.g., the outpatient and inpatient settings) to support transitions back to school or to work, and to strengthen interventions at the schools to prevent youth needing a higher level of care.</w:t>
      </w:r>
      <w:r w:rsidR="000A2958" w:rsidRPr="00A714BF">
        <w:rPr>
          <w:rFonts w:ascii="Calibri" w:eastAsia="Calibri" w:hAnsi="Calibri" w:cs="Calibri"/>
          <w:sz w:val="20"/>
          <w:szCs w:val="20"/>
        </w:rPr>
        <w:t xml:space="preserve"> 4) </w:t>
      </w:r>
      <w:r w:rsidR="00C550DF" w:rsidRPr="00C550DF">
        <w:rPr>
          <w:rFonts w:ascii="Calibri" w:eastAsia="Calibri" w:hAnsi="Calibri" w:cs="Calibri"/>
          <w:sz w:val="20"/>
          <w:szCs w:val="20"/>
        </w:rPr>
        <w:t>Growing acuity and demand for mental health services has challenged the ability of the clinical care teams to provide services.</w:t>
      </w:r>
      <w:r w:rsidR="00A714BF" w:rsidRPr="00A714BF">
        <w:rPr>
          <w:rFonts w:ascii="Calibri" w:eastAsia="Calibri" w:hAnsi="Calibri" w:cs="Calibri"/>
          <w:sz w:val="20"/>
          <w:szCs w:val="20"/>
        </w:rPr>
        <w:t xml:space="preserve"> 5) </w:t>
      </w:r>
      <w:r w:rsidR="00C550DF" w:rsidRPr="00C550DF">
        <w:rPr>
          <w:rFonts w:ascii="Calibri" w:eastAsia="Calibri" w:hAnsi="Calibri" w:cs="Calibri"/>
          <w:sz w:val="20"/>
          <w:szCs w:val="20"/>
        </w:rPr>
        <w:t>The Applicant hopes to alleviate some of these challenges through co-location of the programs along the continuum of care because this will enhance its ability to provide peer support, supervision and collaborative learning environments. As such it will offer enhanced professional opportunities at different levels of care, thereby improving recruitment and retention.</w:t>
      </w:r>
    </w:p>
    <w:p w14:paraId="5F330D1F" w14:textId="4C647E06" w:rsidR="00310F27" w:rsidRPr="00C550DF" w:rsidRDefault="002F6D71" w:rsidP="00A714BF">
      <w:pPr>
        <w:spacing w:after="160"/>
        <w:contextualSpacing/>
        <w:rPr>
          <w:sz w:val="20"/>
          <w:szCs w:val="20"/>
        </w:rPr>
      </w:pPr>
      <w:r w:rsidRPr="00A714BF">
        <w:rPr>
          <w:rFonts w:ascii="Calibri" w:eastAsia="Calibri" w:hAnsi="Calibri" w:cs="Calibri"/>
          <w:sz w:val="20"/>
          <w:szCs w:val="20"/>
        </w:rPr>
        <w:t xml:space="preserve">6) </w:t>
      </w:r>
      <w:r w:rsidR="00C550DF" w:rsidRPr="00C550DF">
        <w:rPr>
          <w:rFonts w:ascii="Calibri" w:eastAsia="Calibri" w:hAnsi="Calibri" w:cs="Calibri"/>
          <w:sz w:val="20"/>
          <w:szCs w:val="20"/>
        </w:rPr>
        <w:t>Co-location of programs will also allow for more flexible staffing, including cross coverage and deploying staff based on acuity and need. For example, if one unit has extremely high acuity, staff from another unit can be deployed to augment the team; or to help reduce stress and fatigue, staff members working in intense high-acuity environments could be moved to lower acuity programs. The Applicant states these types of flexible models have been demonstrated to improve employee retention reduce burnout.</w:t>
      </w:r>
      <w:r w:rsidR="00A714BF" w:rsidRPr="00A714BF">
        <w:rPr>
          <w:rFonts w:ascii="Calibri" w:eastAsia="Calibri" w:hAnsi="Calibri" w:cs="Calibri"/>
          <w:sz w:val="20"/>
          <w:szCs w:val="20"/>
        </w:rPr>
        <w:t xml:space="preserve"> 7) </w:t>
      </w:r>
      <w:r w:rsidR="00C550DF" w:rsidRPr="00A714BF">
        <w:rPr>
          <w:rFonts w:ascii="Calibri" w:eastAsia="Calibri" w:hAnsi="Calibri" w:cs="Calibri"/>
          <w:sz w:val="20"/>
          <w:szCs w:val="20"/>
        </w:rPr>
        <w:t>Co-locating the continuum of care in one location will allow seamless “warm handoffs” and “huddles” about the best level of care for a child. Having onsite access to providers at alternative levels of care will increase clinical collaboration and decision-making and decrease clinicians’ efforts and time expended to gather relevant treatment and outcome information disconnected locations.</w:t>
      </w:r>
    </w:p>
  </w:footnote>
  <w:footnote w:id="41">
    <w:p w14:paraId="09F998B5" w14:textId="3A98A705" w:rsidR="00C957FC" w:rsidRPr="00B73799" w:rsidRDefault="00C957FC" w:rsidP="00C957FC">
      <w:pPr>
        <w:rPr>
          <w:rFonts w:cs="Calibri"/>
          <w:sz w:val="20"/>
          <w:szCs w:val="20"/>
        </w:rPr>
      </w:pPr>
      <w:r w:rsidRPr="00B73799">
        <w:rPr>
          <w:rStyle w:val="FootnoteReference"/>
          <w:rFonts w:cs="Calibri"/>
          <w:sz w:val="20"/>
          <w:szCs w:val="20"/>
        </w:rPr>
        <w:footnoteRef/>
      </w:r>
      <w:r w:rsidRPr="00B73799">
        <w:rPr>
          <w:rFonts w:cs="Calibri"/>
          <w:sz w:val="20"/>
          <w:szCs w:val="20"/>
        </w:rPr>
        <w:t xml:space="preserve"> For a more detailed description of initiatives, see </w:t>
      </w:r>
      <w:hyperlink r:id="rId14" w:anchor="responses-to-don-questions-" w:history="1">
        <w:r w:rsidRPr="00E53941">
          <w:rPr>
            <w:rStyle w:val="Hyperlink"/>
            <w:rFonts w:cs="Calibri"/>
            <w:i/>
            <w:iCs/>
            <w:color w:val="auto"/>
            <w:sz w:val="20"/>
            <w:szCs w:val="20"/>
            <w:u w:val="none"/>
          </w:rPr>
          <w:t>Responses to DoN Questions</w:t>
        </w:r>
        <w:r w:rsidRPr="00E53941">
          <w:rPr>
            <w:rStyle w:val="Hyperlink"/>
            <w:rFonts w:cs="Calibri"/>
            <w:color w:val="auto"/>
            <w:sz w:val="20"/>
            <w:szCs w:val="20"/>
            <w:u w:val="none"/>
          </w:rPr>
          <w:t xml:space="preserve"> pp 9-13</w:t>
        </w:r>
      </w:hyperlink>
      <w:r w:rsidRPr="00E53941">
        <w:rPr>
          <w:rFonts w:cs="Calibri"/>
          <w:sz w:val="20"/>
          <w:szCs w:val="20"/>
        </w:rPr>
        <w:t xml:space="preserve"> </w:t>
      </w:r>
      <w:hyperlink r:id="rId15" w:anchor="responses-to-don-questions-" w:history="1">
        <w:r w:rsidR="00B73799" w:rsidRPr="002C3A70">
          <w:rPr>
            <w:rStyle w:val="Hyperlink"/>
            <w:rFonts w:cs="Calibri"/>
            <w:color w:val="234170" w:themeColor="text2" w:themeShade="BF"/>
            <w:sz w:val="20"/>
            <w:szCs w:val="20"/>
          </w:rPr>
          <w:t>https://www.mass.gov/info-details/the-childrens-medical-center-corporationfranciscan-hospital-hospitalclinic-substantial-capital-expenditure#responses-to-don-questions-</w:t>
        </w:r>
      </w:hyperlink>
      <w:r w:rsidR="00B73799">
        <w:rPr>
          <w:rFonts w:cs="Calibri"/>
          <w:sz w:val="20"/>
          <w:szCs w:val="20"/>
        </w:rPr>
        <w:t xml:space="preserve"> </w:t>
      </w:r>
    </w:p>
  </w:footnote>
  <w:footnote w:id="42">
    <w:p w14:paraId="01C17920" w14:textId="77777777" w:rsidR="00E36554" w:rsidRDefault="00E36554" w:rsidP="00E36554">
      <w:pPr>
        <w:pStyle w:val="FootnoteText"/>
      </w:pPr>
      <w:r>
        <w:rPr>
          <w:rStyle w:val="FootnoteReference"/>
        </w:rPr>
        <w:footnoteRef/>
      </w:r>
      <w:r>
        <w:t xml:space="preserve"> Which is c</w:t>
      </w:r>
      <w:r w:rsidRPr="00023B06">
        <w:t>onsistent with all of the Applicant’s facilities</w:t>
      </w:r>
      <w:r>
        <w:t>.</w:t>
      </w:r>
    </w:p>
  </w:footnote>
  <w:footnote w:id="43">
    <w:p w14:paraId="6C05E5FF" w14:textId="40CA60AA" w:rsidR="006B4932" w:rsidRDefault="006B4932" w:rsidP="006B4932">
      <w:pPr>
        <w:pStyle w:val="FootnoteText"/>
      </w:pPr>
      <w:r>
        <w:rPr>
          <w:rStyle w:val="FootnoteReference"/>
        </w:rPr>
        <w:footnoteRef/>
      </w:r>
      <w:r>
        <w:t xml:space="preserve"> It also includes- conducting </w:t>
      </w:r>
      <w:r w:rsidRPr="00270D0B">
        <w:t xml:space="preserve">research and discovery, </w:t>
      </w:r>
      <w:r>
        <w:t xml:space="preserve">and </w:t>
      </w:r>
      <w:r w:rsidRPr="00270D0B">
        <w:t>educating the next generation of health care</w:t>
      </w:r>
      <w:r w:rsidR="00D90348">
        <w:t xml:space="preserve"> providers</w:t>
      </w:r>
      <w:r>
        <w:t>.</w:t>
      </w:r>
    </w:p>
  </w:footnote>
  <w:footnote w:id="44">
    <w:p w14:paraId="3955575B" w14:textId="77777777" w:rsidR="006B4932" w:rsidRDefault="006B4932" w:rsidP="006B4932">
      <w:pPr>
        <w:pStyle w:val="FootnoteText"/>
      </w:pPr>
      <w:r>
        <w:rPr>
          <w:rStyle w:val="FootnoteReference"/>
        </w:rPr>
        <w:footnoteRef/>
      </w:r>
      <w:r>
        <w:t xml:space="preserve"> </w:t>
      </w:r>
      <w:r w:rsidRPr="00270D0B">
        <w:t xml:space="preserve">The BCH FAC was formed to provide </w:t>
      </w:r>
      <w:r>
        <w:t xml:space="preserve">a </w:t>
      </w:r>
      <w:r w:rsidRPr="00270D0B">
        <w:t>forum for creating partnerships among patients, families and staff dedicated to ensuring the delivery of high quality, safe and positive</w:t>
      </w:r>
      <w:r>
        <w:t xml:space="preserve"> </w:t>
      </w:r>
      <w:r w:rsidRPr="00270D0B">
        <w:t>health care experiences at BCH.</w:t>
      </w:r>
    </w:p>
  </w:footnote>
  <w:footnote w:id="45">
    <w:p w14:paraId="1A05114E" w14:textId="048DF3FA" w:rsidR="006B4932" w:rsidRDefault="006B4932" w:rsidP="006B4932">
      <w:pPr>
        <w:pStyle w:val="FootnoteText"/>
      </w:pPr>
      <w:r>
        <w:rPr>
          <w:rStyle w:val="FootnoteReference"/>
        </w:rPr>
        <w:footnoteRef/>
      </w:r>
      <w:r>
        <w:t xml:space="preserve">The </w:t>
      </w:r>
      <w:r w:rsidR="00AB1D61">
        <w:t>Franciscan</w:t>
      </w:r>
      <w:r w:rsidRPr="00270D0B">
        <w:t xml:space="preserve"> PFAC was formed to serve as a formal advisory group of patients, caregivers, and staff, with direct input and influence on policies, programs, and practices impacting children and families.  </w:t>
      </w:r>
    </w:p>
  </w:footnote>
  <w:footnote w:id="46">
    <w:p w14:paraId="4F75AF9B" w14:textId="1A90ABFC" w:rsidR="006B4932" w:rsidRDefault="006B4932" w:rsidP="006B4932">
      <w:pPr>
        <w:pStyle w:val="FootnoteText"/>
      </w:pPr>
      <w:r>
        <w:rPr>
          <w:rStyle w:val="FootnoteReference"/>
        </w:rPr>
        <w:footnoteRef/>
      </w:r>
      <w:r>
        <w:t xml:space="preserve"> </w:t>
      </w:r>
      <w:r w:rsidRPr="00270D0B">
        <w:t>BCH FAC</w:t>
      </w:r>
      <w:r>
        <w:t xml:space="preserve"> meeting was held </w:t>
      </w:r>
      <w:r w:rsidRPr="00270D0B">
        <w:t>June 29, 202</w:t>
      </w:r>
      <w:r>
        <w:t xml:space="preserve">3; </w:t>
      </w:r>
      <w:r w:rsidR="00AB1D61">
        <w:t>Franciscan</w:t>
      </w:r>
      <w:r w:rsidRPr="00270D0B">
        <w:t xml:space="preserve">’s </w:t>
      </w:r>
      <w:r>
        <w:t xml:space="preserve">PFAC meeting was held </w:t>
      </w:r>
      <w:r w:rsidRPr="00270D0B">
        <w:t>June 6, 2023 PFAC</w:t>
      </w:r>
      <w:r>
        <w:t>.</w:t>
      </w:r>
    </w:p>
  </w:footnote>
  <w:footnote w:id="47">
    <w:p w14:paraId="70DEB814" w14:textId="15878F5B" w:rsidR="006B4932" w:rsidRDefault="006B4932" w:rsidP="006B4932">
      <w:pPr>
        <w:pStyle w:val="FootnoteText"/>
      </w:pPr>
      <w:r>
        <w:rPr>
          <w:rStyle w:val="FootnoteReference"/>
        </w:rPr>
        <w:footnoteRef/>
      </w:r>
      <w:r>
        <w:t xml:space="preserve"> See DoN narrative page </w:t>
      </w:r>
      <w:r w:rsidR="00B73799">
        <w:t>52.</w:t>
      </w:r>
    </w:p>
  </w:footnote>
  <w:footnote w:id="48">
    <w:p w14:paraId="6245D5E4" w14:textId="2F54ABA4" w:rsidR="00550940" w:rsidRPr="00F41535" w:rsidRDefault="00550940" w:rsidP="00550940">
      <w:pPr>
        <w:pStyle w:val="FootnoteText"/>
        <w:rPr>
          <w:rFonts w:ascii="Calibri" w:hAnsi="Calibri" w:cs="Calibri"/>
        </w:rPr>
      </w:pPr>
      <w:r w:rsidRPr="00F41535">
        <w:rPr>
          <w:rStyle w:val="FootnoteReference"/>
          <w:rFonts w:ascii="Calibri" w:hAnsi="Calibri" w:cs="Calibri"/>
        </w:rPr>
        <w:footnoteRef/>
      </w:r>
      <w:r w:rsidRPr="00F41535">
        <w:rPr>
          <w:rFonts w:ascii="Calibri" w:hAnsi="Calibri" w:cs="Calibri"/>
        </w:rPr>
        <w:t xml:space="preserve"> It is the only statewide ACO dedicated to serving children and adolescents.  </w:t>
      </w:r>
      <w:bookmarkStart w:id="90" w:name="_9kR3WTr6GC468IH2qMW7s"/>
      <w:r w:rsidRPr="00F41535">
        <w:rPr>
          <w:rFonts w:ascii="Calibri" w:hAnsi="Calibri" w:cs="Calibri"/>
        </w:rPr>
        <w:t>[As of June 30, 2020, BCH ACO membership had grown to 111,328 members.]</w:t>
      </w:r>
      <w:bookmarkEnd w:id="90"/>
      <w:r w:rsidRPr="00F41535">
        <w:rPr>
          <w:rFonts w:ascii="Calibri" w:hAnsi="Calibri" w:cs="Calibri"/>
        </w:rPr>
        <w:t xml:space="preserve"> </w:t>
      </w:r>
    </w:p>
  </w:footnote>
  <w:footnote w:id="49">
    <w:p w14:paraId="25BEF6FD" w14:textId="4497385B" w:rsidR="00CA2D59" w:rsidRPr="00CA2D59" w:rsidRDefault="00CA2D59" w:rsidP="00CA2D59">
      <w:pPr>
        <w:pStyle w:val="FootnoteText"/>
      </w:pPr>
      <w:r>
        <w:rPr>
          <w:rStyle w:val="FootnoteReference"/>
        </w:rPr>
        <w:footnoteRef/>
      </w:r>
      <w:r>
        <w:t xml:space="preserve"> </w:t>
      </w:r>
      <w:r w:rsidRPr="00CA2D59">
        <w:t xml:space="preserve">This collaborative aims to:  (1) </w:t>
      </w:r>
      <w:r>
        <w:t>d</w:t>
      </w:r>
      <w:r w:rsidRPr="00CA2D59">
        <w:t>evelop, implement, and evaluate sustainable models of care that encompass the full range of services, from health promotion, and early intervention, to the full range of treatment intensities that are each required to sustain child well-being across diverse settings</w:t>
      </w:r>
      <w:r>
        <w:t xml:space="preserve">; </w:t>
      </w:r>
      <w:r w:rsidRPr="00CA2D59">
        <w:t xml:space="preserve">(2) </w:t>
      </w:r>
      <w:r>
        <w:t>e</w:t>
      </w:r>
      <w:r w:rsidRPr="00CA2D59">
        <w:t xml:space="preserve">ngage the community to build a diverse workforce capable of addressing the needs of all children from early intervention/prevention efforts to care for those children experiencing the most severe and impairing </w:t>
      </w:r>
      <w:r w:rsidR="00060C17">
        <w:t xml:space="preserve">mental </w:t>
      </w:r>
      <w:r w:rsidRPr="00CA2D59">
        <w:t>health needs</w:t>
      </w:r>
      <w:r>
        <w:t xml:space="preserve">; </w:t>
      </w:r>
      <w:r w:rsidRPr="00CA2D59">
        <w:t xml:space="preserve">(3) </w:t>
      </w:r>
      <w:r>
        <w:t>d</w:t>
      </w:r>
      <w:r w:rsidRPr="00CA2D59">
        <w:t>rive transformative innovation across the mental health care continuum that is data informed and culturally responsive</w:t>
      </w:r>
      <w:r>
        <w:t>;</w:t>
      </w:r>
      <w:r w:rsidRPr="00CA2D59">
        <w:t xml:space="preserve"> and</w:t>
      </w:r>
    </w:p>
    <w:p w14:paraId="5AFFD192" w14:textId="497CE537" w:rsidR="00CA2D59" w:rsidRDefault="00CA2D59" w:rsidP="00CA2D59">
      <w:pPr>
        <w:pStyle w:val="FootnoteText"/>
      </w:pPr>
      <w:r w:rsidRPr="00CA2D59">
        <w:t xml:space="preserve">(4) </w:t>
      </w:r>
      <w:r>
        <w:t>a</w:t>
      </w:r>
      <w:r w:rsidRPr="00CA2D59">
        <w:t>ssist in the accrual, stewardship, and outcomes-evaluation of major child mental health investments by our respective institutions.</w:t>
      </w:r>
    </w:p>
  </w:footnote>
  <w:footnote w:id="50">
    <w:p w14:paraId="67E1C5D1" w14:textId="1AA22548" w:rsidR="00685C18" w:rsidRDefault="00685C18">
      <w:pPr>
        <w:pStyle w:val="FootnoteText"/>
      </w:pPr>
      <w:r>
        <w:rPr>
          <w:rStyle w:val="FootnoteReference"/>
        </w:rPr>
        <w:footnoteRef/>
      </w:r>
      <w:r>
        <w:t xml:space="preserve"> </w:t>
      </w:r>
      <w:r w:rsidRPr="00520E72">
        <w:t> such as unemployment, substance abuse, and criminal behaviors, as well as increased burden on social support and disability programs</w:t>
      </w:r>
    </w:p>
  </w:footnote>
  <w:footnote w:id="51">
    <w:p w14:paraId="06CA0292" w14:textId="601D2869" w:rsidR="004A0D4C" w:rsidRDefault="004A0D4C" w:rsidP="004A0D4C">
      <w:pPr>
        <w:pStyle w:val="FootnoteText"/>
      </w:pPr>
      <w:r>
        <w:rPr>
          <w:rStyle w:val="FootnoteReference"/>
        </w:rPr>
        <w:footnoteRef/>
      </w:r>
      <w:r>
        <w:t xml:space="preserve"> </w:t>
      </w:r>
      <w:r w:rsidRPr="004A0D4C">
        <w:t>including the following:</w:t>
      </w:r>
      <w:r>
        <w:t xml:space="preserve"> 1. </w:t>
      </w:r>
      <w:r w:rsidRPr="004A0D4C">
        <w:t>Projected Financial Model for CMCC, including Franciscan’s projections for the periods ending September 30, 2023, through September 30, 2033;</w:t>
      </w:r>
      <w:r>
        <w:t xml:space="preserve"> 2. </w:t>
      </w:r>
      <w:r w:rsidRPr="004A0D4C">
        <w:t>Audited Financial Statements for</w:t>
      </w:r>
      <w:bookmarkStart w:id="116" w:name="_Hlk57821392"/>
      <w:r w:rsidRPr="004A0D4C">
        <w:t xml:space="preserve"> Boston Children’s Hospital and Subsidiaries </w:t>
      </w:r>
      <w:bookmarkEnd w:id="116"/>
      <w:r w:rsidRPr="004A0D4C">
        <w:t>for Fiscal Years Ended September 30, 2019 through 2022;</w:t>
      </w:r>
      <w:r>
        <w:t xml:space="preserve"> 3. </w:t>
      </w:r>
      <w:r w:rsidRPr="004A0D4C">
        <w:t>Audited Financial Statements for Franciscan Hospital for Children, Inc and Affiliate for Fiscal Years Ended September 30, 2020 through 2021;</w:t>
      </w:r>
      <w:r>
        <w:t xml:space="preserve"> 4. </w:t>
      </w:r>
      <w:r w:rsidRPr="004A0D4C">
        <w:t xml:space="preserve">Unaudited Comparative Statement of Revenues and Expenses for Children’s Medical Center Corporation for the period ended June 30, 2023; </w:t>
      </w:r>
      <w:r>
        <w:t xml:space="preserve">5. </w:t>
      </w:r>
      <w:r w:rsidRPr="004A0D4C">
        <w:t>Project RISE - Management Action Plan as of July 24, 2023;</w:t>
      </w:r>
      <w:r>
        <w:t xml:space="preserve"> 6. </w:t>
      </w:r>
      <w:r w:rsidRPr="004A0D4C">
        <w:t>Capital Authorization: Franciscan Children’s Hospital Presentation to the Board of Trustees on June 6, 2023;</w:t>
      </w:r>
      <w:r>
        <w:t xml:space="preserve"> 7. </w:t>
      </w:r>
      <w:r w:rsidRPr="004A0D4C">
        <w:t>Drivers of Financial Performance (FY 2023 – YTD April) Presentation to the Finance Committee on July 26, 2023;</w:t>
      </w:r>
      <w:r>
        <w:t xml:space="preserve"> 8. </w:t>
      </w:r>
      <w:r w:rsidRPr="004A0D4C">
        <w:t>Historical Budget Tracking for CMCC for the periods ending September 30, 2005 through September 30, 2019;</w:t>
      </w:r>
      <w:r>
        <w:t xml:space="preserve"> 9. </w:t>
      </w:r>
      <w:r w:rsidRPr="004A0D4C">
        <w:t>Definitive Healthcare data;</w:t>
      </w:r>
      <w:r>
        <w:t xml:space="preserve"> 10. </w:t>
      </w:r>
      <w:r w:rsidRPr="004A0D4C">
        <w:t xml:space="preserve">Data obtained from Integra Information, A Division of Microbilt Corporation as of August 4, 2023; </w:t>
      </w:r>
      <w:r>
        <w:t xml:space="preserve">11. </w:t>
      </w:r>
      <w:r w:rsidRPr="004A0D4C">
        <w:t>IBISWorld Industry Report 62211: Hospitals in the US, dated January 2023.</w:t>
      </w:r>
    </w:p>
  </w:footnote>
  <w:footnote w:id="52">
    <w:p w14:paraId="03276167" w14:textId="77777777" w:rsidR="001F2A30" w:rsidRPr="001F2A30" w:rsidRDefault="001F2A30" w:rsidP="001F2A30">
      <w:pPr>
        <w:pStyle w:val="FootnoteText"/>
        <w:rPr>
          <w:rFonts w:eastAsia="Times New Roman" w:cs="Calibri"/>
        </w:rPr>
      </w:pPr>
      <w:r w:rsidRPr="001F2A30">
        <w:rPr>
          <w:rStyle w:val="FootnoteReference"/>
          <w:rFonts w:cs="Calibri"/>
        </w:rPr>
        <w:footnoteRef/>
      </w:r>
      <w:r w:rsidRPr="001F2A30">
        <w:rPr>
          <w:rFonts w:cs="Calibri"/>
        </w:rPr>
        <w:t xml:space="preserve"> </w:t>
      </w:r>
      <w:r w:rsidRPr="001F2A30">
        <w:rPr>
          <w:rFonts w:eastAsia="Times New Roman" w:cs="Calibri"/>
        </w:rPr>
        <w:t xml:space="preserve">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w:t>
      </w:r>
    </w:p>
    <w:p w14:paraId="18D06FA2" w14:textId="77777777" w:rsidR="001F2A30" w:rsidRDefault="001F2A30" w:rsidP="001F2A30">
      <w:pPr>
        <w:pStyle w:val="FootnoteText"/>
      </w:pPr>
    </w:p>
  </w:footnote>
  <w:footnote w:id="53">
    <w:p w14:paraId="0FB50A0B" w14:textId="43DD1597" w:rsidR="004A0D4C" w:rsidRPr="00431225" w:rsidRDefault="004A0D4C">
      <w:pPr>
        <w:pStyle w:val="FootnoteText"/>
        <w:rPr>
          <w:bCs/>
        </w:rPr>
      </w:pPr>
      <w:r>
        <w:rPr>
          <w:rStyle w:val="FootnoteReference"/>
        </w:rPr>
        <w:footnoteRef/>
      </w:r>
      <w:r>
        <w:t xml:space="preserve"> </w:t>
      </w:r>
      <w:hyperlink r:id="rId16" w:anchor="ten-taxpayer-groups-" w:history="1">
        <w:r w:rsidRPr="00E53941">
          <w:rPr>
            <w:rStyle w:val="Hyperlink"/>
            <w:bCs/>
            <w:color w:val="auto"/>
            <w:u w:val="none"/>
          </w:rPr>
          <w:t>Registration information for each TTG</w:t>
        </w:r>
      </w:hyperlink>
      <w:r w:rsidRPr="00E53941">
        <w:rPr>
          <w:bCs/>
        </w:rPr>
        <w:t xml:space="preserve"> is </w:t>
      </w:r>
      <w:r w:rsidRPr="004A0D4C">
        <w:rPr>
          <w:bCs/>
        </w:rPr>
        <w:t>available on the DoN website.</w:t>
      </w:r>
      <w:r w:rsidRPr="004A0D4C">
        <w:t xml:space="preserve"> </w:t>
      </w:r>
      <w:hyperlink r:id="rId17" w:anchor="ten-taxpayer-groups-" w:history="1">
        <w:r w:rsidRPr="002C3A70">
          <w:rPr>
            <w:rStyle w:val="Hyperlink"/>
            <w:bCs/>
            <w:color w:val="234170" w:themeColor="text2" w:themeShade="BF"/>
          </w:rPr>
          <w:t>https://www.mass.gov/info-details/the-childrens-medical-center-corporationfranciscan-hospital-hospitalclinic-substantial-capital-expenditure#ten-taxpayer-groups-</w:t>
        </w:r>
      </w:hyperlink>
      <w:r>
        <w:rPr>
          <w:bCs/>
        </w:rPr>
        <w:t xml:space="preserve"> </w:t>
      </w:r>
    </w:p>
  </w:footnote>
  <w:footnote w:id="54">
    <w:p w14:paraId="157F1076" w14:textId="51158913" w:rsidR="00431225" w:rsidRPr="00431225" w:rsidRDefault="00431225">
      <w:pPr>
        <w:pStyle w:val="FootnoteText"/>
        <w:rPr>
          <w:bCs/>
        </w:rPr>
      </w:pPr>
      <w:r>
        <w:rPr>
          <w:rStyle w:val="FootnoteReference"/>
        </w:rPr>
        <w:footnoteRef/>
      </w:r>
      <w:r>
        <w:t xml:space="preserve"> </w:t>
      </w:r>
      <w:r w:rsidRPr="00431225">
        <w:rPr>
          <w:bCs/>
        </w:rPr>
        <w:t xml:space="preserve">The </w:t>
      </w:r>
      <w:hyperlink r:id="rId18" w:anchor="public-hearing-" w:history="1">
        <w:r w:rsidRPr="00E53941">
          <w:rPr>
            <w:rStyle w:val="Hyperlink"/>
            <w:bCs/>
            <w:color w:val="auto"/>
            <w:u w:val="none"/>
          </w:rPr>
          <w:t>transcript of the public hearing</w:t>
        </w:r>
      </w:hyperlink>
      <w:r w:rsidRPr="00E53941">
        <w:rPr>
          <w:bCs/>
        </w:rPr>
        <w:t xml:space="preserve"> is </w:t>
      </w:r>
      <w:r w:rsidRPr="00431225">
        <w:rPr>
          <w:bCs/>
        </w:rPr>
        <w:t>available online on the DoN website.</w:t>
      </w:r>
      <w:r>
        <w:rPr>
          <w:bCs/>
        </w:rPr>
        <w:t xml:space="preserve"> </w:t>
      </w:r>
      <w:hyperlink r:id="rId19" w:anchor="public-hearing-" w:history="1">
        <w:r w:rsidRPr="002C3A70">
          <w:rPr>
            <w:rStyle w:val="Hyperlink"/>
            <w:bCs/>
            <w:color w:val="234170" w:themeColor="text2" w:themeShade="BF"/>
          </w:rPr>
          <w:t>https://www.mass.gov/info-details/the-childrens-medical-center-corporationfranciscan-hospital-hospitalclinic-substantial-capital-expenditure#public-hearing-</w:t>
        </w:r>
      </w:hyperlink>
      <w:r>
        <w:rPr>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7A2C" w14:textId="77777777" w:rsidR="00650E6A" w:rsidRDefault="00650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DB9D" w14:textId="77777777" w:rsidR="00650E6A" w:rsidRDefault="00650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89B9" w14:textId="77777777" w:rsidR="00650E6A" w:rsidRDefault="00650E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65F1F322" w:rsidR="00E92504" w:rsidRDefault="00E92504">
    <w:pPr>
      <w:pStyle w:val="Header"/>
    </w:pPr>
  </w:p>
  <w:p w14:paraId="688BA6DB" w14:textId="77777777" w:rsidR="00E92504" w:rsidRDefault="00E9250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0E093D3D" w:rsidR="00E92504" w:rsidRDefault="00E92504">
    <w:pPr>
      <w:pStyle w:val="Header"/>
    </w:pPr>
  </w:p>
  <w:p w14:paraId="7D3BF8DA" w14:textId="77777777" w:rsidR="00E92504" w:rsidRDefault="00E9250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63B65BF0" w:rsidR="00E92504" w:rsidRDefault="00E9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0107"/>
    <w:multiLevelType w:val="hybridMultilevel"/>
    <w:tmpl w:val="75DE21F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8E76BB"/>
    <w:multiLevelType w:val="hybridMultilevel"/>
    <w:tmpl w:val="532AF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D4277"/>
    <w:multiLevelType w:val="hybridMultilevel"/>
    <w:tmpl w:val="32B4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54D84"/>
    <w:multiLevelType w:val="hybridMultilevel"/>
    <w:tmpl w:val="078870E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732211"/>
    <w:multiLevelType w:val="multilevel"/>
    <w:tmpl w:val="4FC0CD62"/>
    <w:name w:val="RNum"/>
    <w:lvl w:ilvl="0">
      <w:start w:val="1"/>
      <w:numFmt w:val="decimal"/>
      <w:lvlRestart w:val="0"/>
      <w:pStyle w:val="RNNum"/>
      <w:lvlText w:val="%1."/>
      <w:lvlJc w:val="left"/>
      <w:pPr>
        <w:ind w:left="-180" w:hanging="360"/>
      </w:pPr>
      <w:rPr>
        <w:color w:val="auto"/>
      </w:rPr>
    </w:lvl>
    <w:lvl w:ilvl="1">
      <w:start w:val="1"/>
      <w:numFmt w:val="lowerLetter"/>
      <w:pStyle w:val="RN2Num"/>
      <w:lvlText w:val="%2."/>
      <w:lvlJc w:val="left"/>
      <w:pPr>
        <w:ind w:left="540" w:hanging="360"/>
      </w:pPr>
    </w:lvl>
    <w:lvl w:ilvl="2">
      <w:start w:val="1"/>
      <w:numFmt w:val="lowerRoman"/>
      <w:pStyle w:val="RN3Num"/>
      <w:lvlText w:val="%3."/>
      <w:lvlJc w:val="right"/>
      <w:pPr>
        <w:ind w:left="1260" w:hanging="180"/>
      </w:pPr>
    </w:lvl>
    <w:lvl w:ilvl="3">
      <w:start w:val="1"/>
      <w:numFmt w:val="decimal"/>
      <w:pStyle w:val="RN4Num"/>
      <w:lvlText w:val="%4."/>
      <w:lvlJc w:val="left"/>
      <w:pPr>
        <w:ind w:left="1980" w:hanging="360"/>
      </w:pPr>
    </w:lvl>
    <w:lvl w:ilvl="4">
      <w:start w:val="1"/>
      <w:numFmt w:val="lowerLetter"/>
      <w:pStyle w:val="RN5Num"/>
      <w:lvlText w:val="%5."/>
      <w:lvlJc w:val="left"/>
      <w:pPr>
        <w:ind w:left="2700" w:hanging="360"/>
      </w:pPr>
    </w:lvl>
    <w:lvl w:ilvl="5">
      <w:start w:val="1"/>
      <w:numFmt w:val="lowerRoman"/>
      <w:pStyle w:val="RN6Num"/>
      <w:lvlText w:val="%6."/>
      <w:lvlJc w:val="right"/>
      <w:pPr>
        <w:ind w:left="3420" w:hanging="180"/>
      </w:pPr>
    </w:lvl>
    <w:lvl w:ilvl="6">
      <w:start w:val="1"/>
      <w:numFmt w:val="decimal"/>
      <w:pStyle w:val="RN7Num"/>
      <w:lvlText w:val="%7."/>
      <w:lvlJc w:val="left"/>
      <w:pPr>
        <w:ind w:left="4140" w:hanging="360"/>
      </w:pPr>
    </w:lvl>
    <w:lvl w:ilvl="7">
      <w:start w:val="1"/>
      <w:numFmt w:val="lowerLetter"/>
      <w:pStyle w:val="RN8Num"/>
      <w:lvlText w:val="%8."/>
      <w:lvlJc w:val="left"/>
      <w:pPr>
        <w:ind w:left="4860" w:hanging="360"/>
      </w:pPr>
    </w:lvl>
    <w:lvl w:ilvl="8">
      <w:start w:val="1"/>
      <w:numFmt w:val="lowerRoman"/>
      <w:pStyle w:val="RN9Num"/>
      <w:lvlText w:val="%9."/>
      <w:lvlJc w:val="right"/>
      <w:pPr>
        <w:ind w:left="5580" w:hanging="180"/>
      </w:pPr>
    </w:lvl>
  </w:abstractNum>
  <w:abstractNum w:abstractNumId="5" w15:restartNumberingAfterBreak="0">
    <w:nsid w:val="17CB04BE"/>
    <w:multiLevelType w:val="hybridMultilevel"/>
    <w:tmpl w:val="A42C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6027B"/>
    <w:multiLevelType w:val="hybridMultilevel"/>
    <w:tmpl w:val="051C5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123DA"/>
    <w:multiLevelType w:val="hybridMultilevel"/>
    <w:tmpl w:val="419416C2"/>
    <w:lvl w:ilvl="0" w:tplc="EBC8FB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C617E"/>
    <w:multiLevelType w:val="hybridMultilevel"/>
    <w:tmpl w:val="95A68750"/>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0B2327"/>
    <w:multiLevelType w:val="hybridMultilevel"/>
    <w:tmpl w:val="2954D12A"/>
    <w:lvl w:ilvl="0" w:tplc="0409000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decimal"/>
      <w:lvlText w:val="%3."/>
      <w:lvlJc w:val="left"/>
      <w:pPr>
        <w:ind w:left="1800" w:hanging="18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55E5109"/>
    <w:multiLevelType w:val="hybridMultilevel"/>
    <w:tmpl w:val="35FEAF5C"/>
    <w:lvl w:ilvl="0" w:tplc="41B897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FE5A9C"/>
    <w:multiLevelType w:val="hybridMultilevel"/>
    <w:tmpl w:val="B690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A3DC2"/>
    <w:multiLevelType w:val="hybridMultilevel"/>
    <w:tmpl w:val="ED50CE60"/>
    <w:lvl w:ilvl="0" w:tplc="A014CFC2">
      <w:start w:val="2"/>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30270324"/>
    <w:multiLevelType w:val="hybridMultilevel"/>
    <w:tmpl w:val="FF449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B325D"/>
    <w:multiLevelType w:val="hybridMultilevel"/>
    <w:tmpl w:val="48E62CB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220979"/>
    <w:multiLevelType w:val="hybridMultilevel"/>
    <w:tmpl w:val="CD34D09E"/>
    <w:lvl w:ilvl="0" w:tplc="FFFFFFFF">
      <w:start w:val="1"/>
      <w:numFmt w:val="lowerLetter"/>
      <w:lvlText w:val="%1."/>
      <w:lvlJc w:val="left"/>
      <w:pPr>
        <w:ind w:left="108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44D0DF8"/>
    <w:multiLevelType w:val="hybridMultilevel"/>
    <w:tmpl w:val="395CC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209A8"/>
    <w:multiLevelType w:val="hybridMultilevel"/>
    <w:tmpl w:val="F04A01A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decimal"/>
      <w:lvlText w:val="%3."/>
      <w:lvlJc w:val="left"/>
      <w:pPr>
        <w:ind w:left="1800" w:hanging="18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8D55E27"/>
    <w:multiLevelType w:val="hybridMultilevel"/>
    <w:tmpl w:val="00A651D2"/>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C3523C"/>
    <w:multiLevelType w:val="hybridMultilevel"/>
    <w:tmpl w:val="502E6972"/>
    <w:lvl w:ilvl="0" w:tplc="5E0A393A">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2B92B73"/>
    <w:multiLevelType w:val="hybridMultilevel"/>
    <w:tmpl w:val="1D663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E3355"/>
    <w:multiLevelType w:val="hybridMultilevel"/>
    <w:tmpl w:val="0C2AFE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23" w15:restartNumberingAfterBreak="0">
    <w:nsid w:val="6CC16E5E"/>
    <w:multiLevelType w:val="hybridMultilevel"/>
    <w:tmpl w:val="C68EB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C378F"/>
    <w:multiLevelType w:val="hybridMultilevel"/>
    <w:tmpl w:val="7266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842630">
    <w:abstractNumId w:val="22"/>
  </w:num>
  <w:num w:numId="2" w16cid:durableId="341590028">
    <w:abstractNumId w:val="4"/>
  </w:num>
  <w:num w:numId="3" w16cid:durableId="183634637">
    <w:abstractNumId w:val="23"/>
  </w:num>
  <w:num w:numId="4" w16cid:durableId="1733577178">
    <w:abstractNumId w:val="14"/>
  </w:num>
  <w:num w:numId="5" w16cid:durableId="867915440">
    <w:abstractNumId w:val="21"/>
  </w:num>
  <w:num w:numId="6" w16cid:durableId="91902458">
    <w:abstractNumId w:val="11"/>
  </w:num>
  <w:num w:numId="7" w16cid:durableId="454911031">
    <w:abstractNumId w:val="19"/>
  </w:num>
  <w:num w:numId="8" w16cid:durableId="175074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247014">
    <w:abstractNumId w:val="8"/>
  </w:num>
  <w:num w:numId="10" w16cid:durableId="992757234">
    <w:abstractNumId w:val="13"/>
  </w:num>
  <w:num w:numId="11" w16cid:durableId="505485286">
    <w:abstractNumId w:val="5"/>
  </w:num>
  <w:num w:numId="12" w16cid:durableId="2010525973">
    <w:abstractNumId w:val="3"/>
  </w:num>
  <w:num w:numId="13" w16cid:durableId="1384669295">
    <w:abstractNumId w:val="6"/>
  </w:num>
  <w:num w:numId="14" w16cid:durableId="498545632">
    <w:abstractNumId w:val="17"/>
  </w:num>
  <w:num w:numId="15" w16cid:durableId="1411074806">
    <w:abstractNumId w:val="16"/>
  </w:num>
  <w:num w:numId="16" w16cid:durableId="1913811910">
    <w:abstractNumId w:val="20"/>
  </w:num>
  <w:num w:numId="17" w16cid:durableId="299962443">
    <w:abstractNumId w:val="0"/>
  </w:num>
  <w:num w:numId="18" w16cid:durableId="523132216">
    <w:abstractNumId w:val="25"/>
  </w:num>
  <w:num w:numId="19" w16cid:durableId="1479422406">
    <w:abstractNumId w:val="12"/>
  </w:num>
  <w:num w:numId="20" w16cid:durableId="1109548743">
    <w:abstractNumId w:val="18"/>
  </w:num>
  <w:num w:numId="21" w16cid:durableId="2022198964">
    <w:abstractNumId w:val="1"/>
  </w:num>
  <w:num w:numId="22" w16cid:durableId="748356245">
    <w:abstractNumId w:val="10"/>
  </w:num>
  <w:num w:numId="23" w16cid:durableId="297928163">
    <w:abstractNumId w:val="15"/>
  </w:num>
  <w:num w:numId="24" w16cid:durableId="1121024775">
    <w:abstractNumId w:val="9"/>
  </w:num>
  <w:num w:numId="25" w16cid:durableId="735904957">
    <w:abstractNumId w:val="2"/>
  </w:num>
  <w:num w:numId="26" w16cid:durableId="83442205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2A7"/>
    <w:rsid w:val="00000925"/>
    <w:rsid w:val="00000F02"/>
    <w:rsid w:val="00000FDF"/>
    <w:rsid w:val="000014D8"/>
    <w:rsid w:val="000015D7"/>
    <w:rsid w:val="0000165F"/>
    <w:rsid w:val="00001880"/>
    <w:rsid w:val="00001B46"/>
    <w:rsid w:val="00001D68"/>
    <w:rsid w:val="00001E0F"/>
    <w:rsid w:val="000023B5"/>
    <w:rsid w:val="00002A76"/>
    <w:rsid w:val="00002ADE"/>
    <w:rsid w:val="0000364F"/>
    <w:rsid w:val="00003AE8"/>
    <w:rsid w:val="0000516F"/>
    <w:rsid w:val="00005226"/>
    <w:rsid w:val="000053FA"/>
    <w:rsid w:val="00005421"/>
    <w:rsid w:val="00005945"/>
    <w:rsid w:val="00005B19"/>
    <w:rsid w:val="00005DD1"/>
    <w:rsid w:val="00006043"/>
    <w:rsid w:val="000063F2"/>
    <w:rsid w:val="00006964"/>
    <w:rsid w:val="00006B6F"/>
    <w:rsid w:val="00006E18"/>
    <w:rsid w:val="00006FCD"/>
    <w:rsid w:val="000073EC"/>
    <w:rsid w:val="00007818"/>
    <w:rsid w:val="0000789D"/>
    <w:rsid w:val="00010084"/>
    <w:rsid w:val="0001067C"/>
    <w:rsid w:val="000111B6"/>
    <w:rsid w:val="00011399"/>
    <w:rsid w:val="0001145D"/>
    <w:rsid w:val="000114A8"/>
    <w:rsid w:val="000115ED"/>
    <w:rsid w:val="00012017"/>
    <w:rsid w:val="00012039"/>
    <w:rsid w:val="0001225A"/>
    <w:rsid w:val="00012296"/>
    <w:rsid w:val="00012374"/>
    <w:rsid w:val="00012B79"/>
    <w:rsid w:val="00012E91"/>
    <w:rsid w:val="00013D82"/>
    <w:rsid w:val="00014493"/>
    <w:rsid w:val="000147B7"/>
    <w:rsid w:val="0001499B"/>
    <w:rsid w:val="00014C77"/>
    <w:rsid w:val="0001519C"/>
    <w:rsid w:val="00015479"/>
    <w:rsid w:val="00015733"/>
    <w:rsid w:val="0001582B"/>
    <w:rsid w:val="00015923"/>
    <w:rsid w:val="00015A86"/>
    <w:rsid w:val="0001695B"/>
    <w:rsid w:val="00017A92"/>
    <w:rsid w:val="00017EA4"/>
    <w:rsid w:val="00017EBE"/>
    <w:rsid w:val="00020068"/>
    <w:rsid w:val="00020821"/>
    <w:rsid w:val="00020965"/>
    <w:rsid w:val="00020FD7"/>
    <w:rsid w:val="000211D3"/>
    <w:rsid w:val="0002129E"/>
    <w:rsid w:val="0002143F"/>
    <w:rsid w:val="0002218C"/>
    <w:rsid w:val="00022292"/>
    <w:rsid w:val="00022966"/>
    <w:rsid w:val="00022C7E"/>
    <w:rsid w:val="000239AD"/>
    <w:rsid w:val="00023A81"/>
    <w:rsid w:val="00023C19"/>
    <w:rsid w:val="00023CFC"/>
    <w:rsid w:val="00023D70"/>
    <w:rsid w:val="00023E8F"/>
    <w:rsid w:val="000242E8"/>
    <w:rsid w:val="00024662"/>
    <w:rsid w:val="00025C87"/>
    <w:rsid w:val="000262A9"/>
    <w:rsid w:val="0002723A"/>
    <w:rsid w:val="00027413"/>
    <w:rsid w:val="00027565"/>
    <w:rsid w:val="00027B44"/>
    <w:rsid w:val="00027B8C"/>
    <w:rsid w:val="00027BB8"/>
    <w:rsid w:val="00027C0E"/>
    <w:rsid w:val="00027DD7"/>
    <w:rsid w:val="00030D16"/>
    <w:rsid w:val="00030D19"/>
    <w:rsid w:val="000319DE"/>
    <w:rsid w:val="00031B05"/>
    <w:rsid w:val="00031DD4"/>
    <w:rsid w:val="0003203D"/>
    <w:rsid w:val="000323B4"/>
    <w:rsid w:val="000325AF"/>
    <w:rsid w:val="0003285D"/>
    <w:rsid w:val="00032F3A"/>
    <w:rsid w:val="000332B4"/>
    <w:rsid w:val="000336D9"/>
    <w:rsid w:val="000338CF"/>
    <w:rsid w:val="00033973"/>
    <w:rsid w:val="00034075"/>
    <w:rsid w:val="00034426"/>
    <w:rsid w:val="00034C41"/>
    <w:rsid w:val="00034EA3"/>
    <w:rsid w:val="0003540A"/>
    <w:rsid w:val="00035726"/>
    <w:rsid w:val="000357DC"/>
    <w:rsid w:val="00035882"/>
    <w:rsid w:val="00035D6A"/>
    <w:rsid w:val="000361B5"/>
    <w:rsid w:val="000365BB"/>
    <w:rsid w:val="00036703"/>
    <w:rsid w:val="0003678F"/>
    <w:rsid w:val="00037077"/>
    <w:rsid w:val="00037248"/>
    <w:rsid w:val="00037414"/>
    <w:rsid w:val="0003777C"/>
    <w:rsid w:val="0003779F"/>
    <w:rsid w:val="000378C9"/>
    <w:rsid w:val="000378CE"/>
    <w:rsid w:val="00037AF0"/>
    <w:rsid w:val="00037B9D"/>
    <w:rsid w:val="00040884"/>
    <w:rsid w:val="00040AD1"/>
    <w:rsid w:val="00040DA6"/>
    <w:rsid w:val="000415F0"/>
    <w:rsid w:val="00041BFC"/>
    <w:rsid w:val="00041F4C"/>
    <w:rsid w:val="000422A3"/>
    <w:rsid w:val="000424D3"/>
    <w:rsid w:val="0004273B"/>
    <w:rsid w:val="000427E0"/>
    <w:rsid w:val="00042D93"/>
    <w:rsid w:val="0004323A"/>
    <w:rsid w:val="00043F4F"/>
    <w:rsid w:val="000443FD"/>
    <w:rsid w:val="00044F19"/>
    <w:rsid w:val="00044FA7"/>
    <w:rsid w:val="00046064"/>
    <w:rsid w:val="00046854"/>
    <w:rsid w:val="00046895"/>
    <w:rsid w:val="000468BC"/>
    <w:rsid w:val="00047574"/>
    <w:rsid w:val="00047905"/>
    <w:rsid w:val="00047AFC"/>
    <w:rsid w:val="0005017D"/>
    <w:rsid w:val="000503A8"/>
    <w:rsid w:val="00050530"/>
    <w:rsid w:val="00050D37"/>
    <w:rsid w:val="00051634"/>
    <w:rsid w:val="000518D9"/>
    <w:rsid w:val="00051CCE"/>
    <w:rsid w:val="00052086"/>
    <w:rsid w:val="00052215"/>
    <w:rsid w:val="00052556"/>
    <w:rsid w:val="00052664"/>
    <w:rsid w:val="00052AB0"/>
    <w:rsid w:val="00052B92"/>
    <w:rsid w:val="000534AA"/>
    <w:rsid w:val="0005358D"/>
    <w:rsid w:val="000535F1"/>
    <w:rsid w:val="00053725"/>
    <w:rsid w:val="00053849"/>
    <w:rsid w:val="00054A7A"/>
    <w:rsid w:val="00054C7D"/>
    <w:rsid w:val="00054CD3"/>
    <w:rsid w:val="00054F01"/>
    <w:rsid w:val="00055F68"/>
    <w:rsid w:val="000560AA"/>
    <w:rsid w:val="00056445"/>
    <w:rsid w:val="000565B9"/>
    <w:rsid w:val="000565D5"/>
    <w:rsid w:val="00056E07"/>
    <w:rsid w:val="000572C6"/>
    <w:rsid w:val="00057B2F"/>
    <w:rsid w:val="00057E7A"/>
    <w:rsid w:val="00057EB5"/>
    <w:rsid w:val="00060051"/>
    <w:rsid w:val="00060374"/>
    <w:rsid w:val="00060472"/>
    <w:rsid w:val="00060584"/>
    <w:rsid w:val="000607E5"/>
    <w:rsid w:val="00060C17"/>
    <w:rsid w:val="00060D20"/>
    <w:rsid w:val="00060E5A"/>
    <w:rsid w:val="0006171E"/>
    <w:rsid w:val="0006177D"/>
    <w:rsid w:val="00061F0C"/>
    <w:rsid w:val="000635A1"/>
    <w:rsid w:val="00063ADA"/>
    <w:rsid w:val="00063F91"/>
    <w:rsid w:val="00063FB5"/>
    <w:rsid w:val="0006424E"/>
    <w:rsid w:val="000646E0"/>
    <w:rsid w:val="0006487F"/>
    <w:rsid w:val="00064A8A"/>
    <w:rsid w:val="00064AB0"/>
    <w:rsid w:val="00065360"/>
    <w:rsid w:val="00065CD6"/>
    <w:rsid w:val="00065E14"/>
    <w:rsid w:val="00066603"/>
    <w:rsid w:val="000672AF"/>
    <w:rsid w:val="0006737F"/>
    <w:rsid w:val="0006798A"/>
    <w:rsid w:val="00067A9B"/>
    <w:rsid w:val="00067B9B"/>
    <w:rsid w:val="00067D64"/>
    <w:rsid w:val="00067F0D"/>
    <w:rsid w:val="0007003D"/>
    <w:rsid w:val="00070074"/>
    <w:rsid w:val="00070785"/>
    <w:rsid w:val="00070B97"/>
    <w:rsid w:val="00070CFB"/>
    <w:rsid w:val="00070D6C"/>
    <w:rsid w:val="00071428"/>
    <w:rsid w:val="000716DE"/>
    <w:rsid w:val="0007184A"/>
    <w:rsid w:val="00071A16"/>
    <w:rsid w:val="0007293D"/>
    <w:rsid w:val="00072B19"/>
    <w:rsid w:val="00073735"/>
    <w:rsid w:val="00074313"/>
    <w:rsid w:val="000744F1"/>
    <w:rsid w:val="00074526"/>
    <w:rsid w:val="00074538"/>
    <w:rsid w:val="00074600"/>
    <w:rsid w:val="00074E5D"/>
    <w:rsid w:val="000751CD"/>
    <w:rsid w:val="000752CD"/>
    <w:rsid w:val="0007553D"/>
    <w:rsid w:val="000759EA"/>
    <w:rsid w:val="00075AB0"/>
    <w:rsid w:val="00076654"/>
    <w:rsid w:val="0007689E"/>
    <w:rsid w:val="00076B1A"/>
    <w:rsid w:val="00076C25"/>
    <w:rsid w:val="00076CF7"/>
    <w:rsid w:val="000776F9"/>
    <w:rsid w:val="00077700"/>
    <w:rsid w:val="00077A54"/>
    <w:rsid w:val="00077A72"/>
    <w:rsid w:val="00077DB8"/>
    <w:rsid w:val="0008011B"/>
    <w:rsid w:val="00080430"/>
    <w:rsid w:val="00080666"/>
    <w:rsid w:val="00080BE8"/>
    <w:rsid w:val="000810E3"/>
    <w:rsid w:val="00081C82"/>
    <w:rsid w:val="00082044"/>
    <w:rsid w:val="0008227E"/>
    <w:rsid w:val="00082400"/>
    <w:rsid w:val="00082461"/>
    <w:rsid w:val="00082892"/>
    <w:rsid w:val="00083335"/>
    <w:rsid w:val="0008356D"/>
    <w:rsid w:val="000839C1"/>
    <w:rsid w:val="00083FCD"/>
    <w:rsid w:val="000843CF"/>
    <w:rsid w:val="00084415"/>
    <w:rsid w:val="000844CD"/>
    <w:rsid w:val="0008479B"/>
    <w:rsid w:val="00084AE5"/>
    <w:rsid w:val="00085226"/>
    <w:rsid w:val="0008574D"/>
    <w:rsid w:val="0008582A"/>
    <w:rsid w:val="00085D7B"/>
    <w:rsid w:val="00086013"/>
    <w:rsid w:val="00086051"/>
    <w:rsid w:val="00086552"/>
    <w:rsid w:val="00086D9D"/>
    <w:rsid w:val="0008716C"/>
    <w:rsid w:val="0008752D"/>
    <w:rsid w:val="00087634"/>
    <w:rsid w:val="0008768C"/>
    <w:rsid w:val="00087B5A"/>
    <w:rsid w:val="00090574"/>
    <w:rsid w:val="000905E0"/>
    <w:rsid w:val="00090688"/>
    <w:rsid w:val="00090989"/>
    <w:rsid w:val="00090E01"/>
    <w:rsid w:val="00090EE1"/>
    <w:rsid w:val="000911E7"/>
    <w:rsid w:val="000913AB"/>
    <w:rsid w:val="0009160E"/>
    <w:rsid w:val="00091793"/>
    <w:rsid w:val="000922B4"/>
    <w:rsid w:val="000923B5"/>
    <w:rsid w:val="00092A70"/>
    <w:rsid w:val="00092E92"/>
    <w:rsid w:val="0009304B"/>
    <w:rsid w:val="000939BD"/>
    <w:rsid w:val="00093CAA"/>
    <w:rsid w:val="00093CF6"/>
    <w:rsid w:val="00093E2B"/>
    <w:rsid w:val="00093E5A"/>
    <w:rsid w:val="00093FC3"/>
    <w:rsid w:val="000942E8"/>
    <w:rsid w:val="0009553E"/>
    <w:rsid w:val="000955A1"/>
    <w:rsid w:val="000956A9"/>
    <w:rsid w:val="00095ADF"/>
    <w:rsid w:val="00095AFF"/>
    <w:rsid w:val="0009600B"/>
    <w:rsid w:val="0009626C"/>
    <w:rsid w:val="00096856"/>
    <w:rsid w:val="00096EC2"/>
    <w:rsid w:val="000971C8"/>
    <w:rsid w:val="00097838"/>
    <w:rsid w:val="00097C23"/>
    <w:rsid w:val="00097DE0"/>
    <w:rsid w:val="00097E6A"/>
    <w:rsid w:val="00097EAE"/>
    <w:rsid w:val="000A05FC"/>
    <w:rsid w:val="000A0C6F"/>
    <w:rsid w:val="000A22A9"/>
    <w:rsid w:val="000A2958"/>
    <w:rsid w:val="000A2C51"/>
    <w:rsid w:val="000A301C"/>
    <w:rsid w:val="000A303B"/>
    <w:rsid w:val="000A3524"/>
    <w:rsid w:val="000A3A57"/>
    <w:rsid w:val="000A40D6"/>
    <w:rsid w:val="000A4173"/>
    <w:rsid w:val="000A43BC"/>
    <w:rsid w:val="000A44CC"/>
    <w:rsid w:val="000A45A0"/>
    <w:rsid w:val="000A45D5"/>
    <w:rsid w:val="000A47FB"/>
    <w:rsid w:val="000A4809"/>
    <w:rsid w:val="000A4B0E"/>
    <w:rsid w:val="000A546C"/>
    <w:rsid w:val="000A549C"/>
    <w:rsid w:val="000A5C36"/>
    <w:rsid w:val="000A6846"/>
    <w:rsid w:val="000A6B95"/>
    <w:rsid w:val="000A6BFD"/>
    <w:rsid w:val="000A70D9"/>
    <w:rsid w:val="000A7478"/>
    <w:rsid w:val="000A7AC1"/>
    <w:rsid w:val="000A7B1A"/>
    <w:rsid w:val="000A7E9E"/>
    <w:rsid w:val="000A7FA5"/>
    <w:rsid w:val="000B0CDF"/>
    <w:rsid w:val="000B0D2C"/>
    <w:rsid w:val="000B1838"/>
    <w:rsid w:val="000B1AE3"/>
    <w:rsid w:val="000B1B58"/>
    <w:rsid w:val="000B1CB9"/>
    <w:rsid w:val="000B1ED4"/>
    <w:rsid w:val="000B20B5"/>
    <w:rsid w:val="000B245D"/>
    <w:rsid w:val="000B25B3"/>
    <w:rsid w:val="000B371A"/>
    <w:rsid w:val="000B383F"/>
    <w:rsid w:val="000B410F"/>
    <w:rsid w:val="000B41F8"/>
    <w:rsid w:val="000B437C"/>
    <w:rsid w:val="000B44F9"/>
    <w:rsid w:val="000B4610"/>
    <w:rsid w:val="000B4783"/>
    <w:rsid w:val="000B47E8"/>
    <w:rsid w:val="000B4E5C"/>
    <w:rsid w:val="000B51AD"/>
    <w:rsid w:val="000B524F"/>
    <w:rsid w:val="000B5767"/>
    <w:rsid w:val="000B58B5"/>
    <w:rsid w:val="000B661C"/>
    <w:rsid w:val="000B6696"/>
    <w:rsid w:val="000B72C0"/>
    <w:rsid w:val="000B741C"/>
    <w:rsid w:val="000B797E"/>
    <w:rsid w:val="000B7B63"/>
    <w:rsid w:val="000C0407"/>
    <w:rsid w:val="000C0753"/>
    <w:rsid w:val="000C0DA1"/>
    <w:rsid w:val="000C1123"/>
    <w:rsid w:val="000C1911"/>
    <w:rsid w:val="000C1CCE"/>
    <w:rsid w:val="000C2263"/>
    <w:rsid w:val="000C299C"/>
    <w:rsid w:val="000C2E83"/>
    <w:rsid w:val="000C35A1"/>
    <w:rsid w:val="000C3CAC"/>
    <w:rsid w:val="000C408D"/>
    <w:rsid w:val="000C4360"/>
    <w:rsid w:val="000C4797"/>
    <w:rsid w:val="000C5065"/>
    <w:rsid w:val="000C55F3"/>
    <w:rsid w:val="000C5873"/>
    <w:rsid w:val="000C58C2"/>
    <w:rsid w:val="000C5A0F"/>
    <w:rsid w:val="000C5F7B"/>
    <w:rsid w:val="000C6213"/>
    <w:rsid w:val="000C63A9"/>
    <w:rsid w:val="000C648B"/>
    <w:rsid w:val="000C6565"/>
    <w:rsid w:val="000C698A"/>
    <w:rsid w:val="000C7226"/>
    <w:rsid w:val="000C725B"/>
    <w:rsid w:val="000C79C7"/>
    <w:rsid w:val="000C7B09"/>
    <w:rsid w:val="000D0472"/>
    <w:rsid w:val="000D09E8"/>
    <w:rsid w:val="000D0ADC"/>
    <w:rsid w:val="000D0C8C"/>
    <w:rsid w:val="000D0ED8"/>
    <w:rsid w:val="000D12F2"/>
    <w:rsid w:val="000D1948"/>
    <w:rsid w:val="000D1D38"/>
    <w:rsid w:val="000D2043"/>
    <w:rsid w:val="000D20F1"/>
    <w:rsid w:val="000D272A"/>
    <w:rsid w:val="000D2A7D"/>
    <w:rsid w:val="000D2AFA"/>
    <w:rsid w:val="000D2CBA"/>
    <w:rsid w:val="000D2E2C"/>
    <w:rsid w:val="000D3495"/>
    <w:rsid w:val="000D3A86"/>
    <w:rsid w:val="000D40DF"/>
    <w:rsid w:val="000D453B"/>
    <w:rsid w:val="000D458A"/>
    <w:rsid w:val="000D483B"/>
    <w:rsid w:val="000D4C43"/>
    <w:rsid w:val="000D5247"/>
    <w:rsid w:val="000D565B"/>
    <w:rsid w:val="000D6622"/>
    <w:rsid w:val="000D6A68"/>
    <w:rsid w:val="000D6AF2"/>
    <w:rsid w:val="000D6E6E"/>
    <w:rsid w:val="000D6F8E"/>
    <w:rsid w:val="000D709A"/>
    <w:rsid w:val="000D79CF"/>
    <w:rsid w:val="000D7BA6"/>
    <w:rsid w:val="000D7BFE"/>
    <w:rsid w:val="000D7E3B"/>
    <w:rsid w:val="000E04E4"/>
    <w:rsid w:val="000E0764"/>
    <w:rsid w:val="000E0C47"/>
    <w:rsid w:val="000E1041"/>
    <w:rsid w:val="000E10E9"/>
    <w:rsid w:val="000E1182"/>
    <w:rsid w:val="000E1CBB"/>
    <w:rsid w:val="000E1F11"/>
    <w:rsid w:val="000E3F36"/>
    <w:rsid w:val="000E416C"/>
    <w:rsid w:val="000E441E"/>
    <w:rsid w:val="000E4791"/>
    <w:rsid w:val="000E4DCD"/>
    <w:rsid w:val="000E4ED3"/>
    <w:rsid w:val="000E5195"/>
    <w:rsid w:val="000E5CD6"/>
    <w:rsid w:val="000E5F08"/>
    <w:rsid w:val="000E6158"/>
    <w:rsid w:val="000E6AC6"/>
    <w:rsid w:val="000E72BB"/>
    <w:rsid w:val="000F02D7"/>
    <w:rsid w:val="000F0F2E"/>
    <w:rsid w:val="000F115E"/>
    <w:rsid w:val="000F12F9"/>
    <w:rsid w:val="000F176D"/>
    <w:rsid w:val="000F1E36"/>
    <w:rsid w:val="000F200E"/>
    <w:rsid w:val="000F2589"/>
    <w:rsid w:val="000F2794"/>
    <w:rsid w:val="000F2FF8"/>
    <w:rsid w:val="000F30D4"/>
    <w:rsid w:val="000F3C99"/>
    <w:rsid w:val="000F3DAD"/>
    <w:rsid w:val="000F3E5B"/>
    <w:rsid w:val="000F4347"/>
    <w:rsid w:val="000F4A8E"/>
    <w:rsid w:val="000F4BDC"/>
    <w:rsid w:val="000F4C9D"/>
    <w:rsid w:val="000F505F"/>
    <w:rsid w:val="000F5579"/>
    <w:rsid w:val="000F58A4"/>
    <w:rsid w:val="000F5CBC"/>
    <w:rsid w:val="000F5D39"/>
    <w:rsid w:val="000F5D9D"/>
    <w:rsid w:val="000F5ECB"/>
    <w:rsid w:val="000F5F42"/>
    <w:rsid w:val="000F5F7F"/>
    <w:rsid w:val="000F6105"/>
    <w:rsid w:val="000F6390"/>
    <w:rsid w:val="000F65A5"/>
    <w:rsid w:val="000F6C04"/>
    <w:rsid w:val="000F6D1C"/>
    <w:rsid w:val="000F6DE3"/>
    <w:rsid w:val="000F73C6"/>
    <w:rsid w:val="000F7421"/>
    <w:rsid w:val="000F7808"/>
    <w:rsid w:val="000F789B"/>
    <w:rsid w:val="000F7C26"/>
    <w:rsid w:val="000F7C9A"/>
    <w:rsid w:val="000F7DFB"/>
    <w:rsid w:val="00100067"/>
    <w:rsid w:val="00100082"/>
    <w:rsid w:val="001004B1"/>
    <w:rsid w:val="001004B8"/>
    <w:rsid w:val="001005C6"/>
    <w:rsid w:val="0010120C"/>
    <w:rsid w:val="00101837"/>
    <w:rsid w:val="00101943"/>
    <w:rsid w:val="00101B15"/>
    <w:rsid w:val="001020EE"/>
    <w:rsid w:val="00102683"/>
    <w:rsid w:val="00102D4C"/>
    <w:rsid w:val="00102F27"/>
    <w:rsid w:val="001032D6"/>
    <w:rsid w:val="00103383"/>
    <w:rsid w:val="00103961"/>
    <w:rsid w:val="001039A7"/>
    <w:rsid w:val="00103AD9"/>
    <w:rsid w:val="00103B28"/>
    <w:rsid w:val="001044D4"/>
    <w:rsid w:val="00104664"/>
    <w:rsid w:val="00104BB8"/>
    <w:rsid w:val="00104C61"/>
    <w:rsid w:val="00104CD5"/>
    <w:rsid w:val="00104E11"/>
    <w:rsid w:val="00104FED"/>
    <w:rsid w:val="00105335"/>
    <w:rsid w:val="00105784"/>
    <w:rsid w:val="00105A50"/>
    <w:rsid w:val="00105B76"/>
    <w:rsid w:val="00106691"/>
    <w:rsid w:val="001068A0"/>
    <w:rsid w:val="00106CA8"/>
    <w:rsid w:val="00106F7D"/>
    <w:rsid w:val="00107893"/>
    <w:rsid w:val="001100CE"/>
    <w:rsid w:val="001106D5"/>
    <w:rsid w:val="00110CCC"/>
    <w:rsid w:val="001114BC"/>
    <w:rsid w:val="00111894"/>
    <w:rsid w:val="0011211C"/>
    <w:rsid w:val="00112582"/>
    <w:rsid w:val="00112E30"/>
    <w:rsid w:val="0011318D"/>
    <w:rsid w:val="00113894"/>
    <w:rsid w:val="0011390D"/>
    <w:rsid w:val="001139CB"/>
    <w:rsid w:val="00113EFA"/>
    <w:rsid w:val="001140E5"/>
    <w:rsid w:val="0011440B"/>
    <w:rsid w:val="00114B38"/>
    <w:rsid w:val="00114CA0"/>
    <w:rsid w:val="00114DF7"/>
    <w:rsid w:val="00114F4A"/>
    <w:rsid w:val="0011502A"/>
    <w:rsid w:val="001156B5"/>
    <w:rsid w:val="0011583A"/>
    <w:rsid w:val="00115F6B"/>
    <w:rsid w:val="0011621B"/>
    <w:rsid w:val="001163BA"/>
    <w:rsid w:val="001166DA"/>
    <w:rsid w:val="00116B2B"/>
    <w:rsid w:val="00116E9F"/>
    <w:rsid w:val="00117338"/>
    <w:rsid w:val="001173E5"/>
    <w:rsid w:val="00117538"/>
    <w:rsid w:val="00117721"/>
    <w:rsid w:val="00117917"/>
    <w:rsid w:val="0012039D"/>
    <w:rsid w:val="001203DA"/>
    <w:rsid w:val="001204E2"/>
    <w:rsid w:val="001207E1"/>
    <w:rsid w:val="001208D8"/>
    <w:rsid w:val="00120B32"/>
    <w:rsid w:val="00120D62"/>
    <w:rsid w:val="0012122D"/>
    <w:rsid w:val="00121240"/>
    <w:rsid w:val="00121453"/>
    <w:rsid w:val="00121579"/>
    <w:rsid w:val="001215C9"/>
    <w:rsid w:val="001216D6"/>
    <w:rsid w:val="00121834"/>
    <w:rsid w:val="0012220F"/>
    <w:rsid w:val="00122462"/>
    <w:rsid w:val="00122561"/>
    <w:rsid w:val="00122642"/>
    <w:rsid w:val="0012336A"/>
    <w:rsid w:val="0012367E"/>
    <w:rsid w:val="0012392C"/>
    <w:rsid w:val="00124050"/>
    <w:rsid w:val="00124894"/>
    <w:rsid w:val="00124BCB"/>
    <w:rsid w:val="00124E50"/>
    <w:rsid w:val="0012521D"/>
    <w:rsid w:val="00125288"/>
    <w:rsid w:val="001259C3"/>
    <w:rsid w:val="00126377"/>
    <w:rsid w:val="001265B4"/>
    <w:rsid w:val="001265FC"/>
    <w:rsid w:val="00126E05"/>
    <w:rsid w:val="00126E8A"/>
    <w:rsid w:val="00127222"/>
    <w:rsid w:val="00127DBA"/>
    <w:rsid w:val="001300AE"/>
    <w:rsid w:val="001301CB"/>
    <w:rsid w:val="00130275"/>
    <w:rsid w:val="00130BE3"/>
    <w:rsid w:val="00130EB0"/>
    <w:rsid w:val="0013103B"/>
    <w:rsid w:val="001310BB"/>
    <w:rsid w:val="001314DD"/>
    <w:rsid w:val="0013183C"/>
    <w:rsid w:val="0013187E"/>
    <w:rsid w:val="001319F2"/>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5286"/>
    <w:rsid w:val="001354CF"/>
    <w:rsid w:val="0013591D"/>
    <w:rsid w:val="001359C8"/>
    <w:rsid w:val="00135B96"/>
    <w:rsid w:val="00135D92"/>
    <w:rsid w:val="00135E14"/>
    <w:rsid w:val="00135E81"/>
    <w:rsid w:val="0013679C"/>
    <w:rsid w:val="00136B09"/>
    <w:rsid w:val="0013724C"/>
    <w:rsid w:val="001373D9"/>
    <w:rsid w:val="001377D8"/>
    <w:rsid w:val="00137C5B"/>
    <w:rsid w:val="00137D3C"/>
    <w:rsid w:val="00140018"/>
    <w:rsid w:val="001401F2"/>
    <w:rsid w:val="00140989"/>
    <w:rsid w:val="00141004"/>
    <w:rsid w:val="00141279"/>
    <w:rsid w:val="001412F5"/>
    <w:rsid w:val="001418D7"/>
    <w:rsid w:val="00141E82"/>
    <w:rsid w:val="0014242D"/>
    <w:rsid w:val="00142BE7"/>
    <w:rsid w:val="00142FC9"/>
    <w:rsid w:val="001430B0"/>
    <w:rsid w:val="00143664"/>
    <w:rsid w:val="001437AE"/>
    <w:rsid w:val="001438F2"/>
    <w:rsid w:val="00143A5F"/>
    <w:rsid w:val="00143C83"/>
    <w:rsid w:val="00143D18"/>
    <w:rsid w:val="00143F1D"/>
    <w:rsid w:val="00144119"/>
    <w:rsid w:val="00144153"/>
    <w:rsid w:val="001444E1"/>
    <w:rsid w:val="0014450C"/>
    <w:rsid w:val="00144A1A"/>
    <w:rsid w:val="001458A7"/>
    <w:rsid w:val="00146548"/>
    <w:rsid w:val="00146710"/>
    <w:rsid w:val="0014702B"/>
    <w:rsid w:val="00147B1D"/>
    <w:rsid w:val="00147B20"/>
    <w:rsid w:val="00147C38"/>
    <w:rsid w:val="00150255"/>
    <w:rsid w:val="0015037D"/>
    <w:rsid w:val="001507F3"/>
    <w:rsid w:val="00150D2E"/>
    <w:rsid w:val="00150E21"/>
    <w:rsid w:val="001512D3"/>
    <w:rsid w:val="00151BF7"/>
    <w:rsid w:val="001522A9"/>
    <w:rsid w:val="0015239E"/>
    <w:rsid w:val="00152B48"/>
    <w:rsid w:val="00153163"/>
    <w:rsid w:val="00153CB3"/>
    <w:rsid w:val="001543ED"/>
    <w:rsid w:val="001546E9"/>
    <w:rsid w:val="0015477F"/>
    <w:rsid w:val="00154CF4"/>
    <w:rsid w:val="001550CE"/>
    <w:rsid w:val="001550EF"/>
    <w:rsid w:val="00155291"/>
    <w:rsid w:val="00155601"/>
    <w:rsid w:val="00155C19"/>
    <w:rsid w:val="00155FFE"/>
    <w:rsid w:val="001566BD"/>
    <w:rsid w:val="001567F2"/>
    <w:rsid w:val="001571E0"/>
    <w:rsid w:val="0015727E"/>
    <w:rsid w:val="001578D7"/>
    <w:rsid w:val="00157DDC"/>
    <w:rsid w:val="001600D5"/>
    <w:rsid w:val="0016022B"/>
    <w:rsid w:val="0016038D"/>
    <w:rsid w:val="00160781"/>
    <w:rsid w:val="00160C58"/>
    <w:rsid w:val="00161097"/>
    <w:rsid w:val="001611A7"/>
    <w:rsid w:val="00161472"/>
    <w:rsid w:val="001619F1"/>
    <w:rsid w:val="00162356"/>
    <w:rsid w:val="0016297E"/>
    <w:rsid w:val="00162F38"/>
    <w:rsid w:val="0016309B"/>
    <w:rsid w:val="00163223"/>
    <w:rsid w:val="0016369C"/>
    <w:rsid w:val="001636B5"/>
    <w:rsid w:val="001636D9"/>
    <w:rsid w:val="00163EF3"/>
    <w:rsid w:val="00163EFA"/>
    <w:rsid w:val="00164176"/>
    <w:rsid w:val="00164F44"/>
    <w:rsid w:val="001657DB"/>
    <w:rsid w:val="00165E7B"/>
    <w:rsid w:val="00166275"/>
    <w:rsid w:val="001664D3"/>
    <w:rsid w:val="0016650C"/>
    <w:rsid w:val="0016671D"/>
    <w:rsid w:val="001669B9"/>
    <w:rsid w:val="00166AFB"/>
    <w:rsid w:val="00167738"/>
    <w:rsid w:val="00167D81"/>
    <w:rsid w:val="0017088D"/>
    <w:rsid w:val="00170DD0"/>
    <w:rsid w:val="00171342"/>
    <w:rsid w:val="001714B2"/>
    <w:rsid w:val="00171823"/>
    <w:rsid w:val="00171FF0"/>
    <w:rsid w:val="00172262"/>
    <w:rsid w:val="001727FD"/>
    <w:rsid w:val="00172EDB"/>
    <w:rsid w:val="0017310C"/>
    <w:rsid w:val="00173CC9"/>
    <w:rsid w:val="00174B59"/>
    <w:rsid w:val="00174BE5"/>
    <w:rsid w:val="00174C7E"/>
    <w:rsid w:val="001752FB"/>
    <w:rsid w:val="00175571"/>
    <w:rsid w:val="00175766"/>
    <w:rsid w:val="0017586D"/>
    <w:rsid w:val="00175A04"/>
    <w:rsid w:val="00175AF1"/>
    <w:rsid w:val="001762FD"/>
    <w:rsid w:val="0017636A"/>
    <w:rsid w:val="0017662A"/>
    <w:rsid w:val="00176749"/>
    <w:rsid w:val="00176815"/>
    <w:rsid w:val="001768CC"/>
    <w:rsid w:val="00176911"/>
    <w:rsid w:val="0017737E"/>
    <w:rsid w:val="001773CB"/>
    <w:rsid w:val="00177898"/>
    <w:rsid w:val="00180307"/>
    <w:rsid w:val="00180C5A"/>
    <w:rsid w:val="00181B5A"/>
    <w:rsid w:val="00181DDA"/>
    <w:rsid w:val="00181FCF"/>
    <w:rsid w:val="00182719"/>
    <w:rsid w:val="001829BC"/>
    <w:rsid w:val="00182FCF"/>
    <w:rsid w:val="00183967"/>
    <w:rsid w:val="00183E43"/>
    <w:rsid w:val="001843D1"/>
    <w:rsid w:val="00184404"/>
    <w:rsid w:val="0018463C"/>
    <w:rsid w:val="001846C2"/>
    <w:rsid w:val="00184B3B"/>
    <w:rsid w:val="00184FEA"/>
    <w:rsid w:val="00185387"/>
    <w:rsid w:val="00185E34"/>
    <w:rsid w:val="00186706"/>
    <w:rsid w:val="0018672A"/>
    <w:rsid w:val="001867D7"/>
    <w:rsid w:val="001868B5"/>
    <w:rsid w:val="00186DEE"/>
    <w:rsid w:val="00186F0C"/>
    <w:rsid w:val="00191405"/>
    <w:rsid w:val="0019142C"/>
    <w:rsid w:val="00191A1D"/>
    <w:rsid w:val="00191B8C"/>
    <w:rsid w:val="00191DB0"/>
    <w:rsid w:val="00191DC1"/>
    <w:rsid w:val="00191FB6"/>
    <w:rsid w:val="001921C9"/>
    <w:rsid w:val="001921FD"/>
    <w:rsid w:val="001929C4"/>
    <w:rsid w:val="00192D8F"/>
    <w:rsid w:val="00193729"/>
    <w:rsid w:val="0019376A"/>
    <w:rsid w:val="00193AE7"/>
    <w:rsid w:val="00193F34"/>
    <w:rsid w:val="0019415A"/>
    <w:rsid w:val="0019497C"/>
    <w:rsid w:val="00195E58"/>
    <w:rsid w:val="00196087"/>
    <w:rsid w:val="0019686D"/>
    <w:rsid w:val="00196BFC"/>
    <w:rsid w:val="00196F36"/>
    <w:rsid w:val="00196FCD"/>
    <w:rsid w:val="001971E3"/>
    <w:rsid w:val="001973F9"/>
    <w:rsid w:val="001978E9"/>
    <w:rsid w:val="0019796B"/>
    <w:rsid w:val="00197BBF"/>
    <w:rsid w:val="001A041E"/>
    <w:rsid w:val="001A05BE"/>
    <w:rsid w:val="001A07C8"/>
    <w:rsid w:val="001A0F44"/>
    <w:rsid w:val="001A1B1D"/>
    <w:rsid w:val="001A1BB7"/>
    <w:rsid w:val="001A1CEE"/>
    <w:rsid w:val="001A21B5"/>
    <w:rsid w:val="001A281F"/>
    <w:rsid w:val="001A2BC4"/>
    <w:rsid w:val="001A2ECB"/>
    <w:rsid w:val="001A3354"/>
    <w:rsid w:val="001A349C"/>
    <w:rsid w:val="001A3618"/>
    <w:rsid w:val="001A3A08"/>
    <w:rsid w:val="001A3D30"/>
    <w:rsid w:val="001A41E7"/>
    <w:rsid w:val="001A48F4"/>
    <w:rsid w:val="001A4E7D"/>
    <w:rsid w:val="001A52D2"/>
    <w:rsid w:val="001A55BE"/>
    <w:rsid w:val="001A5624"/>
    <w:rsid w:val="001A59BC"/>
    <w:rsid w:val="001A5C40"/>
    <w:rsid w:val="001A641F"/>
    <w:rsid w:val="001A66F2"/>
    <w:rsid w:val="001A6912"/>
    <w:rsid w:val="001A6ADC"/>
    <w:rsid w:val="001A6E8C"/>
    <w:rsid w:val="001A6EFE"/>
    <w:rsid w:val="001A6F6E"/>
    <w:rsid w:val="001A718C"/>
    <w:rsid w:val="001A71FB"/>
    <w:rsid w:val="001A72A6"/>
    <w:rsid w:val="001A7B48"/>
    <w:rsid w:val="001B0631"/>
    <w:rsid w:val="001B0DF8"/>
    <w:rsid w:val="001B10BB"/>
    <w:rsid w:val="001B1348"/>
    <w:rsid w:val="001B1550"/>
    <w:rsid w:val="001B163C"/>
    <w:rsid w:val="001B1667"/>
    <w:rsid w:val="001B2522"/>
    <w:rsid w:val="001B2928"/>
    <w:rsid w:val="001B2AAD"/>
    <w:rsid w:val="001B2B2D"/>
    <w:rsid w:val="001B2C1D"/>
    <w:rsid w:val="001B2E26"/>
    <w:rsid w:val="001B3A66"/>
    <w:rsid w:val="001B3B64"/>
    <w:rsid w:val="001B45F4"/>
    <w:rsid w:val="001B55F0"/>
    <w:rsid w:val="001B5782"/>
    <w:rsid w:val="001B5884"/>
    <w:rsid w:val="001B5EA1"/>
    <w:rsid w:val="001B6D5E"/>
    <w:rsid w:val="001B724E"/>
    <w:rsid w:val="001B7288"/>
    <w:rsid w:val="001B7619"/>
    <w:rsid w:val="001B7902"/>
    <w:rsid w:val="001B79BC"/>
    <w:rsid w:val="001B7B43"/>
    <w:rsid w:val="001C0FA7"/>
    <w:rsid w:val="001C120C"/>
    <w:rsid w:val="001C189F"/>
    <w:rsid w:val="001C1B5E"/>
    <w:rsid w:val="001C1E4A"/>
    <w:rsid w:val="001C21EF"/>
    <w:rsid w:val="001C233A"/>
    <w:rsid w:val="001C263E"/>
    <w:rsid w:val="001C26FE"/>
    <w:rsid w:val="001C27AA"/>
    <w:rsid w:val="001C27E6"/>
    <w:rsid w:val="001C281E"/>
    <w:rsid w:val="001C2BC9"/>
    <w:rsid w:val="001C3554"/>
    <w:rsid w:val="001C3E16"/>
    <w:rsid w:val="001C3E2E"/>
    <w:rsid w:val="001C3FAF"/>
    <w:rsid w:val="001C409F"/>
    <w:rsid w:val="001C4107"/>
    <w:rsid w:val="001C4161"/>
    <w:rsid w:val="001C42C9"/>
    <w:rsid w:val="001C42DD"/>
    <w:rsid w:val="001C4FE6"/>
    <w:rsid w:val="001C5095"/>
    <w:rsid w:val="001C54DB"/>
    <w:rsid w:val="001C5983"/>
    <w:rsid w:val="001C6597"/>
    <w:rsid w:val="001C67C1"/>
    <w:rsid w:val="001C68C8"/>
    <w:rsid w:val="001C69E6"/>
    <w:rsid w:val="001C6CA3"/>
    <w:rsid w:val="001C73C9"/>
    <w:rsid w:val="001C773B"/>
    <w:rsid w:val="001C7752"/>
    <w:rsid w:val="001C7980"/>
    <w:rsid w:val="001D0000"/>
    <w:rsid w:val="001D09EF"/>
    <w:rsid w:val="001D0BB1"/>
    <w:rsid w:val="001D0F36"/>
    <w:rsid w:val="001D147E"/>
    <w:rsid w:val="001D23E0"/>
    <w:rsid w:val="001D27EC"/>
    <w:rsid w:val="001D297B"/>
    <w:rsid w:val="001D2C2F"/>
    <w:rsid w:val="001D2CEE"/>
    <w:rsid w:val="001D337B"/>
    <w:rsid w:val="001D34FF"/>
    <w:rsid w:val="001D363E"/>
    <w:rsid w:val="001D3E95"/>
    <w:rsid w:val="001D3EEE"/>
    <w:rsid w:val="001D48FC"/>
    <w:rsid w:val="001D4A01"/>
    <w:rsid w:val="001D4A57"/>
    <w:rsid w:val="001D4B36"/>
    <w:rsid w:val="001D4D2D"/>
    <w:rsid w:val="001D5843"/>
    <w:rsid w:val="001D5A4B"/>
    <w:rsid w:val="001D5D52"/>
    <w:rsid w:val="001D61B8"/>
    <w:rsid w:val="001D7C41"/>
    <w:rsid w:val="001D7F16"/>
    <w:rsid w:val="001D7FD7"/>
    <w:rsid w:val="001E03C5"/>
    <w:rsid w:val="001E05F3"/>
    <w:rsid w:val="001E0B84"/>
    <w:rsid w:val="001E0D4E"/>
    <w:rsid w:val="001E0E87"/>
    <w:rsid w:val="001E0F3B"/>
    <w:rsid w:val="001E1A3F"/>
    <w:rsid w:val="001E2F97"/>
    <w:rsid w:val="001E36A8"/>
    <w:rsid w:val="001E3B37"/>
    <w:rsid w:val="001E481E"/>
    <w:rsid w:val="001E489E"/>
    <w:rsid w:val="001E4939"/>
    <w:rsid w:val="001E4F1C"/>
    <w:rsid w:val="001E5266"/>
    <w:rsid w:val="001E59F7"/>
    <w:rsid w:val="001E5B50"/>
    <w:rsid w:val="001E5B7D"/>
    <w:rsid w:val="001E5F19"/>
    <w:rsid w:val="001E6402"/>
    <w:rsid w:val="001E6580"/>
    <w:rsid w:val="001E6E05"/>
    <w:rsid w:val="001E711E"/>
    <w:rsid w:val="001E71E5"/>
    <w:rsid w:val="001E75F1"/>
    <w:rsid w:val="001E77E1"/>
    <w:rsid w:val="001E7832"/>
    <w:rsid w:val="001E7C3B"/>
    <w:rsid w:val="001E7E17"/>
    <w:rsid w:val="001E7EE6"/>
    <w:rsid w:val="001F0933"/>
    <w:rsid w:val="001F0C49"/>
    <w:rsid w:val="001F1873"/>
    <w:rsid w:val="001F18EC"/>
    <w:rsid w:val="001F2180"/>
    <w:rsid w:val="001F2827"/>
    <w:rsid w:val="001F2A30"/>
    <w:rsid w:val="001F2EEE"/>
    <w:rsid w:val="001F37CE"/>
    <w:rsid w:val="001F461B"/>
    <w:rsid w:val="001F4DDB"/>
    <w:rsid w:val="001F5310"/>
    <w:rsid w:val="001F548F"/>
    <w:rsid w:val="001F5A13"/>
    <w:rsid w:val="001F5B57"/>
    <w:rsid w:val="001F6848"/>
    <w:rsid w:val="001F6A09"/>
    <w:rsid w:val="001F7027"/>
    <w:rsid w:val="001F7225"/>
    <w:rsid w:val="001F7272"/>
    <w:rsid w:val="001F747C"/>
    <w:rsid w:val="00200017"/>
    <w:rsid w:val="00200289"/>
    <w:rsid w:val="00200807"/>
    <w:rsid w:val="002010BA"/>
    <w:rsid w:val="002016A8"/>
    <w:rsid w:val="002019A7"/>
    <w:rsid w:val="002019F5"/>
    <w:rsid w:val="0020236F"/>
    <w:rsid w:val="002028D8"/>
    <w:rsid w:val="002029AA"/>
    <w:rsid w:val="00203617"/>
    <w:rsid w:val="00203BBE"/>
    <w:rsid w:val="00203C32"/>
    <w:rsid w:val="00203CF8"/>
    <w:rsid w:val="00203E24"/>
    <w:rsid w:val="00203F74"/>
    <w:rsid w:val="0020429B"/>
    <w:rsid w:val="002042F6"/>
    <w:rsid w:val="0020445E"/>
    <w:rsid w:val="002044F9"/>
    <w:rsid w:val="00204531"/>
    <w:rsid w:val="0020481E"/>
    <w:rsid w:val="002048F3"/>
    <w:rsid w:val="00204975"/>
    <w:rsid w:val="0020499A"/>
    <w:rsid w:val="002049D1"/>
    <w:rsid w:val="00204A83"/>
    <w:rsid w:val="00204C9B"/>
    <w:rsid w:val="0020515B"/>
    <w:rsid w:val="002052D9"/>
    <w:rsid w:val="0020530A"/>
    <w:rsid w:val="00205875"/>
    <w:rsid w:val="00205B09"/>
    <w:rsid w:val="00205B72"/>
    <w:rsid w:val="00206428"/>
    <w:rsid w:val="00206636"/>
    <w:rsid w:val="002072A0"/>
    <w:rsid w:val="0020757B"/>
    <w:rsid w:val="0021008C"/>
    <w:rsid w:val="002103AA"/>
    <w:rsid w:val="00210BE8"/>
    <w:rsid w:val="00210D8B"/>
    <w:rsid w:val="00210EF8"/>
    <w:rsid w:val="00211237"/>
    <w:rsid w:val="00211374"/>
    <w:rsid w:val="00211915"/>
    <w:rsid w:val="00211A5C"/>
    <w:rsid w:val="00211E9C"/>
    <w:rsid w:val="002124EE"/>
    <w:rsid w:val="00212832"/>
    <w:rsid w:val="002141D4"/>
    <w:rsid w:val="002142B6"/>
    <w:rsid w:val="0021453E"/>
    <w:rsid w:val="00214650"/>
    <w:rsid w:val="00214CA2"/>
    <w:rsid w:val="00214EA6"/>
    <w:rsid w:val="00214F37"/>
    <w:rsid w:val="002152B7"/>
    <w:rsid w:val="002155BC"/>
    <w:rsid w:val="0021582E"/>
    <w:rsid w:val="0021693B"/>
    <w:rsid w:val="00216C90"/>
    <w:rsid w:val="00216D29"/>
    <w:rsid w:val="002173DE"/>
    <w:rsid w:val="002177C1"/>
    <w:rsid w:val="00217E2E"/>
    <w:rsid w:val="00217F91"/>
    <w:rsid w:val="002200C6"/>
    <w:rsid w:val="00220809"/>
    <w:rsid w:val="00220DE3"/>
    <w:rsid w:val="00221208"/>
    <w:rsid w:val="002212CB"/>
    <w:rsid w:val="00221472"/>
    <w:rsid w:val="00221C91"/>
    <w:rsid w:val="00222A53"/>
    <w:rsid w:val="00222B74"/>
    <w:rsid w:val="00222C1F"/>
    <w:rsid w:val="002231F6"/>
    <w:rsid w:val="00223A7B"/>
    <w:rsid w:val="00223CD3"/>
    <w:rsid w:val="00224058"/>
    <w:rsid w:val="00224078"/>
    <w:rsid w:val="002242AC"/>
    <w:rsid w:val="00224731"/>
    <w:rsid w:val="0022497C"/>
    <w:rsid w:val="00224BAA"/>
    <w:rsid w:val="00225028"/>
    <w:rsid w:val="002252A2"/>
    <w:rsid w:val="0022549A"/>
    <w:rsid w:val="00225626"/>
    <w:rsid w:val="00225D76"/>
    <w:rsid w:val="00226179"/>
    <w:rsid w:val="00226E2B"/>
    <w:rsid w:val="002270FB"/>
    <w:rsid w:val="0022769C"/>
    <w:rsid w:val="002300A0"/>
    <w:rsid w:val="0023025C"/>
    <w:rsid w:val="002305D0"/>
    <w:rsid w:val="00231124"/>
    <w:rsid w:val="00231128"/>
    <w:rsid w:val="002316D5"/>
    <w:rsid w:val="00231792"/>
    <w:rsid w:val="00231AB4"/>
    <w:rsid w:val="002328B1"/>
    <w:rsid w:val="00232C0D"/>
    <w:rsid w:val="00232C79"/>
    <w:rsid w:val="002333D0"/>
    <w:rsid w:val="0023342D"/>
    <w:rsid w:val="00233478"/>
    <w:rsid w:val="0023374F"/>
    <w:rsid w:val="002338FD"/>
    <w:rsid w:val="00234300"/>
    <w:rsid w:val="002347E6"/>
    <w:rsid w:val="002347EF"/>
    <w:rsid w:val="00234964"/>
    <w:rsid w:val="002349CC"/>
    <w:rsid w:val="00234BF3"/>
    <w:rsid w:val="00234DE2"/>
    <w:rsid w:val="00235229"/>
    <w:rsid w:val="002355A2"/>
    <w:rsid w:val="00235C1F"/>
    <w:rsid w:val="00236222"/>
    <w:rsid w:val="00236373"/>
    <w:rsid w:val="002363F6"/>
    <w:rsid w:val="00236F4F"/>
    <w:rsid w:val="00237553"/>
    <w:rsid w:val="00237618"/>
    <w:rsid w:val="00237DDB"/>
    <w:rsid w:val="00237F51"/>
    <w:rsid w:val="00237F66"/>
    <w:rsid w:val="002402FD"/>
    <w:rsid w:val="002408DE"/>
    <w:rsid w:val="00240DA8"/>
    <w:rsid w:val="00240E70"/>
    <w:rsid w:val="00240F43"/>
    <w:rsid w:val="00241267"/>
    <w:rsid w:val="002418C5"/>
    <w:rsid w:val="00241FD7"/>
    <w:rsid w:val="00242B88"/>
    <w:rsid w:val="00242E67"/>
    <w:rsid w:val="00242E76"/>
    <w:rsid w:val="00242EB7"/>
    <w:rsid w:val="002435DA"/>
    <w:rsid w:val="002435F7"/>
    <w:rsid w:val="00243602"/>
    <w:rsid w:val="00243663"/>
    <w:rsid w:val="00244134"/>
    <w:rsid w:val="00244250"/>
    <w:rsid w:val="00244505"/>
    <w:rsid w:val="00244C8D"/>
    <w:rsid w:val="00245328"/>
    <w:rsid w:val="00245701"/>
    <w:rsid w:val="00245EEE"/>
    <w:rsid w:val="00245F96"/>
    <w:rsid w:val="00246810"/>
    <w:rsid w:val="00247190"/>
    <w:rsid w:val="002473C0"/>
    <w:rsid w:val="002474B9"/>
    <w:rsid w:val="0024765B"/>
    <w:rsid w:val="0024787A"/>
    <w:rsid w:val="002479FB"/>
    <w:rsid w:val="00247AAB"/>
    <w:rsid w:val="002501D6"/>
    <w:rsid w:val="00250290"/>
    <w:rsid w:val="002505DD"/>
    <w:rsid w:val="00250EBB"/>
    <w:rsid w:val="00250FA5"/>
    <w:rsid w:val="00251229"/>
    <w:rsid w:val="00251254"/>
    <w:rsid w:val="0025126D"/>
    <w:rsid w:val="002518E0"/>
    <w:rsid w:val="00251F4D"/>
    <w:rsid w:val="00252144"/>
    <w:rsid w:val="00252431"/>
    <w:rsid w:val="00252586"/>
    <w:rsid w:val="002532A4"/>
    <w:rsid w:val="00253348"/>
    <w:rsid w:val="00253406"/>
    <w:rsid w:val="00253599"/>
    <w:rsid w:val="00253B94"/>
    <w:rsid w:val="00253DE8"/>
    <w:rsid w:val="0025455E"/>
    <w:rsid w:val="002545FD"/>
    <w:rsid w:val="00255138"/>
    <w:rsid w:val="002553C0"/>
    <w:rsid w:val="0025544F"/>
    <w:rsid w:val="002554CB"/>
    <w:rsid w:val="00255985"/>
    <w:rsid w:val="00256D96"/>
    <w:rsid w:val="002574A3"/>
    <w:rsid w:val="00257622"/>
    <w:rsid w:val="002578D9"/>
    <w:rsid w:val="00257D54"/>
    <w:rsid w:val="00260429"/>
    <w:rsid w:val="002606E9"/>
    <w:rsid w:val="0026071B"/>
    <w:rsid w:val="00260D4E"/>
    <w:rsid w:val="00260D6F"/>
    <w:rsid w:val="00260F6E"/>
    <w:rsid w:val="00261362"/>
    <w:rsid w:val="00261528"/>
    <w:rsid w:val="00261A68"/>
    <w:rsid w:val="00261B67"/>
    <w:rsid w:val="00261B77"/>
    <w:rsid w:val="002620F3"/>
    <w:rsid w:val="0026293E"/>
    <w:rsid w:val="00262DFA"/>
    <w:rsid w:val="00263256"/>
    <w:rsid w:val="00263332"/>
    <w:rsid w:val="00263513"/>
    <w:rsid w:val="0026387E"/>
    <w:rsid w:val="00263D57"/>
    <w:rsid w:val="00263D59"/>
    <w:rsid w:val="00264429"/>
    <w:rsid w:val="002644B6"/>
    <w:rsid w:val="00264704"/>
    <w:rsid w:val="00264777"/>
    <w:rsid w:val="002647EF"/>
    <w:rsid w:val="002652BE"/>
    <w:rsid w:val="002658A9"/>
    <w:rsid w:val="002658BE"/>
    <w:rsid w:val="00265A28"/>
    <w:rsid w:val="00265C05"/>
    <w:rsid w:val="00265D78"/>
    <w:rsid w:val="002668EC"/>
    <w:rsid w:val="00266E9E"/>
    <w:rsid w:val="00267548"/>
    <w:rsid w:val="00267B78"/>
    <w:rsid w:val="00267CB8"/>
    <w:rsid w:val="00267D85"/>
    <w:rsid w:val="00267E93"/>
    <w:rsid w:val="00270832"/>
    <w:rsid w:val="002716CA"/>
    <w:rsid w:val="002716F0"/>
    <w:rsid w:val="00271A00"/>
    <w:rsid w:val="00271E98"/>
    <w:rsid w:val="00272683"/>
    <w:rsid w:val="00272AF5"/>
    <w:rsid w:val="00273192"/>
    <w:rsid w:val="002738AD"/>
    <w:rsid w:val="00274B67"/>
    <w:rsid w:val="00274D85"/>
    <w:rsid w:val="00275324"/>
    <w:rsid w:val="0027537F"/>
    <w:rsid w:val="002758F5"/>
    <w:rsid w:val="002759C7"/>
    <w:rsid w:val="00275F25"/>
    <w:rsid w:val="0027620E"/>
    <w:rsid w:val="002768D8"/>
    <w:rsid w:val="00276E8E"/>
    <w:rsid w:val="00277732"/>
    <w:rsid w:val="002800EF"/>
    <w:rsid w:val="00280639"/>
    <w:rsid w:val="002806D0"/>
    <w:rsid w:val="00280CE7"/>
    <w:rsid w:val="00281659"/>
    <w:rsid w:val="00281CB8"/>
    <w:rsid w:val="00282613"/>
    <w:rsid w:val="00283023"/>
    <w:rsid w:val="00283233"/>
    <w:rsid w:val="002833C5"/>
    <w:rsid w:val="0028347D"/>
    <w:rsid w:val="00283918"/>
    <w:rsid w:val="00283C63"/>
    <w:rsid w:val="00283D23"/>
    <w:rsid w:val="00283E62"/>
    <w:rsid w:val="00283F23"/>
    <w:rsid w:val="002844A6"/>
    <w:rsid w:val="002845B5"/>
    <w:rsid w:val="0028488A"/>
    <w:rsid w:val="002852EB"/>
    <w:rsid w:val="00285428"/>
    <w:rsid w:val="002855D0"/>
    <w:rsid w:val="002855D6"/>
    <w:rsid w:val="00285851"/>
    <w:rsid w:val="00285FBC"/>
    <w:rsid w:val="002866B9"/>
    <w:rsid w:val="00286ED6"/>
    <w:rsid w:val="00287204"/>
    <w:rsid w:val="002877F4"/>
    <w:rsid w:val="00287B7B"/>
    <w:rsid w:val="00287B7F"/>
    <w:rsid w:val="00287D17"/>
    <w:rsid w:val="0029048E"/>
    <w:rsid w:val="002904FA"/>
    <w:rsid w:val="002910EF"/>
    <w:rsid w:val="0029122A"/>
    <w:rsid w:val="0029190A"/>
    <w:rsid w:val="00292079"/>
    <w:rsid w:val="00292B7A"/>
    <w:rsid w:val="00293B0F"/>
    <w:rsid w:val="00293CC9"/>
    <w:rsid w:val="00293E43"/>
    <w:rsid w:val="00294487"/>
    <w:rsid w:val="00294671"/>
    <w:rsid w:val="0029476B"/>
    <w:rsid w:val="00294B17"/>
    <w:rsid w:val="00295393"/>
    <w:rsid w:val="002958C9"/>
    <w:rsid w:val="00296539"/>
    <w:rsid w:val="00296A1E"/>
    <w:rsid w:val="0029752F"/>
    <w:rsid w:val="00297AEF"/>
    <w:rsid w:val="002A0250"/>
    <w:rsid w:val="002A02C6"/>
    <w:rsid w:val="002A067D"/>
    <w:rsid w:val="002A07B0"/>
    <w:rsid w:val="002A08DB"/>
    <w:rsid w:val="002A0B9D"/>
    <w:rsid w:val="002A1A23"/>
    <w:rsid w:val="002A1C2F"/>
    <w:rsid w:val="002A1C8D"/>
    <w:rsid w:val="002A1F64"/>
    <w:rsid w:val="002A22A5"/>
    <w:rsid w:val="002A305B"/>
    <w:rsid w:val="002A357B"/>
    <w:rsid w:val="002A3BEE"/>
    <w:rsid w:val="002A40E9"/>
    <w:rsid w:val="002A4FDF"/>
    <w:rsid w:val="002A67D1"/>
    <w:rsid w:val="002A67D2"/>
    <w:rsid w:val="002A6A2D"/>
    <w:rsid w:val="002A70A8"/>
    <w:rsid w:val="002A7457"/>
    <w:rsid w:val="002A7737"/>
    <w:rsid w:val="002A7AC5"/>
    <w:rsid w:val="002B0000"/>
    <w:rsid w:val="002B0008"/>
    <w:rsid w:val="002B003D"/>
    <w:rsid w:val="002B06EE"/>
    <w:rsid w:val="002B07D6"/>
    <w:rsid w:val="002B0A57"/>
    <w:rsid w:val="002B0DB2"/>
    <w:rsid w:val="002B1C0B"/>
    <w:rsid w:val="002B1DA6"/>
    <w:rsid w:val="002B1F17"/>
    <w:rsid w:val="002B250C"/>
    <w:rsid w:val="002B3346"/>
    <w:rsid w:val="002B342D"/>
    <w:rsid w:val="002B34C5"/>
    <w:rsid w:val="002B3B4C"/>
    <w:rsid w:val="002B3B9E"/>
    <w:rsid w:val="002B3C6F"/>
    <w:rsid w:val="002B3EEE"/>
    <w:rsid w:val="002B426F"/>
    <w:rsid w:val="002B49DB"/>
    <w:rsid w:val="002B53CF"/>
    <w:rsid w:val="002B544C"/>
    <w:rsid w:val="002B598D"/>
    <w:rsid w:val="002B59D2"/>
    <w:rsid w:val="002B6554"/>
    <w:rsid w:val="002B6D88"/>
    <w:rsid w:val="002B72EA"/>
    <w:rsid w:val="002B74D4"/>
    <w:rsid w:val="002B7A96"/>
    <w:rsid w:val="002C0763"/>
    <w:rsid w:val="002C0C20"/>
    <w:rsid w:val="002C11E2"/>
    <w:rsid w:val="002C25AD"/>
    <w:rsid w:val="002C2859"/>
    <w:rsid w:val="002C2B96"/>
    <w:rsid w:val="002C2CE1"/>
    <w:rsid w:val="002C2DBC"/>
    <w:rsid w:val="002C3360"/>
    <w:rsid w:val="002C3A70"/>
    <w:rsid w:val="002C3B08"/>
    <w:rsid w:val="002C3E4C"/>
    <w:rsid w:val="002C405B"/>
    <w:rsid w:val="002C420D"/>
    <w:rsid w:val="002C4601"/>
    <w:rsid w:val="002C4688"/>
    <w:rsid w:val="002C4B24"/>
    <w:rsid w:val="002C4B8A"/>
    <w:rsid w:val="002C5267"/>
    <w:rsid w:val="002C583B"/>
    <w:rsid w:val="002C585A"/>
    <w:rsid w:val="002C622A"/>
    <w:rsid w:val="002C654D"/>
    <w:rsid w:val="002C6C92"/>
    <w:rsid w:val="002C715A"/>
    <w:rsid w:val="002C728D"/>
    <w:rsid w:val="002C765F"/>
    <w:rsid w:val="002C7AB6"/>
    <w:rsid w:val="002D002B"/>
    <w:rsid w:val="002D01E5"/>
    <w:rsid w:val="002D0382"/>
    <w:rsid w:val="002D0E7A"/>
    <w:rsid w:val="002D1171"/>
    <w:rsid w:val="002D1645"/>
    <w:rsid w:val="002D1649"/>
    <w:rsid w:val="002D22FA"/>
    <w:rsid w:val="002D2E0C"/>
    <w:rsid w:val="002D3984"/>
    <w:rsid w:val="002D3CC6"/>
    <w:rsid w:val="002D4320"/>
    <w:rsid w:val="002D452D"/>
    <w:rsid w:val="002D4618"/>
    <w:rsid w:val="002D464C"/>
    <w:rsid w:val="002D4902"/>
    <w:rsid w:val="002D4C32"/>
    <w:rsid w:val="002D535F"/>
    <w:rsid w:val="002D54A7"/>
    <w:rsid w:val="002D55B9"/>
    <w:rsid w:val="002D565E"/>
    <w:rsid w:val="002D5686"/>
    <w:rsid w:val="002D5974"/>
    <w:rsid w:val="002D6167"/>
    <w:rsid w:val="002D6186"/>
    <w:rsid w:val="002D6207"/>
    <w:rsid w:val="002D6285"/>
    <w:rsid w:val="002D71C7"/>
    <w:rsid w:val="002D736B"/>
    <w:rsid w:val="002D7555"/>
    <w:rsid w:val="002D7A10"/>
    <w:rsid w:val="002D7D23"/>
    <w:rsid w:val="002E00DA"/>
    <w:rsid w:val="002E0220"/>
    <w:rsid w:val="002E088D"/>
    <w:rsid w:val="002E0A71"/>
    <w:rsid w:val="002E1837"/>
    <w:rsid w:val="002E1AFB"/>
    <w:rsid w:val="002E3100"/>
    <w:rsid w:val="002E3344"/>
    <w:rsid w:val="002E3DC8"/>
    <w:rsid w:val="002E4467"/>
    <w:rsid w:val="002E4D11"/>
    <w:rsid w:val="002E4EE7"/>
    <w:rsid w:val="002E5176"/>
    <w:rsid w:val="002E6361"/>
    <w:rsid w:val="002E6C0E"/>
    <w:rsid w:val="002E719D"/>
    <w:rsid w:val="002E71CE"/>
    <w:rsid w:val="002E73A8"/>
    <w:rsid w:val="002E75BB"/>
    <w:rsid w:val="002E762D"/>
    <w:rsid w:val="002F0065"/>
    <w:rsid w:val="002F021B"/>
    <w:rsid w:val="002F095E"/>
    <w:rsid w:val="002F0C48"/>
    <w:rsid w:val="002F1159"/>
    <w:rsid w:val="002F1D45"/>
    <w:rsid w:val="002F2165"/>
    <w:rsid w:val="002F2575"/>
    <w:rsid w:val="002F2688"/>
    <w:rsid w:val="002F27DC"/>
    <w:rsid w:val="002F44A3"/>
    <w:rsid w:val="002F4906"/>
    <w:rsid w:val="002F50C8"/>
    <w:rsid w:val="002F510C"/>
    <w:rsid w:val="002F5457"/>
    <w:rsid w:val="002F57BD"/>
    <w:rsid w:val="002F63D1"/>
    <w:rsid w:val="002F63F0"/>
    <w:rsid w:val="002F6791"/>
    <w:rsid w:val="002F6D2A"/>
    <w:rsid w:val="002F6D71"/>
    <w:rsid w:val="002F7362"/>
    <w:rsid w:val="002F756A"/>
    <w:rsid w:val="002F7E7D"/>
    <w:rsid w:val="00300145"/>
    <w:rsid w:val="00300250"/>
    <w:rsid w:val="003006CD"/>
    <w:rsid w:val="0030077A"/>
    <w:rsid w:val="00300AD0"/>
    <w:rsid w:val="00300CA5"/>
    <w:rsid w:val="00300D64"/>
    <w:rsid w:val="0030103B"/>
    <w:rsid w:val="0030134E"/>
    <w:rsid w:val="00301486"/>
    <w:rsid w:val="00301934"/>
    <w:rsid w:val="00301C1C"/>
    <w:rsid w:val="00301DCF"/>
    <w:rsid w:val="00301DD5"/>
    <w:rsid w:val="003021F9"/>
    <w:rsid w:val="00302263"/>
    <w:rsid w:val="003027BB"/>
    <w:rsid w:val="00302E5E"/>
    <w:rsid w:val="003038A3"/>
    <w:rsid w:val="00304376"/>
    <w:rsid w:val="003046AA"/>
    <w:rsid w:val="0030486A"/>
    <w:rsid w:val="00305595"/>
    <w:rsid w:val="00307076"/>
    <w:rsid w:val="003070FD"/>
    <w:rsid w:val="00310195"/>
    <w:rsid w:val="00310551"/>
    <w:rsid w:val="00310EA3"/>
    <w:rsid w:val="00310F27"/>
    <w:rsid w:val="00310F6C"/>
    <w:rsid w:val="00311198"/>
    <w:rsid w:val="00311BA6"/>
    <w:rsid w:val="00311D30"/>
    <w:rsid w:val="00311F38"/>
    <w:rsid w:val="00312447"/>
    <w:rsid w:val="00312AE9"/>
    <w:rsid w:val="00312EA3"/>
    <w:rsid w:val="00312FA7"/>
    <w:rsid w:val="00313022"/>
    <w:rsid w:val="0031307D"/>
    <w:rsid w:val="00313518"/>
    <w:rsid w:val="00313954"/>
    <w:rsid w:val="00314305"/>
    <w:rsid w:val="00315192"/>
    <w:rsid w:val="003154A9"/>
    <w:rsid w:val="00316392"/>
    <w:rsid w:val="003167ED"/>
    <w:rsid w:val="00316F81"/>
    <w:rsid w:val="00316FEC"/>
    <w:rsid w:val="0031714F"/>
    <w:rsid w:val="003173DF"/>
    <w:rsid w:val="00317B97"/>
    <w:rsid w:val="00317F62"/>
    <w:rsid w:val="003201F8"/>
    <w:rsid w:val="0032050F"/>
    <w:rsid w:val="00320B13"/>
    <w:rsid w:val="0032125A"/>
    <w:rsid w:val="00321D34"/>
    <w:rsid w:val="00321E51"/>
    <w:rsid w:val="00322151"/>
    <w:rsid w:val="00322AED"/>
    <w:rsid w:val="00322E72"/>
    <w:rsid w:val="00322ED5"/>
    <w:rsid w:val="003230A5"/>
    <w:rsid w:val="00323698"/>
    <w:rsid w:val="00323FFC"/>
    <w:rsid w:val="0032411E"/>
    <w:rsid w:val="00324267"/>
    <w:rsid w:val="003253C6"/>
    <w:rsid w:val="003254E6"/>
    <w:rsid w:val="00326761"/>
    <w:rsid w:val="00326CFB"/>
    <w:rsid w:val="00326F8D"/>
    <w:rsid w:val="00327ADC"/>
    <w:rsid w:val="00327BEA"/>
    <w:rsid w:val="003301E3"/>
    <w:rsid w:val="00330478"/>
    <w:rsid w:val="00330782"/>
    <w:rsid w:val="00330A95"/>
    <w:rsid w:val="003310BB"/>
    <w:rsid w:val="0033127D"/>
    <w:rsid w:val="0033162E"/>
    <w:rsid w:val="003317B8"/>
    <w:rsid w:val="003317C9"/>
    <w:rsid w:val="00331CAE"/>
    <w:rsid w:val="00332085"/>
    <w:rsid w:val="0033284A"/>
    <w:rsid w:val="00332D9D"/>
    <w:rsid w:val="00333109"/>
    <w:rsid w:val="00333666"/>
    <w:rsid w:val="00333EA3"/>
    <w:rsid w:val="00334923"/>
    <w:rsid w:val="00334DA8"/>
    <w:rsid w:val="00334F21"/>
    <w:rsid w:val="003352A0"/>
    <w:rsid w:val="00335FDA"/>
    <w:rsid w:val="003361A1"/>
    <w:rsid w:val="003361AE"/>
    <w:rsid w:val="0033626E"/>
    <w:rsid w:val="003369A0"/>
    <w:rsid w:val="00336A6A"/>
    <w:rsid w:val="00336BA0"/>
    <w:rsid w:val="00337368"/>
    <w:rsid w:val="00337410"/>
    <w:rsid w:val="00337508"/>
    <w:rsid w:val="00337846"/>
    <w:rsid w:val="00337AFC"/>
    <w:rsid w:val="0034024F"/>
    <w:rsid w:val="00340576"/>
    <w:rsid w:val="003408C0"/>
    <w:rsid w:val="00340D7E"/>
    <w:rsid w:val="003411C0"/>
    <w:rsid w:val="00343451"/>
    <w:rsid w:val="00343835"/>
    <w:rsid w:val="00343D33"/>
    <w:rsid w:val="00344FC2"/>
    <w:rsid w:val="003459AF"/>
    <w:rsid w:val="00346046"/>
    <w:rsid w:val="003466EF"/>
    <w:rsid w:val="0034670F"/>
    <w:rsid w:val="00346ABF"/>
    <w:rsid w:val="00347748"/>
    <w:rsid w:val="003479AB"/>
    <w:rsid w:val="00347D27"/>
    <w:rsid w:val="00347DC8"/>
    <w:rsid w:val="00347DD6"/>
    <w:rsid w:val="00347F5E"/>
    <w:rsid w:val="00350E11"/>
    <w:rsid w:val="00351549"/>
    <w:rsid w:val="00352116"/>
    <w:rsid w:val="003522FB"/>
    <w:rsid w:val="00352302"/>
    <w:rsid w:val="003526E7"/>
    <w:rsid w:val="0035294B"/>
    <w:rsid w:val="00353063"/>
    <w:rsid w:val="00353553"/>
    <w:rsid w:val="00353931"/>
    <w:rsid w:val="00353FBE"/>
    <w:rsid w:val="003546BA"/>
    <w:rsid w:val="00355171"/>
    <w:rsid w:val="003556DC"/>
    <w:rsid w:val="0035585B"/>
    <w:rsid w:val="00355C11"/>
    <w:rsid w:val="00356C0A"/>
    <w:rsid w:val="00356CB6"/>
    <w:rsid w:val="00356E44"/>
    <w:rsid w:val="003573A9"/>
    <w:rsid w:val="00357426"/>
    <w:rsid w:val="003600C5"/>
    <w:rsid w:val="003600E1"/>
    <w:rsid w:val="00360540"/>
    <w:rsid w:val="003608BE"/>
    <w:rsid w:val="00360CC4"/>
    <w:rsid w:val="00360CE1"/>
    <w:rsid w:val="00360D35"/>
    <w:rsid w:val="00360DD5"/>
    <w:rsid w:val="00360EB9"/>
    <w:rsid w:val="00361671"/>
    <w:rsid w:val="00361ADC"/>
    <w:rsid w:val="00362407"/>
    <w:rsid w:val="00362F66"/>
    <w:rsid w:val="00363200"/>
    <w:rsid w:val="00363367"/>
    <w:rsid w:val="0036336C"/>
    <w:rsid w:val="00363404"/>
    <w:rsid w:val="00363774"/>
    <w:rsid w:val="00363D01"/>
    <w:rsid w:val="0036543A"/>
    <w:rsid w:val="0036568A"/>
    <w:rsid w:val="003656CA"/>
    <w:rsid w:val="00367010"/>
    <w:rsid w:val="00367965"/>
    <w:rsid w:val="00367BD9"/>
    <w:rsid w:val="003701B3"/>
    <w:rsid w:val="00370303"/>
    <w:rsid w:val="0037053A"/>
    <w:rsid w:val="003709A3"/>
    <w:rsid w:val="003714BE"/>
    <w:rsid w:val="00371842"/>
    <w:rsid w:val="00371F6E"/>
    <w:rsid w:val="0037243A"/>
    <w:rsid w:val="00372BBD"/>
    <w:rsid w:val="00372D83"/>
    <w:rsid w:val="00373605"/>
    <w:rsid w:val="00373A79"/>
    <w:rsid w:val="00373B27"/>
    <w:rsid w:val="00373F13"/>
    <w:rsid w:val="0037445E"/>
    <w:rsid w:val="003744A4"/>
    <w:rsid w:val="0037456F"/>
    <w:rsid w:val="00374C94"/>
    <w:rsid w:val="00374F9B"/>
    <w:rsid w:val="00375009"/>
    <w:rsid w:val="003751F1"/>
    <w:rsid w:val="00376206"/>
    <w:rsid w:val="00376280"/>
    <w:rsid w:val="00376305"/>
    <w:rsid w:val="00376508"/>
    <w:rsid w:val="00377313"/>
    <w:rsid w:val="003774BA"/>
    <w:rsid w:val="00377C7E"/>
    <w:rsid w:val="00377E40"/>
    <w:rsid w:val="0038012B"/>
    <w:rsid w:val="00380992"/>
    <w:rsid w:val="00381D4B"/>
    <w:rsid w:val="003825FA"/>
    <w:rsid w:val="003826C7"/>
    <w:rsid w:val="003828B3"/>
    <w:rsid w:val="003828B6"/>
    <w:rsid w:val="00382AA1"/>
    <w:rsid w:val="0038376A"/>
    <w:rsid w:val="003838B3"/>
    <w:rsid w:val="0038410B"/>
    <w:rsid w:val="003844A8"/>
    <w:rsid w:val="003848E7"/>
    <w:rsid w:val="00384D60"/>
    <w:rsid w:val="0038538E"/>
    <w:rsid w:val="00385644"/>
    <w:rsid w:val="0038596E"/>
    <w:rsid w:val="00386929"/>
    <w:rsid w:val="00386AF1"/>
    <w:rsid w:val="00386BF8"/>
    <w:rsid w:val="00386C9C"/>
    <w:rsid w:val="003871E1"/>
    <w:rsid w:val="003877C1"/>
    <w:rsid w:val="003879C3"/>
    <w:rsid w:val="00387EEE"/>
    <w:rsid w:val="00390290"/>
    <w:rsid w:val="0039062A"/>
    <w:rsid w:val="00390878"/>
    <w:rsid w:val="00390B13"/>
    <w:rsid w:val="00390E4E"/>
    <w:rsid w:val="00391025"/>
    <w:rsid w:val="003910F8"/>
    <w:rsid w:val="0039207A"/>
    <w:rsid w:val="0039215D"/>
    <w:rsid w:val="003925E0"/>
    <w:rsid w:val="00392610"/>
    <w:rsid w:val="00392841"/>
    <w:rsid w:val="003929D8"/>
    <w:rsid w:val="0039337F"/>
    <w:rsid w:val="00393BD5"/>
    <w:rsid w:val="003949A7"/>
    <w:rsid w:val="00394BDF"/>
    <w:rsid w:val="00394E1B"/>
    <w:rsid w:val="00394E74"/>
    <w:rsid w:val="0039548B"/>
    <w:rsid w:val="003955DE"/>
    <w:rsid w:val="0039577D"/>
    <w:rsid w:val="00395D53"/>
    <w:rsid w:val="003964D0"/>
    <w:rsid w:val="003967E5"/>
    <w:rsid w:val="00396BC2"/>
    <w:rsid w:val="003974CD"/>
    <w:rsid w:val="00397C9E"/>
    <w:rsid w:val="003A19C7"/>
    <w:rsid w:val="003A1B00"/>
    <w:rsid w:val="003A1CFE"/>
    <w:rsid w:val="003A221F"/>
    <w:rsid w:val="003A243B"/>
    <w:rsid w:val="003A2B87"/>
    <w:rsid w:val="003A2DFE"/>
    <w:rsid w:val="003A35B1"/>
    <w:rsid w:val="003A35EB"/>
    <w:rsid w:val="003A3766"/>
    <w:rsid w:val="003A39A5"/>
    <w:rsid w:val="003A3B1E"/>
    <w:rsid w:val="003A4E32"/>
    <w:rsid w:val="003A4E8F"/>
    <w:rsid w:val="003A5254"/>
    <w:rsid w:val="003A5552"/>
    <w:rsid w:val="003A57E0"/>
    <w:rsid w:val="003A6431"/>
    <w:rsid w:val="003A663E"/>
    <w:rsid w:val="003A6B26"/>
    <w:rsid w:val="003A6CC5"/>
    <w:rsid w:val="003A73BA"/>
    <w:rsid w:val="003A7669"/>
    <w:rsid w:val="003A7C39"/>
    <w:rsid w:val="003A7D45"/>
    <w:rsid w:val="003A7EA8"/>
    <w:rsid w:val="003B04CA"/>
    <w:rsid w:val="003B0C26"/>
    <w:rsid w:val="003B0FB8"/>
    <w:rsid w:val="003B1753"/>
    <w:rsid w:val="003B1AA5"/>
    <w:rsid w:val="003B22B3"/>
    <w:rsid w:val="003B22E3"/>
    <w:rsid w:val="003B236A"/>
    <w:rsid w:val="003B2D8F"/>
    <w:rsid w:val="003B3666"/>
    <w:rsid w:val="003B44FD"/>
    <w:rsid w:val="003B4BD7"/>
    <w:rsid w:val="003B4E85"/>
    <w:rsid w:val="003B4FEA"/>
    <w:rsid w:val="003B53B4"/>
    <w:rsid w:val="003B560C"/>
    <w:rsid w:val="003B5A78"/>
    <w:rsid w:val="003B5CCE"/>
    <w:rsid w:val="003B5F5E"/>
    <w:rsid w:val="003B6698"/>
    <w:rsid w:val="003B66FF"/>
    <w:rsid w:val="003B677D"/>
    <w:rsid w:val="003B70C5"/>
    <w:rsid w:val="003B796A"/>
    <w:rsid w:val="003B7DD4"/>
    <w:rsid w:val="003B7E0B"/>
    <w:rsid w:val="003C0150"/>
    <w:rsid w:val="003C0640"/>
    <w:rsid w:val="003C0FA7"/>
    <w:rsid w:val="003C14E5"/>
    <w:rsid w:val="003C1DBC"/>
    <w:rsid w:val="003C2367"/>
    <w:rsid w:val="003C25EF"/>
    <w:rsid w:val="003C26DE"/>
    <w:rsid w:val="003C2839"/>
    <w:rsid w:val="003C2950"/>
    <w:rsid w:val="003C29A0"/>
    <w:rsid w:val="003C2ADA"/>
    <w:rsid w:val="003C2E58"/>
    <w:rsid w:val="003C38B6"/>
    <w:rsid w:val="003C395B"/>
    <w:rsid w:val="003C3F6E"/>
    <w:rsid w:val="003C4324"/>
    <w:rsid w:val="003C4417"/>
    <w:rsid w:val="003C44CF"/>
    <w:rsid w:val="003C4A5A"/>
    <w:rsid w:val="003C4AD0"/>
    <w:rsid w:val="003C5116"/>
    <w:rsid w:val="003C5813"/>
    <w:rsid w:val="003C5E53"/>
    <w:rsid w:val="003C5FA7"/>
    <w:rsid w:val="003C5FAD"/>
    <w:rsid w:val="003C64E5"/>
    <w:rsid w:val="003C661E"/>
    <w:rsid w:val="003C667D"/>
    <w:rsid w:val="003C6C21"/>
    <w:rsid w:val="003C6EA8"/>
    <w:rsid w:val="003C721A"/>
    <w:rsid w:val="003C7535"/>
    <w:rsid w:val="003C78E0"/>
    <w:rsid w:val="003D0133"/>
    <w:rsid w:val="003D016B"/>
    <w:rsid w:val="003D018E"/>
    <w:rsid w:val="003D0291"/>
    <w:rsid w:val="003D0381"/>
    <w:rsid w:val="003D0638"/>
    <w:rsid w:val="003D0697"/>
    <w:rsid w:val="003D08F7"/>
    <w:rsid w:val="003D2130"/>
    <w:rsid w:val="003D2446"/>
    <w:rsid w:val="003D32DF"/>
    <w:rsid w:val="003D39DA"/>
    <w:rsid w:val="003D3A89"/>
    <w:rsid w:val="003D3C24"/>
    <w:rsid w:val="003D3E00"/>
    <w:rsid w:val="003D3F00"/>
    <w:rsid w:val="003D3F28"/>
    <w:rsid w:val="003D4389"/>
    <w:rsid w:val="003D4511"/>
    <w:rsid w:val="003D45CC"/>
    <w:rsid w:val="003D486E"/>
    <w:rsid w:val="003D55B4"/>
    <w:rsid w:val="003D590A"/>
    <w:rsid w:val="003D5D1D"/>
    <w:rsid w:val="003D5D83"/>
    <w:rsid w:val="003D6339"/>
    <w:rsid w:val="003D6427"/>
    <w:rsid w:val="003D6D9A"/>
    <w:rsid w:val="003D6FC1"/>
    <w:rsid w:val="003D7099"/>
    <w:rsid w:val="003D73C3"/>
    <w:rsid w:val="003D7510"/>
    <w:rsid w:val="003D75FF"/>
    <w:rsid w:val="003D761E"/>
    <w:rsid w:val="003E04FD"/>
    <w:rsid w:val="003E13B6"/>
    <w:rsid w:val="003E13D4"/>
    <w:rsid w:val="003E1AA1"/>
    <w:rsid w:val="003E1F6D"/>
    <w:rsid w:val="003E2316"/>
    <w:rsid w:val="003E2749"/>
    <w:rsid w:val="003E2EE8"/>
    <w:rsid w:val="003E31F8"/>
    <w:rsid w:val="003E330E"/>
    <w:rsid w:val="003E3BF9"/>
    <w:rsid w:val="003E3C9B"/>
    <w:rsid w:val="003E3EDA"/>
    <w:rsid w:val="003E40DF"/>
    <w:rsid w:val="003E43AC"/>
    <w:rsid w:val="003E459C"/>
    <w:rsid w:val="003E4D3F"/>
    <w:rsid w:val="003E517A"/>
    <w:rsid w:val="003E5241"/>
    <w:rsid w:val="003E528A"/>
    <w:rsid w:val="003E53EB"/>
    <w:rsid w:val="003E5408"/>
    <w:rsid w:val="003E586C"/>
    <w:rsid w:val="003E5CDC"/>
    <w:rsid w:val="003E5DFF"/>
    <w:rsid w:val="003E5E2E"/>
    <w:rsid w:val="003E6079"/>
    <w:rsid w:val="003E6091"/>
    <w:rsid w:val="003E631D"/>
    <w:rsid w:val="003E6360"/>
    <w:rsid w:val="003E6C92"/>
    <w:rsid w:val="003E6E06"/>
    <w:rsid w:val="003E6E31"/>
    <w:rsid w:val="003E6FCA"/>
    <w:rsid w:val="003E7334"/>
    <w:rsid w:val="003E763F"/>
    <w:rsid w:val="003E7982"/>
    <w:rsid w:val="003E79A6"/>
    <w:rsid w:val="003F057A"/>
    <w:rsid w:val="003F0C5E"/>
    <w:rsid w:val="003F0D07"/>
    <w:rsid w:val="003F1134"/>
    <w:rsid w:val="003F1173"/>
    <w:rsid w:val="003F174C"/>
    <w:rsid w:val="003F277D"/>
    <w:rsid w:val="003F27F5"/>
    <w:rsid w:val="003F29A4"/>
    <w:rsid w:val="003F2ED0"/>
    <w:rsid w:val="003F345D"/>
    <w:rsid w:val="003F377E"/>
    <w:rsid w:val="003F3CE9"/>
    <w:rsid w:val="003F4BC9"/>
    <w:rsid w:val="003F4BD0"/>
    <w:rsid w:val="003F4C9B"/>
    <w:rsid w:val="003F4CBE"/>
    <w:rsid w:val="003F62E7"/>
    <w:rsid w:val="003F6321"/>
    <w:rsid w:val="003F6D8A"/>
    <w:rsid w:val="003F7467"/>
    <w:rsid w:val="003F7ADD"/>
    <w:rsid w:val="003F7CD2"/>
    <w:rsid w:val="003F7E20"/>
    <w:rsid w:val="0040001D"/>
    <w:rsid w:val="00400B42"/>
    <w:rsid w:val="00401931"/>
    <w:rsid w:val="004023F7"/>
    <w:rsid w:val="0040296A"/>
    <w:rsid w:val="00402B0F"/>
    <w:rsid w:val="00403969"/>
    <w:rsid w:val="004040D3"/>
    <w:rsid w:val="004043EB"/>
    <w:rsid w:val="00404E54"/>
    <w:rsid w:val="00405A93"/>
    <w:rsid w:val="00405B9F"/>
    <w:rsid w:val="00405D0E"/>
    <w:rsid w:val="00406608"/>
    <w:rsid w:val="00406717"/>
    <w:rsid w:val="004067B2"/>
    <w:rsid w:val="00406938"/>
    <w:rsid w:val="00406B97"/>
    <w:rsid w:val="00406D40"/>
    <w:rsid w:val="004075A6"/>
    <w:rsid w:val="004108A2"/>
    <w:rsid w:val="00411A6A"/>
    <w:rsid w:val="00411AB4"/>
    <w:rsid w:val="00411D5C"/>
    <w:rsid w:val="0041225B"/>
    <w:rsid w:val="0041232A"/>
    <w:rsid w:val="00412CAC"/>
    <w:rsid w:val="00412DB1"/>
    <w:rsid w:val="0041321F"/>
    <w:rsid w:val="004134FA"/>
    <w:rsid w:val="00413A79"/>
    <w:rsid w:val="00413FDF"/>
    <w:rsid w:val="004140CD"/>
    <w:rsid w:val="00414366"/>
    <w:rsid w:val="004149CF"/>
    <w:rsid w:val="00414A6D"/>
    <w:rsid w:val="00414DE9"/>
    <w:rsid w:val="00414E8A"/>
    <w:rsid w:val="004152CA"/>
    <w:rsid w:val="0041548D"/>
    <w:rsid w:val="004156B1"/>
    <w:rsid w:val="00416869"/>
    <w:rsid w:val="00417203"/>
    <w:rsid w:val="004173BD"/>
    <w:rsid w:val="004173BF"/>
    <w:rsid w:val="00417C7C"/>
    <w:rsid w:val="00417E1A"/>
    <w:rsid w:val="004201C4"/>
    <w:rsid w:val="004201E8"/>
    <w:rsid w:val="00420583"/>
    <w:rsid w:val="00420722"/>
    <w:rsid w:val="00420BFE"/>
    <w:rsid w:val="00421051"/>
    <w:rsid w:val="0042114B"/>
    <w:rsid w:val="00421203"/>
    <w:rsid w:val="00421250"/>
    <w:rsid w:val="00421423"/>
    <w:rsid w:val="00421476"/>
    <w:rsid w:val="00421888"/>
    <w:rsid w:val="00421BFE"/>
    <w:rsid w:val="004220F5"/>
    <w:rsid w:val="00422151"/>
    <w:rsid w:val="004229D9"/>
    <w:rsid w:val="00422BAC"/>
    <w:rsid w:val="0042318F"/>
    <w:rsid w:val="00423590"/>
    <w:rsid w:val="00423B8A"/>
    <w:rsid w:val="00423FDC"/>
    <w:rsid w:val="004243F5"/>
    <w:rsid w:val="00425106"/>
    <w:rsid w:val="004251BE"/>
    <w:rsid w:val="00425272"/>
    <w:rsid w:val="00425581"/>
    <w:rsid w:val="00425599"/>
    <w:rsid w:val="00425955"/>
    <w:rsid w:val="00425B4C"/>
    <w:rsid w:val="00425CE4"/>
    <w:rsid w:val="00425E96"/>
    <w:rsid w:val="00425E9D"/>
    <w:rsid w:val="00426343"/>
    <w:rsid w:val="0042673E"/>
    <w:rsid w:val="00426838"/>
    <w:rsid w:val="004268F2"/>
    <w:rsid w:val="00426ABE"/>
    <w:rsid w:val="00426B47"/>
    <w:rsid w:val="0042773C"/>
    <w:rsid w:val="00427D13"/>
    <w:rsid w:val="0043000B"/>
    <w:rsid w:val="0043031B"/>
    <w:rsid w:val="004309DB"/>
    <w:rsid w:val="00430AE1"/>
    <w:rsid w:val="00430B38"/>
    <w:rsid w:val="00430D3D"/>
    <w:rsid w:val="00430FDB"/>
    <w:rsid w:val="00431225"/>
    <w:rsid w:val="00431392"/>
    <w:rsid w:val="004313D9"/>
    <w:rsid w:val="00431A10"/>
    <w:rsid w:val="00432012"/>
    <w:rsid w:val="00432534"/>
    <w:rsid w:val="0043284B"/>
    <w:rsid w:val="00432DF4"/>
    <w:rsid w:val="00432E24"/>
    <w:rsid w:val="00433A2E"/>
    <w:rsid w:val="00433B06"/>
    <w:rsid w:val="00433BFC"/>
    <w:rsid w:val="00433E7A"/>
    <w:rsid w:val="00433EB9"/>
    <w:rsid w:val="00434BE0"/>
    <w:rsid w:val="00434FFC"/>
    <w:rsid w:val="00435291"/>
    <w:rsid w:val="00435950"/>
    <w:rsid w:val="00435A10"/>
    <w:rsid w:val="00435A66"/>
    <w:rsid w:val="00435D04"/>
    <w:rsid w:val="0043624E"/>
    <w:rsid w:val="00436292"/>
    <w:rsid w:val="0043632F"/>
    <w:rsid w:val="00436678"/>
    <w:rsid w:val="00436B04"/>
    <w:rsid w:val="00436B25"/>
    <w:rsid w:val="00436B4D"/>
    <w:rsid w:val="00436B5E"/>
    <w:rsid w:val="0043730D"/>
    <w:rsid w:val="00437379"/>
    <w:rsid w:val="0043758C"/>
    <w:rsid w:val="00437E8B"/>
    <w:rsid w:val="00437EDA"/>
    <w:rsid w:val="0044022F"/>
    <w:rsid w:val="00440253"/>
    <w:rsid w:val="00440274"/>
    <w:rsid w:val="00440AE9"/>
    <w:rsid w:val="00440B1E"/>
    <w:rsid w:val="00440CAA"/>
    <w:rsid w:val="004412C5"/>
    <w:rsid w:val="0044181F"/>
    <w:rsid w:val="00441B1F"/>
    <w:rsid w:val="00441B90"/>
    <w:rsid w:val="00441C10"/>
    <w:rsid w:val="00441FA7"/>
    <w:rsid w:val="004420F1"/>
    <w:rsid w:val="004428C1"/>
    <w:rsid w:val="00442BD8"/>
    <w:rsid w:val="00442E73"/>
    <w:rsid w:val="00442F76"/>
    <w:rsid w:val="00443252"/>
    <w:rsid w:val="00443384"/>
    <w:rsid w:val="00443ED2"/>
    <w:rsid w:val="0044459F"/>
    <w:rsid w:val="0044469B"/>
    <w:rsid w:val="00444C12"/>
    <w:rsid w:val="00444F1F"/>
    <w:rsid w:val="00445466"/>
    <w:rsid w:val="004459DC"/>
    <w:rsid w:val="00446652"/>
    <w:rsid w:val="004468A6"/>
    <w:rsid w:val="00446B17"/>
    <w:rsid w:val="0044715C"/>
    <w:rsid w:val="0044749C"/>
    <w:rsid w:val="004474DC"/>
    <w:rsid w:val="00447567"/>
    <w:rsid w:val="00447B46"/>
    <w:rsid w:val="00447C26"/>
    <w:rsid w:val="00450003"/>
    <w:rsid w:val="0045005A"/>
    <w:rsid w:val="004503E4"/>
    <w:rsid w:val="00450409"/>
    <w:rsid w:val="00450A9C"/>
    <w:rsid w:val="00451266"/>
    <w:rsid w:val="00451534"/>
    <w:rsid w:val="004517B4"/>
    <w:rsid w:val="0045199F"/>
    <w:rsid w:val="00451C23"/>
    <w:rsid w:val="00451CAF"/>
    <w:rsid w:val="00451CF5"/>
    <w:rsid w:val="00451F6E"/>
    <w:rsid w:val="00452048"/>
    <w:rsid w:val="00452050"/>
    <w:rsid w:val="0045285C"/>
    <w:rsid w:val="004529C3"/>
    <w:rsid w:val="00452EDD"/>
    <w:rsid w:val="00453487"/>
    <w:rsid w:val="00453B09"/>
    <w:rsid w:val="00453E28"/>
    <w:rsid w:val="00453E38"/>
    <w:rsid w:val="00454030"/>
    <w:rsid w:val="00454476"/>
    <w:rsid w:val="0045453D"/>
    <w:rsid w:val="004547F9"/>
    <w:rsid w:val="00454AB1"/>
    <w:rsid w:val="00454B74"/>
    <w:rsid w:val="00454E4C"/>
    <w:rsid w:val="00454F68"/>
    <w:rsid w:val="004550AE"/>
    <w:rsid w:val="00455CCF"/>
    <w:rsid w:val="00455F11"/>
    <w:rsid w:val="00455F7C"/>
    <w:rsid w:val="00456D24"/>
    <w:rsid w:val="00456F7E"/>
    <w:rsid w:val="004570A4"/>
    <w:rsid w:val="004571D1"/>
    <w:rsid w:val="0045722E"/>
    <w:rsid w:val="0045729D"/>
    <w:rsid w:val="0045741D"/>
    <w:rsid w:val="0046031C"/>
    <w:rsid w:val="00460A58"/>
    <w:rsid w:val="00460CA7"/>
    <w:rsid w:val="0046109A"/>
    <w:rsid w:val="00461863"/>
    <w:rsid w:val="00461D5D"/>
    <w:rsid w:val="004624FF"/>
    <w:rsid w:val="004627C3"/>
    <w:rsid w:val="00462B8A"/>
    <w:rsid w:val="00462BC7"/>
    <w:rsid w:val="00463759"/>
    <w:rsid w:val="004637E0"/>
    <w:rsid w:val="00463CED"/>
    <w:rsid w:val="00464E71"/>
    <w:rsid w:val="00464F43"/>
    <w:rsid w:val="00465167"/>
    <w:rsid w:val="00465793"/>
    <w:rsid w:val="00465BC9"/>
    <w:rsid w:val="004665E2"/>
    <w:rsid w:val="0046708C"/>
    <w:rsid w:val="00467309"/>
    <w:rsid w:val="00467C6E"/>
    <w:rsid w:val="00470791"/>
    <w:rsid w:val="004708AD"/>
    <w:rsid w:val="004708C2"/>
    <w:rsid w:val="00470B39"/>
    <w:rsid w:val="00470E93"/>
    <w:rsid w:val="004710D3"/>
    <w:rsid w:val="00471314"/>
    <w:rsid w:val="00471349"/>
    <w:rsid w:val="004723AC"/>
    <w:rsid w:val="004723B5"/>
    <w:rsid w:val="0047313D"/>
    <w:rsid w:val="00473966"/>
    <w:rsid w:val="004739CF"/>
    <w:rsid w:val="00474055"/>
    <w:rsid w:val="0047468F"/>
    <w:rsid w:val="00474A7C"/>
    <w:rsid w:val="00474BD9"/>
    <w:rsid w:val="0047570E"/>
    <w:rsid w:val="00475E7C"/>
    <w:rsid w:val="004764F5"/>
    <w:rsid w:val="00476524"/>
    <w:rsid w:val="00476C5C"/>
    <w:rsid w:val="00477111"/>
    <w:rsid w:val="0047759C"/>
    <w:rsid w:val="00477743"/>
    <w:rsid w:val="004777A7"/>
    <w:rsid w:val="00477D91"/>
    <w:rsid w:val="00477DDC"/>
    <w:rsid w:val="00480561"/>
    <w:rsid w:val="004806D0"/>
    <w:rsid w:val="00480862"/>
    <w:rsid w:val="00480CBB"/>
    <w:rsid w:val="00481571"/>
    <w:rsid w:val="004817AC"/>
    <w:rsid w:val="0048189A"/>
    <w:rsid w:val="004818A9"/>
    <w:rsid w:val="004819B2"/>
    <w:rsid w:val="00481AA4"/>
    <w:rsid w:val="00483659"/>
    <w:rsid w:val="00483EEC"/>
    <w:rsid w:val="004840AB"/>
    <w:rsid w:val="00484101"/>
    <w:rsid w:val="004846F7"/>
    <w:rsid w:val="00485996"/>
    <w:rsid w:val="004859E9"/>
    <w:rsid w:val="00486591"/>
    <w:rsid w:val="00486F29"/>
    <w:rsid w:val="00486FB4"/>
    <w:rsid w:val="00487683"/>
    <w:rsid w:val="004876BF"/>
    <w:rsid w:val="0048789D"/>
    <w:rsid w:val="004879A5"/>
    <w:rsid w:val="00490144"/>
    <w:rsid w:val="004903E2"/>
    <w:rsid w:val="00490D0A"/>
    <w:rsid w:val="00490D71"/>
    <w:rsid w:val="0049156A"/>
    <w:rsid w:val="0049177C"/>
    <w:rsid w:val="00491787"/>
    <w:rsid w:val="00491BD8"/>
    <w:rsid w:val="00491D89"/>
    <w:rsid w:val="004926D9"/>
    <w:rsid w:val="004928C4"/>
    <w:rsid w:val="00492BD6"/>
    <w:rsid w:val="00492C49"/>
    <w:rsid w:val="00492D60"/>
    <w:rsid w:val="00492D64"/>
    <w:rsid w:val="00493745"/>
    <w:rsid w:val="00493792"/>
    <w:rsid w:val="004938C4"/>
    <w:rsid w:val="00493B8E"/>
    <w:rsid w:val="0049435E"/>
    <w:rsid w:val="00494EC6"/>
    <w:rsid w:val="00495021"/>
    <w:rsid w:val="00495331"/>
    <w:rsid w:val="004954E4"/>
    <w:rsid w:val="004957B5"/>
    <w:rsid w:val="004957CB"/>
    <w:rsid w:val="0049583B"/>
    <w:rsid w:val="00495985"/>
    <w:rsid w:val="00495F28"/>
    <w:rsid w:val="00495FA3"/>
    <w:rsid w:val="004963D0"/>
    <w:rsid w:val="00496806"/>
    <w:rsid w:val="004968CE"/>
    <w:rsid w:val="00496DBF"/>
    <w:rsid w:val="00496E7A"/>
    <w:rsid w:val="00497007"/>
    <w:rsid w:val="0049720B"/>
    <w:rsid w:val="0049726C"/>
    <w:rsid w:val="0049738B"/>
    <w:rsid w:val="004974BA"/>
    <w:rsid w:val="004975A1"/>
    <w:rsid w:val="0049787E"/>
    <w:rsid w:val="00497883"/>
    <w:rsid w:val="004979FD"/>
    <w:rsid w:val="00497CCD"/>
    <w:rsid w:val="00497F18"/>
    <w:rsid w:val="004A00CB"/>
    <w:rsid w:val="004A01EB"/>
    <w:rsid w:val="004A0D4C"/>
    <w:rsid w:val="004A1762"/>
    <w:rsid w:val="004A1F24"/>
    <w:rsid w:val="004A1FC3"/>
    <w:rsid w:val="004A1FF5"/>
    <w:rsid w:val="004A219D"/>
    <w:rsid w:val="004A242D"/>
    <w:rsid w:val="004A26AD"/>
    <w:rsid w:val="004A28C1"/>
    <w:rsid w:val="004A2DCA"/>
    <w:rsid w:val="004A3805"/>
    <w:rsid w:val="004A38A2"/>
    <w:rsid w:val="004A38B0"/>
    <w:rsid w:val="004A38C2"/>
    <w:rsid w:val="004A3BD4"/>
    <w:rsid w:val="004A3CF3"/>
    <w:rsid w:val="004A3F6B"/>
    <w:rsid w:val="004A3F85"/>
    <w:rsid w:val="004A4740"/>
    <w:rsid w:val="004A4752"/>
    <w:rsid w:val="004A4A95"/>
    <w:rsid w:val="004A4AFC"/>
    <w:rsid w:val="004A4F7D"/>
    <w:rsid w:val="004A508C"/>
    <w:rsid w:val="004A54EC"/>
    <w:rsid w:val="004A5DF8"/>
    <w:rsid w:val="004A6D58"/>
    <w:rsid w:val="004A6E5F"/>
    <w:rsid w:val="004A700E"/>
    <w:rsid w:val="004A72BF"/>
    <w:rsid w:val="004A72FD"/>
    <w:rsid w:val="004A7319"/>
    <w:rsid w:val="004A74C1"/>
    <w:rsid w:val="004A7930"/>
    <w:rsid w:val="004A7D27"/>
    <w:rsid w:val="004B0012"/>
    <w:rsid w:val="004B02B6"/>
    <w:rsid w:val="004B0B7A"/>
    <w:rsid w:val="004B10E9"/>
    <w:rsid w:val="004B1105"/>
    <w:rsid w:val="004B176F"/>
    <w:rsid w:val="004B18F9"/>
    <w:rsid w:val="004B1FF5"/>
    <w:rsid w:val="004B2111"/>
    <w:rsid w:val="004B30AC"/>
    <w:rsid w:val="004B3473"/>
    <w:rsid w:val="004B3679"/>
    <w:rsid w:val="004B39CE"/>
    <w:rsid w:val="004B41D0"/>
    <w:rsid w:val="004B4653"/>
    <w:rsid w:val="004B485F"/>
    <w:rsid w:val="004B4899"/>
    <w:rsid w:val="004B4C69"/>
    <w:rsid w:val="004B537C"/>
    <w:rsid w:val="004B5633"/>
    <w:rsid w:val="004B5919"/>
    <w:rsid w:val="004B5E0F"/>
    <w:rsid w:val="004B6228"/>
    <w:rsid w:val="004B6503"/>
    <w:rsid w:val="004B686D"/>
    <w:rsid w:val="004B6AD9"/>
    <w:rsid w:val="004B6BEA"/>
    <w:rsid w:val="004B6E52"/>
    <w:rsid w:val="004B7139"/>
    <w:rsid w:val="004B7178"/>
    <w:rsid w:val="004B77E8"/>
    <w:rsid w:val="004B7CA1"/>
    <w:rsid w:val="004B7ECA"/>
    <w:rsid w:val="004C0154"/>
    <w:rsid w:val="004C0F21"/>
    <w:rsid w:val="004C1114"/>
    <w:rsid w:val="004C17E0"/>
    <w:rsid w:val="004C1D9E"/>
    <w:rsid w:val="004C1DA5"/>
    <w:rsid w:val="004C2101"/>
    <w:rsid w:val="004C21CC"/>
    <w:rsid w:val="004C233F"/>
    <w:rsid w:val="004C28CD"/>
    <w:rsid w:val="004C2CCD"/>
    <w:rsid w:val="004C303D"/>
    <w:rsid w:val="004C3C4D"/>
    <w:rsid w:val="004C438D"/>
    <w:rsid w:val="004C44E1"/>
    <w:rsid w:val="004C46A6"/>
    <w:rsid w:val="004C48BD"/>
    <w:rsid w:val="004C493C"/>
    <w:rsid w:val="004C5199"/>
    <w:rsid w:val="004C59DE"/>
    <w:rsid w:val="004C5A37"/>
    <w:rsid w:val="004C5CE3"/>
    <w:rsid w:val="004C5D8A"/>
    <w:rsid w:val="004C63C8"/>
    <w:rsid w:val="004C6520"/>
    <w:rsid w:val="004C6718"/>
    <w:rsid w:val="004C6A3C"/>
    <w:rsid w:val="004C6BAF"/>
    <w:rsid w:val="004C6C57"/>
    <w:rsid w:val="004C6C70"/>
    <w:rsid w:val="004C6F1D"/>
    <w:rsid w:val="004C7023"/>
    <w:rsid w:val="004C7863"/>
    <w:rsid w:val="004C78F6"/>
    <w:rsid w:val="004C792D"/>
    <w:rsid w:val="004C7F07"/>
    <w:rsid w:val="004C7FB1"/>
    <w:rsid w:val="004D0218"/>
    <w:rsid w:val="004D03F2"/>
    <w:rsid w:val="004D08E6"/>
    <w:rsid w:val="004D16DD"/>
    <w:rsid w:val="004D175C"/>
    <w:rsid w:val="004D2272"/>
    <w:rsid w:val="004D238A"/>
    <w:rsid w:val="004D2682"/>
    <w:rsid w:val="004D2863"/>
    <w:rsid w:val="004D29D1"/>
    <w:rsid w:val="004D2BA0"/>
    <w:rsid w:val="004D2F2D"/>
    <w:rsid w:val="004D3F21"/>
    <w:rsid w:val="004D45DD"/>
    <w:rsid w:val="004D506B"/>
    <w:rsid w:val="004D5257"/>
    <w:rsid w:val="004D5369"/>
    <w:rsid w:val="004D5A35"/>
    <w:rsid w:val="004D604D"/>
    <w:rsid w:val="004D62FE"/>
    <w:rsid w:val="004D723D"/>
    <w:rsid w:val="004D7A78"/>
    <w:rsid w:val="004D7E13"/>
    <w:rsid w:val="004E0378"/>
    <w:rsid w:val="004E04A6"/>
    <w:rsid w:val="004E0B0E"/>
    <w:rsid w:val="004E0FBA"/>
    <w:rsid w:val="004E1540"/>
    <w:rsid w:val="004E195C"/>
    <w:rsid w:val="004E19BA"/>
    <w:rsid w:val="004E1E9C"/>
    <w:rsid w:val="004E1F96"/>
    <w:rsid w:val="004E38E8"/>
    <w:rsid w:val="004E3B63"/>
    <w:rsid w:val="004E3FBF"/>
    <w:rsid w:val="004E4038"/>
    <w:rsid w:val="004E41A7"/>
    <w:rsid w:val="004E4AD6"/>
    <w:rsid w:val="004E4E14"/>
    <w:rsid w:val="004E5103"/>
    <w:rsid w:val="004E53A1"/>
    <w:rsid w:val="004E566F"/>
    <w:rsid w:val="004E5698"/>
    <w:rsid w:val="004E5B84"/>
    <w:rsid w:val="004E5C83"/>
    <w:rsid w:val="004E5D30"/>
    <w:rsid w:val="004E648B"/>
    <w:rsid w:val="004E78CF"/>
    <w:rsid w:val="004F0019"/>
    <w:rsid w:val="004F02D1"/>
    <w:rsid w:val="004F051B"/>
    <w:rsid w:val="004F055F"/>
    <w:rsid w:val="004F0608"/>
    <w:rsid w:val="004F0693"/>
    <w:rsid w:val="004F0A42"/>
    <w:rsid w:val="004F0CFC"/>
    <w:rsid w:val="004F11C0"/>
    <w:rsid w:val="004F1440"/>
    <w:rsid w:val="004F174C"/>
    <w:rsid w:val="004F1D19"/>
    <w:rsid w:val="004F21BC"/>
    <w:rsid w:val="004F2244"/>
    <w:rsid w:val="004F28F0"/>
    <w:rsid w:val="004F2AD8"/>
    <w:rsid w:val="004F2EE3"/>
    <w:rsid w:val="004F36DF"/>
    <w:rsid w:val="004F3757"/>
    <w:rsid w:val="004F38BE"/>
    <w:rsid w:val="004F394E"/>
    <w:rsid w:val="004F445B"/>
    <w:rsid w:val="004F48E4"/>
    <w:rsid w:val="004F4954"/>
    <w:rsid w:val="004F4DBF"/>
    <w:rsid w:val="004F4DFC"/>
    <w:rsid w:val="004F5131"/>
    <w:rsid w:val="004F51F0"/>
    <w:rsid w:val="004F5236"/>
    <w:rsid w:val="004F53C2"/>
    <w:rsid w:val="004F55EA"/>
    <w:rsid w:val="004F60BF"/>
    <w:rsid w:val="004F6D98"/>
    <w:rsid w:val="004F6DE7"/>
    <w:rsid w:val="004F6FC5"/>
    <w:rsid w:val="004F74C3"/>
    <w:rsid w:val="004F7515"/>
    <w:rsid w:val="004F7927"/>
    <w:rsid w:val="004F79B5"/>
    <w:rsid w:val="004F7AD4"/>
    <w:rsid w:val="004F7B5C"/>
    <w:rsid w:val="004F7F70"/>
    <w:rsid w:val="00500BCB"/>
    <w:rsid w:val="00500DC0"/>
    <w:rsid w:val="00500E0B"/>
    <w:rsid w:val="00501473"/>
    <w:rsid w:val="005014CA"/>
    <w:rsid w:val="005023E1"/>
    <w:rsid w:val="00502733"/>
    <w:rsid w:val="00502740"/>
    <w:rsid w:val="005027D1"/>
    <w:rsid w:val="005032B5"/>
    <w:rsid w:val="00503A1B"/>
    <w:rsid w:val="00504364"/>
    <w:rsid w:val="005047C9"/>
    <w:rsid w:val="00504A0F"/>
    <w:rsid w:val="00504F92"/>
    <w:rsid w:val="00505210"/>
    <w:rsid w:val="005052A2"/>
    <w:rsid w:val="00505658"/>
    <w:rsid w:val="00505B2A"/>
    <w:rsid w:val="005060C1"/>
    <w:rsid w:val="00506363"/>
    <w:rsid w:val="00506523"/>
    <w:rsid w:val="00506525"/>
    <w:rsid w:val="00506A5A"/>
    <w:rsid w:val="00506B5C"/>
    <w:rsid w:val="00506DD4"/>
    <w:rsid w:val="0050722D"/>
    <w:rsid w:val="005073DE"/>
    <w:rsid w:val="005073FA"/>
    <w:rsid w:val="005077CD"/>
    <w:rsid w:val="00507973"/>
    <w:rsid w:val="00507CEC"/>
    <w:rsid w:val="00507ED8"/>
    <w:rsid w:val="005107A8"/>
    <w:rsid w:val="005114A3"/>
    <w:rsid w:val="005118EB"/>
    <w:rsid w:val="005119DD"/>
    <w:rsid w:val="00511AC8"/>
    <w:rsid w:val="00511E0E"/>
    <w:rsid w:val="00511E57"/>
    <w:rsid w:val="00511EE2"/>
    <w:rsid w:val="00512370"/>
    <w:rsid w:val="0051287D"/>
    <w:rsid w:val="00512A69"/>
    <w:rsid w:val="00512D76"/>
    <w:rsid w:val="00513276"/>
    <w:rsid w:val="00513350"/>
    <w:rsid w:val="005137A2"/>
    <w:rsid w:val="00513AB7"/>
    <w:rsid w:val="00513B23"/>
    <w:rsid w:val="005148DA"/>
    <w:rsid w:val="00515204"/>
    <w:rsid w:val="005152D2"/>
    <w:rsid w:val="00515A9F"/>
    <w:rsid w:val="00515C23"/>
    <w:rsid w:val="00515E28"/>
    <w:rsid w:val="0051609A"/>
    <w:rsid w:val="005161F1"/>
    <w:rsid w:val="0051637E"/>
    <w:rsid w:val="00516B43"/>
    <w:rsid w:val="005173E0"/>
    <w:rsid w:val="005174FE"/>
    <w:rsid w:val="00520366"/>
    <w:rsid w:val="00520B6B"/>
    <w:rsid w:val="00520E72"/>
    <w:rsid w:val="00520E96"/>
    <w:rsid w:val="00521456"/>
    <w:rsid w:val="005226CB"/>
    <w:rsid w:val="0052276A"/>
    <w:rsid w:val="00522C3C"/>
    <w:rsid w:val="0052312B"/>
    <w:rsid w:val="005231A2"/>
    <w:rsid w:val="00524146"/>
    <w:rsid w:val="00524B49"/>
    <w:rsid w:val="00524CF5"/>
    <w:rsid w:val="00524EF0"/>
    <w:rsid w:val="00525076"/>
    <w:rsid w:val="00525240"/>
    <w:rsid w:val="005253E3"/>
    <w:rsid w:val="00525F56"/>
    <w:rsid w:val="005264C5"/>
    <w:rsid w:val="00526737"/>
    <w:rsid w:val="0052682D"/>
    <w:rsid w:val="00526C3C"/>
    <w:rsid w:val="00527059"/>
    <w:rsid w:val="00527782"/>
    <w:rsid w:val="005278B3"/>
    <w:rsid w:val="00527983"/>
    <w:rsid w:val="00527D06"/>
    <w:rsid w:val="0053020D"/>
    <w:rsid w:val="0053063E"/>
    <w:rsid w:val="00530816"/>
    <w:rsid w:val="00530CF6"/>
    <w:rsid w:val="00531092"/>
    <w:rsid w:val="0053158D"/>
    <w:rsid w:val="00531A6A"/>
    <w:rsid w:val="00531E88"/>
    <w:rsid w:val="005323FE"/>
    <w:rsid w:val="00532EA1"/>
    <w:rsid w:val="005342C5"/>
    <w:rsid w:val="005344DB"/>
    <w:rsid w:val="00534C78"/>
    <w:rsid w:val="00534CE1"/>
    <w:rsid w:val="0053520F"/>
    <w:rsid w:val="0053537B"/>
    <w:rsid w:val="00535594"/>
    <w:rsid w:val="005356B7"/>
    <w:rsid w:val="005361B1"/>
    <w:rsid w:val="00536243"/>
    <w:rsid w:val="00536326"/>
    <w:rsid w:val="00536613"/>
    <w:rsid w:val="00536B63"/>
    <w:rsid w:val="00537715"/>
    <w:rsid w:val="00537BE5"/>
    <w:rsid w:val="0054020D"/>
    <w:rsid w:val="0054030B"/>
    <w:rsid w:val="00540430"/>
    <w:rsid w:val="00540622"/>
    <w:rsid w:val="0054087B"/>
    <w:rsid w:val="00540E0A"/>
    <w:rsid w:val="005414DC"/>
    <w:rsid w:val="005418E6"/>
    <w:rsid w:val="005424D6"/>
    <w:rsid w:val="00542698"/>
    <w:rsid w:val="00542B67"/>
    <w:rsid w:val="00542CBD"/>
    <w:rsid w:val="00543107"/>
    <w:rsid w:val="00543274"/>
    <w:rsid w:val="005433CC"/>
    <w:rsid w:val="00543534"/>
    <w:rsid w:val="0054396C"/>
    <w:rsid w:val="00543FBC"/>
    <w:rsid w:val="00544110"/>
    <w:rsid w:val="0054441C"/>
    <w:rsid w:val="00544B99"/>
    <w:rsid w:val="00544EBB"/>
    <w:rsid w:val="00545277"/>
    <w:rsid w:val="0054551B"/>
    <w:rsid w:val="0054582D"/>
    <w:rsid w:val="00545BCA"/>
    <w:rsid w:val="00546017"/>
    <w:rsid w:val="00546911"/>
    <w:rsid w:val="005469A9"/>
    <w:rsid w:val="00546C52"/>
    <w:rsid w:val="0054718D"/>
    <w:rsid w:val="0054757E"/>
    <w:rsid w:val="00547C9E"/>
    <w:rsid w:val="00547D51"/>
    <w:rsid w:val="005505B1"/>
    <w:rsid w:val="00550940"/>
    <w:rsid w:val="005509BE"/>
    <w:rsid w:val="00550AF5"/>
    <w:rsid w:val="00550C64"/>
    <w:rsid w:val="00550CA9"/>
    <w:rsid w:val="005519A4"/>
    <w:rsid w:val="00551A84"/>
    <w:rsid w:val="0055255C"/>
    <w:rsid w:val="00552A4D"/>
    <w:rsid w:val="00553E62"/>
    <w:rsid w:val="0055411D"/>
    <w:rsid w:val="005543FE"/>
    <w:rsid w:val="00554414"/>
    <w:rsid w:val="0055487A"/>
    <w:rsid w:val="00554ABF"/>
    <w:rsid w:val="00554C2C"/>
    <w:rsid w:val="005550F9"/>
    <w:rsid w:val="00555396"/>
    <w:rsid w:val="0055551E"/>
    <w:rsid w:val="005556D3"/>
    <w:rsid w:val="00555A8E"/>
    <w:rsid w:val="00555F1F"/>
    <w:rsid w:val="005565C3"/>
    <w:rsid w:val="005566C5"/>
    <w:rsid w:val="0055672F"/>
    <w:rsid w:val="00556DFC"/>
    <w:rsid w:val="0055705C"/>
    <w:rsid w:val="00557E1F"/>
    <w:rsid w:val="00560162"/>
    <w:rsid w:val="005603F9"/>
    <w:rsid w:val="005609FC"/>
    <w:rsid w:val="00560C3D"/>
    <w:rsid w:val="00560DD3"/>
    <w:rsid w:val="00560E78"/>
    <w:rsid w:val="00561171"/>
    <w:rsid w:val="005619F4"/>
    <w:rsid w:val="00561A71"/>
    <w:rsid w:val="00561BB7"/>
    <w:rsid w:val="00562602"/>
    <w:rsid w:val="0056267F"/>
    <w:rsid w:val="00562778"/>
    <w:rsid w:val="00562DF7"/>
    <w:rsid w:val="00562F41"/>
    <w:rsid w:val="0056313E"/>
    <w:rsid w:val="00563217"/>
    <w:rsid w:val="005632B4"/>
    <w:rsid w:val="00563EFE"/>
    <w:rsid w:val="00564427"/>
    <w:rsid w:val="00564891"/>
    <w:rsid w:val="00564C0A"/>
    <w:rsid w:val="00564CE0"/>
    <w:rsid w:val="00565047"/>
    <w:rsid w:val="005653F0"/>
    <w:rsid w:val="005659C0"/>
    <w:rsid w:val="00565ABE"/>
    <w:rsid w:val="00565BFA"/>
    <w:rsid w:val="0056600F"/>
    <w:rsid w:val="0056633E"/>
    <w:rsid w:val="00566437"/>
    <w:rsid w:val="00566736"/>
    <w:rsid w:val="00566CD8"/>
    <w:rsid w:val="0056702A"/>
    <w:rsid w:val="005670D4"/>
    <w:rsid w:val="00567323"/>
    <w:rsid w:val="0056754B"/>
    <w:rsid w:val="00567FF2"/>
    <w:rsid w:val="005701AF"/>
    <w:rsid w:val="00570416"/>
    <w:rsid w:val="0057072E"/>
    <w:rsid w:val="00570993"/>
    <w:rsid w:val="00570A2B"/>
    <w:rsid w:val="00570B7A"/>
    <w:rsid w:val="00570C13"/>
    <w:rsid w:val="00570FDA"/>
    <w:rsid w:val="00571999"/>
    <w:rsid w:val="00571A0D"/>
    <w:rsid w:val="00571BEC"/>
    <w:rsid w:val="00571D9B"/>
    <w:rsid w:val="00572A2B"/>
    <w:rsid w:val="00572CF2"/>
    <w:rsid w:val="00573125"/>
    <w:rsid w:val="0057360E"/>
    <w:rsid w:val="00573755"/>
    <w:rsid w:val="0057380B"/>
    <w:rsid w:val="00573A5B"/>
    <w:rsid w:val="00573FD1"/>
    <w:rsid w:val="00574178"/>
    <w:rsid w:val="00574CA5"/>
    <w:rsid w:val="00574CE8"/>
    <w:rsid w:val="00574D70"/>
    <w:rsid w:val="0057555B"/>
    <w:rsid w:val="00575D7B"/>
    <w:rsid w:val="00576017"/>
    <w:rsid w:val="00576A17"/>
    <w:rsid w:val="00577053"/>
    <w:rsid w:val="00577183"/>
    <w:rsid w:val="00577400"/>
    <w:rsid w:val="0057786D"/>
    <w:rsid w:val="00577F69"/>
    <w:rsid w:val="00580F32"/>
    <w:rsid w:val="00581F58"/>
    <w:rsid w:val="00582639"/>
    <w:rsid w:val="005828A9"/>
    <w:rsid w:val="00582FBF"/>
    <w:rsid w:val="00583680"/>
    <w:rsid w:val="00583784"/>
    <w:rsid w:val="00583FBE"/>
    <w:rsid w:val="00584293"/>
    <w:rsid w:val="005843F7"/>
    <w:rsid w:val="005846AC"/>
    <w:rsid w:val="00584AA5"/>
    <w:rsid w:val="00584C7D"/>
    <w:rsid w:val="0058508E"/>
    <w:rsid w:val="0058565F"/>
    <w:rsid w:val="00585929"/>
    <w:rsid w:val="00585DEB"/>
    <w:rsid w:val="00586C90"/>
    <w:rsid w:val="00587235"/>
    <w:rsid w:val="00587722"/>
    <w:rsid w:val="00590227"/>
    <w:rsid w:val="005904BA"/>
    <w:rsid w:val="005905E8"/>
    <w:rsid w:val="0059063A"/>
    <w:rsid w:val="00590A05"/>
    <w:rsid w:val="00590A68"/>
    <w:rsid w:val="00591568"/>
    <w:rsid w:val="00591FA0"/>
    <w:rsid w:val="00592955"/>
    <w:rsid w:val="00593067"/>
    <w:rsid w:val="00593968"/>
    <w:rsid w:val="00593D36"/>
    <w:rsid w:val="00594BE7"/>
    <w:rsid w:val="00594E58"/>
    <w:rsid w:val="00595366"/>
    <w:rsid w:val="00595B8E"/>
    <w:rsid w:val="00595FBC"/>
    <w:rsid w:val="00596021"/>
    <w:rsid w:val="00596170"/>
    <w:rsid w:val="00596257"/>
    <w:rsid w:val="00596510"/>
    <w:rsid w:val="005966CA"/>
    <w:rsid w:val="00596D15"/>
    <w:rsid w:val="005970F9"/>
    <w:rsid w:val="005976C9"/>
    <w:rsid w:val="005977A4"/>
    <w:rsid w:val="0059790A"/>
    <w:rsid w:val="00597C5D"/>
    <w:rsid w:val="00597D8C"/>
    <w:rsid w:val="00597DFF"/>
    <w:rsid w:val="00597E9C"/>
    <w:rsid w:val="005A01CC"/>
    <w:rsid w:val="005A0222"/>
    <w:rsid w:val="005A0492"/>
    <w:rsid w:val="005A0629"/>
    <w:rsid w:val="005A0BFD"/>
    <w:rsid w:val="005A10A7"/>
    <w:rsid w:val="005A1297"/>
    <w:rsid w:val="005A12EE"/>
    <w:rsid w:val="005A1652"/>
    <w:rsid w:val="005A1726"/>
    <w:rsid w:val="005A1C89"/>
    <w:rsid w:val="005A20BC"/>
    <w:rsid w:val="005A285A"/>
    <w:rsid w:val="005A29DC"/>
    <w:rsid w:val="005A29EC"/>
    <w:rsid w:val="005A3307"/>
    <w:rsid w:val="005A385E"/>
    <w:rsid w:val="005A4ACB"/>
    <w:rsid w:val="005A5242"/>
    <w:rsid w:val="005A5283"/>
    <w:rsid w:val="005A54C7"/>
    <w:rsid w:val="005A55D9"/>
    <w:rsid w:val="005A5612"/>
    <w:rsid w:val="005A650D"/>
    <w:rsid w:val="005A698B"/>
    <w:rsid w:val="005A6ABA"/>
    <w:rsid w:val="005A6B3E"/>
    <w:rsid w:val="005A7004"/>
    <w:rsid w:val="005A7207"/>
    <w:rsid w:val="005A72AE"/>
    <w:rsid w:val="005A7849"/>
    <w:rsid w:val="005A7DDA"/>
    <w:rsid w:val="005A7EC0"/>
    <w:rsid w:val="005A7FA3"/>
    <w:rsid w:val="005B01EB"/>
    <w:rsid w:val="005B05B0"/>
    <w:rsid w:val="005B06C8"/>
    <w:rsid w:val="005B0A11"/>
    <w:rsid w:val="005B0B2B"/>
    <w:rsid w:val="005B0C28"/>
    <w:rsid w:val="005B0E7F"/>
    <w:rsid w:val="005B17A1"/>
    <w:rsid w:val="005B1C93"/>
    <w:rsid w:val="005B1E23"/>
    <w:rsid w:val="005B1E4F"/>
    <w:rsid w:val="005B2648"/>
    <w:rsid w:val="005B3109"/>
    <w:rsid w:val="005B37DD"/>
    <w:rsid w:val="005B3B5F"/>
    <w:rsid w:val="005B3F5C"/>
    <w:rsid w:val="005B3FBA"/>
    <w:rsid w:val="005B4039"/>
    <w:rsid w:val="005B4204"/>
    <w:rsid w:val="005B4CFD"/>
    <w:rsid w:val="005B4F27"/>
    <w:rsid w:val="005B51E3"/>
    <w:rsid w:val="005B6014"/>
    <w:rsid w:val="005B62DF"/>
    <w:rsid w:val="005B6E5B"/>
    <w:rsid w:val="005B78F0"/>
    <w:rsid w:val="005C04AE"/>
    <w:rsid w:val="005C052A"/>
    <w:rsid w:val="005C069F"/>
    <w:rsid w:val="005C0727"/>
    <w:rsid w:val="005C07FE"/>
    <w:rsid w:val="005C138F"/>
    <w:rsid w:val="005C15FE"/>
    <w:rsid w:val="005C1C79"/>
    <w:rsid w:val="005C1CCE"/>
    <w:rsid w:val="005C1E1B"/>
    <w:rsid w:val="005C22A0"/>
    <w:rsid w:val="005C22BC"/>
    <w:rsid w:val="005C2394"/>
    <w:rsid w:val="005C2AA3"/>
    <w:rsid w:val="005C2CC6"/>
    <w:rsid w:val="005C36AE"/>
    <w:rsid w:val="005C3B0C"/>
    <w:rsid w:val="005C3E39"/>
    <w:rsid w:val="005C4091"/>
    <w:rsid w:val="005C4174"/>
    <w:rsid w:val="005C41B8"/>
    <w:rsid w:val="005C4ADF"/>
    <w:rsid w:val="005C4D57"/>
    <w:rsid w:val="005C4E9A"/>
    <w:rsid w:val="005C5BE1"/>
    <w:rsid w:val="005C5C0A"/>
    <w:rsid w:val="005C5D99"/>
    <w:rsid w:val="005C654C"/>
    <w:rsid w:val="005C66FC"/>
    <w:rsid w:val="005C681D"/>
    <w:rsid w:val="005C6B0C"/>
    <w:rsid w:val="005C752F"/>
    <w:rsid w:val="005C7C50"/>
    <w:rsid w:val="005D0027"/>
    <w:rsid w:val="005D0E23"/>
    <w:rsid w:val="005D0E58"/>
    <w:rsid w:val="005D10C9"/>
    <w:rsid w:val="005D11C0"/>
    <w:rsid w:val="005D1586"/>
    <w:rsid w:val="005D1BD0"/>
    <w:rsid w:val="005D2539"/>
    <w:rsid w:val="005D26FF"/>
    <w:rsid w:val="005D2820"/>
    <w:rsid w:val="005D2F33"/>
    <w:rsid w:val="005D34B9"/>
    <w:rsid w:val="005D397D"/>
    <w:rsid w:val="005D3AF7"/>
    <w:rsid w:val="005D3CBE"/>
    <w:rsid w:val="005D4387"/>
    <w:rsid w:val="005D44AC"/>
    <w:rsid w:val="005D44E3"/>
    <w:rsid w:val="005D46E0"/>
    <w:rsid w:val="005D4804"/>
    <w:rsid w:val="005D53FD"/>
    <w:rsid w:val="005D542D"/>
    <w:rsid w:val="005D58A5"/>
    <w:rsid w:val="005D5F95"/>
    <w:rsid w:val="005D61E6"/>
    <w:rsid w:val="005D620B"/>
    <w:rsid w:val="005D6A5D"/>
    <w:rsid w:val="005D7257"/>
    <w:rsid w:val="005D73EF"/>
    <w:rsid w:val="005D75B4"/>
    <w:rsid w:val="005D798C"/>
    <w:rsid w:val="005D7B4A"/>
    <w:rsid w:val="005D7B60"/>
    <w:rsid w:val="005D7E2A"/>
    <w:rsid w:val="005E0969"/>
    <w:rsid w:val="005E1041"/>
    <w:rsid w:val="005E146F"/>
    <w:rsid w:val="005E18F9"/>
    <w:rsid w:val="005E1910"/>
    <w:rsid w:val="005E1BA3"/>
    <w:rsid w:val="005E2F28"/>
    <w:rsid w:val="005E32AD"/>
    <w:rsid w:val="005E3699"/>
    <w:rsid w:val="005E3A44"/>
    <w:rsid w:val="005E3AB6"/>
    <w:rsid w:val="005E3C90"/>
    <w:rsid w:val="005E3D3B"/>
    <w:rsid w:val="005E46D9"/>
    <w:rsid w:val="005E4832"/>
    <w:rsid w:val="005E4A0B"/>
    <w:rsid w:val="005E4AAF"/>
    <w:rsid w:val="005E4F4A"/>
    <w:rsid w:val="005E588F"/>
    <w:rsid w:val="005E5AB0"/>
    <w:rsid w:val="005E5EE9"/>
    <w:rsid w:val="005E600B"/>
    <w:rsid w:val="005E623E"/>
    <w:rsid w:val="005E628D"/>
    <w:rsid w:val="005E662E"/>
    <w:rsid w:val="005E6C9C"/>
    <w:rsid w:val="005E6ED5"/>
    <w:rsid w:val="005E7D97"/>
    <w:rsid w:val="005F0DA9"/>
    <w:rsid w:val="005F12A7"/>
    <w:rsid w:val="005F1431"/>
    <w:rsid w:val="005F1EA3"/>
    <w:rsid w:val="005F1F4C"/>
    <w:rsid w:val="005F2421"/>
    <w:rsid w:val="005F277E"/>
    <w:rsid w:val="005F3189"/>
    <w:rsid w:val="005F343A"/>
    <w:rsid w:val="005F34EB"/>
    <w:rsid w:val="005F3D14"/>
    <w:rsid w:val="005F44C8"/>
    <w:rsid w:val="005F4A7C"/>
    <w:rsid w:val="005F52A6"/>
    <w:rsid w:val="005F55CC"/>
    <w:rsid w:val="005F5AC0"/>
    <w:rsid w:val="005F5D43"/>
    <w:rsid w:val="005F62F7"/>
    <w:rsid w:val="005F741E"/>
    <w:rsid w:val="005F7979"/>
    <w:rsid w:val="005F799C"/>
    <w:rsid w:val="005F79DA"/>
    <w:rsid w:val="005F7CBE"/>
    <w:rsid w:val="00600139"/>
    <w:rsid w:val="00600361"/>
    <w:rsid w:val="00600914"/>
    <w:rsid w:val="00600EDA"/>
    <w:rsid w:val="00600F8C"/>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3B0A"/>
    <w:rsid w:val="00604B45"/>
    <w:rsid w:val="00604F57"/>
    <w:rsid w:val="00605277"/>
    <w:rsid w:val="00605401"/>
    <w:rsid w:val="0060560B"/>
    <w:rsid w:val="00605996"/>
    <w:rsid w:val="006059B3"/>
    <w:rsid w:val="00606371"/>
    <w:rsid w:val="006064B6"/>
    <w:rsid w:val="006068B2"/>
    <w:rsid w:val="00606F1E"/>
    <w:rsid w:val="0060709C"/>
    <w:rsid w:val="00607669"/>
    <w:rsid w:val="006076B7"/>
    <w:rsid w:val="00607B70"/>
    <w:rsid w:val="00607E71"/>
    <w:rsid w:val="0061035E"/>
    <w:rsid w:val="006106A1"/>
    <w:rsid w:val="006108A7"/>
    <w:rsid w:val="00610D2D"/>
    <w:rsid w:val="00610D32"/>
    <w:rsid w:val="00610FBD"/>
    <w:rsid w:val="0061112D"/>
    <w:rsid w:val="00611197"/>
    <w:rsid w:val="006112DC"/>
    <w:rsid w:val="006115E5"/>
    <w:rsid w:val="00611E5B"/>
    <w:rsid w:val="0061239A"/>
    <w:rsid w:val="00612509"/>
    <w:rsid w:val="0061259F"/>
    <w:rsid w:val="006125DA"/>
    <w:rsid w:val="00612DC8"/>
    <w:rsid w:val="006135F6"/>
    <w:rsid w:val="00613796"/>
    <w:rsid w:val="00613915"/>
    <w:rsid w:val="006140A7"/>
    <w:rsid w:val="00614278"/>
    <w:rsid w:val="0061448E"/>
    <w:rsid w:val="00614906"/>
    <w:rsid w:val="00614943"/>
    <w:rsid w:val="00614947"/>
    <w:rsid w:val="00614C7E"/>
    <w:rsid w:val="00614E61"/>
    <w:rsid w:val="00615216"/>
    <w:rsid w:val="00615616"/>
    <w:rsid w:val="006163C6"/>
    <w:rsid w:val="00616505"/>
    <w:rsid w:val="00616D32"/>
    <w:rsid w:val="00616D78"/>
    <w:rsid w:val="00616F1F"/>
    <w:rsid w:val="00616FB7"/>
    <w:rsid w:val="0061702A"/>
    <w:rsid w:val="00617320"/>
    <w:rsid w:val="0061747F"/>
    <w:rsid w:val="006176BA"/>
    <w:rsid w:val="006179FA"/>
    <w:rsid w:val="00617B7B"/>
    <w:rsid w:val="00620638"/>
    <w:rsid w:val="00620F1E"/>
    <w:rsid w:val="00621161"/>
    <w:rsid w:val="00621417"/>
    <w:rsid w:val="00621636"/>
    <w:rsid w:val="0062174E"/>
    <w:rsid w:val="00621792"/>
    <w:rsid w:val="00621CB5"/>
    <w:rsid w:val="00621D47"/>
    <w:rsid w:val="00622566"/>
    <w:rsid w:val="00623530"/>
    <w:rsid w:val="00623821"/>
    <w:rsid w:val="006238A4"/>
    <w:rsid w:val="00623C6B"/>
    <w:rsid w:val="00623CD5"/>
    <w:rsid w:val="00623D36"/>
    <w:rsid w:val="00624045"/>
    <w:rsid w:val="0062408B"/>
    <w:rsid w:val="006244BD"/>
    <w:rsid w:val="0062483C"/>
    <w:rsid w:val="00624A67"/>
    <w:rsid w:val="00624B17"/>
    <w:rsid w:val="0062526E"/>
    <w:rsid w:val="00625D48"/>
    <w:rsid w:val="00625D4E"/>
    <w:rsid w:val="00625E81"/>
    <w:rsid w:val="00626A2B"/>
    <w:rsid w:val="0062706B"/>
    <w:rsid w:val="006271FC"/>
    <w:rsid w:val="0062768B"/>
    <w:rsid w:val="006301B1"/>
    <w:rsid w:val="00630A03"/>
    <w:rsid w:val="00630CB2"/>
    <w:rsid w:val="0063120E"/>
    <w:rsid w:val="006313DB"/>
    <w:rsid w:val="00631450"/>
    <w:rsid w:val="00631768"/>
    <w:rsid w:val="00631A4C"/>
    <w:rsid w:val="00631AE9"/>
    <w:rsid w:val="00631E31"/>
    <w:rsid w:val="00632D46"/>
    <w:rsid w:val="006331E9"/>
    <w:rsid w:val="006336F9"/>
    <w:rsid w:val="00633873"/>
    <w:rsid w:val="00633984"/>
    <w:rsid w:val="00633D85"/>
    <w:rsid w:val="00633F25"/>
    <w:rsid w:val="00633F26"/>
    <w:rsid w:val="00633F9F"/>
    <w:rsid w:val="00633FA6"/>
    <w:rsid w:val="00634370"/>
    <w:rsid w:val="00634440"/>
    <w:rsid w:val="00634784"/>
    <w:rsid w:val="006348F8"/>
    <w:rsid w:val="00634BE1"/>
    <w:rsid w:val="00634E2F"/>
    <w:rsid w:val="00634FCD"/>
    <w:rsid w:val="00635274"/>
    <w:rsid w:val="0063571C"/>
    <w:rsid w:val="006357D2"/>
    <w:rsid w:val="00636031"/>
    <w:rsid w:val="0063629F"/>
    <w:rsid w:val="0063641F"/>
    <w:rsid w:val="00636B8E"/>
    <w:rsid w:val="006375CA"/>
    <w:rsid w:val="00637685"/>
    <w:rsid w:val="00637693"/>
    <w:rsid w:val="00637D13"/>
    <w:rsid w:val="00641194"/>
    <w:rsid w:val="006417E8"/>
    <w:rsid w:val="00641D53"/>
    <w:rsid w:val="006427F8"/>
    <w:rsid w:val="00643176"/>
    <w:rsid w:val="006431EA"/>
    <w:rsid w:val="00643361"/>
    <w:rsid w:val="006435F6"/>
    <w:rsid w:val="0064410B"/>
    <w:rsid w:val="006448AB"/>
    <w:rsid w:val="00644B91"/>
    <w:rsid w:val="00644F24"/>
    <w:rsid w:val="0064512C"/>
    <w:rsid w:val="0064534F"/>
    <w:rsid w:val="0064556D"/>
    <w:rsid w:val="006455C9"/>
    <w:rsid w:val="006459FC"/>
    <w:rsid w:val="00645C54"/>
    <w:rsid w:val="00645DC8"/>
    <w:rsid w:val="00645EBD"/>
    <w:rsid w:val="00646000"/>
    <w:rsid w:val="0064647C"/>
    <w:rsid w:val="006467EC"/>
    <w:rsid w:val="00646A44"/>
    <w:rsid w:val="006473C8"/>
    <w:rsid w:val="006478DC"/>
    <w:rsid w:val="00647FA8"/>
    <w:rsid w:val="00650E6A"/>
    <w:rsid w:val="00650F7A"/>
    <w:rsid w:val="00651367"/>
    <w:rsid w:val="00651487"/>
    <w:rsid w:val="006516FE"/>
    <w:rsid w:val="00651BEA"/>
    <w:rsid w:val="00651E2D"/>
    <w:rsid w:val="0065270C"/>
    <w:rsid w:val="00652D1E"/>
    <w:rsid w:val="00652E40"/>
    <w:rsid w:val="00653276"/>
    <w:rsid w:val="006536A8"/>
    <w:rsid w:val="00653AF3"/>
    <w:rsid w:val="00653CCD"/>
    <w:rsid w:val="0065419D"/>
    <w:rsid w:val="00655C09"/>
    <w:rsid w:val="00655C42"/>
    <w:rsid w:val="00655E66"/>
    <w:rsid w:val="006566F2"/>
    <w:rsid w:val="006573F6"/>
    <w:rsid w:val="00657532"/>
    <w:rsid w:val="00657666"/>
    <w:rsid w:val="0065790A"/>
    <w:rsid w:val="006604DF"/>
    <w:rsid w:val="0066072B"/>
    <w:rsid w:val="00660A55"/>
    <w:rsid w:val="00660A9E"/>
    <w:rsid w:val="00660B0F"/>
    <w:rsid w:val="00660D79"/>
    <w:rsid w:val="00661459"/>
    <w:rsid w:val="00661915"/>
    <w:rsid w:val="00661C07"/>
    <w:rsid w:val="00661CA6"/>
    <w:rsid w:val="00661D3F"/>
    <w:rsid w:val="00661F7D"/>
    <w:rsid w:val="00662E22"/>
    <w:rsid w:val="00663186"/>
    <w:rsid w:val="00664351"/>
    <w:rsid w:val="00664406"/>
    <w:rsid w:val="00664765"/>
    <w:rsid w:val="006648DC"/>
    <w:rsid w:val="00664A7B"/>
    <w:rsid w:val="00664BC0"/>
    <w:rsid w:val="00665518"/>
    <w:rsid w:val="006659C8"/>
    <w:rsid w:val="006660BB"/>
    <w:rsid w:val="00666834"/>
    <w:rsid w:val="00666A19"/>
    <w:rsid w:val="00667259"/>
    <w:rsid w:val="00667424"/>
    <w:rsid w:val="00667732"/>
    <w:rsid w:val="00667AE6"/>
    <w:rsid w:val="00667B3E"/>
    <w:rsid w:val="006702C2"/>
    <w:rsid w:val="00671169"/>
    <w:rsid w:val="00671173"/>
    <w:rsid w:val="00671913"/>
    <w:rsid w:val="00671ACA"/>
    <w:rsid w:val="00671CD8"/>
    <w:rsid w:val="00672C7E"/>
    <w:rsid w:val="00672CF8"/>
    <w:rsid w:val="00672E4B"/>
    <w:rsid w:val="00672EDF"/>
    <w:rsid w:val="006734E2"/>
    <w:rsid w:val="00673723"/>
    <w:rsid w:val="006738B9"/>
    <w:rsid w:val="00673BD6"/>
    <w:rsid w:val="00674236"/>
    <w:rsid w:val="00674E9A"/>
    <w:rsid w:val="0067522E"/>
    <w:rsid w:val="006752C9"/>
    <w:rsid w:val="0067598D"/>
    <w:rsid w:val="00675A38"/>
    <w:rsid w:val="00675C94"/>
    <w:rsid w:val="00675FA3"/>
    <w:rsid w:val="00676134"/>
    <w:rsid w:val="006763EB"/>
    <w:rsid w:val="00676C6F"/>
    <w:rsid w:val="00676D26"/>
    <w:rsid w:val="00676E11"/>
    <w:rsid w:val="00676EB1"/>
    <w:rsid w:val="006772B7"/>
    <w:rsid w:val="006775BD"/>
    <w:rsid w:val="006775F2"/>
    <w:rsid w:val="00677850"/>
    <w:rsid w:val="00677859"/>
    <w:rsid w:val="00677B46"/>
    <w:rsid w:val="00677CA0"/>
    <w:rsid w:val="00677F31"/>
    <w:rsid w:val="0068015A"/>
    <w:rsid w:val="006803AC"/>
    <w:rsid w:val="006807CE"/>
    <w:rsid w:val="006809B4"/>
    <w:rsid w:val="00680D0A"/>
    <w:rsid w:val="00680E37"/>
    <w:rsid w:val="00681110"/>
    <w:rsid w:val="006815BF"/>
    <w:rsid w:val="00681860"/>
    <w:rsid w:val="006819A3"/>
    <w:rsid w:val="00681A5A"/>
    <w:rsid w:val="00681C3D"/>
    <w:rsid w:val="006820B5"/>
    <w:rsid w:val="006824C6"/>
    <w:rsid w:val="00682C96"/>
    <w:rsid w:val="00683175"/>
    <w:rsid w:val="006836A6"/>
    <w:rsid w:val="00683974"/>
    <w:rsid w:val="00683E05"/>
    <w:rsid w:val="006840AE"/>
    <w:rsid w:val="00684275"/>
    <w:rsid w:val="006847BD"/>
    <w:rsid w:val="00685182"/>
    <w:rsid w:val="00685945"/>
    <w:rsid w:val="00685A73"/>
    <w:rsid w:val="00685C18"/>
    <w:rsid w:val="00685C3D"/>
    <w:rsid w:val="00685CFC"/>
    <w:rsid w:val="00686150"/>
    <w:rsid w:val="00686D18"/>
    <w:rsid w:val="006876F3"/>
    <w:rsid w:val="00687989"/>
    <w:rsid w:val="0069046F"/>
    <w:rsid w:val="006904D3"/>
    <w:rsid w:val="006907EB"/>
    <w:rsid w:val="00690A2E"/>
    <w:rsid w:val="00690D04"/>
    <w:rsid w:val="00691822"/>
    <w:rsid w:val="006920D1"/>
    <w:rsid w:val="006923D0"/>
    <w:rsid w:val="0069253D"/>
    <w:rsid w:val="00692581"/>
    <w:rsid w:val="006929A2"/>
    <w:rsid w:val="00692AB1"/>
    <w:rsid w:val="00692BCA"/>
    <w:rsid w:val="00692DDF"/>
    <w:rsid w:val="00693796"/>
    <w:rsid w:val="006939D8"/>
    <w:rsid w:val="00693A3E"/>
    <w:rsid w:val="00693AC3"/>
    <w:rsid w:val="00693B2F"/>
    <w:rsid w:val="006940B8"/>
    <w:rsid w:val="00694662"/>
    <w:rsid w:val="00694730"/>
    <w:rsid w:val="00694A27"/>
    <w:rsid w:val="00695095"/>
    <w:rsid w:val="0069588F"/>
    <w:rsid w:val="0069596C"/>
    <w:rsid w:val="00696201"/>
    <w:rsid w:val="006967E1"/>
    <w:rsid w:val="00696CE0"/>
    <w:rsid w:val="00697814"/>
    <w:rsid w:val="00697EDA"/>
    <w:rsid w:val="006A091E"/>
    <w:rsid w:val="006A12AC"/>
    <w:rsid w:val="006A1357"/>
    <w:rsid w:val="006A19DA"/>
    <w:rsid w:val="006A1BFF"/>
    <w:rsid w:val="006A1D95"/>
    <w:rsid w:val="006A23A0"/>
    <w:rsid w:val="006A2A93"/>
    <w:rsid w:val="006A4455"/>
    <w:rsid w:val="006A4B1B"/>
    <w:rsid w:val="006A4EC5"/>
    <w:rsid w:val="006A53D1"/>
    <w:rsid w:val="006A5613"/>
    <w:rsid w:val="006A62E3"/>
    <w:rsid w:val="006A6661"/>
    <w:rsid w:val="006A6947"/>
    <w:rsid w:val="006A704C"/>
    <w:rsid w:val="006A7453"/>
    <w:rsid w:val="006A74E0"/>
    <w:rsid w:val="006B00E9"/>
    <w:rsid w:val="006B02BE"/>
    <w:rsid w:val="006B0575"/>
    <w:rsid w:val="006B07ED"/>
    <w:rsid w:val="006B0877"/>
    <w:rsid w:val="006B161C"/>
    <w:rsid w:val="006B187E"/>
    <w:rsid w:val="006B18F3"/>
    <w:rsid w:val="006B2292"/>
    <w:rsid w:val="006B303B"/>
    <w:rsid w:val="006B366E"/>
    <w:rsid w:val="006B3A00"/>
    <w:rsid w:val="006B4303"/>
    <w:rsid w:val="006B46C1"/>
    <w:rsid w:val="006B4932"/>
    <w:rsid w:val="006B4C1B"/>
    <w:rsid w:val="006B5115"/>
    <w:rsid w:val="006B6B12"/>
    <w:rsid w:val="006B6C69"/>
    <w:rsid w:val="006B6E79"/>
    <w:rsid w:val="006B7198"/>
    <w:rsid w:val="006B719E"/>
    <w:rsid w:val="006B7644"/>
    <w:rsid w:val="006B7B28"/>
    <w:rsid w:val="006C006D"/>
    <w:rsid w:val="006C045F"/>
    <w:rsid w:val="006C0496"/>
    <w:rsid w:val="006C0B02"/>
    <w:rsid w:val="006C11E7"/>
    <w:rsid w:val="006C14F1"/>
    <w:rsid w:val="006C196D"/>
    <w:rsid w:val="006C1BF0"/>
    <w:rsid w:val="006C2EDA"/>
    <w:rsid w:val="006C30E0"/>
    <w:rsid w:val="006C3610"/>
    <w:rsid w:val="006C3891"/>
    <w:rsid w:val="006C3A19"/>
    <w:rsid w:val="006C3DDF"/>
    <w:rsid w:val="006C4068"/>
    <w:rsid w:val="006C44E2"/>
    <w:rsid w:val="006C467C"/>
    <w:rsid w:val="006C46E0"/>
    <w:rsid w:val="006C4B2E"/>
    <w:rsid w:val="006C4DCE"/>
    <w:rsid w:val="006C5471"/>
    <w:rsid w:val="006C54FD"/>
    <w:rsid w:val="006C57AC"/>
    <w:rsid w:val="006C57CE"/>
    <w:rsid w:val="006C5871"/>
    <w:rsid w:val="006C600B"/>
    <w:rsid w:val="006C64C2"/>
    <w:rsid w:val="006C65F0"/>
    <w:rsid w:val="006C67DD"/>
    <w:rsid w:val="006C6CF8"/>
    <w:rsid w:val="006C710D"/>
    <w:rsid w:val="006C726C"/>
    <w:rsid w:val="006C7309"/>
    <w:rsid w:val="006C745B"/>
    <w:rsid w:val="006C74A2"/>
    <w:rsid w:val="006C783A"/>
    <w:rsid w:val="006C78C0"/>
    <w:rsid w:val="006C7C59"/>
    <w:rsid w:val="006C7D61"/>
    <w:rsid w:val="006C7E7F"/>
    <w:rsid w:val="006C7F76"/>
    <w:rsid w:val="006D01F9"/>
    <w:rsid w:val="006D068A"/>
    <w:rsid w:val="006D0A19"/>
    <w:rsid w:val="006D102B"/>
    <w:rsid w:val="006D10B0"/>
    <w:rsid w:val="006D1B1F"/>
    <w:rsid w:val="006D1B48"/>
    <w:rsid w:val="006D1BCC"/>
    <w:rsid w:val="006D2CD5"/>
    <w:rsid w:val="006D2F2A"/>
    <w:rsid w:val="006D31EE"/>
    <w:rsid w:val="006D374F"/>
    <w:rsid w:val="006D37A8"/>
    <w:rsid w:val="006D3934"/>
    <w:rsid w:val="006D3B38"/>
    <w:rsid w:val="006D4176"/>
    <w:rsid w:val="006D496B"/>
    <w:rsid w:val="006D4A80"/>
    <w:rsid w:val="006D4C69"/>
    <w:rsid w:val="006D4D71"/>
    <w:rsid w:val="006D56EB"/>
    <w:rsid w:val="006D589C"/>
    <w:rsid w:val="006D5BBC"/>
    <w:rsid w:val="006D6F09"/>
    <w:rsid w:val="006D70D2"/>
    <w:rsid w:val="006D7303"/>
    <w:rsid w:val="006D7584"/>
    <w:rsid w:val="006D763A"/>
    <w:rsid w:val="006D79FA"/>
    <w:rsid w:val="006E00CE"/>
    <w:rsid w:val="006E10B9"/>
    <w:rsid w:val="006E1376"/>
    <w:rsid w:val="006E1952"/>
    <w:rsid w:val="006E1DF4"/>
    <w:rsid w:val="006E1EB3"/>
    <w:rsid w:val="006E2237"/>
    <w:rsid w:val="006E2655"/>
    <w:rsid w:val="006E2A1D"/>
    <w:rsid w:val="006E33E6"/>
    <w:rsid w:val="006E35D1"/>
    <w:rsid w:val="006E380E"/>
    <w:rsid w:val="006E3937"/>
    <w:rsid w:val="006E3C6E"/>
    <w:rsid w:val="006E45AB"/>
    <w:rsid w:val="006E471B"/>
    <w:rsid w:val="006E52F5"/>
    <w:rsid w:val="006E5462"/>
    <w:rsid w:val="006E566C"/>
    <w:rsid w:val="006E5A1A"/>
    <w:rsid w:val="006E65DF"/>
    <w:rsid w:val="006E7042"/>
    <w:rsid w:val="006E725A"/>
    <w:rsid w:val="006E741E"/>
    <w:rsid w:val="006E782D"/>
    <w:rsid w:val="006E7B80"/>
    <w:rsid w:val="006F04AE"/>
    <w:rsid w:val="006F04D5"/>
    <w:rsid w:val="006F0B4A"/>
    <w:rsid w:val="006F1101"/>
    <w:rsid w:val="006F12B4"/>
    <w:rsid w:val="006F192F"/>
    <w:rsid w:val="006F20A0"/>
    <w:rsid w:val="006F20E2"/>
    <w:rsid w:val="006F2494"/>
    <w:rsid w:val="006F2637"/>
    <w:rsid w:val="006F26D5"/>
    <w:rsid w:val="006F2AB7"/>
    <w:rsid w:val="006F329C"/>
    <w:rsid w:val="006F33B7"/>
    <w:rsid w:val="006F3A21"/>
    <w:rsid w:val="006F3D73"/>
    <w:rsid w:val="006F3DBE"/>
    <w:rsid w:val="006F3F65"/>
    <w:rsid w:val="006F431E"/>
    <w:rsid w:val="006F432C"/>
    <w:rsid w:val="006F43D1"/>
    <w:rsid w:val="006F4791"/>
    <w:rsid w:val="006F4B80"/>
    <w:rsid w:val="006F4DAE"/>
    <w:rsid w:val="006F5052"/>
    <w:rsid w:val="006F5114"/>
    <w:rsid w:val="006F534B"/>
    <w:rsid w:val="006F5697"/>
    <w:rsid w:val="006F69FA"/>
    <w:rsid w:val="006F6B85"/>
    <w:rsid w:val="006F6D77"/>
    <w:rsid w:val="006F6F35"/>
    <w:rsid w:val="006F79A8"/>
    <w:rsid w:val="00700549"/>
    <w:rsid w:val="00700A2F"/>
    <w:rsid w:val="00701A7F"/>
    <w:rsid w:val="0070203B"/>
    <w:rsid w:val="0070299A"/>
    <w:rsid w:val="00703136"/>
    <w:rsid w:val="007032B9"/>
    <w:rsid w:val="00703717"/>
    <w:rsid w:val="00703838"/>
    <w:rsid w:val="007041EF"/>
    <w:rsid w:val="007042F0"/>
    <w:rsid w:val="007044A9"/>
    <w:rsid w:val="00704A59"/>
    <w:rsid w:val="00704EA5"/>
    <w:rsid w:val="00705295"/>
    <w:rsid w:val="00705386"/>
    <w:rsid w:val="007058E0"/>
    <w:rsid w:val="00705AF6"/>
    <w:rsid w:val="00705E43"/>
    <w:rsid w:val="00705FA4"/>
    <w:rsid w:val="00706005"/>
    <w:rsid w:val="00706BEF"/>
    <w:rsid w:val="00706C6A"/>
    <w:rsid w:val="00707138"/>
    <w:rsid w:val="0070714E"/>
    <w:rsid w:val="007078B0"/>
    <w:rsid w:val="00710217"/>
    <w:rsid w:val="00710539"/>
    <w:rsid w:val="007105FC"/>
    <w:rsid w:val="00710707"/>
    <w:rsid w:val="0071172F"/>
    <w:rsid w:val="00711940"/>
    <w:rsid w:val="007119A2"/>
    <w:rsid w:val="00711F2C"/>
    <w:rsid w:val="007120C0"/>
    <w:rsid w:val="007123EC"/>
    <w:rsid w:val="00712E60"/>
    <w:rsid w:val="00712F4C"/>
    <w:rsid w:val="00713482"/>
    <w:rsid w:val="00713BA7"/>
    <w:rsid w:val="00713BBE"/>
    <w:rsid w:val="00713F0D"/>
    <w:rsid w:val="00713F54"/>
    <w:rsid w:val="0071474D"/>
    <w:rsid w:val="007147C4"/>
    <w:rsid w:val="00714B00"/>
    <w:rsid w:val="00714E10"/>
    <w:rsid w:val="0071556D"/>
    <w:rsid w:val="00715F42"/>
    <w:rsid w:val="00715F45"/>
    <w:rsid w:val="00715F86"/>
    <w:rsid w:val="00716193"/>
    <w:rsid w:val="00716779"/>
    <w:rsid w:val="00716C6C"/>
    <w:rsid w:val="00717347"/>
    <w:rsid w:val="007173F4"/>
    <w:rsid w:val="0071798F"/>
    <w:rsid w:val="00717AF7"/>
    <w:rsid w:val="00717B1C"/>
    <w:rsid w:val="00717BC6"/>
    <w:rsid w:val="00717F05"/>
    <w:rsid w:val="00717F4B"/>
    <w:rsid w:val="00720417"/>
    <w:rsid w:val="00720B9E"/>
    <w:rsid w:val="007212FD"/>
    <w:rsid w:val="007213ED"/>
    <w:rsid w:val="00721A25"/>
    <w:rsid w:val="00721AAD"/>
    <w:rsid w:val="007220B0"/>
    <w:rsid w:val="0072220B"/>
    <w:rsid w:val="00722230"/>
    <w:rsid w:val="00722356"/>
    <w:rsid w:val="0072237B"/>
    <w:rsid w:val="007226E2"/>
    <w:rsid w:val="00722795"/>
    <w:rsid w:val="007228C8"/>
    <w:rsid w:val="0072323C"/>
    <w:rsid w:val="00723BB7"/>
    <w:rsid w:val="00723DAF"/>
    <w:rsid w:val="00723FAF"/>
    <w:rsid w:val="007240B1"/>
    <w:rsid w:val="00724372"/>
    <w:rsid w:val="00724646"/>
    <w:rsid w:val="00724653"/>
    <w:rsid w:val="00724B99"/>
    <w:rsid w:val="0072508F"/>
    <w:rsid w:val="00725770"/>
    <w:rsid w:val="00725A65"/>
    <w:rsid w:val="00725BA6"/>
    <w:rsid w:val="00725BC3"/>
    <w:rsid w:val="0072619E"/>
    <w:rsid w:val="007262D9"/>
    <w:rsid w:val="007265F0"/>
    <w:rsid w:val="007267CB"/>
    <w:rsid w:val="007269CD"/>
    <w:rsid w:val="00726BF3"/>
    <w:rsid w:val="00727155"/>
    <w:rsid w:val="00727363"/>
    <w:rsid w:val="00727AF3"/>
    <w:rsid w:val="00727E3F"/>
    <w:rsid w:val="007300CF"/>
    <w:rsid w:val="00730937"/>
    <w:rsid w:val="007309AA"/>
    <w:rsid w:val="00730A70"/>
    <w:rsid w:val="00730B5A"/>
    <w:rsid w:val="00730EF4"/>
    <w:rsid w:val="00731372"/>
    <w:rsid w:val="007314FA"/>
    <w:rsid w:val="007315C7"/>
    <w:rsid w:val="00731D23"/>
    <w:rsid w:val="00731F7B"/>
    <w:rsid w:val="0073208D"/>
    <w:rsid w:val="007324C0"/>
    <w:rsid w:val="0073279E"/>
    <w:rsid w:val="00732FC7"/>
    <w:rsid w:val="00733213"/>
    <w:rsid w:val="007333AE"/>
    <w:rsid w:val="007337C4"/>
    <w:rsid w:val="00733A9F"/>
    <w:rsid w:val="00733AF5"/>
    <w:rsid w:val="00733DC6"/>
    <w:rsid w:val="00733E9A"/>
    <w:rsid w:val="0073424B"/>
    <w:rsid w:val="00734AE5"/>
    <w:rsid w:val="00734B19"/>
    <w:rsid w:val="00734C11"/>
    <w:rsid w:val="00734C74"/>
    <w:rsid w:val="00734ED8"/>
    <w:rsid w:val="00734F93"/>
    <w:rsid w:val="00735183"/>
    <w:rsid w:val="007353F4"/>
    <w:rsid w:val="0073554B"/>
    <w:rsid w:val="00735574"/>
    <w:rsid w:val="007365F1"/>
    <w:rsid w:val="00736AAC"/>
    <w:rsid w:val="00736FBD"/>
    <w:rsid w:val="00737062"/>
    <w:rsid w:val="007372DB"/>
    <w:rsid w:val="007377F5"/>
    <w:rsid w:val="00737CD8"/>
    <w:rsid w:val="00737F1C"/>
    <w:rsid w:val="00740077"/>
    <w:rsid w:val="00741753"/>
    <w:rsid w:val="007423E4"/>
    <w:rsid w:val="007428C2"/>
    <w:rsid w:val="00742D2F"/>
    <w:rsid w:val="00743EA6"/>
    <w:rsid w:val="0074415F"/>
    <w:rsid w:val="007447B7"/>
    <w:rsid w:val="00744BC6"/>
    <w:rsid w:val="007454DF"/>
    <w:rsid w:val="00746628"/>
    <w:rsid w:val="00746880"/>
    <w:rsid w:val="0074690B"/>
    <w:rsid w:val="00746FC3"/>
    <w:rsid w:val="00747BBB"/>
    <w:rsid w:val="00751133"/>
    <w:rsid w:val="00751CE0"/>
    <w:rsid w:val="00751E37"/>
    <w:rsid w:val="0075221D"/>
    <w:rsid w:val="0075227E"/>
    <w:rsid w:val="0075237A"/>
    <w:rsid w:val="007524F3"/>
    <w:rsid w:val="0075271C"/>
    <w:rsid w:val="007527FE"/>
    <w:rsid w:val="0075287F"/>
    <w:rsid w:val="00752A46"/>
    <w:rsid w:val="00752B4E"/>
    <w:rsid w:val="00752F7E"/>
    <w:rsid w:val="00752FBB"/>
    <w:rsid w:val="00753488"/>
    <w:rsid w:val="00754AB3"/>
    <w:rsid w:val="00754F30"/>
    <w:rsid w:val="0075531C"/>
    <w:rsid w:val="00755419"/>
    <w:rsid w:val="007559A3"/>
    <w:rsid w:val="007559FC"/>
    <w:rsid w:val="00756C06"/>
    <w:rsid w:val="0075710B"/>
    <w:rsid w:val="0075715F"/>
    <w:rsid w:val="007601C0"/>
    <w:rsid w:val="00760B03"/>
    <w:rsid w:val="007610D8"/>
    <w:rsid w:val="0076133D"/>
    <w:rsid w:val="0076161F"/>
    <w:rsid w:val="0076192C"/>
    <w:rsid w:val="00761D21"/>
    <w:rsid w:val="0076233C"/>
    <w:rsid w:val="007626FC"/>
    <w:rsid w:val="007628F9"/>
    <w:rsid w:val="00762F88"/>
    <w:rsid w:val="007631CD"/>
    <w:rsid w:val="00763281"/>
    <w:rsid w:val="0076360F"/>
    <w:rsid w:val="007641F7"/>
    <w:rsid w:val="00764A14"/>
    <w:rsid w:val="00764C52"/>
    <w:rsid w:val="00765668"/>
    <w:rsid w:val="00765BFA"/>
    <w:rsid w:val="007665B1"/>
    <w:rsid w:val="00766673"/>
    <w:rsid w:val="00766D03"/>
    <w:rsid w:val="00770014"/>
    <w:rsid w:val="00770CA3"/>
    <w:rsid w:val="00770FA2"/>
    <w:rsid w:val="007716B9"/>
    <w:rsid w:val="007716E8"/>
    <w:rsid w:val="00772226"/>
    <w:rsid w:val="00772613"/>
    <w:rsid w:val="00772B8B"/>
    <w:rsid w:val="00772D77"/>
    <w:rsid w:val="007730AF"/>
    <w:rsid w:val="00773265"/>
    <w:rsid w:val="00773B55"/>
    <w:rsid w:val="00773F09"/>
    <w:rsid w:val="007745BC"/>
    <w:rsid w:val="00774E02"/>
    <w:rsid w:val="00774FE7"/>
    <w:rsid w:val="007752FA"/>
    <w:rsid w:val="007755DB"/>
    <w:rsid w:val="00775812"/>
    <w:rsid w:val="007759A0"/>
    <w:rsid w:val="00775B38"/>
    <w:rsid w:val="00775B5A"/>
    <w:rsid w:val="00775F19"/>
    <w:rsid w:val="00775F56"/>
    <w:rsid w:val="0077617B"/>
    <w:rsid w:val="007764FB"/>
    <w:rsid w:val="007770E6"/>
    <w:rsid w:val="00777341"/>
    <w:rsid w:val="007777C8"/>
    <w:rsid w:val="00777C05"/>
    <w:rsid w:val="007800A5"/>
    <w:rsid w:val="00780474"/>
    <w:rsid w:val="0078095C"/>
    <w:rsid w:val="00780B01"/>
    <w:rsid w:val="00780FD3"/>
    <w:rsid w:val="007810C2"/>
    <w:rsid w:val="00782459"/>
    <w:rsid w:val="00782815"/>
    <w:rsid w:val="00782CBC"/>
    <w:rsid w:val="00782D01"/>
    <w:rsid w:val="00782D15"/>
    <w:rsid w:val="007837DC"/>
    <w:rsid w:val="0078388E"/>
    <w:rsid w:val="007838F8"/>
    <w:rsid w:val="007841C0"/>
    <w:rsid w:val="007842F7"/>
    <w:rsid w:val="0078466D"/>
    <w:rsid w:val="0078471E"/>
    <w:rsid w:val="00784851"/>
    <w:rsid w:val="00784D27"/>
    <w:rsid w:val="00785722"/>
    <w:rsid w:val="007861F5"/>
    <w:rsid w:val="00786D0B"/>
    <w:rsid w:val="0078727A"/>
    <w:rsid w:val="007874A2"/>
    <w:rsid w:val="00787C16"/>
    <w:rsid w:val="00790420"/>
    <w:rsid w:val="0079060B"/>
    <w:rsid w:val="00790791"/>
    <w:rsid w:val="00790A2E"/>
    <w:rsid w:val="00790AF0"/>
    <w:rsid w:val="00790D6C"/>
    <w:rsid w:val="00790EB9"/>
    <w:rsid w:val="00790FEB"/>
    <w:rsid w:val="007912C9"/>
    <w:rsid w:val="007913B0"/>
    <w:rsid w:val="00791545"/>
    <w:rsid w:val="007916BE"/>
    <w:rsid w:val="00791EA4"/>
    <w:rsid w:val="007922D6"/>
    <w:rsid w:val="007923FF"/>
    <w:rsid w:val="0079247A"/>
    <w:rsid w:val="007927D6"/>
    <w:rsid w:val="007928A3"/>
    <w:rsid w:val="00792E77"/>
    <w:rsid w:val="00793938"/>
    <w:rsid w:val="00793D7B"/>
    <w:rsid w:val="00794127"/>
    <w:rsid w:val="00794419"/>
    <w:rsid w:val="00794BC0"/>
    <w:rsid w:val="00794BF2"/>
    <w:rsid w:val="00794C2A"/>
    <w:rsid w:val="00794F23"/>
    <w:rsid w:val="00795265"/>
    <w:rsid w:val="007954F0"/>
    <w:rsid w:val="0079576F"/>
    <w:rsid w:val="0079594B"/>
    <w:rsid w:val="00796002"/>
    <w:rsid w:val="00796557"/>
    <w:rsid w:val="00796A0B"/>
    <w:rsid w:val="00796A50"/>
    <w:rsid w:val="00796AF9"/>
    <w:rsid w:val="00796CC3"/>
    <w:rsid w:val="00796DCB"/>
    <w:rsid w:val="007971B5"/>
    <w:rsid w:val="007974E2"/>
    <w:rsid w:val="00797C89"/>
    <w:rsid w:val="00797CB0"/>
    <w:rsid w:val="007A0137"/>
    <w:rsid w:val="007A017B"/>
    <w:rsid w:val="007A094A"/>
    <w:rsid w:val="007A0FFD"/>
    <w:rsid w:val="007A111C"/>
    <w:rsid w:val="007A1532"/>
    <w:rsid w:val="007A1767"/>
    <w:rsid w:val="007A223C"/>
    <w:rsid w:val="007A31A9"/>
    <w:rsid w:val="007A32BE"/>
    <w:rsid w:val="007A43DA"/>
    <w:rsid w:val="007A49EF"/>
    <w:rsid w:val="007A529A"/>
    <w:rsid w:val="007A55E4"/>
    <w:rsid w:val="007A55E7"/>
    <w:rsid w:val="007A57C4"/>
    <w:rsid w:val="007A5A7D"/>
    <w:rsid w:val="007A61C5"/>
    <w:rsid w:val="007A6272"/>
    <w:rsid w:val="007A6623"/>
    <w:rsid w:val="007A680D"/>
    <w:rsid w:val="007A6F8C"/>
    <w:rsid w:val="007B03DB"/>
    <w:rsid w:val="007B0576"/>
    <w:rsid w:val="007B0912"/>
    <w:rsid w:val="007B0D6A"/>
    <w:rsid w:val="007B1247"/>
    <w:rsid w:val="007B1733"/>
    <w:rsid w:val="007B176B"/>
    <w:rsid w:val="007B1CBD"/>
    <w:rsid w:val="007B1DAB"/>
    <w:rsid w:val="007B203A"/>
    <w:rsid w:val="007B203F"/>
    <w:rsid w:val="007B2529"/>
    <w:rsid w:val="007B28E5"/>
    <w:rsid w:val="007B2C48"/>
    <w:rsid w:val="007B35B7"/>
    <w:rsid w:val="007B3D9A"/>
    <w:rsid w:val="007B3EB8"/>
    <w:rsid w:val="007B50D6"/>
    <w:rsid w:val="007B54CB"/>
    <w:rsid w:val="007B55A0"/>
    <w:rsid w:val="007B5665"/>
    <w:rsid w:val="007B5B31"/>
    <w:rsid w:val="007B5D4C"/>
    <w:rsid w:val="007B5D7D"/>
    <w:rsid w:val="007B6751"/>
    <w:rsid w:val="007B692A"/>
    <w:rsid w:val="007B6BF9"/>
    <w:rsid w:val="007B6C1D"/>
    <w:rsid w:val="007B6C4A"/>
    <w:rsid w:val="007B755C"/>
    <w:rsid w:val="007B7DB4"/>
    <w:rsid w:val="007C014D"/>
    <w:rsid w:val="007C044B"/>
    <w:rsid w:val="007C0C0A"/>
    <w:rsid w:val="007C0C71"/>
    <w:rsid w:val="007C16BB"/>
    <w:rsid w:val="007C2C5C"/>
    <w:rsid w:val="007C2EEC"/>
    <w:rsid w:val="007C33A1"/>
    <w:rsid w:val="007C3458"/>
    <w:rsid w:val="007C35F7"/>
    <w:rsid w:val="007C36FF"/>
    <w:rsid w:val="007C3716"/>
    <w:rsid w:val="007C3819"/>
    <w:rsid w:val="007C3973"/>
    <w:rsid w:val="007C5006"/>
    <w:rsid w:val="007C5257"/>
    <w:rsid w:val="007C528D"/>
    <w:rsid w:val="007C5560"/>
    <w:rsid w:val="007C5707"/>
    <w:rsid w:val="007C58B1"/>
    <w:rsid w:val="007C58CF"/>
    <w:rsid w:val="007C5A99"/>
    <w:rsid w:val="007C5E2C"/>
    <w:rsid w:val="007C63E7"/>
    <w:rsid w:val="007C647C"/>
    <w:rsid w:val="007C7607"/>
    <w:rsid w:val="007C763F"/>
    <w:rsid w:val="007C79A9"/>
    <w:rsid w:val="007C7A63"/>
    <w:rsid w:val="007C7D63"/>
    <w:rsid w:val="007C7D85"/>
    <w:rsid w:val="007D00C6"/>
    <w:rsid w:val="007D0223"/>
    <w:rsid w:val="007D023C"/>
    <w:rsid w:val="007D041C"/>
    <w:rsid w:val="007D0628"/>
    <w:rsid w:val="007D0AA4"/>
    <w:rsid w:val="007D0F4B"/>
    <w:rsid w:val="007D10C9"/>
    <w:rsid w:val="007D13FD"/>
    <w:rsid w:val="007D144B"/>
    <w:rsid w:val="007D173E"/>
    <w:rsid w:val="007D1CA1"/>
    <w:rsid w:val="007D1EE8"/>
    <w:rsid w:val="007D2071"/>
    <w:rsid w:val="007D21B0"/>
    <w:rsid w:val="007D230A"/>
    <w:rsid w:val="007D2573"/>
    <w:rsid w:val="007D2EEC"/>
    <w:rsid w:val="007D3580"/>
    <w:rsid w:val="007D3C7D"/>
    <w:rsid w:val="007D4404"/>
    <w:rsid w:val="007D4712"/>
    <w:rsid w:val="007D476D"/>
    <w:rsid w:val="007D4CF5"/>
    <w:rsid w:val="007D4D0E"/>
    <w:rsid w:val="007D4EAB"/>
    <w:rsid w:val="007D547A"/>
    <w:rsid w:val="007D5982"/>
    <w:rsid w:val="007D5C86"/>
    <w:rsid w:val="007D5CA2"/>
    <w:rsid w:val="007D66CE"/>
    <w:rsid w:val="007D66E4"/>
    <w:rsid w:val="007D6B8B"/>
    <w:rsid w:val="007D6DD6"/>
    <w:rsid w:val="007D6E1D"/>
    <w:rsid w:val="007D7781"/>
    <w:rsid w:val="007D7EA8"/>
    <w:rsid w:val="007E05E9"/>
    <w:rsid w:val="007E08E0"/>
    <w:rsid w:val="007E0D62"/>
    <w:rsid w:val="007E11EA"/>
    <w:rsid w:val="007E188E"/>
    <w:rsid w:val="007E18C6"/>
    <w:rsid w:val="007E1953"/>
    <w:rsid w:val="007E1D86"/>
    <w:rsid w:val="007E200C"/>
    <w:rsid w:val="007E228B"/>
    <w:rsid w:val="007E24B0"/>
    <w:rsid w:val="007E250A"/>
    <w:rsid w:val="007E2533"/>
    <w:rsid w:val="007E265C"/>
    <w:rsid w:val="007E284E"/>
    <w:rsid w:val="007E2E61"/>
    <w:rsid w:val="007E2F82"/>
    <w:rsid w:val="007E3058"/>
    <w:rsid w:val="007E3133"/>
    <w:rsid w:val="007E36AF"/>
    <w:rsid w:val="007E398B"/>
    <w:rsid w:val="007E3996"/>
    <w:rsid w:val="007E3C35"/>
    <w:rsid w:val="007E4279"/>
    <w:rsid w:val="007E4837"/>
    <w:rsid w:val="007E484C"/>
    <w:rsid w:val="007E4861"/>
    <w:rsid w:val="007E48F0"/>
    <w:rsid w:val="007E4BFC"/>
    <w:rsid w:val="007E4D4C"/>
    <w:rsid w:val="007E69D3"/>
    <w:rsid w:val="007E7331"/>
    <w:rsid w:val="007E7829"/>
    <w:rsid w:val="007F0448"/>
    <w:rsid w:val="007F050D"/>
    <w:rsid w:val="007F0734"/>
    <w:rsid w:val="007F07E5"/>
    <w:rsid w:val="007F0E82"/>
    <w:rsid w:val="007F0EED"/>
    <w:rsid w:val="007F1D38"/>
    <w:rsid w:val="007F1D5D"/>
    <w:rsid w:val="007F246C"/>
    <w:rsid w:val="007F28F3"/>
    <w:rsid w:val="007F2AC2"/>
    <w:rsid w:val="007F2C2F"/>
    <w:rsid w:val="007F2F4D"/>
    <w:rsid w:val="007F308B"/>
    <w:rsid w:val="007F31AB"/>
    <w:rsid w:val="007F34BF"/>
    <w:rsid w:val="007F37E3"/>
    <w:rsid w:val="007F3A4A"/>
    <w:rsid w:val="007F46E0"/>
    <w:rsid w:val="007F4844"/>
    <w:rsid w:val="007F4C1F"/>
    <w:rsid w:val="007F4CD4"/>
    <w:rsid w:val="007F4D4A"/>
    <w:rsid w:val="007F5003"/>
    <w:rsid w:val="007F5164"/>
    <w:rsid w:val="007F5E5A"/>
    <w:rsid w:val="007F5E92"/>
    <w:rsid w:val="007F5F46"/>
    <w:rsid w:val="007F611B"/>
    <w:rsid w:val="007F67AB"/>
    <w:rsid w:val="007F6DF4"/>
    <w:rsid w:val="00800433"/>
    <w:rsid w:val="00800EC2"/>
    <w:rsid w:val="008017C1"/>
    <w:rsid w:val="0080181E"/>
    <w:rsid w:val="00801DAD"/>
    <w:rsid w:val="00801EB2"/>
    <w:rsid w:val="00802B28"/>
    <w:rsid w:val="00802B84"/>
    <w:rsid w:val="00803942"/>
    <w:rsid w:val="00804118"/>
    <w:rsid w:val="00804D66"/>
    <w:rsid w:val="00805076"/>
    <w:rsid w:val="00805415"/>
    <w:rsid w:val="00805530"/>
    <w:rsid w:val="00806834"/>
    <w:rsid w:val="00806AA3"/>
    <w:rsid w:val="00806AF3"/>
    <w:rsid w:val="00806CCF"/>
    <w:rsid w:val="00806F54"/>
    <w:rsid w:val="00806FC0"/>
    <w:rsid w:val="008074AF"/>
    <w:rsid w:val="00807CFF"/>
    <w:rsid w:val="00807F9E"/>
    <w:rsid w:val="008102D7"/>
    <w:rsid w:val="00810A1E"/>
    <w:rsid w:val="00810AEE"/>
    <w:rsid w:val="00811286"/>
    <w:rsid w:val="008112C0"/>
    <w:rsid w:val="00811813"/>
    <w:rsid w:val="00811FC0"/>
    <w:rsid w:val="00812766"/>
    <w:rsid w:val="00812F97"/>
    <w:rsid w:val="008130BF"/>
    <w:rsid w:val="008136DD"/>
    <w:rsid w:val="00813A04"/>
    <w:rsid w:val="00813C3D"/>
    <w:rsid w:val="00813C9A"/>
    <w:rsid w:val="00813D10"/>
    <w:rsid w:val="00814189"/>
    <w:rsid w:val="00814D3E"/>
    <w:rsid w:val="008151DB"/>
    <w:rsid w:val="00815983"/>
    <w:rsid w:val="00815A33"/>
    <w:rsid w:val="008160B1"/>
    <w:rsid w:val="00816779"/>
    <w:rsid w:val="00816A49"/>
    <w:rsid w:val="00816F24"/>
    <w:rsid w:val="008171D6"/>
    <w:rsid w:val="008173E1"/>
    <w:rsid w:val="00817AFB"/>
    <w:rsid w:val="00817D7E"/>
    <w:rsid w:val="008204B9"/>
    <w:rsid w:val="008205DC"/>
    <w:rsid w:val="00820653"/>
    <w:rsid w:val="00820AB0"/>
    <w:rsid w:val="00820CA4"/>
    <w:rsid w:val="008210CC"/>
    <w:rsid w:val="008211D9"/>
    <w:rsid w:val="008217B7"/>
    <w:rsid w:val="008217E0"/>
    <w:rsid w:val="00821DA4"/>
    <w:rsid w:val="008227BD"/>
    <w:rsid w:val="00822AA4"/>
    <w:rsid w:val="00822C58"/>
    <w:rsid w:val="00823EB8"/>
    <w:rsid w:val="0082445C"/>
    <w:rsid w:val="00824837"/>
    <w:rsid w:val="00824938"/>
    <w:rsid w:val="00825271"/>
    <w:rsid w:val="00825B0D"/>
    <w:rsid w:val="00825FEA"/>
    <w:rsid w:val="00826336"/>
    <w:rsid w:val="00826409"/>
    <w:rsid w:val="008266C7"/>
    <w:rsid w:val="00826796"/>
    <w:rsid w:val="00826B82"/>
    <w:rsid w:val="008270C7"/>
    <w:rsid w:val="008272BA"/>
    <w:rsid w:val="008272C3"/>
    <w:rsid w:val="00827DDE"/>
    <w:rsid w:val="00827ECE"/>
    <w:rsid w:val="00830164"/>
    <w:rsid w:val="008302F1"/>
    <w:rsid w:val="00830DBA"/>
    <w:rsid w:val="00830DD5"/>
    <w:rsid w:val="00831002"/>
    <w:rsid w:val="008316CA"/>
    <w:rsid w:val="00831A1A"/>
    <w:rsid w:val="00831A22"/>
    <w:rsid w:val="00831DA6"/>
    <w:rsid w:val="008326F0"/>
    <w:rsid w:val="0083289A"/>
    <w:rsid w:val="008330FE"/>
    <w:rsid w:val="008336A9"/>
    <w:rsid w:val="0083410E"/>
    <w:rsid w:val="0083482E"/>
    <w:rsid w:val="00834D25"/>
    <w:rsid w:val="00835153"/>
    <w:rsid w:val="00835A89"/>
    <w:rsid w:val="00835C5A"/>
    <w:rsid w:val="00836E5D"/>
    <w:rsid w:val="008409FF"/>
    <w:rsid w:val="00840ACA"/>
    <w:rsid w:val="00840C2F"/>
    <w:rsid w:val="008410DF"/>
    <w:rsid w:val="008415A7"/>
    <w:rsid w:val="008419C9"/>
    <w:rsid w:val="00841D60"/>
    <w:rsid w:val="008425BB"/>
    <w:rsid w:val="00842C33"/>
    <w:rsid w:val="00842EF7"/>
    <w:rsid w:val="00843024"/>
    <w:rsid w:val="00843514"/>
    <w:rsid w:val="008436E3"/>
    <w:rsid w:val="00843730"/>
    <w:rsid w:val="008437BA"/>
    <w:rsid w:val="00844B13"/>
    <w:rsid w:val="00844F86"/>
    <w:rsid w:val="00845181"/>
    <w:rsid w:val="008451B2"/>
    <w:rsid w:val="00845278"/>
    <w:rsid w:val="00845356"/>
    <w:rsid w:val="00845BB6"/>
    <w:rsid w:val="008461F2"/>
    <w:rsid w:val="0084626D"/>
    <w:rsid w:val="0084684B"/>
    <w:rsid w:val="00846CB2"/>
    <w:rsid w:val="00846D8D"/>
    <w:rsid w:val="00847295"/>
    <w:rsid w:val="00847838"/>
    <w:rsid w:val="00847EE8"/>
    <w:rsid w:val="008500C6"/>
    <w:rsid w:val="00850166"/>
    <w:rsid w:val="00850639"/>
    <w:rsid w:val="008510D6"/>
    <w:rsid w:val="008513B9"/>
    <w:rsid w:val="00851728"/>
    <w:rsid w:val="0085290B"/>
    <w:rsid w:val="008531C1"/>
    <w:rsid w:val="00853708"/>
    <w:rsid w:val="00853ABD"/>
    <w:rsid w:val="008548EE"/>
    <w:rsid w:val="00854A25"/>
    <w:rsid w:val="00854AE2"/>
    <w:rsid w:val="00854C3B"/>
    <w:rsid w:val="00855A1A"/>
    <w:rsid w:val="00856098"/>
    <w:rsid w:val="0085652F"/>
    <w:rsid w:val="008566B8"/>
    <w:rsid w:val="00856C23"/>
    <w:rsid w:val="00856D5D"/>
    <w:rsid w:val="008574C2"/>
    <w:rsid w:val="00857CDA"/>
    <w:rsid w:val="00860153"/>
    <w:rsid w:val="00860F2D"/>
    <w:rsid w:val="0086119F"/>
    <w:rsid w:val="00861349"/>
    <w:rsid w:val="008617AB"/>
    <w:rsid w:val="008619CB"/>
    <w:rsid w:val="00862743"/>
    <w:rsid w:val="008630DB"/>
    <w:rsid w:val="00863C41"/>
    <w:rsid w:val="00864519"/>
    <w:rsid w:val="00864F4D"/>
    <w:rsid w:val="00865480"/>
    <w:rsid w:val="00865AB1"/>
    <w:rsid w:val="00865C1E"/>
    <w:rsid w:val="00865EDD"/>
    <w:rsid w:val="00866164"/>
    <w:rsid w:val="0086650F"/>
    <w:rsid w:val="0086684A"/>
    <w:rsid w:val="008668B9"/>
    <w:rsid w:val="00866D36"/>
    <w:rsid w:val="00867064"/>
    <w:rsid w:val="0086743B"/>
    <w:rsid w:val="0086784D"/>
    <w:rsid w:val="00867BCF"/>
    <w:rsid w:val="00867E8B"/>
    <w:rsid w:val="0087025D"/>
    <w:rsid w:val="0087063C"/>
    <w:rsid w:val="00870E00"/>
    <w:rsid w:val="00871A75"/>
    <w:rsid w:val="00871B94"/>
    <w:rsid w:val="00872852"/>
    <w:rsid w:val="00872E50"/>
    <w:rsid w:val="0087329E"/>
    <w:rsid w:val="00873905"/>
    <w:rsid w:val="00873948"/>
    <w:rsid w:val="00873DB9"/>
    <w:rsid w:val="008740CF"/>
    <w:rsid w:val="00874785"/>
    <w:rsid w:val="00874972"/>
    <w:rsid w:val="00874F9C"/>
    <w:rsid w:val="008751B6"/>
    <w:rsid w:val="008755F7"/>
    <w:rsid w:val="0087563F"/>
    <w:rsid w:val="008759F5"/>
    <w:rsid w:val="00876866"/>
    <w:rsid w:val="0087718C"/>
    <w:rsid w:val="0087792A"/>
    <w:rsid w:val="00877D28"/>
    <w:rsid w:val="008805DB"/>
    <w:rsid w:val="00880B78"/>
    <w:rsid w:val="00880EC9"/>
    <w:rsid w:val="008815C5"/>
    <w:rsid w:val="00881808"/>
    <w:rsid w:val="008819C1"/>
    <w:rsid w:val="0088244E"/>
    <w:rsid w:val="008824A8"/>
    <w:rsid w:val="0088261E"/>
    <w:rsid w:val="00882AD1"/>
    <w:rsid w:val="00882BF3"/>
    <w:rsid w:val="00883D85"/>
    <w:rsid w:val="00883F33"/>
    <w:rsid w:val="00883F6E"/>
    <w:rsid w:val="0088421A"/>
    <w:rsid w:val="0088422A"/>
    <w:rsid w:val="008842A4"/>
    <w:rsid w:val="008845DF"/>
    <w:rsid w:val="008846ED"/>
    <w:rsid w:val="00884792"/>
    <w:rsid w:val="00884895"/>
    <w:rsid w:val="0088494D"/>
    <w:rsid w:val="008850E3"/>
    <w:rsid w:val="0088566B"/>
    <w:rsid w:val="00885937"/>
    <w:rsid w:val="00886069"/>
    <w:rsid w:val="008866B3"/>
    <w:rsid w:val="00886888"/>
    <w:rsid w:val="00886919"/>
    <w:rsid w:val="00886AE2"/>
    <w:rsid w:val="00886D2E"/>
    <w:rsid w:val="00886DD2"/>
    <w:rsid w:val="00886F75"/>
    <w:rsid w:val="00887621"/>
    <w:rsid w:val="008877D3"/>
    <w:rsid w:val="00887AF4"/>
    <w:rsid w:val="00887B2B"/>
    <w:rsid w:val="00887C83"/>
    <w:rsid w:val="008902C5"/>
    <w:rsid w:val="0089038F"/>
    <w:rsid w:val="008904EF"/>
    <w:rsid w:val="008905DB"/>
    <w:rsid w:val="00890664"/>
    <w:rsid w:val="008907EF"/>
    <w:rsid w:val="00890A8C"/>
    <w:rsid w:val="00890D8D"/>
    <w:rsid w:val="00890E76"/>
    <w:rsid w:val="008915CF"/>
    <w:rsid w:val="008916DE"/>
    <w:rsid w:val="00891783"/>
    <w:rsid w:val="00891D4F"/>
    <w:rsid w:val="008926C3"/>
    <w:rsid w:val="00892957"/>
    <w:rsid w:val="00892CCD"/>
    <w:rsid w:val="00893420"/>
    <w:rsid w:val="0089463C"/>
    <w:rsid w:val="00894CBF"/>
    <w:rsid w:val="0089530F"/>
    <w:rsid w:val="008955F4"/>
    <w:rsid w:val="00895D87"/>
    <w:rsid w:val="00895D92"/>
    <w:rsid w:val="008961B5"/>
    <w:rsid w:val="00896328"/>
    <w:rsid w:val="00896975"/>
    <w:rsid w:val="00896FEF"/>
    <w:rsid w:val="008972BC"/>
    <w:rsid w:val="00897728"/>
    <w:rsid w:val="00897C8C"/>
    <w:rsid w:val="00897E16"/>
    <w:rsid w:val="008A0208"/>
    <w:rsid w:val="008A05BE"/>
    <w:rsid w:val="008A073A"/>
    <w:rsid w:val="008A0890"/>
    <w:rsid w:val="008A089F"/>
    <w:rsid w:val="008A093B"/>
    <w:rsid w:val="008A0BBF"/>
    <w:rsid w:val="008A0FF8"/>
    <w:rsid w:val="008A2514"/>
    <w:rsid w:val="008A252E"/>
    <w:rsid w:val="008A2706"/>
    <w:rsid w:val="008A272F"/>
    <w:rsid w:val="008A29DA"/>
    <w:rsid w:val="008A2A3D"/>
    <w:rsid w:val="008A321B"/>
    <w:rsid w:val="008A3250"/>
    <w:rsid w:val="008A396D"/>
    <w:rsid w:val="008A3B5D"/>
    <w:rsid w:val="008A3B63"/>
    <w:rsid w:val="008A3DA0"/>
    <w:rsid w:val="008A4040"/>
    <w:rsid w:val="008A409C"/>
    <w:rsid w:val="008A40E7"/>
    <w:rsid w:val="008A41B4"/>
    <w:rsid w:val="008A44ED"/>
    <w:rsid w:val="008A4591"/>
    <w:rsid w:val="008A4685"/>
    <w:rsid w:val="008A468C"/>
    <w:rsid w:val="008A4BC0"/>
    <w:rsid w:val="008A4C08"/>
    <w:rsid w:val="008A51EE"/>
    <w:rsid w:val="008A5580"/>
    <w:rsid w:val="008A559A"/>
    <w:rsid w:val="008A5727"/>
    <w:rsid w:val="008A5799"/>
    <w:rsid w:val="008A57B6"/>
    <w:rsid w:val="008A57FE"/>
    <w:rsid w:val="008A5963"/>
    <w:rsid w:val="008A5B12"/>
    <w:rsid w:val="008A5D50"/>
    <w:rsid w:val="008A5D83"/>
    <w:rsid w:val="008A61AE"/>
    <w:rsid w:val="008A6440"/>
    <w:rsid w:val="008A6B9D"/>
    <w:rsid w:val="008A7E87"/>
    <w:rsid w:val="008A7EBE"/>
    <w:rsid w:val="008B03B0"/>
    <w:rsid w:val="008B04D4"/>
    <w:rsid w:val="008B0FEA"/>
    <w:rsid w:val="008B1536"/>
    <w:rsid w:val="008B17B5"/>
    <w:rsid w:val="008B18AD"/>
    <w:rsid w:val="008B1C49"/>
    <w:rsid w:val="008B1F41"/>
    <w:rsid w:val="008B1F86"/>
    <w:rsid w:val="008B2217"/>
    <w:rsid w:val="008B22EE"/>
    <w:rsid w:val="008B2825"/>
    <w:rsid w:val="008B2A44"/>
    <w:rsid w:val="008B2D0E"/>
    <w:rsid w:val="008B3059"/>
    <w:rsid w:val="008B30EE"/>
    <w:rsid w:val="008B3146"/>
    <w:rsid w:val="008B3547"/>
    <w:rsid w:val="008B39D1"/>
    <w:rsid w:val="008B3BA1"/>
    <w:rsid w:val="008B471F"/>
    <w:rsid w:val="008B47A9"/>
    <w:rsid w:val="008B55CF"/>
    <w:rsid w:val="008B5911"/>
    <w:rsid w:val="008B5BB6"/>
    <w:rsid w:val="008B5C7A"/>
    <w:rsid w:val="008B63FF"/>
    <w:rsid w:val="008B655B"/>
    <w:rsid w:val="008B6BE9"/>
    <w:rsid w:val="008B71ED"/>
    <w:rsid w:val="008B77BD"/>
    <w:rsid w:val="008B79C6"/>
    <w:rsid w:val="008B7B41"/>
    <w:rsid w:val="008B7DA5"/>
    <w:rsid w:val="008B7F74"/>
    <w:rsid w:val="008C046C"/>
    <w:rsid w:val="008C0709"/>
    <w:rsid w:val="008C0869"/>
    <w:rsid w:val="008C18F2"/>
    <w:rsid w:val="008C2428"/>
    <w:rsid w:val="008C25BA"/>
    <w:rsid w:val="008C2781"/>
    <w:rsid w:val="008C2A1E"/>
    <w:rsid w:val="008C2B2C"/>
    <w:rsid w:val="008C3450"/>
    <w:rsid w:val="008C36E8"/>
    <w:rsid w:val="008C37F6"/>
    <w:rsid w:val="008C3976"/>
    <w:rsid w:val="008C41BC"/>
    <w:rsid w:val="008C5B21"/>
    <w:rsid w:val="008C5E13"/>
    <w:rsid w:val="008C5E80"/>
    <w:rsid w:val="008C6A2A"/>
    <w:rsid w:val="008C6DC4"/>
    <w:rsid w:val="008C6F6E"/>
    <w:rsid w:val="008C7111"/>
    <w:rsid w:val="008C7A79"/>
    <w:rsid w:val="008C7F9A"/>
    <w:rsid w:val="008D002B"/>
    <w:rsid w:val="008D0341"/>
    <w:rsid w:val="008D04B9"/>
    <w:rsid w:val="008D0E9D"/>
    <w:rsid w:val="008D1856"/>
    <w:rsid w:val="008D2145"/>
    <w:rsid w:val="008D2342"/>
    <w:rsid w:val="008D2398"/>
    <w:rsid w:val="008D281D"/>
    <w:rsid w:val="008D2A9D"/>
    <w:rsid w:val="008D3551"/>
    <w:rsid w:val="008D39D6"/>
    <w:rsid w:val="008D3CC5"/>
    <w:rsid w:val="008D4185"/>
    <w:rsid w:val="008D4345"/>
    <w:rsid w:val="008D456F"/>
    <w:rsid w:val="008D4A02"/>
    <w:rsid w:val="008D55CF"/>
    <w:rsid w:val="008D574E"/>
    <w:rsid w:val="008D583C"/>
    <w:rsid w:val="008D6439"/>
    <w:rsid w:val="008D6A6C"/>
    <w:rsid w:val="008D6DE1"/>
    <w:rsid w:val="008D719F"/>
    <w:rsid w:val="008D71E5"/>
    <w:rsid w:val="008D751E"/>
    <w:rsid w:val="008D7833"/>
    <w:rsid w:val="008D7A22"/>
    <w:rsid w:val="008D7FCC"/>
    <w:rsid w:val="008E038C"/>
    <w:rsid w:val="008E04A4"/>
    <w:rsid w:val="008E0F3C"/>
    <w:rsid w:val="008E0FC6"/>
    <w:rsid w:val="008E1163"/>
    <w:rsid w:val="008E1285"/>
    <w:rsid w:val="008E1511"/>
    <w:rsid w:val="008E157F"/>
    <w:rsid w:val="008E1BA8"/>
    <w:rsid w:val="008E20BB"/>
    <w:rsid w:val="008E26E5"/>
    <w:rsid w:val="008E2BD2"/>
    <w:rsid w:val="008E2CFA"/>
    <w:rsid w:val="008E327F"/>
    <w:rsid w:val="008E33EB"/>
    <w:rsid w:val="008E3400"/>
    <w:rsid w:val="008E3745"/>
    <w:rsid w:val="008E4267"/>
    <w:rsid w:val="008E4617"/>
    <w:rsid w:val="008E477F"/>
    <w:rsid w:val="008E47B7"/>
    <w:rsid w:val="008E4ABD"/>
    <w:rsid w:val="008E4C41"/>
    <w:rsid w:val="008E54FA"/>
    <w:rsid w:val="008E5A5F"/>
    <w:rsid w:val="008E6418"/>
    <w:rsid w:val="008E646C"/>
    <w:rsid w:val="008E69E5"/>
    <w:rsid w:val="008E6F52"/>
    <w:rsid w:val="008E72C7"/>
    <w:rsid w:val="008E7AEF"/>
    <w:rsid w:val="008E7BD5"/>
    <w:rsid w:val="008E7CC4"/>
    <w:rsid w:val="008F0587"/>
    <w:rsid w:val="008F08BE"/>
    <w:rsid w:val="008F0B94"/>
    <w:rsid w:val="008F0DF8"/>
    <w:rsid w:val="008F0E2E"/>
    <w:rsid w:val="008F135D"/>
    <w:rsid w:val="008F1817"/>
    <w:rsid w:val="008F1866"/>
    <w:rsid w:val="008F19B5"/>
    <w:rsid w:val="008F34B3"/>
    <w:rsid w:val="008F35CE"/>
    <w:rsid w:val="008F35D0"/>
    <w:rsid w:val="008F3E2F"/>
    <w:rsid w:val="008F3F3F"/>
    <w:rsid w:val="008F4149"/>
    <w:rsid w:val="008F42EC"/>
    <w:rsid w:val="008F4367"/>
    <w:rsid w:val="008F446D"/>
    <w:rsid w:val="008F453E"/>
    <w:rsid w:val="008F4EE9"/>
    <w:rsid w:val="008F4F6A"/>
    <w:rsid w:val="008F5EEB"/>
    <w:rsid w:val="008F68F0"/>
    <w:rsid w:val="008F706F"/>
    <w:rsid w:val="008F7354"/>
    <w:rsid w:val="008F7866"/>
    <w:rsid w:val="008F7EC8"/>
    <w:rsid w:val="009001F9"/>
    <w:rsid w:val="009005A8"/>
    <w:rsid w:val="009007E4"/>
    <w:rsid w:val="00900A6B"/>
    <w:rsid w:val="0090126F"/>
    <w:rsid w:val="00901B5E"/>
    <w:rsid w:val="0090258B"/>
    <w:rsid w:val="009026F1"/>
    <w:rsid w:val="00902B9C"/>
    <w:rsid w:val="00902DF5"/>
    <w:rsid w:val="00902F59"/>
    <w:rsid w:val="009035CB"/>
    <w:rsid w:val="009036F9"/>
    <w:rsid w:val="00903C45"/>
    <w:rsid w:val="00904115"/>
    <w:rsid w:val="009044EE"/>
    <w:rsid w:val="00904CBF"/>
    <w:rsid w:val="00905886"/>
    <w:rsid w:val="00905B1B"/>
    <w:rsid w:val="00905BB3"/>
    <w:rsid w:val="00905D69"/>
    <w:rsid w:val="00905E0E"/>
    <w:rsid w:val="00905E69"/>
    <w:rsid w:val="00905E9C"/>
    <w:rsid w:val="00905F03"/>
    <w:rsid w:val="00906131"/>
    <w:rsid w:val="00906FF3"/>
    <w:rsid w:val="00907390"/>
    <w:rsid w:val="009075CD"/>
    <w:rsid w:val="00907CBA"/>
    <w:rsid w:val="00907D11"/>
    <w:rsid w:val="00907D54"/>
    <w:rsid w:val="00907D94"/>
    <w:rsid w:val="00907FBF"/>
    <w:rsid w:val="0091018D"/>
    <w:rsid w:val="0091049C"/>
    <w:rsid w:val="009106B4"/>
    <w:rsid w:val="00910C1F"/>
    <w:rsid w:val="00910E0C"/>
    <w:rsid w:val="0091186A"/>
    <w:rsid w:val="009118A8"/>
    <w:rsid w:val="00911CA2"/>
    <w:rsid w:val="009121FB"/>
    <w:rsid w:val="0091232D"/>
    <w:rsid w:val="00912E42"/>
    <w:rsid w:val="00912F67"/>
    <w:rsid w:val="00913007"/>
    <w:rsid w:val="009131B8"/>
    <w:rsid w:val="00913467"/>
    <w:rsid w:val="00913728"/>
    <w:rsid w:val="009139EA"/>
    <w:rsid w:val="009141E0"/>
    <w:rsid w:val="009141F5"/>
    <w:rsid w:val="00914391"/>
    <w:rsid w:val="00914821"/>
    <w:rsid w:val="00914CDF"/>
    <w:rsid w:val="0091551B"/>
    <w:rsid w:val="009156F0"/>
    <w:rsid w:val="00915909"/>
    <w:rsid w:val="00915DAB"/>
    <w:rsid w:val="0091682C"/>
    <w:rsid w:val="0091695E"/>
    <w:rsid w:val="00916AA5"/>
    <w:rsid w:val="00916C83"/>
    <w:rsid w:val="00916FB0"/>
    <w:rsid w:val="00917CCE"/>
    <w:rsid w:val="00920E6C"/>
    <w:rsid w:val="00921210"/>
    <w:rsid w:val="0092132F"/>
    <w:rsid w:val="0092142E"/>
    <w:rsid w:val="00921658"/>
    <w:rsid w:val="0092176E"/>
    <w:rsid w:val="00922388"/>
    <w:rsid w:val="00922A01"/>
    <w:rsid w:val="00922C9B"/>
    <w:rsid w:val="00922CB5"/>
    <w:rsid w:val="00923527"/>
    <w:rsid w:val="00923973"/>
    <w:rsid w:val="00923C7E"/>
    <w:rsid w:val="00923EDC"/>
    <w:rsid w:val="00924898"/>
    <w:rsid w:val="009258A1"/>
    <w:rsid w:val="00925C57"/>
    <w:rsid w:val="009266A8"/>
    <w:rsid w:val="009266C1"/>
    <w:rsid w:val="00926BC1"/>
    <w:rsid w:val="00926CD8"/>
    <w:rsid w:val="00926F01"/>
    <w:rsid w:val="00927084"/>
    <w:rsid w:val="00927BB7"/>
    <w:rsid w:val="00927C5B"/>
    <w:rsid w:val="009300E9"/>
    <w:rsid w:val="00930C58"/>
    <w:rsid w:val="0093171A"/>
    <w:rsid w:val="009318DE"/>
    <w:rsid w:val="00931B74"/>
    <w:rsid w:val="00931E1B"/>
    <w:rsid w:val="009321B9"/>
    <w:rsid w:val="009324C1"/>
    <w:rsid w:val="00932787"/>
    <w:rsid w:val="00933085"/>
    <w:rsid w:val="009330A1"/>
    <w:rsid w:val="0093333C"/>
    <w:rsid w:val="00933B43"/>
    <w:rsid w:val="00934CC8"/>
    <w:rsid w:val="00934E42"/>
    <w:rsid w:val="00934FB1"/>
    <w:rsid w:val="00935037"/>
    <w:rsid w:val="0093512B"/>
    <w:rsid w:val="0093622E"/>
    <w:rsid w:val="009363D0"/>
    <w:rsid w:val="009364B5"/>
    <w:rsid w:val="00936540"/>
    <w:rsid w:val="00936CFA"/>
    <w:rsid w:val="00936D22"/>
    <w:rsid w:val="00936F66"/>
    <w:rsid w:val="00936F6C"/>
    <w:rsid w:val="00937788"/>
    <w:rsid w:val="009377A7"/>
    <w:rsid w:val="00937890"/>
    <w:rsid w:val="00937F24"/>
    <w:rsid w:val="009403CC"/>
    <w:rsid w:val="00940691"/>
    <w:rsid w:val="009406C6"/>
    <w:rsid w:val="00940811"/>
    <w:rsid w:val="00940948"/>
    <w:rsid w:val="00940ACC"/>
    <w:rsid w:val="00940E73"/>
    <w:rsid w:val="00940EB8"/>
    <w:rsid w:val="00941758"/>
    <w:rsid w:val="0094196F"/>
    <w:rsid w:val="00941D26"/>
    <w:rsid w:val="00942076"/>
    <w:rsid w:val="0094213B"/>
    <w:rsid w:val="00942865"/>
    <w:rsid w:val="00942A2C"/>
    <w:rsid w:val="00942B73"/>
    <w:rsid w:val="009432A8"/>
    <w:rsid w:val="009432C3"/>
    <w:rsid w:val="009437D3"/>
    <w:rsid w:val="00943D7A"/>
    <w:rsid w:val="0094416C"/>
    <w:rsid w:val="00944366"/>
    <w:rsid w:val="009445F1"/>
    <w:rsid w:val="00944718"/>
    <w:rsid w:val="00944B59"/>
    <w:rsid w:val="00944BE2"/>
    <w:rsid w:val="00944CAC"/>
    <w:rsid w:val="00944CB0"/>
    <w:rsid w:val="0094516D"/>
    <w:rsid w:val="00945477"/>
    <w:rsid w:val="009455E6"/>
    <w:rsid w:val="00945F78"/>
    <w:rsid w:val="009466F5"/>
    <w:rsid w:val="00946718"/>
    <w:rsid w:val="00946881"/>
    <w:rsid w:val="00946E09"/>
    <w:rsid w:val="0094738E"/>
    <w:rsid w:val="009475F7"/>
    <w:rsid w:val="009476A4"/>
    <w:rsid w:val="009477C7"/>
    <w:rsid w:val="00947B97"/>
    <w:rsid w:val="00950016"/>
    <w:rsid w:val="00950088"/>
    <w:rsid w:val="00950116"/>
    <w:rsid w:val="00950189"/>
    <w:rsid w:val="0095026C"/>
    <w:rsid w:val="00950A49"/>
    <w:rsid w:val="00950F7A"/>
    <w:rsid w:val="00951579"/>
    <w:rsid w:val="00951F41"/>
    <w:rsid w:val="009521C0"/>
    <w:rsid w:val="009522C5"/>
    <w:rsid w:val="009528C1"/>
    <w:rsid w:val="00952D0D"/>
    <w:rsid w:val="00952EC9"/>
    <w:rsid w:val="0095338E"/>
    <w:rsid w:val="009534A3"/>
    <w:rsid w:val="009538EC"/>
    <w:rsid w:val="00953998"/>
    <w:rsid w:val="00953A6A"/>
    <w:rsid w:val="00953F20"/>
    <w:rsid w:val="009544CC"/>
    <w:rsid w:val="009552CC"/>
    <w:rsid w:val="009556AC"/>
    <w:rsid w:val="009558B0"/>
    <w:rsid w:val="00955939"/>
    <w:rsid w:val="00955F9F"/>
    <w:rsid w:val="009560A4"/>
    <w:rsid w:val="00956201"/>
    <w:rsid w:val="009565B8"/>
    <w:rsid w:val="00956626"/>
    <w:rsid w:val="00956E39"/>
    <w:rsid w:val="00956F14"/>
    <w:rsid w:val="0095717B"/>
    <w:rsid w:val="0095752B"/>
    <w:rsid w:val="00957EE7"/>
    <w:rsid w:val="00960507"/>
    <w:rsid w:val="00960835"/>
    <w:rsid w:val="00960C64"/>
    <w:rsid w:val="00960F50"/>
    <w:rsid w:val="009610D4"/>
    <w:rsid w:val="00961E3C"/>
    <w:rsid w:val="009621F5"/>
    <w:rsid w:val="00963058"/>
    <w:rsid w:val="0096329C"/>
    <w:rsid w:val="009633A3"/>
    <w:rsid w:val="009635FC"/>
    <w:rsid w:val="00963678"/>
    <w:rsid w:val="009637BB"/>
    <w:rsid w:val="009639E1"/>
    <w:rsid w:val="00963C47"/>
    <w:rsid w:val="00963E82"/>
    <w:rsid w:val="009643D1"/>
    <w:rsid w:val="00964430"/>
    <w:rsid w:val="0096465D"/>
    <w:rsid w:val="009649C8"/>
    <w:rsid w:val="00964F4E"/>
    <w:rsid w:val="009653C9"/>
    <w:rsid w:val="009654F5"/>
    <w:rsid w:val="00965BA3"/>
    <w:rsid w:val="0096613D"/>
    <w:rsid w:val="0096655A"/>
    <w:rsid w:val="00966CCD"/>
    <w:rsid w:val="00966E80"/>
    <w:rsid w:val="0096718F"/>
    <w:rsid w:val="00967312"/>
    <w:rsid w:val="0096735E"/>
    <w:rsid w:val="00967864"/>
    <w:rsid w:val="00967A82"/>
    <w:rsid w:val="00967DD3"/>
    <w:rsid w:val="00970F15"/>
    <w:rsid w:val="00970FEC"/>
    <w:rsid w:val="009710A8"/>
    <w:rsid w:val="00971825"/>
    <w:rsid w:val="00971A33"/>
    <w:rsid w:val="00971A4C"/>
    <w:rsid w:val="00971A50"/>
    <w:rsid w:val="00971ED8"/>
    <w:rsid w:val="0097222F"/>
    <w:rsid w:val="00972231"/>
    <w:rsid w:val="00972789"/>
    <w:rsid w:val="00972E70"/>
    <w:rsid w:val="00973068"/>
    <w:rsid w:val="009737D6"/>
    <w:rsid w:val="00973A58"/>
    <w:rsid w:val="009741CC"/>
    <w:rsid w:val="009747B6"/>
    <w:rsid w:val="00974968"/>
    <w:rsid w:val="00974B13"/>
    <w:rsid w:val="00974BC6"/>
    <w:rsid w:val="00974E14"/>
    <w:rsid w:val="00974FE3"/>
    <w:rsid w:val="009757EC"/>
    <w:rsid w:val="00976959"/>
    <w:rsid w:val="009769A7"/>
    <w:rsid w:val="00976A8B"/>
    <w:rsid w:val="009771A9"/>
    <w:rsid w:val="0097750C"/>
    <w:rsid w:val="00980000"/>
    <w:rsid w:val="00980037"/>
    <w:rsid w:val="009800B3"/>
    <w:rsid w:val="009800D4"/>
    <w:rsid w:val="0098087D"/>
    <w:rsid w:val="009814B9"/>
    <w:rsid w:val="00981BC8"/>
    <w:rsid w:val="00981C07"/>
    <w:rsid w:val="00981C41"/>
    <w:rsid w:val="00982312"/>
    <w:rsid w:val="0098239B"/>
    <w:rsid w:val="00982534"/>
    <w:rsid w:val="00982F05"/>
    <w:rsid w:val="009830DC"/>
    <w:rsid w:val="00983307"/>
    <w:rsid w:val="009834DC"/>
    <w:rsid w:val="00983677"/>
    <w:rsid w:val="00983C1D"/>
    <w:rsid w:val="0098402E"/>
    <w:rsid w:val="009846BE"/>
    <w:rsid w:val="00984D77"/>
    <w:rsid w:val="00985109"/>
    <w:rsid w:val="00985335"/>
    <w:rsid w:val="00985542"/>
    <w:rsid w:val="0098566E"/>
    <w:rsid w:val="009861A4"/>
    <w:rsid w:val="009862F6"/>
    <w:rsid w:val="009866B5"/>
    <w:rsid w:val="00986C33"/>
    <w:rsid w:val="009876AD"/>
    <w:rsid w:val="00987893"/>
    <w:rsid w:val="00987F44"/>
    <w:rsid w:val="0099021D"/>
    <w:rsid w:val="00990290"/>
    <w:rsid w:val="009902FF"/>
    <w:rsid w:val="0099095A"/>
    <w:rsid w:val="00990AC8"/>
    <w:rsid w:val="00990D8B"/>
    <w:rsid w:val="00990FA4"/>
    <w:rsid w:val="00991412"/>
    <w:rsid w:val="00991591"/>
    <w:rsid w:val="009919CD"/>
    <w:rsid w:val="00991C5C"/>
    <w:rsid w:val="0099217C"/>
    <w:rsid w:val="0099237C"/>
    <w:rsid w:val="009924DF"/>
    <w:rsid w:val="009927A0"/>
    <w:rsid w:val="00992E85"/>
    <w:rsid w:val="009934AC"/>
    <w:rsid w:val="009935D2"/>
    <w:rsid w:val="009937F9"/>
    <w:rsid w:val="0099403A"/>
    <w:rsid w:val="00994087"/>
    <w:rsid w:val="00994802"/>
    <w:rsid w:val="009948FE"/>
    <w:rsid w:val="00994951"/>
    <w:rsid w:val="009949AF"/>
    <w:rsid w:val="00994A48"/>
    <w:rsid w:val="00994BCD"/>
    <w:rsid w:val="00995045"/>
    <w:rsid w:val="009952F9"/>
    <w:rsid w:val="009957D2"/>
    <w:rsid w:val="00995E3B"/>
    <w:rsid w:val="00996314"/>
    <w:rsid w:val="00996373"/>
    <w:rsid w:val="009965A0"/>
    <w:rsid w:val="009967A1"/>
    <w:rsid w:val="0099684E"/>
    <w:rsid w:val="00996E1C"/>
    <w:rsid w:val="00997700"/>
    <w:rsid w:val="00997A48"/>
    <w:rsid w:val="00997D4E"/>
    <w:rsid w:val="00997E70"/>
    <w:rsid w:val="009A08A2"/>
    <w:rsid w:val="009A0B65"/>
    <w:rsid w:val="009A1315"/>
    <w:rsid w:val="009A1917"/>
    <w:rsid w:val="009A19EE"/>
    <w:rsid w:val="009A1C67"/>
    <w:rsid w:val="009A1C80"/>
    <w:rsid w:val="009A1DA9"/>
    <w:rsid w:val="009A1FAF"/>
    <w:rsid w:val="009A23E4"/>
    <w:rsid w:val="009A28DD"/>
    <w:rsid w:val="009A2C72"/>
    <w:rsid w:val="009A2F40"/>
    <w:rsid w:val="009A3032"/>
    <w:rsid w:val="009A32EC"/>
    <w:rsid w:val="009A3AFE"/>
    <w:rsid w:val="009A3D68"/>
    <w:rsid w:val="009A3E42"/>
    <w:rsid w:val="009A3EA6"/>
    <w:rsid w:val="009A3EC6"/>
    <w:rsid w:val="009A43DC"/>
    <w:rsid w:val="009A4581"/>
    <w:rsid w:val="009A45AE"/>
    <w:rsid w:val="009A54D0"/>
    <w:rsid w:val="009A595B"/>
    <w:rsid w:val="009A5A32"/>
    <w:rsid w:val="009A5CE6"/>
    <w:rsid w:val="009A5DDD"/>
    <w:rsid w:val="009A630C"/>
    <w:rsid w:val="009A65F6"/>
    <w:rsid w:val="009A6A03"/>
    <w:rsid w:val="009A6FE3"/>
    <w:rsid w:val="009A73A8"/>
    <w:rsid w:val="009A798D"/>
    <w:rsid w:val="009A7A58"/>
    <w:rsid w:val="009A7D60"/>
    <w:rsid w:val="009A7E9B"/>
    <w:rsid w:val="009A7F2F"/>
    <w:rsid w:val="009B0074"/>
    <w:rsid w:val="009B07BB"/>
    <w:rsid w:val="009B0AD9"/>
    <w:rsid w:val="009B14D9"/>
    <w:rsid w:val="009B19F9"/>
    <w:rsid w:val="009B1CA2"/>
    <w:rsid w:val="009B1E60"/>
    <w:rsid w:val="009B1F0E"/>
    <w:rsid w:val="009B1FC6"/>
    <w:rsid w:val="009B2709"/>
    <w:rsid w:val="009B2D21"/>
    <w:rsid w:val="009B2DEF"/>
    <w:rsid w:val="009B35B7"/>
    <w:rsid w:val="009B3A47"/>
    <w:rsid w:val="009B3C0C"/>
    <w:rsid w:val="009B3C11"/>
    <w:rsid w:val="009B3F9D"/>
    <w:rsid w:val="009B418C"/>
    <w:rsid w:val="009B42A8"/>
    <w:rsid w:val="009B445A"/>
    <w:rsid w:val="009B4596"/>
    <w:rsid w:val="009B541E"/>
    <w:rsid w:val="009B59D2"/>
    <w:rsid w:val="009B5DDC"/>
    <w:rsid w:val="009B6037"/>
    <w:rsid w:val="009B6434"/>
    <w:rsid w:val="009B684D"/>
    <w:rsid w:val="009B7150"/>
    <w:rsid w:val="009B7BAE"/>
    <w:rsid w:val="009C0007"/>
    <w:rsid w:val="009C0058"/>
    <w:rsid w:val="009C0569"/>
    <w:rsid w:val="009C0C71"/>
    <w:rsid w:val="009C0E09"/>
    <w:rsid w:val="009C1418"/>
    <w:rsid w:val="009C142F"/>
    <w:rsid w:val="009C1A4B"/>
    <w:rsid w:val="009C2EAA"/>
    <w:rsid w:val="009C385B"/>
    <w:rsid w:val="009C38CA"/>
    <w:rsid w:val="009C40BA"/>
    <w:rsid w:val="009C424F"/>
    <w:rsid w:val="009C42DA"/>
    <w:rsid w:val="009C4549"/>
    <w:rsid w:val="009C45A7"/>
    <w:rsid w:val="009C45F2"/>
    <w:rsid w:val="009C4BE9"/>
    <w:rsid w:val="009C5869"/>
    <w:rsid w:val="009C58BA"/>
    <w:rsid w:val="009C58D5"/>
    <w:rsid w:val="009C5C02"/>
    <w:rsid w:val="009C5E9D"/>
    <w:rsid w:val="009C6059"/>
    <w:rsid w:val="009C63D4"/>
    <w:rsid w:val="009C6C00"/>
    <w:rsid w:val="009C739C"/>
    <w:rsid w:val="009C73D5"/>
    <w:rsid w:val="009C7A51"/>
    <w:rsid w:val="009C7E75"/>
    <w:rsid w:val="009C7F00"/>
    <w:rsid w:val="009D02DC"/>
    <w:rsid w:val="009D031E"/>
    <w:rsid w:val="009D074E"/>
    <w:rsid w:val="009D0B17"/>
    <w:rsid w:val="009D0BCC"/>
    <w:rsid w:val="009D0C2E"/>
    <w:rsid w:val="009D1929"/>
    <w:rsid w:val="009D1CA7"/>
    <w:rsid w:val="009D1F4B"/>
    <w:rsid w:val="009D2490"/>
    <w:rsid w:val="009D2A21"/>
    <w:rsid w:val="009D2E3B"/>
    <w:rsid w:val="009D30A9"/>
    <w:rsid w:val="009D31AA"/>
    <w:rsid w:val="009D3329"/>
    <w:rsid w:val="009D3520"/>
    <w:rsid w:val="009D3721"/>
    <w:rsid w:val="009D3778"/>
    <w:rsid w:val="009D3AC5"/>
    <w:rsid w:val="009D3EB5"/>
    <w:rsid w:val="009D57B7"/>
    <w:rsid w:val="009D6140"/>
    <w:rsid w:val="009D627B"/>
    <w:rsid w:val="009D646B"/>
    <w:rsid w:val="009D68C7"/>
    <w:rsid w:val="009D6B94"/>
    <w:rsid w:val="009D712D"/>
    <w:rsid w:val="009D73AB"/>
    <w:rsid w:val="009D7DEC"/>
    <w:rsid w:val="009D7DFD"/>
    <w:rsid w:val="009E003D"/>
    <w:rsid w:val="009E059E"/>
    <w:rsid w:val="009E063F"/>
    <w:rsid w:val="009E07C1"/>
    <w:rsid w:val="009E094A"/>
    <w:rsid w:val="009E0E2E"/>
    <w:rsid w:val="009E0F2C"/>
    <w:rsid w:val="009E1DF6"/>
    <w:rsid w:val="009E2279"/>
    <w:rsid w:val="009E2858"/>
    <w:rsid w:val="009E2B57"/>
    <w:rsid w:val="009E3141"/>
    <w:rsid w:val="009E3199"/>
    <w:rsid w:val="009E32B4"/>
    <w:rsid w:val="009E375D"/>
    <w:rsid w:val="009E3978"/>
    <w:rsid w:val="009E3CB7"/>
    <w:rsid w:val="009E4562"/>
    <w:rsid w:val="009E4BB0"/>
    <w:rsid w:val="009E4F1E"/>
    <w:rsid w:val="009E5780"/>
    <w:rsid w:val="009E5877"/>
    <w:rsid w:val="009E5896"/>
    <w:rsid w:val="009E58A5"/>
    <w:rsid w:val="009E6825"/>
    <w:rsid w:val="009E6BCE"/>
    <w:rsid w:val="009E6EAE"/>
    <w:rsid w:val="009E76A4"/>
    <w:rsid w:val="009E77D7"/>
    <w:rsid w:val="009E7C95"/>
    <w:rsid w:val="009E7FF0"/>
    <w:rsid w:val="009F005B"/>
    <w:rsid w:val="009F0A75"/>
    <w:rsid w:val="009F0D16"/>
    <w:rsid w:val="009F1CC0"/>
    <w:rsid w:val="009F2306"/>
    <w:rsid w:val="009F2FA3"/>
    <w:rsid w:val="009F35DA"/>
    <w:rsid w:val="009F37E9"/>
    <w:rsid w:val="009F3AF1"/>
    <w:rsid w:val="009F3B50"/>
    <w:rsid w:val="009F3D65"/>
    <w:rsid w:val="009F3E86"/>
    <w:rsid w:val="009F3FA8"/>
    <w:rsid w:val="009F427F"/>
    <w:rsid w:val="009F45D0"/>
    <w:rsid w:val="009F4740"/>
    <w:rsid w:val="009F4776"/>
    <w:rsid w:val="009F4AF6"/>
    <w:rsid w:val="009F4B50"/>
    <w:rsid w:val="009F536C"/>
    <w:rsid w:val="009F5620"/>
    <w:rsid w:val="009F5698"/>
    <w:rsid w:val="009F66C7"/>
    <w:rsid w:val="009F67A2"/>
    <w:rsid w:val="009F70E3"/>
    <w:rsid w:val="009F753A"/>
    <w:rsid w:val="009F75ED"/>
    <w:rsid w:val="009F7C7F"/>
    <w:rsid w:val="00A0040A"/>
    <w:rsid w:val="00A00D8A"/>
    <w:rsid w:val="00A00F8E"/>
    <w:rsid w:val="00A01150"/>
    <w:rsid w:val="00A0120B"/>
    <w:rsid w:val="00A01387"/>
    <w:rsid w:val="00A01467"/>
    <w:rsid w:val="00A02143"/>
    <w:rsid w:val="00A0226B"/>
    <w:rsid w:val="00A025BB"/>
    <w:rsid w:val="00A02B72"/>
    <w:rsid w:val="00A02F90"/>
    <w:rsid w:val="00A03709"/>
    <w:rsid w:val="00A0378E"/>
    <w:rsid w:val="00A03FEE"/>
    <w:rsid w:val="00A04D38"/>
    <w:rsid w:val="00A053D4"/>
    <w:rsid w:val="00A05435"/>
    <w:rsid w:val="00A05461"/>
    <w:rsid w:val="00A05577"/>
    <w:rsid w:val="00A055E8"/>
    <w:rsid w:val="00A055F5"/>
    <w:rsid w:val="00A064C0"/>
    <w:rsid w:val="00A06891"/>
    <w:rsid w:val="00A06B26"/>
    <w:rsid w:val="00A06CBC"/>
    <w:rsid w:val="00A07033"/>
    <w:rsid w:val="00A072E1"/>
    <w:rsid w:val="00A0765F"/>
    <w:rsid w:val="00A07846"/>
    <w:rsid w:val="00A07AD0"/>
    <w:rsid w:val="00A07B93"/>
    <w:rsid w:val="00A1038A"/>
    <w:rsid w:val="00A105A8"/>
    <w:rsid w:val="00A10710"/>
    <w:rsid w:val="00A10C6F"/>
    <w:rsid w:val="00A110F2"/>
    <w:rsid w:val="00A113DA"/>
    <w:rsid w:val="00A11DA2"/>
    <w:rsid w:val="00A120A9"/>
    <w:rsid w:val="00A12646"/>
    <w:rsid w:val="00A12ADD"/>
    <w:rsid w:val="00A13015"/>
    <w:rsid w:val="00A13957"/>
    <w:rsid w:val="00A13A95"/>
    <w:rsid w:val="00A142DD"/>
    <w:rsid w:val="00A14838"/>
    <w:rsid w:val="00A14DF5"/>
    <w:rsid w:val="00A15771"/>
    <w:rsid w:val="00A15B58"/>
    <w:rsid w:val="00A15D92"/>
    <w:rsid w:val="00A161FE"/>
    <w:rsid w:val="00A16C96"/>
    <w:rsid w:val="00A16D1A"/>
    <w:rsid w:val="00A16EAD"/>
    <w:rsid w:val="00A1733B"/>
    <w:rsid w:val="00A1775D"/>
    <w:rsid w:val="00A17FA1"/>
    <w:rsid w:val="00A20C4C"/>
    <w:rsid w:val="00A20DFC"/>
    <w:rsid w:val="00A20E84"/>
    <w:rsid w:val="00A211AB"/>
    <w:rsid w:val="00A214CC"/>
    <w:rsid w:val="00A2160D"/>
    <w:rsid w:val="00A21A62"/>
    <w:rsid w:val="00A22899"/>
    <w:rsid w:val="00A22A1B"/>
    <w:rsid w:val="00A22B2D"/>
    <w:rsid w:val="00A22B9D"/>
    <w:rsid w:val="00A22CB1"/>
    <w:rsid w:val="00A22CDC"/>
    <w:rsid w:val="00A22D9C"/>
    <w:rsid w:val="00A23500"/>
    <w:rsid w:val="00A23AB2"/>
    <w:rsid w:val="00A23CEB"/>
    <w:rsid w:val="00A24252"/>
    <w:rsid w:val="00A2452F"/>
    <w:rsid w:val="00A24C38"/>
    <w:rsid w:val="00A251C5"/>
    <w:rsid w:val="00A256C8"/>
    <w:rsid w:val="00A25922"/>
    <w:rsid w:val="00A259BD"/>
    <w:rsid w:val="00A25ED2"/>
    <w:rsid w:val="00A26005"/>
    <w:rsid w:val="00A26299"/>
    <w:rsid w:val="00A262C9"/>
    <w:rsid w:val="00A262E4"/>
    <w:rsid w:val="00A26491"/>
    <w:rsid w:val="00A2661C"/>
    <w:rsid w:val="00A2672F"/>
    <w:rsid w:val="00A2681D"/>
    <w:rsid w:val="00A26A42"/>
    <w:rsid w:val="00A273E3"/>
    <w:rsid w:val="00A27915"/>
    <w:rsid w:val="00A27B02"/>
    <w:rsid w:val="00A30615"/>
    <w:rsid w:val="00A3088B"/>
    <w:rsid w:val="00A308E9"/>
    <w:rsid w:val="00A30C09"/>
    <w:rsid w:val="00A30D62"/>
    <w:rsid w:val="00A31841"/>
    <w:rsid w:val="00A318F9"/>
    <w:rsid w:val="00A320CC"/>
    <w:rsid w:val="00A32589"/>
    <w:rsid w:val="00A325B3"/>
    <w:rsid w:val="00A3288D"/>
    <w:rsid w:val="00A32A35"/>
    <w:rsid w:val="00A33044"/>
    <w:rsid w:val="00A3314B"/>
    <w:rsid w:val="00A331CB"/>
    <w:rsid w:val="00A33B28"/>
    <w:rsid w:val="00A33C94"/>
    <w:rsid w:val="00A3423E"/>
    <w:rsid w:val="00A343E3"/>
    <w:rsid w:val="00A3471F"/>
    <w:rsid w:val="00A347B3"/>
    <w:rsid w:val="00A34844"/>
    <w:rsid w:val="00A3494B"/>
    <w:rsid w:val="00A349AF"/>
    <w:rsid w:val="00A34CD8"/>
    <w:rsid w:val="00A35598"/>
    <w:rsid w:val="00A35707"/>
    <w:rsid w:val="00A35763"/>
    <w:rsid w:val="00A359A0"/>
    <w:rsid w:val="00A35D0B"/>
    <w:rsid w:val="00A35DD7"/>
    <w:rsid w:val="00A35F52"/>
    <w:rsid w:val="00A36CBA"/>
    <w:rsid w:val="00A370E0"/>
    <w:rsid w:val="00A373F8"/>
    <w:rsid w:val="00A37435"/>
    <w:rsid w:val="00A37851"/>
    <w:rsid w:val="00A400C7"/>
    <w:rsid w:val="00A40270"/>
    <w:rsid w:val="00A407CA"/>
    <w:rsid w:val="00A40B93"/>
    <w:rsid w:val="00A40C14"/>
    <w:rsid w:val="00A414A0"/>
    <w:rsid w:val="00A41681"/>
    <w:rsid w:val="00A41A0C"/>
    <w:rsid w:val="00A41FAA"/>
    <w:rsid w:val="00A420A2"/>
    <w:rsid w:val="00A42106"/>
    <w:rsid w:val="00A42442"/>
    <w:rsid w:val="00A43164"/>
    <w:rsid w:val="00A43315"/>
    <w:rsid w:val="00A43951"/>
    <w:rsid w:val="00A43B3D"/>
    <w:rsid w:val="00A43D4C"/>
    <w:rsid w:val="00A441AC"/>
    <w:rsid w:val="00A44314"/>
    <w:rsid w:val="00A44A9F"/>
    <w:rsid w:val="00A44C3B"/>
    <w:rsid w:val="00A44DDE"/>
    <w:rsid w:val="00A450C9"/>
    <w:rsid w:val="00A45143"/>
    <w:rsid w:val="00A455AD"/>
    <w:rsid w:val="00A46168"/>
    <w:rsid w:val="00A464A5"/>
    <w:rsid w:val="00A4658A"/>
    <w:rsid w:val="00A4693F"/>
    <w:rsid w:val="00A46C59"/>
    <w:rsid w:val="00A46F98"/>
    <w:rsid w:val="00A4724B"/>
    <w:rsid w:val="00A4781B"/>
    <w:rsid w:val="00A478D4"/>
    <w:rsid w:val="00A479EA"/>
    <w:rsid w:val="00A47AEE"/>
    <w:rsid w:val="00A47B37"/>
    <w:rsid w:val="00A47E8E"/>
    <w:rsid w:val="00A47FB8"/>
    <w:rsid w:val="00A50AAB"/>
    <w:rsid w:val="00A50AE4"/>
    <w:rsid w:val="00A50E64"/>
    <w:rsid w:val="00A512F6"/>
    <w:rsid w:val="00A51F27"/>
    <w:rsid w:val="00A523ED"/>
    <w:rsid w:val="00A53146"/>
    <w:rsid w:val="00A5352F"/>
    <w:rsid w:val="00A535F6"/>
    <w:rsid w:val="00A537A6"/>
    <w:rsid w:val="00A5384F"/>
    <w:rsid w:val="00A53902"/>
    <w:rsid w:val="00A53A28"/>
    <w:rsid w:val="00A53E1F"/>
    <w:rsid w:val="00A53FBD"/>
    <w:rsid w:val="00A540A1"/>
    <w:rsid w:val="00A5427E"/>
    <w:rsid w:val="00A54959"/>
    <w:rsid w:val="00A54B3E"/>
    <w:rsid w:val="00A54B67"/>
    <w:rsid w:val="00A54E12"/>
    <w:rsid w:val="00A55064"/>
    <w:rsid w:val="00A55424"/>
    <w:rsid w:val="00A5552E"/>
    <w:rsid w:val="00A558E0"/>
    <w:rsid w:val="00A55BBA"/>
    <w:rsid w:val="00A55E89"/>
    <w:rsid w:val="00A55EC1"/>
    <w:rsid w:val="00A56242"/>
    <w:rsid w:val="00A5636F"/>
    <w:rsid w:val="00A56500"/>
    <w:rsid w:val="00A56690"/>
    <w:rsid w:val="00A56698"/>
    <w:rsid w:val="00A56A48"/>
    <w:rsid w:val="00A56B4C"/>
    <w:rsid w:val="00A56F56"/>
    <w:rsid w:val="00A57A2C"/>
    <w:rsid w:val="00A57CB5"/>
    <w:rsid w:val="00A57EAE"/>
    <w:rsid w:val="00A602D6"/>
    <w:rsid w:val="00A612E4"/>
    <w:rsid w:val="00A6137A"/>
    <w:rsid w:val="00A6137C"/>
    <w:rsid w:val="00A614F8"/>
    <w:rsid w:val="00A61682"/>
    <w:rsid w:val="00A618DA"/>
    <w:rsid w:val="00A61BCD"/>
    <w:rsid w:val="00A61EE0"/>
    <w:rsid w:val="00A61F67"/>
    <w:rsid w:val="00A62056"/>
    <w:rsid w:val="00A620C4"/>
    <w:rsid w:val="00A622AD"/>
    <w:rsid w:val="00A62397"/>
    <w:rsid w:val="00A62479"/>
    <w:rsid w:val="00A624D1"/>
    <w:rsid w:val="00A628F1"/>
    <w:rsid w:val="00A62EF3"/>
    <w:rsid w:val="00A630A2"/>
    <w:rsid w:val="00A6319A"/>
    <w:rsid w:val="00A635C5"/>
    <w:rsid w:val="00A649E1"/>
    <w:rsid w:val="00A64D21"/>
    <w:rsid w:val="00A64E2A"/>
    <w:rsid w:val="00A65820"/>
    <w:rsid w:val="00A65964"/>
    <w:rsid w:val="00A65BA2"/>
    <w:rsid w:val="00A65EF7"/>
    <w:rsid w:val="00A65F0A"/>
    <w:rsid w:val="00A6618D"/>
    <w:rsid w:val="00A66372"/>
    <w:rsid w:val="00A66376"/>
    <w:rsid w:val="00A6647C"/>
    <w:rsid w:val="00A66803"/>
    <w:rsid w:val="00A66D9B"/>
    <w:rsid w:val="00A67215"/>
    <w:rsid w:val="00A67395"/>
    <w:rsid w:val="00A678A3"/>
    <w:rsid w:val="00A67DA4"/>
    <w:rsid w:val="00A704E4"/>
    <w:rsid w:val="00A705D3"/>
    <w:rsid w:val="00A7088C"/>
    <w:rsid w:val="00A708E4"/>
    <w:rsid w:val="00A70B55"/>
    <w:rsid w:val="00A710E1"/>
    <w:rsid w:val="00A714BF"/>
    <w:rsid w:val="00A71E3A"/>
    <w:rsid w:val="00A721D1"/>
    <w:rsid w:val="00A722A0"/>
    <w:rsid w:val="00A72767"/>
    <w:rsid w:val="00A72A08"/>
    <w:rsid w:val="00A72AE5"/>
    <w:rsid w:val="00A72DFF"/>
    <w:rsid w:val="00A72E87"/>
    <w:rsid w:val="00A734FF"/>
    <w:rsid w:val="00A73565"/>
    <w:rsid w:val="00A73981"/>
    <w:rsid w:val="00A7428F"/>
    <w:rsid w:val="00A74BA2"/>
    <w:rsid w:val="00A74E13"/>
    <w:rsid w:val="00A75191"/>
    <w:rsid w:val="00A752B2"/>
    <w:rsid w:val="00A75503"/>
    <w:rsid w:val="00A75616"/>
    <w:rsid w:val="00A7578E"/>
    <w:rsid w:val="00A75A6C"/>
    <w:rsid w:val="00A760E9"/>
    <w:rsid w:val="00A76A59"/>
    <w:rsid w:val="00A76B94"/>
    <w:rsid w:val="00A7781F"/>
    <w:rsid w:val="00A77A9B"/>
    <w:rsid w:val="00A8071A"/>
    <w:rsid w:val="00A807A6"/>
    <w:rsid w:val="00A80BD3"/>
    <w:rsid w:val="00A80BFF"/>
    <w:rsid w:val="00A81149"/>
    <w:rsid w:val="00A8137A"/>
    <w:rsid w:val="00A81574"/>
    <w:rsid w:val="00A817F3"/>
    <w:rsid w:val="00A81C40"/>
    <w:rsid w:val="00A82136"/>
    <w:rsid w:val="00A82304"/>
    <w:rsid w:val="00A82785"/>
    <w:rsid w:val="00A82C7A"/>
    <w:rsid w:val="00A83128"/>
    <w:rsid w:val="00A83383"/>
    <w:rsid w:val="00A84D82"/>
    <w:rsid w:val="00A84E96"/>
    <w:rsid w:val="00A857F8"/>
    <w:rsid w:val="00A858FD"/>
    <w:rsid w:val="00A86688"/>
    <w:rsid w:val="00A86974"/>
    <w:rsid w:val="00A86EE7"/>
    <w:rsid w:val="00A87311"/>
    <w:rsid w:val="00A907A4"/>
    <w:rsid w:val="00A91337"/>
    <w:rsid w:val="00A91773"/>
    <w:rsid w:val="00A91DB1"/>
    <w:rsid w:val="00A91E59"/>
    <w:rsid w:val="00A92D51"/>
    <w:rsid w:val="00A93C68"/>
    <w:rsid w:val="00A93C8E"/>
    <w:rsid w:val="00A93D3E"/>
    <w:rsid w:val="00A93E13"/>
    <w:rsid w:val="00A93F28"/>
    <w:rsid w:val="00A94D6A"/>
    <w:rsid w:val="00A94F8C"/>
    <w:rsid w:val="00A94FD5"/>
    <w:rsid w:val="00A959BD"/>
    <w:rsid w:val="00A95A73"/>
    <w:rsid w:val="00A95F28"/>
    <w:rsid w:val="00A96B9F"/>
    <w:rsid w:val="00A96EFC"/>
    <w:rsid w:val="00A97829"/>
    <w:rsid w:val="00A97A1C"/>
    <w:rsid w:val="00A97DE6"/>
    <w:rsid w:val="00A97ED7"/>
    <w:rsid w:val="00A97F21"/>
    <w:rsid w:val="00AA0195"/>
    <w:rsid w:val="00AA01EF"/>
    <w:rsid w:val="00AA03A0"/>
    <w:rsid w:val="00AA0DCF"/>
    <w:rsid w:val="00AA18CA"/>
    <w:rsid w:val="00AA194D"/>
    <w:rsid w:val="00AA1D51"/>
    <w:rsid w:val="00AA2083"/>
    <w:rsid w:val="00AA3484"/>
    <w:rsid w:val="00AA3A0C"/>
    <w:rsid w:val="00AA3A48"/>
    <w:rsid w:val="00AA3C05"/>
    <w:rsid w:val="00AA3C3A"/>
    <w:rsid w:val="00AA4267"/>
    <w:rsid w:val="00AA462A"/>
    <w:rsid w:val="00AA486F"/>
    <w:rsid w:val="00AA539C"/>
    <w:rsid w:val="00AA55BA"/>
    <w:rsid w:val="00AA5DE9"/>
    <w:rsid w:val="00AA60E5"/>
    <w:rsid w:val="00AA625A"/>
    <w:rsid w:val="00AA69CB"/>
    <w:rsid w:val="00AA6DBA"/>
    <w:rsid w:val="00AA7307"/>
    <w:rsid w:val="00AA734B"/>
    <w:rsid w:val="00AA73DF"/>
    <w:rsid w:val="00AA73F1"/>
    <w:rsid w:val="00AA7860"/>
    <w:rsid w:val="00AA7C01"/>
    <w:rsid w:val="00AA7D55"/>
    <w:rsid w:val="00AB1149"/>
    <w:rsid w:val="00AB1710"/>
    <w:rsid w:val="00AB1A19"/>
    <w:rsid w:val="00AB1D61"/>
    <w:rsid w:val="00AB1E11"/>
    <w:rsid w:val="00AB1FC9"/>
    <w:rsid w:val="00AB2311"/>
    <w:rsid w:val="00AB23E0"/>
    <w:rsid w:val="00AB2B78"/>
    <w:rsid w:val="00AB2DE4"/>
    <w:rsid w:val="00AB2F15"/>
    <w:rsid w:val="00AB3764"/>
    <w:rsid w:val="00AB3EAC"/>
    <w:rsid w:val="00AB425F"/>
    <w:rsid w:val="00AB4416"/>
    <w:rsid w:val="00AB45D3"/>
    <w:rsid w:val="00AB45F3"/>
    <w:rsid w:val="00AB47EE"/>
    <w:rsid w:val="00AB48D0"/>
    <w:rsid w:val="00AB4AA7"/>
    <w:rsid w:val="00AB4C89"/>
    <w:rsid w:val="00AB4FE1"/>
    <w:rsid w:val="00AB5516"/>
    <w:rsid w:val="00AB5608"/>
    <w:rsid w:val="00AB5868"/>
    <w:rsid w:val="00AB604B"/>
    <w:rsid w:val="00AB62ED"/>
    <w:rsid w:val="00AB67BF"/>
    <w:rsid w:val="00AB6FDA"/>
    <w:rsid w:val="00AB71D6"/>
    <w:rsid w:val="00AB7538"/>
    <w:rsid w:val="00AB7675"/>
    <w:rsid w:val="00AB7AB1"/>
    <w:rsid w:val="00AB7EE7"/>
    <w:rsid w:val="00AB7F17"/>
    <w:rsid w:val="00AC01B4"/>
    <w:rsid w:val="00AC0239"/>
    <w:rsid w:val="00AC0923"/>
    <w:rsid w:val="00AC093D"/>
    <w:rsid w:val="00AC09C7"/>
    <w:rsid w:val="00AC1005"/>
    <w:rsid w:val="00AC123B"/>
    <w:rsid w:val="00AC1413"/>
    <w:rsid w:val="00AC165A"/>
    <w:rsid w:val="00AC1F0E"/>
    <w:rsid w:val="00AC222F"/>
    <w:rsid w:val="00AC2765"/>
    <w:rsid w:val="00AC3205"/>
    <w:rsid w:val="00AC3206"/>
    <w:rsid w:val="00AC344C"/>
    <w:rsid w:val="00AC3978"/>
    <w:rsid w:val="00AC3A5A"/>
    <w:rsid w:val="00AC3FE7"/>
    <w:rsid w:val="00AC4855"/>
    <w:rsid w:val="00AC4CFD"/>
    <w:rsid w:val="00AC57BE"/>
    <w:rsid w:val="00AC5893"/>
    <w:rsid w:val="00AC5AEB"/>
    <w:rsid w:val="00AC5B06"/>
    <w:rsid w:val="00AC5DD1"/>
    <w:rsid w:val="00AC68E5"/>
    <w:rsid w:val="00AC6B44"/>
    <w:rsid w:val="00AC6D77"/>
    <w:rsid w:val="00AC7545"/>
    <w:rsid w:val="00AC7557"/>
    <w:rsid w:val="00AC7943"/>
    <w:rsid w:val="00AC7E37"/>
    <w:rsid w:val="00AC7FE5"/>
    <w:rsid w:val="00AD07C9"/>
    <w:rsid w:val="00AD0904"/>
    <w:rsid w:val="00AD0BBD"/>
    <w:rsid w:val="00AD19A0"/>
    <w:rsid w:val="00AD1CA3"/>
    <w:rsid w:val="00AD1DE7"/>
    <w:rsid w:val="00AD23B9"/>
    <w:rsid w:val="00AD2965"/>
    <w:rsid w:val="00AD2B23"/>
    <w:rsid w:val="00AD2B27"/>
    <w:rsid w:val="00AD34A8"/>
    <w:rsid w:val="00AD3861"/>
    <w:rsid w:val="00AD38C4"/>
    <w:rsid w:val="00AD3A4B"/>
    <w:rsid w:val="00AD3C01"/>
    <w:rsid w:val="00AD3C0B"/>
    <w:rsid w:val="00AD3FF8"/>
    <w:rsid w:val="00AD41D5"/>
    <w:rsid w:val="00AD48B3"/>
    <w:rsid w:val="00AD4983"/>
    <w:rsid w:val="00AD4B6D"/>
    <w:rsid w:val="00AD4B9C"/>
    <w:rsid w:val="00AD4EFE"/>
    <w:rsid w:val="00AD536A"/>
    <w:rsid w:val="00AD578B"/>
    <w:rsid w:val="00AD5E1F"/>
    <w:rsid w:val="00AD615F"/>
    <w:rsid w:val="00AD6414"/>
    <w:rsid w:val="00AD694D"/>
    <w:rsid w:val="00AD6E9E"/>
    <w:rsid w:val="00AD6FD0"/>
    <w:rsid w:val="00AD7289"/>
    <w:rsid w:val="00AD7516"/>
    <w:rsid w:val="00AD7F84"/>
    <w:rsid w:val="00AE05FE"/>
    <w:rsid w:val="00AE08BA"/>
    <w:rsid w:val="00AE0B53"/>
    <w:rsid w:val="00AE0E25"/>
    <w:rsid w:val="00AE10F2"/>
    <w:rsid w:val="00AE112B"/>
    <w:rsid w:val="00AE13B0"/>
    <w:rsid w:val="00AE142F"/>
    <w:rsid w:val="00AE15B8"/>
    <w:rsid w:val="00AE1738"/>
    <w:rsid w:val="00AE1D9B"/>
    <w:rsid w:val="00AE2021"/>
    <w:rsid w:val="00AE20DC"/>
    <w:rsid w:val="00AE2145"/>
    <w:rsid w:val="00AE23F1"/>
    <w:rsid w:val="00AE2999"/>
    <w:rsid w:val="00AE29D0"/>
    <w:rsid w:val="00AE2A35"/>
    <w:rsid w:val="00AE2A49"/>
    <w:rsid w:val="00AE2D4F"/>
    <w:rsid w:val="00AE2DE6"/>
    <w:rsid w:val="00AE2E38"/>
    <w:rsid w:val="00AE3143"/>
    <w:rsid w:val="00AE3260"/>
    <w:rsid w:val="00AE330C"/>
    <w:rsid w:val="00AE34F2"/>
    <w:rsid w:val="00AE368C"/>
    <w:rsid w:val="00AE3991"/>
    <w:rsid w:val="00AE3CD0"/>
    <w:rsid w:val="00AE3F27"/>
    <w:rsid w:val="00AE4457"/>
    <w:rsid w:val="00AE4509"/>
    <w:rsid w:val="00AE47B0"/>
    <w:rsid w:val="00AE4C1C"/>
    <w:rsid w:val="00AE5014"/>
    <w:rsid w:val="00AE5133"/>
    <w:rsid w:val="00AE5241"/>
    <w:rsid w:val="00AE52A5"/>
    <w:rsid w:val="00AE598E"/>
    <w:rsid w:val="00AE6429"/>
    <w:rsid w:val="00AE67FD"/>
    <w:rsid w:val="00AE68EF"/>
    <w:rsid w:val="00AE6A13"/>
    <w:rsid w:val="00AE7629"/>
    <w:rsid w:val="00AE79EA"/>
    <w:rsid w:val="00AF0017"/>
    <w:rsid w:val="00AF0277"/>
    <w:rsid w:val="00AF112B"/>
    <w:rsid w:val="00AF16C3"/>
    <w:rsid w:val="00AF1C52"/>
    <w:rsid w:val="00AF1D3F"/>
    <w:rsid w:val="00AF234C"/>
    <w:rsid w:val="00AF2561"/>
    <w:rsid w:val="00AF25BB"/>
    <w:rsid w:val="00AF2622"/>
    <w:rsid w:val="00AF287F"/>
    <w:rsid w:val="00AF3241"/>
    <w:rsid w:val="00AF34EF"/>
    <w:rsid w:val="00AF35F6"/>
    <w:rsid w:val="00AF369D"/>
    <w:rsid w:val="00AF36C1"/>
    <w:rsid w:val="00AF3BEF"/>
    <w:rsid w:val="00AF4090"/>
    <w:rsid w:val="00AF4119"/>
    <w:rsid w:val="00AF45E2"/>
    <w:rsid w:val="00AF4656"/>
    <w:rsid w:val="00AF4DF4"/>
    <w:rsid w:val="00AF59FA"/>
    <w:rsid w:val="00AF5F26"/>
    <w:rsid w:val="00AF6277"/>
    <w:rsid w:val="00AF6565"/>
    <w:rsid w:val="00AF67D6"/>
    <w:rsid w:val="00AF6B9B"/>
    <w:rsid w:val="00AF75D4"/>
    <w:rsid w:val="00AF7AF8"/>
    <w:rsid w:val="00AF7F8F"/>
    <w:rsid w:val="00B00356"/>
    <w:rsid w:val="00B004DA"/>
    <w:rsid w:val="00B00709"/>
    <w:rsid w:val="00B00969"/>
    <w:rsid w:val="00B00AEE"/>
    <w:rsid w:val="00B00C55"/>
    <w:rsid w:val="00B01806"/>
    <w:rsid w:val="00B018DE"/>
    <w:rsid w:val="00B01911"/>
    <w:rsid w:val="00B01D8C"/>
    <w:rsid w:val="00B01E83"/>
    <w:rsid w:val="00B022B5"/>
    <w:rsid w:val="00B02963"/>
    <w:rsid w:val="00B02B20"/>
    <w:rsid w:val="00B02CF4"/>
    <w:rsid w:val="00B02D9F"/>
    <w:rsid w:val="00B035F9"/>
    <w:rsid w:val="00B046E9"/>
    <w:rsid w:val="00B04967"/>
    <w:rsid w:val="00B05027"/>
    <w:rsid w:val="00B051B0"/>
    <w:rsid w:val="00B05265"/>
    <w:rsid w:val="00B052EA"/>
    <w:rsid w:val="00B05DB3"/>
    <w:rsid w:val="00B0648E"/>
    <w:rsid w:val="00B0681E"/>
    <w:rsid w:val="00B06854"/>
    <w:rsid w:val="00B069C0"/>
    <w:rsid w:val="00B06F54"/>
    <w:rsid w:val="00B072D4"/>
    <w:rsid w:val="00B0747E"/>
    <w:rsid w:val="00B076C6"/>
    <w:rsid w:val="00B07AD0"/>
    <w:rsid w:val="00B1003E"/>
    <w:rsid w:val="00B104BA"/>
    <w:rsid w:val="00B10778"/>
    <w:rsid w:val="00B10E64"/>
    <w:rsid w:val="00B113DD"/>
    <w:rsid w:val="00B117B2"/>
    <w:rsid w:val="00B124F8"/>
    <w:rsid w:val="00B12E62"/>
    <w:rsid w:val="00B12E9F"/>
    <w:rsid w:val="00B13098"/>
    <w:rsid w:val="00B1353B"/>
    <w:rsid w:val="00B13F08"/>
    <w:rsid w:val="00B13F69"/>
    <w:rsid w:val="00B1414C"/>
    <w:rsid w:val="00B141DA"/>
    <w:rsid w:val="00B1424B"/>
    <w:rsid w:val="00B14794"/>
    <w:rsid w:val="00B14938"/>
    <w:rsid w:val="00B14E16"/>
    <w:rsid w:val="00B14FE5"/>
    <w:rsid w:val="00B159A9"/>
    <w:rsid w:val="00B15D42"/>
    <w:rsid w:val="00B15D8A"/>
    <w:rsid w:val="00B15F83"/>
    <w:rsid w:val="00B165F3"/>
    <w:rsid w:val="00B1697B"/>
    <w:rsid w:val="00B16E80"/>
    <w:rsid w:val="00B17759"/>
    <w:rsid w:val="00B17760"/>
    <w:rsid w:val="00B17990"/>
    <w:rsid w:val="00B17A3B"/>
    <w:rsid w:val="00B17B3D"/>
    <w:rsid w:val="00B17B64"/>
    <w:rsid w:val="00B17D3E"/>
    <w:rsid w:val="00B20696"/>
    <w:rsid w:val="00B2082C"/>
    <w:rsid w:val="00B20A8A"/>
    <w:rsid w:val="00B20F40"/>
    <w:rsid w:val="00B2121B"/>
    <w:rsid w:val="00B2191C"/>
    <w:rsid w:val="00B21A63"/>
    <w:rsid w:val="00B21D36"/>
    <w:rsid w:val="00B22076"/>
    <w:rsid w:val="00B22267"/>
    <w:rsid w:val="00B222EB"/>
    <w:rsid w:val="00B2250E"/>
    <w:rsid w:val="00B22748"/>
    <w:rsid w:val="00B228B5"/>
    <w:rsid w:val="00B2298B"/>
    <w:rsid w:val="00B22BF7"/>
    <w:rsid w:val="00B22C27"/>
    <w:rsid w:val="00B22E9D"/>
    <w:rsid w:val="00B22EFB"/>
    <w:rsid w:val="00B23256"/>
    <w:rsid w:val="00B2334F"/>
    <w:rsid w:val="00B239B5"/>
    <w:rsid w:val="00B24271"/>
    <w:rsid w:val="00B24311"/>
    <w:rsid w:val="00B243CC"/>
    <w:rsid w:val="00B249B2"/>
    <w:rsid w:val="00B24A2B"/>
    <w:rsid w:val="00B24B23"/>
    <w:rsid w:val="00B24D30"/>
    <w:rsid w:val="00B2518F"/>
    <w:rsid w:val="00B254F9"/>
    <w:rsid w:val="00B25CC1"/>
    <w:rsid w:val="00B25F88"/>
    <w:rsid w:val="00B2613F"/>
    <w:rsid w:val="00B26FE7"/>
    <w:rsid w:val="00B275E9"/>
    <w:rsid w:val="00B27634"/>
    <w:rsid w:val="00B27B23"/>
    <w:rsid w:val="00B27E04"/>
    <w:rsid w:val="00B301A2"/>
    <w:rsid w:val="00B3054C"/>
    <w:rsid w:val="00B309B8"/>
    <w:rsid w:val="00B30DF4"/>
    <w:rsid w:val="00B30E02"/>
    <w:rsid w:val="00B31381"/>
    <w:rsid w:val="00B31457"/>
    <w:rsid w:val="00B3172B"/>
    <w:rsid w:val="00B31755"/>
    <w:rsid w:val="00B3185B"/>
    <w:rsid w:val="00B318CD"/>
    <w:rsid w:val="00B31939"/>
    <w:rsid w:val="00B31CF1"/>
    <w:rsid w:val="00B31F2D"/>
    <w:rsid w:val="00B325AF"/>
    <w:rsid w:val="00B329E7"/>
    <w:rsid w:val="00B3348D"/>
    <w:rsid w:val="00B3363F"/>
    <w:rsid w:val="00B33822"/>
    <w:rsid w:val="00B33887"/>
    <w:rsid w:val="00B34A01"/>
    <w:rsid w:val="00B34C22"/>
    <w:rsid w:val="00B34D3D"/>
    <w:rsid w:val="00B34F59"/>
    <w:rsid w:val="00B35179"/>
    <w:rsid w:val="00B35241"/>
    <w:rsid w:val="00B358E3"/>
    <w:rsid w:val="00B35CA8"/>
    <w:rsid w:val="00B35E6C"/>
    <w:rsid w:val="00B35EBE"/>
    <w:rsid w:val="00B369ED"/>
    <w:rsid w:val="00B36DE6"/>
    <w:rsid w:val="00B3744A"/>
    <w:rsid w:val="00B378B8"/>
    <w:rsid w:val="00B37950"/>
    <w:rsid w:val="00B37B3B"/>
    <w:rsid w:val="00B37FA5"/>
    <w:rsid w:val="00B4032D"/>
    <w:rsid w:val="00B404A0"/>
    <w:rsid w:val="00B40543"/>
    <w:rsid w:val="00B408DD"/>
    <w:rsid w:val="00B40992"/>
    <w:rsid w:val="00B40AAC"/>
    <w:rsid w:val="00B40B9E"/>
    <w:rsid w:val="00B40E00"/>
    <w:rsid w:val="00B40EC0"/>
    <w:rsid w:val="00B4131A"/>
    <w:rsid w:val="00B4151C"/>
    <w:rsid w:val="00B415C4"/>
    <w:rsid w:val="00B41A17"/>
    <w:rsid w:val="00B41EE8"/>
    <w:rsid w:val="00B426AA"/>
    <w:rsid w:val="00B4280F"/>
    <w:rsid w:val="00B42879"/>
    <w:rsid w:val="00B42BE3"/>
    <w:rsid w:val="00B43091"/>
    <w:rsid w:val="00B43648"/>
    <w:rsid w:val="00B44ADF"/>
    <w:rsid w:val="00B45237"/>
    <w:rsid w:val="00B45FC7"/>
    <w:rsid w:val="00B4602F"/>
    <w:rsid w:val="00B4621C"/>
    <w:rsid w:val="00B46815"/>
    <w:rsid w:val="00B46A3D"/>
    <w:rsid w:val="00B46C2E"/>
    <w:rsid w:val="00B46FF7"/>
    <w:rsid w:val="00B470FF"/>
    <w:rsid w:val="00B472A2"/>
    <w:rsid w:val="00B4771B"/>
    <w:rsid w:val="00B47AC4"/>
    <w:rsid w:val="00B47F3E"/>
    <w:rsid w:val="00B5072A"/>
    <w:rsid w:val="00B50CFE"/>
    <w:rsid w:val="00B50E79"/>
    <w:rsid w:val="00B51052"/>
    <w:rsid w:val="00B5173C"/>
    <w:rsid w:val="00B518CF"/>
    <w:rsid w:val="00B52146"/>
    <w:rsid w:val="00B52439"/>
    <w:rsid w:val="00B52F88"/>
    <w:rsid w:val="00B53452"/>
    <w:rsid w:val="00B53525"/>
    <w:rsid w:val="00B5352A"/>
    <w:rsid w:val="00B53A55"/>
    <w:rsid w:val="00B53EB7"/>
    <w:rsid w:val="00B54232"/>
    <w:rsid w:val="00B54EC9"/>
    <w:rsid w:val="00B552FA"/>
    <w:rsid w:val="00B5536D"/>
    <w:rsid w:val="00B55616"/>
    <w:rsid w:val="00B5596F"/>
    <w:rsid w:val="00B55AAD"/>
    <w:rsid w:val="00B55E85"/>
    <w:rsid w:val="00B5611F"/>
    <w:rsid w:val="00B57671"/>
    <w:rsid w:val="00B57E7D"/>
    <w:rsid w:val="00B57FB6"/>
    <w:rsid w:val="00B611B8"/>
    <w:rsid w:val="00B614E3"/>
    <w:rsid w:val="00B61C09"/>
    <w:rsid w:val="00B61C73"/>
    <w:rsid w:val="00B61D27"/>
    <w:rsid w:val="00B62150"/>
    <w:rsid w:val="00B62203"/>
    <w:rsid w:val="00B6258E"/>
    <w:rsid w:val="00B62A17"/>
    <w:rsid w:val="00B6380D"/>
    <w:rsid w:val="00B64090"/>
    <w:rsid w:val="00B642D7"/>
    <w:rsid w:val="00B644B0"/>
    <w:rsid w:val="00B64578"/>
    <w:rsid w:val="00B651DE"/>
    <w:rsid w:val="00B657C6"/>
    <w:rsid w:val="00B66796"/>
    <w:rsid w:val="00B66AC2"/>
    <w:rsid w:val="00B6712F"/>
    <w:rsid w:val="00B676CE"/>
    <w:rsid w:val="00B707DE"/>
    <w:rsid w:val="00B70928"/>
    <w:rsid w:val="00B70A3A"/>
    <w:rsid w:val="00B714C0"/>
    <w:rsid w:val="00B71684"/>
    <w:rsid w:val="00B717E8"/>
    <w:rsid w:val="00B71F68"/>
    <w:rsid w:val="00B722B0"/>
    <w:rsid w:val="00B722DA"/>
    <w:rsid w:val="00B7265D"/>
    <w:rsid w:val="00B72A6E"/>
    <w:rsid w:val="00B72C56"/>
    <w:rsid w:val="00B73559"/>
    <w:rsid w:val="00B73799"/>
    <w:rsid w:val="00B73A33"/>
    <w:rsid w:val="00B7435E"/>
    <w:rsid w:val="00B7448D"/>
    <w:rsid w:val="00B747C7"/>
    <w:rsid w:val="00B74928"/>
    <w:rsid w:val="00B74DA1"/>
    <w:rsid w:val="00B7511E"/>
    <w:rsid w:val="00B75750"/>
    <w:rsid w:val="00B75A57"/>
    <w:rsid w:val="00B75B39"/>
    <w:rsid w:val="00B75C3D"/>
    <w:rsid w:val="00B7611D"/>
    <w:rsid w:val="00B7616B"/>
    <w:rsid w:val="00B76394"/>
    <w:rsid w:val="00B7689B"/>
    <w:rsid w:val="00B769E9"/>
    <w:rsid w:val="00B77D47"/>
    <w:rsid w:val="00B77FCE"/>
    <w:rsid w:val="00B805EA"/>
    <w:rsid w:val="00B80677"/>
    <w:rsid w:val="00B80A29"/>
    <w:rsid w:val="00B812C8"/>
    <w:rsid w:val="00B81302"/>
    <w:rsid w:val="00B813E0"/>
    <w:rsid w:val="00B81452"/>
    <w:rsid w:val="00B8191C"/>
    <w:rsid w:val="00B81F35"/>
    <w:rsid w:val="00B82161"/>
    <w:rsid w:val="00B8265E"/>
    <w:rsid w:val="00B83D88"/>
    <w:rsid w:val="00B84304"/>
    <w:rsid w:val="00B8433C"/>
    <w:rsid w:val="00B846B4"/>
    <w:rsid w:val="00B84847"/>
    <w:rsid w:val="00B84BA0"/>
    <w:rsid w:val="00B84BA1"/>
    <w:rsid w:val="00B84CBC"/>
    <w:rsid w:val="00B84CD1"/>
    <w:rsid w:val="00B84D0D"/>
    <w:rsid w:val="00B850C9"/>
    <w:rsid w:val="00B852B4"/>
    <w:rsid w:val="00B85819"/>
    <w:rsid w:val="00B85956"/>
    <w:rsid w:val="00B85B1D"/>
    <w:rsid w:val="00B85FDF"/>
    <w:rsid w:val="00B868A3"/>
    <w:rsid w:val="00B86DDE"/>
    <w:rsid w:val="00B87213"/>
    <w:rsid w:val="00B87244"/>
    <w:rsid w:val="00B87A98"/>
    <w:rsid w:val="00B87B0E"/>
    <w:rsid w:val="00B9030A"/>
    <w:rsid w:val="00B90610"/>
    <w:rsid w:val="00B90AC9"/>
    <w:rsid w:val="00B90D04"/>
    <w:rsid w:val="00B9122E"/>
    <w:rsid w:val="00B91BFA"/>
    <w:rsid w:val="00B926F9"/>
    <w:rsid w:val="00B92D03"/>
    <w:rsid w:val="00B93278"/>
    <w:rsid w:val="00B9335C"/>
    <w:rsid w:val="00B941CA"/>
    <w:rsid w:val="00B94292"/>
    <w:rsid w:val="00B94293"/>
    <w:rsid w:val="00B94555"/>
    <w:rsid w:val="00B94739"/>
    <w:rsid w:val="00B9509A"/>
    <w:rsid w:val="00B953DF"/>
    <w:rsid w:val="00B95471"/>
    <w:rsid w:val="00B9554D"/>
    <w:rsid w:val="00B957CF"/>
    <w:rsid w:val="00B9604B"/>
    <w:rsid w:val="00B960B8"/>
    <w:rsid w:val="00B9632C"/>
    <w:rsid w:val="00B966F5"/>
    <w:rsid w:val="00B96B2B"/>
    <w:rsid w:val="00B96C3F"/>
    <w:rsid w:val="00B9709E"/>
    <w:rsid w:val="00B97B97"/>
    <w:rsid w:val="00BA01AE"/>
    <w:rsid w:val="00BA01EB"/>
    <w:rsid w:val="00BA08C5"/>
    <w:rsid w:val="00BA0BCE"/>
    <w:rsid w:val="00BA1199"/>
    <w:rsid w:val="00BA1427"/>
    <w:rsid w:val="00BA1610"/>
    <w:rsid w:val="00BA1667"/>
    <w:rsid w:val="00BA17EA"/>
    <w:rsid w:val="00BA1A12"/>
    <w:rsid w:val="00BA1BF2"/>
    <w:rsid w:val="00BA2278"/>
    <w:rsid w:val="00BA291E"/>
    <w:rsid w:val="00BA2943"/>
    <w:rsid w:val="00BA2AF1"/>
    <w:rsid w:val="00BA2F69"/>
    <w:rsid w:val="00BA3011"/>
    <w:rsid w:val="00BA31BF"/>
    <w:rsid w:val="00BA3A25"/>
    <w:rsid w:val="00BA484F"/>
    <w:rsid w:val="00BA50B2"/>
    <w:rsid w:val="00BA524B"/>
    <w:rsid w:val="00BA5773"/>
    <w:rsid w:val="00BA59A1"/>
    <w:rsid w:val="00BA6213"/>
    <w:rsid w:val="00BA65DB"/>
    <w:rsid w:val="00BA6C02"/>
    <w:rsid w:val="00BA6C0F"/>
    <w:rsid w:val="00BA7378"/>
    <w:rsid w:val="00BA793E"/>
    <w:rsid w:val="00BB005A"/>
    <w:rsid w:val="00BB00E4"/>
    <w:rsid w:val="00BB063A"/>
    <w:rsid w:val="00BB0913"/>
    <w:rsid w:val="00BB099D"/>
    <w:rsid w:val="00BB099E"/>
    <w:rsid w:val="00BB1522"/>
    <w:rsid w:val="00BB1BB5"/>
    <w:rsid w:val="00BB1BB8"/>
    <w:rsid w:val="00BB1BC5"/>
    <w:rsid w:val="00BB1D9F"/>
    <w:rsid w:val="00BB200C"/>
    <w:rsid w:val="00BB2325"/>
    <w:rsid w:val="00BB296D"/>
    <w:rsid w:val="00BB39B3"/>
    <w:rsid w:val="00BB40B4"/>
    <w:rsid w:val="00BB43D4"/>
    <w:rsid w:val="00BB4848"/>
    <w:rsid w:val="00BB531B"/>
    <w:rsid w:val="00BB550B"/>
    <w:rsid w:val="00BB589C"/>
    <w:rsid w:val="00BB6479"/>
    <w:rsid w:val="00BB6626"/>
    <w:rsid w:val="00BB6C65"/>
    <w:rsid w:val="00BB6C87"/>
    <w:rsid w:val="00BB6CD5"/>
    <w:rsid w:val="00BB6FCD"/>
    <w:rsid w:val="00BB76DC"/>
    <w:rsid w:val="00BB7B4F"/>
    <w:rsid w:val="00BC01D9"/>
    <w:rsid w:val="00BC08D7"/>
    <w:rsid w:val="00BC146A"/>
    <w:rsid w:val="00BC180C"/>
    <w:rsid w:val="00BC19C4"/>
    <w:rsid w:val="00BC1C0C"/>
    <w:rsid w:val="00BC1D65"/>
    <w:rsid w:val="00BC24B1"/>
    <w:rsid w:val="00BC2809"/>
    <w:rsid w:val="00BC3255"/>
    <w:rsid w:val="00BC32CF"/>
    <w:rsid w:val="00BC3347"/>
    <w:rsid w:val="00BC349B"/>
    <w:rsid w:val="00BC3CB5"/>
    <w:rsid w:val="00BC48C4"/>
    <w:rsid w:val="00BC4B49"/>
    <w:rsid w:val="00BC5244"/>
    <w:rsid w:val="00BC5A3B"/>
    <w:rsid w:val="00BC5A4B"/>
    <w:rsid w:val="00BC5A99"/>
    <w:rsid w:val="00BC5CBC"/>
    <w:rsid w:val="00BC6034"/>
    <w:rsid w:val="00BC617D"/>
    <w:rsid w:val="00BC7803"/>
    <w:rsid w:val="00BC7AFF"/>
    <w:rsid w:val="00BD021B"/>
    <w:rsid w:val="00BD02AE"/>
    <w:rsid w:val="00BD04BD"/>
    <w:rsid w:val="00BD076C"/>
    <w:rsid w:val="00BD09EF"/>
    <w:rsid w:val="00BD0B52"/>
    <w:rsid w:val="00BD12C2"/>
    <w:rsid w:val="00BD1E99"/>
    <w:rsid w:val="00BD1F75"/>
    <w:rsid w:val="00BD270A"/>
    <w:rsid w:val="00BD2C99"/>
    <w:rsid w:val="00BD30DB"/>
    <w:rsid w:val="00BD3178"/>
    <w:rsid w:val="00BD337D"/>
    <w:rsid w:val="00BD3435"/>
    <w:rsid w:val="00BD3478"/>
    <w:rsid w:val="00BD35FF"/>
    <w:rsid w:val="00BD4F62"/>
    <w:rsid w:val="00BD5DA3"/>
    <w:rsid w:val="00BD5DEC"/>
    <w:rsid w:val="00BD659A"/>
    <w:rsid w:val="00BD65DA"/>
    <w:rsid w:val="00BD65FD"/>
    <w:rsid w:val="00BD68C8"/>
    <w:rsid w:val="00BD6DDA"/>
    <w:rsid w:val="00BD6E42"/>
    <w:rsid w:val="00BD6E9C"/>
    <w:rsid w:val="00BD7117"/>
    <w:rsid w:val="00BD7252"/>
    <w:rsid w:val="00BD7A92"/>
    <w:rsid w:val="00BD7E29"/>
    <w:rsid w:val="00BE02FC"/>
    <w:rsid w:val="00BE0747"/>
    <w:rsid w:val="00BE0876"/>
    <w:rsid w:val="00BE161C"/>
    <w:rsid w:val="00BE188C"/>
    <w:rsid w:val="00BE1C48"/>
    <w:rsid w:val="00BE233A"/>
    <w:rsid w:val="00BE2BBB"/>
    <w:rsid w:val="00BE3230"/>
    <w:rsid w:val="00BE3BAA"/>
    <w:rsid w:val="00BE3C51"/>
    <w:rsid w:val="00BE3DA1"/>
    <w:rsid w:val="00BE41F4"/>
    <w:rsid w:val="00BE45F0"/>
    <w:rsid w:val="00BE47A2"/>
    <w:rsid w:val="00BE49E4"/>
    <w:rsid w:val="00BE4B76"/>
    <w:rsid w:val="00BE4DAD"/>
    <w:rsid w:val="00BE4E05"/>
    <w:rsid w:val="00BE525C"/>
    <w:rsid w:val="00BE529C"/>
    <w:rsid w:val="00BE5A13"/>
    <w:rsid w:val="00BE6667"/>
    <w:rsid w:val="00BE6B3B"/>
    <w:rsid w:val="00BE6D91"/>
    <w:rsid w:val="00BE70D0"/>
    <w:rsid w:val="00BE75DA"/>
    <w:rsid w:val="00BF020D"/>
    <w:rsid w:val="00BF0695"/>
    <w:rsid w:val="00BF0F71"/>
    <w:rsid w:val="00BF1115"/>
    <w:rsid w:val="00BF14C6"/>
    <w:rsid w:val="00BF1640"/>
    <w:rsid w:val="00BF183B"/>
    <w:rsid w:val="00BF19EB"/>
    <w:rsid w:val="00BF1D08"/>
    <w:rsid w:val="00BF22B1"/>
    <w:rsid w:val="00BF22BD"/>
    <w:rsid w:val="00BF24D4"/>
    <w:rsid w:val="00BF27AA"/>
    <w:rsid w:val="00BF2A9D"/>
    <w:rsid w:val="00BF2B94"/>
    <w:rsid w:val="00BF2EC5"/>
    <w:rsid w:val="00BF3030"/>
    <w:rsid w:val="00BF4057"/>
    <w:rsid w:val="00BF4AAB"/>
    <w:rsid w:val="00BF4ED8"/>
    <w:rsid w:val="00BF509E"/>
    <w:rsid w:val="00BF560E"/>
    <w:rsid w:val="00BF5A9C"/>
    <w:rsid w:val="00BF5C6E"/>
    <w:rsid w:val="00BF634C"/>
    <w:rsid w:val="00BF6714"/>
    <w:rsid w:val="00BF6C09"/>
    <w:rsid w:val="00BF7237"/>
    <w:rsid w:val="00BF777D"/>
    <w:rsid w:val="00BF789F"/>
    <w:rsid w:val="00C00ED2"/>
    <w:rsid w:val="00C00F5C"/>
    <w:rsid w:val="00C013F1"/>
    <w:rsid w:val="00C01453"/>
    <w:rsid w:val="00C0196B"/>
    <w:rsid w:val="00C01EE5"/>
    <w:rsid w:val="00C021E3"/>
    <w:rsid w:val="00C022BD"/>
    <w:rsid w:val="00C02FE8"/>
    <w:rsid w:val="00C0313B"/>
    <w:rsid w:val="00C0325B"/>
    <w:rsid w:val="00C03598"/>
    <w:rsid w:val="00C035B3"/>
    <w:rsid w:val="00C03DED"/>
    <w:rsid w:val="00C04222"/>
    <w:rsid w:val="00C0448C"/>
    <w:rsid w:val="00C046D0"/>
    <w:rsid w:val="00C048BB"/>
    <w:rsid w:val="00C04A96"/>
    <w:rsid w:val="00C0508E"/>
    <w:rsid w:val="00C050FD"/>
    <w:rsid w:val="00C05378"/>
    <w:rsid w:val="00C057B0"/>
    <w:rsid w:val="00C057E0"/>
    <w:rsid w:val="00C05AA2"/>
    <w:rsid w:val="00C05D2F"/>
    <w:rsid w:val="00C05E81"/>
    <w:rsid w:val="00C05F62"/>
    <w:rsid w:val="00C06365"/>
    <w:rsid w:val="00C063AA"/>
    <w:rsid w:val="00C06450"/>
    <w:rsid w:val="00C06970"/>
    <w:rsid w:val="00C06ABB"/>
    <w:rsid w:val="00C06B72"/>
    <w:rsid w:val="00C06F05"/>
    <w:rsid w:val="00C07124"/>
    <w:rsid w:val="00C07A97"/>
    <w:rsid w:val="00C07CF4"/>
    <w:rsid w:val="00C07D81"/>
    <w:rsid w:val="00C100D8"/>
    <w:rsid w:val="00C1039D"/>
    <w:rsid w:val="00C10C94"/>
    <w:rsid w:val="00C11017"/>
    <w:rsid w:val="00C11175"/>
    <w:rsid w:val="00C1174E"/>
    <w:rsid w:val="00C119B7"/>
    <w:rsid w:val="00C11C30"/>
    <w:rsid w:val="00C11FE3"/>
    <w:rsid w:val="00C120B4"/>
    <w:rsid w:val="00C1210E"/>
    <w:rsid w:val="00C12BA0"/>
    <w:rsid w:val="00C12BBA"/>
    <w:rsid w:val="00C12CCC"/>
    <w:rsid w:val="00C13381"/>
    <w:rsid w:val="00C13728"/>
    <w:rsid w:val="00C13DD1"/>
    <w:rsid w:val="00C1418E"/>
    <w:rsid w:val="00C1433A"/>
    <w:rsid w:val="00C14BBC"/>
    <w:rsid w:val="00C14C99"/>
    <w:rsid w:val="00C14E6E"/>
    <w:rsid w:val="00C15030"/>
    <w:rsid w:val="00C15391"/>
    <w:rsid w:val="00C156CE"/>
    <w:rsid w:val="00C15752"/>
    <w:rsid w:val="00C15873"/>
    <w:rsid w:val="00C15CED"/>
    <w:rsid w:val="00C15F87"/>
    <w:rsid w:val="00C1632A"/>
    <w:rsid w:val="00C16597"/>
    <w:rsid w:val="00C17192"/>
    <w:rsid w:val="00C17258"/>
    <w:rsid w:val="00C17320"/>
    <w:rsid w:val="00C173D5"/>
    <w:rsid w:val="00C17446"/>
    <w:rsid w:val="00C17729"/>
    <w:rsid w:val="00C17C3C"/>
    <w:rsid w:val="00C17CA4"/>
    <w:rsid w:val="00C2085B"/>
    <w:rsid w:val="00C2093C"/>
    <w:rsid w:val="00C21151"/>
    <w:rsid w:val="00C21311"/>
    <w:rsid w:val="00C2150F"/>
    <w:rsid w:val="00C21741"/>
    <w:rsid w:val="00C21E9C"/>
    <w:rsid w:val="00C2229F"/>
    <w:rsid w:val="00C22A7C"/>
    <w:rsid w:val="00C22B86"/>
    <w:rsid w:val="00C22BB7"/>
    <w:rsid w:val="00C22D01"/>
    <w:rsid w:val="00C22DA2"/>
    <w:rsid w:val="00C22FF7"/>
    <w:rsid w:val="00C2343F"/>
    <w:rsid w:val="00C239E4"/>
    <w:rsid w:val="00C23A18"/>
    <w:rsid w:val="00C23A1A"/>
    <w:rsid w:val="00C24178"/>
    <w:rsid w:val="00C24DDD"/>
    <w:rsid w:val="00C24F11"/>
    <w:rsid w:val="00C251E9"/>
    <w:rsid w:val="00C25453"/>
    <w:rsid w:val="00C2548F"/>
    <w:rsid w:val="00C255D6"/>
    <w:rsid w:val="00C25636"/>
    <w:rsid w:val="00C26052"/>
    <w:rsid w:val="00C262F8"/>
    <w:rsid w:val="00C26555"/>
    <w:rsid w:val="00C2655E"/>
    <w:rsid w:val="00C26864"/>
    <w:rsid w:val="00C269DD"/>
    <w:rsid w:val="00C26E94"/>
    <w:rsid w:val="00C2717E"/>
    <w:rsid w:val="00C278E7"/>
    <w:rsid w:val="00C27A71"/>
    <w:rsid w:val="00C27A87"/>
    <w:rsid w:val="00C27C61"/>
    <w:rsid w:val="00C303B8"/>
    <w:rsid w:val="00C30584"/>
    <w:rsid w:val="00C30CE9"/>
    <w:rsid w:val="00C30F6B"/>
    <w:rsid w:val="00C312BF"/>
    <w:rsid w:val="00C315F1"/>
    <w:rsid w:val="00C3173A"/>
    <w:rsid w:val="00C318E2"/>
    <w:rsid w:val="00C31E8E"/>
    <w:rsid w:val="00C31F61"/>
    <w:rsid w:val="00C322D7"/>
    <w:rsid w:val="00C32C1C"/>
    <w:rsid w:val="00C33172"/>
    <w:rsid w:val="00C33487"/>
    <w:rsid w:val="00C3352C"/>
    <w:rsid w:val="00C33694"/>
    <w:rsid w:val="00C339AE"/>
    <w:rsid w:val="00C33BCD"/>
    <w:rsid w:val="00C33BD2"/>
    <w:rsid w:val="00C33DF0"/>
    <w:rsid w:val="00C33F47"/>
    <w:rsid w:val="00C344AA"/>
    <w:rsid w:val="00C348FB"/>
    <w:rsid w:val="00C34B54"/>
    <w:rsid w:val="00C350CD"/>
    <w:rsid w:val="00C354D9"/>
    <w:rsid w:val="00C355F6"/>
    <w:rsid w:val="00C35726"/>
    <w:rsid w:val="00C366AC"/>
    <w:rsid w:val="00C36704"/>
    <w:rsid w:val="00C367AC"/>
    <w:rsid w:val="00C36971"/>
    <w:rsid w:val="00C369F7"/>
    <w:rsid w:val="00C36AD6"/>
    <w:rsid w:val="00C3728D"/>
    <w:rsid w:val="00C372EF"/>
    <w:rsid w:val="00C374C2"/>
    <w:rsid w:val="00C37918"/>
    <w:rsid w:val="00C37FC6"/>
    <w:rsid w:val="00C401AB"/>
    <w:rsid w:val="00C4045B"/>
    <w:rsid w:val="00C40991"/>
    <w:rsid w:val="00C40B07"/>
    <w:rsid w:val="00C413E1"/>
    <w:rsid w:val="00C41D18"/>
    <w:rsid w:val="00C41E8B"/>
    <w:rsid w:val="00C423F6"/>
    <w:rsid w:val="00C4266B"/>
    <w:rsid w:val="00C42A87"/>
    <w:rsid w:val="00C432A0"/>
    <w:rsid w:val="00C435AF"/>
    <w:rsid w:val="00C43647"/>
    <w:rsid w:val="00C43ACB"/>
    <w:rsid w:val="00C4400C"/>
    <w:rsid w:val="00C44070"/>
    <w:rsid w:val="00C44404"/>
    <w:rsid w:val="00C4479F"/>
    <w:rsid w:val="00C45437"/>
    <w:rsid w:val="00C45602"/>
    <w:rsid w:val="00C45642"/>
    <w:rsid w:val="00C45DB2"/>
    <w:rsid w:val="00C46AC0"/>
    <w:rsid w:val="00C46EBF"/>
    <w:rsid w:val="00C47138"/>
    <w:rsid w:val="00C4760D"/>
    <w:rsid w:val="00C4772A"/>
    <w:rsid w:val="00C47AA9"/>
    <w:rsid w:val="00C47F01"/>
    <w:rsid w:val="00C47F2B"/>
    <w:rsid w:val="00C5065E"/>
    <w:rsid w:val="00C50675"/>
    <w:rsid w:val="00C50865"/>
    <w:rsid w:val="00C5158B"/>
    <w:rsid w:val="00C51C7F"/>
    <w:rsid w:val="00C5241A"/>
    <w:rsid w:val="00C52A5E"/>
    <w:rsid w:val="00C52AC9"/>
    <w:rsid w:val="00C52CA7"/>
    <w:rsid w:val="00C5331A"/>
    <w:rsid w:val="00C533D4"/>
    <w:rsid w:val="00C5369D"/>
    <w:rsid w:val="00C538F5"/>
    <w:rsid w:val="00C53D9C"/>
    <w:rsid w:val="00C53FE4"/>
    <w:rsid w:val="00C550DF"/>
    <w:rsid w:val="00C56E2F"/>
    <w:rsid w:val="00C56E9A"/>
    <w:rsid w:val="00C5702E"/>
    <w:rsid w:val="00C57069"/>
    <w:rsid w:val="00C5710E"/>
    <w:rsid w:val="00C5728D"/>
    <w:rsid w:val="00C574AD"/>
    <w:rsid w:val="00C57885"/>
    <w:rsid w:val="00C57A32"/>
    <w:rsid w:val="00C57C61"/>
    <w:rsid w:val="00C57D2F"/>
    <w:rsid w:val="00C57FB6"/>
    <w:rsid w:val="00C60757"/>
    <w:rsid w:val="00C60854"/>
    <w:rsid w:val="00C6093B"/>
    <w:rsid w:val="00C60C40"/>
    <w:rsid w:val="00C60E8F"/>
    <w:rsid w:val="00C61B80"/>
    <w:rsid w:val="00C61E0A"/>
    <w:rsid w:val="00C61EAD"/>
    <w:rsid w:val="00C62134"/>
    <w:rsid w:val="00C62CE1"/>
    <w:rsid w:val="00C63395"/>
    <w:rsid w:val="00C639ED"/>
    <w:rsid w:val="00C640B7"/>
    <w:rsid w:val="00C6469C"/>
    <w:rsid w:val="00C64784"/>
    <w:rsid w:val="00C647E6"/>
    <w:rsid w:val="00C64A59"/>
    <w:rsid w:val="00C64BA0"/>
    <w:rsid w:val="00C64DEA"/>
    <w:rsid w:val="00C65077"/>
    <w:rsid w:val="00C6519C"/>
    <w:rsid w:val="00C6523E"/>
    <w:rsid w:val="00C653B2"/>
    <w:rsid w:val="00C65AED"/>
    <w:rsid w:val="00C65BFB"/>
    <w:rsid w:val="00C65C47"/>
    <w:rsid w:val="00C65EFA"/>
    <w:rsid w:val="00C6699F"/>
    <w:rsid w:val="00C66A18"/>
    <w:rsid w:val="00C66FB1"/>
    <w:rsid w:val="00C67958"/>
    <w:rsid w:val="00C679CE"/>
    <w:rsid w:val="00C67A75"/>
    <w:rsid w:val="00C706C6"/>
    <w:rsid w:val="00C7130F"/>
    <w:rsid w:val="00C716DE"/>
    <w:rsid w:val="00C717CE"/>
    <w:rsid w:val="00C71E97"/>
    <w:rsid w:val="00C722B3"/>
    <w:rsid w:val="00C73094"/>
    <w:rsid w:val="00C73A88"/>
    <w:rsid w:val="00C74560"/>
    <w:rsid w:val="00C753C6"/>
    <w:rsid w:val="00C755A8"/>
    <w:rsid w:val="00C75E00"/>
    <w:rsid w:val="00C76379"/>
    <w:rsid w:val="00C76800"/>
    <w:rsid w:val="00C7695D"/>
    <w:rsid w:val="00C76A58"/>
    <w:rsid w:val="00C76C82"/>
    <w:rsid w:val="00C76D38"/>
    <w:rsid w:val="00C7719C"/>
    <w:rsid w:val="00C77E3E"/>
    <w:rsid w:val="00C800EF"/>
    <w:rsid w:val="00C8019A"/>
    <w:rsid w:val="00C80347"/>
    <w:rsid w:val="00C805B0"/>
    <w:rsid w:val="00C807B9"/>
    <w:rsid w:val="00C80F99"/>
    <w:rsid w:val="00C81237"/>
    <w:rsid w:val="00C81CD3"/>
    <w:rsid w:val="00C81ED9"/>
    <w:rsid w:val="00C82098"/>
    <w:rsid w:val="00C8214E"/>
    <w:rsid w:val="00C823CA"/>
    <w:rsid w:val="00C825B7"/>
    <w:rsid w:val="00C82774"/>
    <w:rsid w:val="00C82A17"/>
    <w:rsid w:val="00C82D1A"/>
    <w:rsid w:val="00C82ED6"/>
    <w:rsid w:val="00C83073"/>
    <w:rsid w:val="00C83401"/>
    <w:rsid w:val="00C83587"/>
    <w:rsid w:val="00C84579"/>
    <w:rsid w:val="00C845F7"/>
    <w:rsid w:val="00C848FF"/>
    <w:rsid w:val="00C8491A"/>
    <w:rsid w:val="00C849F4"/>
    <w:rsid w:val="00C85086"/>
    <w:rsid w:val="00C85422"/>
    <w:rsid w:val="00C857BA"/>
    <w:rsid w:val="00C857EB"/>
    <w:rsid w:val="00C859AE"/>
    <w:rsid w:val="00C86373"/>
    <w:rsid w:val="00C86394"/>
    <w:rsid w:val="00C8664A"/>
    <w:rsid w:val="00C866E9"/>
    <w:rsid w:val="00C86DA7"/>
    <w:rsid w:val="00C875F8"/>
    <w:rsid w:val="00C875FB"/>
    <w:rsid w:val="00C87791"/>
    <w:rsid w:val="00C90091"/>
    <w:rsid w:val="00C90263"/>
    <w:rsid w:val="00C911E6"/>
    <w:rsid w:val="00C91F21"/>
    <w:rsid w:val="00C92058"/>
    <w:rsid w:val="00C923E7"/>
    <w:rsid w:val="00C92496"/>
    <w:rsid w:val="00C9264F"/>
    <w:rsid w:val="00C9284D"/>
    <w:rsid w:val="00C92A8A"/>
    <w:rsid w:val="00C92D0A"/>
    <w:rsid w:val="00C92EEA"/>
    <w:rsid w:val="00C92F41"/>
    <w:rsid w:val="00C93C1D"/>
    <w:rsid w:val="00C93D00"/>
    <w:rsid w:val="00C94188"/>
    <w:rsid w:val="00C944C3"/>
    <w:rsid w:val="00C947E2"/>
    <w:rsid w:val="00C94840"/>
    <w:rsid w:val="00C94A2B"/>
    <w:rsid w:val="00C94EEA"/>
    <w:rsid w:val="00C952AF"/>
    <w:rsid w:val="00C95625"/>
    <w:rsid w:val="00C95787"/>
    <w:rsid w:val="00C957FC"/>
    <w:rsid w:val="00C95C64"/>
    <w:rsid w:val="00C96DBE"/>
    <w:rsid w:val="00C97254"/>
    <w:rsid w:val="00C97791"/>
    <w:rsid w:val="00C9799E"/>
    <w:rsid w:val="00C97F62"/>
    <w:rsid w:val="00C97F7F"/>
    <w:rsid w:val="00CA084E"/>
    <w:rsid w:val="00CA08AF"/>
    <w:rsid w:val="00CA0E8E"/>
    <w:rsid w:val="00CA1824"/>
    <w:rsid w:val="00CA23C3"/>
    <w:rsid w:val="00CA23D0"/>
    <w:rsid w:val="00CA25E5"/>
    <w:rsid w:val="00CA29A5"/>
    <w:rsid w:val="00CA2AA0"/>
    <w:rsid w:val="00CA2D59"/>
    <w:rsid w:val="00CA308F"/>
    <w:rsid w:val="00CA3417"/>
    <w:rsid w:val="00CA351D"/>
    <w:rsid w:val="00CA3630"/>
    <w:rsid w:val="00CA40D3"/>
    <w:rsid w:val="00CA4FE8"/>
    <w:rsid w:val="00CA50FE"/>
    <w:rsid w:val="00CA5138"/>
    <w:rsid w:val="00CA558C"/>
    <w:rsid w:val="00CA572F"/>
    <w:rsid w:val="00CA58C6"/>
    <w:rsid w:val="00CA613C"/>
    <w:rsid w:val="00CA67CE"/>
    <w:rsid w:val="00CA6873"/>
    <w:rsid w:val="00CA68C5"/>
    <w:rsid w:val="00CA6932"/>
    <w:rsid w:val="00CA6B1B"/>
    <w:rsid w:val="00CA6BA8"/>
    <w:rsid w:val="00CA6C23"/>
    <w:rsid w:val="00CA6FAE"/>
    <w:rsid w:val="00CA722A"/>
    <w:rsid w:val="00CA755D"/>
    <w:rsid w:val="00CA7685"/>
    <w:rsid w:val="00CA77E7"/>
    <w:rsid w:val="00CA7C75"/>
    <w:rsid w:val="00CB0871"/>
    <w:rsid w:val="00CB0BE9"/>
    <w:rsid w:val="00CB1A30"/>
    <w:rsid w:val="00CB2AEF"/>
    <w:rsid w:val="00CB2F2E"/>
    <w:rsid w:val="00CB35CC"/>
    <w:rsid w:val="00CB3B84"/>
    <w:rsid w:val="00CB4B55"/>
    <w:rsid w:val="00CB4C54"/>
    <w:rsid w:val="00CB5A5A"/>
    <w:rsid w:val="00CB635F"/>
    <w:rsid w:val="00CB639C"/>
    <w:rsid w:val="00CB679B"/>
    <w:rsid w:val="00CB7019"/>
    <w:rsid w:val="00CB766B"/>
    <w:rsid w:val="00CB7957"/>
    <w:rsid w:val="00CB7A74"/>
    <w:rsid w:val="00CB7C75"/>
    <w:rsid w:val="00CB7D58"/>
    <w:rsid w:val="00CB7DDF"/>
    <w:rsid w:val="00CC0466"/>
    <w:rsid w:val="00CC15D8"/>
    <w:rsid w:val="00CC1F5C"/>
    <w:rsid w:val="00CC20B0"/>
    <w:rsid w:val="00CC25BC"/>
    <w:rsid w:val="00CC2B3A"/>
    <w:rsid w:val="00CC2C4D"/>
    <w:rsid w:val="00CC2D63"/>
    <w:rsid w:val="00CC2F55"/>
    <w:rsid w:val="00CC3149"/>
    <w:rsid w:val="00CC3935"/>
    <w:rsid w:val="00CC3AEC"/>
    <w:rsid w:val="00CC3B1D"/>
    <w:rsid w:val="00CC3BFC"/>
    <w:rsid w:val="00CC3D16"/>
    <w:rsid w:val="00CC3E4B"/>
    <w:rsid w:val="00CC4576"/>
    <w:rsid w:val="00CC4B2B"/>
    <w:rsid w:val="00CC511D"/>
    <w:rsid w:val="00CC545B"/>
    <w:rsid w:val="00CC5A9D"/>
    <w:rsid w:val="00CC5AA9"/>
    <w:rsid w:val="00CC6428"/>
    <w:rsid w:val="00CC6A46"/>
    <w:rsid w:val="00CC6B8E"/>
    <w:rsid w:val="00CC6BB7"/>
    <w:rsid w:val="00CC7105"/>
    <w:rsid w:val="00CC720A"/>
    <w:rsid w:val="00CC751D"/>
    <w:rsid w:val="00CC79C6"/>
    <w:rsid w:val="00CC7B93"/>
    <w:rsid w:val="00CD067D"/>
    <w:rsid w:val="00CD0882"/>
    <w:rsid w:val="00CD0F6C"/>
    <w:rsid w:val="00CD168F"/>
    <w:rsid w:val="00CD16F0"/>
    <w:rsid w:val="00CD196D"/>
    <w:rsid w:val="00CD2867"/>
    <w:rsid w:val="00CD2B33"/>
    <w:rsid w:val="00CD2F4C"/>
    <w:rsid w:val="00CD310A"/>
    <w:rsid w:val="00CD3F8F"/>
    <w:rsid w:val="00CD4D06"/>
    <w:rsid w:val="00CD4DDF"/>
    <w:rsid w:val="00CD4ECD"/>
    <w:rsid w:val="00CD4F92"/>
    <w:rsid w:val="00CD5961"/>
    <w:rsid w:val="00CD5B76"/>
    <w:rsid w:val="00CD6156"/>
    <w:rsid w:val="00CD6549"/>
    <w:rsid w:val="00CD68FD"/>
    <w:rsid w:val="00CD6E3F"/>
    <w:rsid w:val="00CD6EEC"/>
    <w:rsid w:val="00CD6FF6"/>
    <w:rsid w:val="00CD70C2"/>
    <w:rsid w:val="00CD74D6"/>
    <w:rsid w:val="00CD7672"/>
    <w:rsid w:val="00CD77D4"/>
    <w:rsid w:val="00CD79E6"/>
    <w:rsid w:val="00CE0D29"/>
    <w:rsid w:val="00CE0E60"/>
    <w:rsid w:val="00CE0F23"/>
    <w:rsid w:val="00CE1F91"/>
    <w:rsid w:val="00CE26A3"/>
    <w:rsid w:val="00CE282C"/>
    <w:rsid w:val="00CE2BA0"/>
    <w:rsid w:val="00CE2C19"/>
    <w:rsid w:val="00CE306B"/>
    <w:rsid w:val="00CE30D5"/>
    <w:rsid w:val="00CE33E2"/>
    <w:rsid w:val="00CE395D"/>
    <w:rsid w:val="00CE3A32"/>
    <w:rsid w:val="00CE3B7C"/>
    <w:rsid w:val="00CE4434"/>
    <w:rsid w:val="00CE4644"/>
    <w:rsid w:val="00CE50E1"/>
    <w:rsid w:val="00CE53DF"/>
    <w:rsid w:val="00CE546B"/>
    <w:rsid w:val="00CE5706"/>
    <w:rsid w:val="00CE58AB"/>
    <w:rsid w:val="00CE5ECE"/>
    <w:rsid w:val="00CE6072"/>
    <w:rsid w:val="00CE62A0"/>
    <w:rsid w:val="00CE63BE"/>
    <w:rsid w:val="00CE67C5"/>
    <w:rsid w:val="00CE68B5"/>
    <w:rsid w:val="00CE6B93"/>
    <w:rsid w:val="00CE7023"/>
    <w:rsid w:val="00CE78DB"/>
    <w:rsid w:val="00CF0424"/>
    <w:rsid w:val="00CF06B3"/>
    <w:rsid w:val="00CF0D6D"/>
    <w:rsid w:val="00CF0F28"/>
    <w:rsid w:val="00CF0F2B"/>
    <w:rsid w:val="00CF1962"/>
    <w:rsid w:val="00CF19EC"/>
    <w:rsid w:val="00CF1D1F"/>
    <w:rsid w:val="00CF2395"/>
    <w:rsid w:val="00CF26FE"/>
    <w:rsid w:val="00CF2792"/>
    <w:rsid w:val="00CF283E"/>
    <w:rsid w:val="00CF314B"/>
    <w:rsid w:val="00CF3157"/>
    <w:rsid w:val="00CF36FC"/>
    <w:rsid w:val="00CF3C53"/>
    <w:rsid w:val="00CF3DBD"/>
    <w:rsid w:val="00CF46ED"/>
    <w:rsid w:val="00CF4A54"/>
    <w:rsid w:val="00CF5031"/>
    <w:rsid w:val="00CF5270"/>
    <w:rsid w:val="00CF5867"/>
    <w:rsid w:val="00CF5AE5"/>
    <w:rsid w:val="00CF5BEE"/>
    <w:rsid w:val="00CF5F77"/>
    <w:rsid w:val="00CF658A"/>
    <w:rsid w:val="00CF6A65"/>
    <w:rsid w:val="00CF6E88"/>
    <w:rsid w:val="00CF71C4"/>
    <w:rsid w:val="00CF76B1"/>
    <w:rsid w:val="00CF7FE9"/>
    <w:rsid w:val="00D00131"/>
    <w:rsid w:val="00D0029F"/>
    <w:rsid w:val="00D009F9"/>
    <w:rsid w:val="00D01019"/>
    <w:rsid w:val="00D02B76"/>
    <w:rsid w:val="00D02B8E"/>
    <w:rsid w:val="00D031C8"/>
    <w:rsid w:val="00D036E9"/>
    <w:rsid w:val="00D03B9C"/>
    <w:rsid w:val="00D03C1F"/>
    <w:rsid w:val="00D03D47"/>
    <w:rsid w:val="00D047C2"/>
    <w:rsid w:val="00D0509E"/>
    <w:rsid w:val="00D0539D"/>
    <w:rsid w:val="00D055DF"/>
    <w:rsid w:val="00D056D5"/>
    <w:rsid w:val="00D05C48"/>
    <w:rsid w:val="00D05DCA"/>
    <w:rsid w:val="00D05E01"/>
    <w:rsid w:val="00D05FC5"/>
    <w:rsid w:val="00D0609F"/>
    <w:rsid w:val="00D0686B"/>
    <w:rsid w:val="00D06B60"/>
    <w:rsid w:val="00D06D61"/>
    <w:rsid w:val="00D07308"/>
    <w:rsid w:val="00D0799E"/>
    <w:rsid w:val="00D10982"/>
    <w:rsid w:val="00D109B8"/>
    <w:rsid w:val="00D10C0B"/>
    <w:rsid w:val="00D10C9F"/>
    <w:rsid w:val="00D1100B"/>
    <w:rsid w:val="00D113E6"/>
    <w:rsid w:val="00D11BD3"/>
    <w:rsid w:val="00D12158"/>
    <w:rsid w:val="00D12F66"/>
    <w:rsid w:val="00D13359"/>
    <w:rsid w:val="00D135C3"/>
    <w:rsid w:val="00D13804"/>
    <w:rsid w:val="00D13D0D"/>
    <w:rsid w:val="00D1476A"/>
    <w:rsid w:val="00D149B0"/>
    <w:rsid w:val="00D155F6"/>
    <w:rsid w:val="00D15781"/>
    <w:rsid w:val="00D15E1D"/>
    <w:rsid w:val="00D163F3"/>
    <w:rsid w:val="00D16517"/>
    <w:rsid w:val="00D16565"/>
    <w:rsid w:val="00D16674"/>
    <w:rsid w:val="00D167D1"/>
    <w:rsid w:val="00D16CBF"/>
    <w:rsid w:val="00D16DC7"/>
    <w:rsid w:val="00D1703E"/>
    <w:rsid w:val="00D172AB"/>
    <w:rsid w:val="00D173C2"/>
    <w:rsid w:val="00D17EA8"/>
    <w:rsid w:val="00D20082"/>
    <w:rsid w:val="00D2044F"/>
    <w:rsid w:val="00D204CD"/>
    <w:rsid w:val="00D205F2"/>
    <w:rsid w:val="00D20CFE"/>
    <w:rsid w:val="00D20EF6"/>
    <w:rsid w:val="00D21691"/>
    <w:rsid w:val="00D21901"/>
    <w:rsid w:val="00D2199B"/>
    <w:rsid w:val="00D21AB4"/>
    <w:rsid w:val="00D220FE"/>
    <w:rsid w:val="00D223BF"/>
    <w:rsid w:val="00D229D9"/>
    <w:rsid w:val="00D23506"/>
    <w:rsid w:val="00D23546"/>
    <w:rsid w:val="00D2386A"/>
    <w:rsid w:val="00D2467B"/>
    <w:rsid w:val="00D24BA2"/>
    <w:rsid w:val="00D2571A"/>
    <w:rsid w:val="00D25A39"/>
    <w:rsid w:val="00D25C5A"/>
    <w:rsid w:val="00D25D1F"/>
    <w:rsid w:val="00D266E6"/>
    <w:rsid w:val="00D267AA"/>
    <w:rsid w:val="00D26CB3"/>
    <w:rsid w:val="00D26CF8"/>
    <w:rsid w:val="00D26D12"/>
    <w:rsid w:val="00D26FDA"/>
    <w:rsid w:val="00D272F8"/>
    <w:rsid w:val="00D27767"/>
    <w:rsid w:val="00D30055"/>
    <w:rsid w:val="00D30A18"/>
    <w:rsid w:val="00D30C40"/>
    <w:rsid w:val="00D319DB"/>
    <w:rsid w:val="00D31A37"/>
    <w:rsid w:val="00D31F4E"/>
    <w:rsid w:val="00D32453"/>
    <w:rsid w:val="00D329F3"/>
    <w:rsid w:val="00D32E69"/>
    <w:rsid w:val="00D336CB"/>
    <w:rsid w:val="00D338D1"/>
    <w:rsid w:val="00D33F57"/>
    <w:rsid w:val="00D340A5"/>
    <w:rsid w:val="00D346E3"/>
    <w:rsid w:val="00D3474E"/>
    <w:rsid w:val="00D3476B"/>
    <w:rsid w:val="00D3503F"/>
    <w:rsid w:val="00D35255"/>
    <w:rsid w:val="00D3531C"/>
    <w:rsid w:val="00D35839"/>
    <w:rsid w:val="00D35C62"/>
    <w:rsid w:val="00D35DF7"/>
    <w:rsid w:val="00D35FC5"/>
    <w:rsid w:val="00D368CE"/>
    <w:rsid w:val="00D3695B"/>
    <w:rsid w:val="00D37555"/>
    <w:rsid w:val="00D37674"/>
    <w:rsid w:val="00D37B32"/>
    <w:rsid w:val="00D37E44"/>
    <w:rsid w:val="00D40305"/>
    <w:rsid w:val="00D405AE"/>
    <w:rsid w:val="00D41213"/>
    <w:rsid w:val="00D42092"/>
    <w:rsid w:val="00D42839"/>
    <w:rsid w:val="00D42CBC"/>
    <w:rsid w:val="00D42EC4"/>
    <w:rsid w:val="00D4373D"/>
    <w:rsid w:val="00D43755"/>
    <w:rsid w:val="00D44C9F"/>
    <w:rsid w:val="00D4589C"/>
    <w:rsid w:val="00D45A7C"/>
    <w:rsid w:val="00D45C95"/>
    <w:rsid w:val="00D45E8A"/>
    <w:rsid w:val="00D46510"/>
    <w:rsid w:val="00D46AFF"/>
    <w:rsid w:val="00D46E6F"/>
    <w:rsid w:val="00D46F21"/>
    <w:rsid w:val="00D47002"/>
    <w:rsid w:val="00D474DB"/>
    <w:rsid w:val="00D50514"/>
    <w:rsid w:val="00D50697"/>
    <w:rsid w:val="00D50893"/>
    <w:rsid w:val="00D50A4A"/>
    <w:rsid w:val="00D50D5C"/>
    <w:rsid w:val="00D51129"/>
    <w:rsid w:val="00D51AD1"/>
    <w:rsid w:val="00D51CC5"/>
    <w:rsid w:val="00D51EDE"/>
    <w:rsid w:val="00D523F2"/>
    <w:rsid w:val="00D52480"/>
    <w:rsid w:val="00D5305D"/>
    <w:rsid w:val="00D53603"/>
    <w:rsid w:val="00D53A96"/>
    <w:rsid w:val="00D53BE5"/>
    <w:rsid w:val="00D53C59"/>
    <w:rsid w:val="00D53F22"/>
    <w:rsid w:val="00D540F4"/>
    <w:rsid w:val="00D54169"/>
    <w:rsid w:val="00D54849"/>
    <w:rsid w:val="00D54A5F"/>
    <w:rsid w:val="00D54B4A"/>
    <w:rsid w:val="00D55A5B"/>
    <w:rsid w:val="00D55D17"/>
    <w:rsid w:val="00D55D5D"/>
    <w:rsid w:val="00D5623A"/>
    <w:rsid w:val="00D5632F"/>
    <w:rsid w:val="00D56AE5"/>
    <w:rsid w:val="00D56C98"/>
    <w:rsid w:val="00D57434"/>
    <w:rsid w:val="00D57800"/>
    <w:rsid w:val="00D579B3"/>
    <w:rsid w:val="00D57E2A"/>
    <w:rsid w:val="00D60BFA"/>
    <w:rsid w:val="00D6112F"/>
    <w:rsid w:val="00D61397"/>
    <w:rsid w:val="00D61A8F"/>
    <w:rsid w:val="00D61F38"/>
    <w:rsid w:val="00D62037"/>
    <w:rsid w:val="00D620CC"/>
    <w:rsid w:val="00D622AF"/>
    <w:rsid w:val="00D6263F"/>
    <w:rsid w:val="00D62CD1"/>
    <w:rsid w:val="00D62D3A"/>
    <w:rsid w:val="00D63031"/>
    <w:rsid w:val="00D635DC"/>
    <w:rsid w:val="00D63AD0"/>
    <w:rsid w:val="00D63B02"/>
    <w:rsid w:val="00D63B10"/>
    <w:rsid w:val="00D63BA4"/>
    <w:rsid w:val="00D63D3E"/>
    <w:rsid w:val="00D63E4A"/>
    <w:rsid w:val="00D63F79"/>
    <w:rsid w:val="00D6409B"/>
    <w:rsid w:val="00D64238"/>
    <w:rsid w:val="00D643E8"/>
    <w:rsid w:val="00D64E8B"/>
    <w:rsid w:val="00D64F3E"/>
    <w:rsid w:val="00D6559F"/>
    <w:rsid w:val="00D659BA"/>
    <w:rsid w:val="00D65F6B"/>
    <w:rsid w:val="00D661B6"/>
    <w:rsid w:val="00D665AF"/>
    <w:rsid w:val="00D66C4A"/>
    <w:rsid w:val="00D66F4F"/>
    <w:rsid w:val="00D674A3"/>
    <w:rsid w:val="00D6780E"/>
    <w:rsid w:val="00D6794D"/>
    <w:rsid w:val="00D679EB"/>
    <w:rsid w:val="00D67EC9"/>
    <w:rsid w:val="00D70364"/>
    <w:rsid w:val="00D708B1"/>
    <w:rsid w:val="00D70A60"/>
    <w:rsid w:val="00D70AB8"/>
    <w:rsid w:val="00D70CB4"/>
    <w:rsid w:val="00D70F98"/>
    <w:rsid w:val="00D71504"/>
    <w:rsid w:val="00D721C1"/>
    <w:rsid w:val="00D72890"/>
    <w:rsid w:val="00D7296A"/>
    <w:rsid w:val="00D72DA3"/>
    <w:rsid w:val="00D731F0"/>
    <w:rsid w:val="00D73CDA"/>
    <w:rsid w:val="00D74C41"/>
    <w:rsid w:val="00D75CA4"/>
    <w:rsid w:val="00D75D18"/>
    <w:rsid w:val="00D75D3E"/>
    <w:rsid w:val="00D761A3"/>
    <w:rsid w:val="00D7634E"/>
    <w:rsid w:val="00D763EF"/>
    <w:rsid w:val="00D76DF8"/>
    <w:rsid w:val="00D8030B"/>
    <w:rsid w:val="00D806CD"/>
    <w:rsid w:val="00D807E1"/>
    <w:rsid w:val="00D80ADB"/>
    <w:rsid w:val="00D80C4F"/>
    <w:rsid w:val="00D80DA6"/>
    <w:rsid w:val="00D81323"/>
    <w:rsid w:val="00D81B2D"/>
    <w:rsid w:val="00D81BB3"/>
    <w:rsid w:val="00D82066"/>
    <w:rsid w:val="00D82246"/>
    <w:rsid w:val="00D82309"/>
    <w:rsid w:val="00D83040"/>
    <w:rsid w:val="00D83869"/>
    <w:rsid w:val="00D83A3E"/>
    <w:rsid w:val="00D840FC"/>
    <w:rsid w:val="00D84182"/>
    <w:rsid w:val="00D84767"/>
    <w:rsid w:val="00D84FCD"/>
    <w:rsid w:val="00D852B7"/>
    <w:rsid w:val="00D85FF4"/>
    <w:rsid w:val="00D865B3"/>
    <w:rsid w:val="00D86B88"/>
    <w:rsid w:val="00D86F2C"/>
    <w:rsid w:val="00D87016"/>
    <w:rsid w:val="00D87044"/>
    <w:rsid w:val="00D872D4"/>
    <w:rsid w:val="00D873C4"/>
    <w:rsid w:val="00D87673"/>
    <w:rsid w:val="00D87F0D"/>
    <w:rsid w:val="00D90345"/>
    <w:rsid w:val="00D90348"/>
    <w:rsid w:val="00D907BE"/>
    <w:rsid w:val="00D90AB3"/>
    <w:rsid w:val="00D90C9B"/>
    <w:rsid w:val="00D915D5"/>
    <w:rsid w:val="00D91696"/>
    <w:rsid w:val="00D91AB2"/>
    <w:rsid w:val="00D9260D"/>
    <w:rsid w:val="00D9298D"/>
    <w:rsid w:val="00D92A70"/>
    <w:rsid w:val="00D92B7C"/>
    <w:rsid w:val="00D92BB7"/>
    <w:rsid w:val="00D9338C"/>
    <w:rsid w:val="00D935B7"/>
    <w:rsid w:val="00D93964"/>
    <w:rsid w:val="00D9398E"/>
    <w:rsid w:val="00D93D35"/>
    <w:rsid w:val="00D942EF"/>
    <w:rsid w:val="00D94A82"/>
    <w:rsid w:val="00D94D14"/>
    <w:rsid w:val="00D94F60"/>
    <w:rsid w:val="00D955CB"/>
    <w:rsid w:val="00D96241"/>
    <w:rsid w:val="00D9699F"/>
    <w:rsid w:val="00D97030"/>
    <w:rsid w:val="00D97757"/>
    <w:rsid w:val="00D97A3E"/>
    <w:rsid w:val="00D97CB4"/>
    <w:rsid w:val="00D97D88"/>
    <w:rsid w:val="00D97FB5"/>
    <w:rsid w:val="00DA0061"/>
    <w:rsid w:val="00DA0F12"/>
    <w:rsid w:val="00DA115C"/>
    <w:rsid w:val="00DA15D2"/>
    <w:rsid w:val="00DA1ABA"/>
    <w:rsid w:val="00DA1CE3"/>
    <w:rsid w:val="00DA1D37"/>
    <w:rsid w:val="00DA2133"/>
    <w:rsid w:val="00DA3373"/>
    <w:rsid w:val="00DA3500"/>
    <w:rsid w:val="00DA3874"/>
    <w:rsid w:val="00DA391C"/>
    <w:rsid w:val="00DA3934"/>
    <w:rsid w:val="00DA42A7"/>
    <w:rsid w:val="00DA4464"/>
    <w:rsid w:val="00DA4A3F"/>
    <w:rsid w:val="00DA557A"/>
    <w:rsid w:val="00DA5D22"/>
    <w:rsid w:val="00DA5DC5"/>
    <w:rsid w:val="00DA617B"/>
    <w:rsid w:val="00DA61D0"/>
    <w:rsid w:val="00DA6424"/>
    <w:rsid w:val="00DA6E13"/>
    <w:rsid w:val="00DB00D0"/>
    <w:rsid w:val="00DB01FA"/>
    <w:rsid w:val="00DB0273"/>
    <w:rsid w:val="00DB0729"/>
    <w:rsid w:val="00DB10F8"/>
    <w:rsid w:val="00DB1147"/>
    <w:rsid w:val="00DB1877"/>
    <w:rsid w:val="00DB1983"/>
    <w:rsid w:val="00DB1A31"/>
    <w:rsid w:val="00DB1C1B"/>
    <w:rsid w:val="00DB21E9"/>
    <w:rsid w:val="00DB255D"/>
    <w:rsid w:val="00DB2615"/>
    <w:rsid w:val="00DB279E"/>
    <w:rsid w:val="00DB393B"/>
    <w:rsid w:val="00DB42F6"/>
    <w:rsid w:val="00DB457F"/>
    <w:rsid w:val="00DB4979"/>
    <w:rsid w:val="00DB4D58"/>
    <w:rsid w:val="00DB5134"/>
    <w:rsid w:val="00DB5339"/>
    <w:rsid w:val="00DB5358"/>
    <w:rsid w:val="00DB580B"/>
    <w:rsid w:val="00DB5F98"/>
    <w:rsid w:val="00DB6119"/>
    <w:rsid w:val="00DB6275"/>
    <w:rsid w:val="00DB62C0"/>
    <w:rsid w:val="00DB6402"/>
    <w:rsid w:val="00DB64D9"/>
    <w:rsid w:val="00DB6A43"/>
    <w:rsid w:val="00DB6C0C"/>
    <w:rsid w:val="00DB6D62"/>
    <w:rsid w:val="00DB7081"/>
    <w:rsid w:val="00DB773D"/>
    <w:rsid w:val="00DB7861"/>
    <w:rsid w:val="00DB7B0E"/>
    <w:rsid w:val="00DB7D54"/>
    <w:rsid w:val="00DB7EFA"/>
    <w:rsid w:val="00DC00B3"/>
    <w:rsid w:val="00DC0184"/>
    <w:rsid w:val="00DC03B4"/>
    <w:rsid w:val="00DC0517"/>
    <w:rsid w:val="00DC0910"/>
    <w:rsid w:val="00DC0E1C"/>
    <w:rsid w:val="00DC1108"/>
    <w:rsid w:val="00DC1405"/>
    <w:rsid w:val="00DC144E"/>
    <w:rsid w:val="00DC1C15"/>
    <w:rsid w:val="00DC2793"/>
    <w:rsid w:val="00DC29A6"/>
    <w:rsid w:val="00DC2B5B"/>
    <w:rsid w:val="00DC2C4A"/>
    <w:rsid w:val="00DC2E57"/>
    <w:rsid w:val="00DC2E88"/>
    <w:rsid w:val="00DC331F"/>
    <w:rsid w:val="00DC36E8"/>
    <w:rsid w:val="00DC37CA"/>
    <w:rsid w:val="00DC38DB"/>
    <w:rsid w:val="00DC3F37"/>
    <w:rsid w:val="00DC43E4"/>
    <w:rsid w:val="00DC4453"/>
    <w:rsid w:val="00DC4890"/>
    <w:rsid w:val="00DC4BCF"/>
    <w:rsid w:val="00DC4FDA"/>
    <w:rsid w:val="00DC5567"/>
    <w:rsid w:val="00DC561A"/>
    <w:rsid w:val="00DC5970"/>
    <w:rsid w:val="00DC5CFE"/>
    <w:rsid w:val="00DC5DDA"/>
    <w:rsid w:val="00DC5F17"/>
    <w:rsid w:val="00DC638C"/>
    <w:rsid w:val="00DC6836"/>
    <w:rsid w:val="00DC6E34"/>
    <w:rsid w:val="00DC7501"/>
    <w:rsid w:val="00DC7569"/>
    <w:rsid w:val="00DD009A"/>
    <w:rsid w:val="00DD0C68"/>
    <w:rsid w:val="00DD0EEC"/>
    <w:rsid w:val="00DD14AD"/>
    <w:rsid w:val="00DD14EE"/>
    <w:rsid w:val="00DD1A10"/>
    <w:rsid w:val="00DD329F"/>
    <w:rsid w:val="00DD34F0"/>
    <w:rsid w:val="00DD3B41"/>
    <w:rsid w:val="00DD3CB8"/>
    <w:rsid w:val="00DD4092"/>
    <w:rsid w:val="00DD41E8"/>
    <w:rsid w:val="00DD481F"/>
    <w:rsid w:val="00DD493D"/>
    <w:rsid w:val="00DD4AE2"/>
    <w:rsid w:val="00DD4C68"/>
    <w:rsid w:val="00DD58E7"/>
    <w:rsid w:val="00DD6320"/>
    <w:rsid w:val="00DD66FB"/>
    <w:rsid w:val="00DD7254"/>
    <w:rsid w:val="00DD74BB"/>
    <w:rsid w:val="00DD7A2A"/>
    <w:rsid w:val="00DD7D05"/>
    <w:rsid w:val="00DE02AE"/>
    <w:rsid w:val="00DE110F"/>
    <w:rsid w:val="00DE13D7"/>
    <w:rsid w:val="00DE1775"/>
    <w:rsid w:val="00DE19DE"/>
    <w:rsid w:val="00DE1D3E"/>
    <w:rsid w:val="00DE20D3"/>
    <w:rsid w:val="00DE20EE"/>
    <w:rsid w:val="00DE2D46"/>
    <w:rsid w:val="00DE2DA7"/>
    <w:rsid w:val="00DE2E97"/>
    <w:rsid w:val="00DE3350"/>
    <w:rsid w:val="00DE36E5"/>
    <w:rsid w:val="00DE3834"/>
    <w:rsid w:val="00DE39F9"/>
    <w:rsid w:val="00DE3B24"/>
    <w:rsid w:val="00DE3F08"/>
    <w:rsid w:val="00DE3F69"/>
    <w:rsid w:val="00DE48E9"/>
    <w:rsid w:val="00DE4CD3"/>
    <w:rsid w:val="00DE546F"/>
    <w:rsid w:val="00DE54B1"/>
    <w:rsid w:val="00DE5898"/>
    <w:rsid w:val="00DE5909"/>
    <w:rsid w:val="00DE59BE"/>
    <w:rsid w:val="00DE60EC"/>
    <w:rsid w:val="00DE6C00"/>
    <w:rsid w:val="00DE75C1"/>
    <w:rsid w:val="00DE78DA"/>
    <w:rsid w:val="00DE78E3"/>
    <w:rsid w:val="00DE7D59"/>
    <w:rsid w:val="00DE7E42"/>
    <w:rsid w:val="00DF02F1"/>
    <w:rsid w:val="00DF0946"/>
    <w:rsid w:val="00DF158F"/>
    <w:rsid w:val="00DF1648"/>
    <w:rsid w:val="00DF1866"/>
    <w:rsid w:val="00DF1A34"/>
    <w:rsid w:val="00DF1AAF"/>
    <w:rsid w:val="00DF1E85"/>
    <w:rsid w:val="00DF2217"/>
    <w:rsid w:val="00DF2259"/>
    <w:rsid w:val="00DF2418"/>
    <w:rsid w:val="00DF263C"/>
    <w:rsid w:val="00DF26FE"/>
    <w:rsid w:val="00DF29B5"/>
    <w:rsid w:val="00DF33DA"/>
    <w:rsid w:val="00DF3AB1"/>
    <w:rsid w:val="00DF3DE1"/>
    <w:rsid w:val="00DF4208"/>
    <w:rsid w:val="00DF446B"/>
    <w:rsid w:val="00DF4586"/>
    <w:rsid w:val="00DF4A84"/>
    <w:rsid w:val="00DF4F27"/>
    <w:rsid w:val="00DF520A"/>
    <w:rsid w:val="00DF52C9"/>
    <w:rsid w:val="00DF576B"/>
    <w:rsid w:val="00DF5D78"/>
    <w:rsid w:val="00DF5FCE"/>
    <w:rsid w:val="00DF60AC"/>
    <w:rsid w:val="00DF653C"/>
    <w:rsid w:val="00DF6B69"/>
    <w:rsid w:val="00DF6BD7"/>
    <w:rsid w:val="00DF6CE4"/>
    <w:rsid w:val="00DF6F79"/>
    <w:rsid w:val="00DF761B"/>
    <w:rsid w:val="00DF7C65"/>
    <w:rsid w:val="00DF7EFC"/>
    <w:rsid w:val="00DF7F6B"/>
    <w:rsid w:val="00E00387"/>
    <w:rsid w:val="00E01235"/>
    <w:rsid w:val="00E0129D"/>
    <w:rsid w:val="00E01542"/>
    <w:rsid w:val="00E0177A"/>
    <w:rsid w:val="00E01EFB"/>
    <w:rsid w:val="00E0251E"/>
    <w:rsid w:val="00E0253F"/>
    <w:rsid w:val="00E025BC"/>
    <w:rsid w:val="00E025CC"/>
    <w:rsid w:val="00E027DB"/>
    <w:rsid w:val="00E0295B"/>
    <w:rsid w:val="00E02B22"/>
    <w:rsid w:val="00E02CCB"/>
    <w:rsid w:val="00E03724"/>
    <w:rsid w:val="00E04ABE"/>
    <w:rsid w:val="00E0522E"/>
    <w:rsid w:val="00E053D0"/>
    <w:rsid w:val="00E054CD"/>
    <w:rsid w:val="00E05761"/>
    <w:rsid w:val="00E05A87"/>
    <w:rsid w:val="00E05D7D"/>
    <w:rsid w:val="00E06160"/>
    <w:rsid w:val="00E062AA"/>
    <w:rsid w:val="00E066B7"/>
    <w:rsid w:val="00E06A10"/>
    <w:rsid w:val="00E06B03"/>
    <w:rsid w:val="00E06BC8"/>
    <w:rsid w:val="00E07383"/>
    <w:rsid w:val="00E074BA"/>
    <w:rsid w:val="00E078DE"/>
    <w:rsid w:val="00E07FD4"/>
    <w:rsid w:val="00E10247"/>
    <w:rsid w:val="00E10397"/>
    <w:rsid w:val="00E1041B"/>
    <w:rsid w:val="00E107DD"/>
    <w:rsid w:val="00E11026"/>
    <w:rsid w:val="00E111E6"/>
    <w:rsid w:val="00E11377"/>
    <w:rsid w:val="00E11380"/>
    <w:rsid w:val="00E113C5"/>
    <w:rsid w:val="00E1173F"/>
    <w:rsid w:val="00E11F4C"/>
    <w:rsid w:val="00E122FA"/>
    <w:rsid w:val="00E12F3C"/>
    <w:rsid w:val="00E136F3"/>
    <w:rsid w:val="00E1385F"/>
    <w:rsid w:val="00E139A2"/>
    <w:rsid w:val="00E13A1B"/>
    <w:rsid w:val="00E13E47"/>
    <w:rsid w:val="00E1407A"/>
    <w:rsid w:val="00E141FA"/>
    <w:rsid w:val="00E1423B"/>
    <w:rsid w:val="00E14494"/>
    <w:rsid w:val="00E1468E"/>
    <w:rsid w:val="00E14784"/>
    <w:rsid w:val="00E14FA9"/>
    <w:rsid w:val="00E15796"/>
    <w:rsid w:val="00E15C20"/>
    <w:rsid w:val="00E15CA4"/>
    <w:rsid w:val="00E15FA0"/>
    <w:rsid w:val="00E160C4"/>
    <w:rsid w:val="00E1622F"/>
    <w:rsid w:val="00E163CD"/>
    <w:rsid w:val="00E1663A"/>
    <w:rsid w:val="00E17052"/>
    <w:rsid w:val="00E1720A"/>
    <w:rsid w:val="00E17273"/>
    <w:rsid w:val="00E20200"/>
    <w:rsid w:val="00E2061A"/>
    <w:rsid w:val="00E211FA"/>
    <w:rsid w:val="00E2145E"/>
    <w:rsid w:val="00E2180C"/>
    <w:rsid w:val="00E21A19"/>
    <w:rsid w:val="00E21B17"/>
    <w:rsid w:val="00E21D1E"/>
    <w:rsid w:val="00E223DF"/>
    <w:rsid w:val="00E223E2"/>
    <w:rsid w:val="00E226A9"/>
    <w:rsid w:val="00E22D15"/>
    <w:rsid w:val="00E22DA3"/>
    <w:rsid w:val="00E23014"/>
    <w:rsid w:val="00E2312D"/>
    <w:rsid w:val="00E234E3"/>
    <w:rsid w:val="00E23F2B"/>
    <w:rsid w:val="00E240C3"/>
    <w:rsid w:val="00E2422D"/>
    <w:rsid w:val="00E245F8"/>
    <w:rsid w:val="00E24BD5"/>
    <w:rsid w:val="00E25056"/>
    <w:rsid w:val="00E25394"/>
    <w:rsid w:val="00E25437"/>
    <w:rsid w:val="00E26183"/>
    <w:rsid w:val="00E26247"/>
    <w:rsid w:val="00E26821"/>
    <w:rsid w:val="00E26B75"/>
    <w:rsid w:val="00E27119"/>
    <w:rsid w:val="00E278DD"/>
    <w:rsid w:val="00E27A1B"/>
    <w:rsid w:val="00E30235"/>
    <w:rsid w:val="00E30460"/>
    <w:rsid w:val="00E304EA"/>
    <w:rsid w:val="00E30866"/>
    <w:rsid w:val="00E30967"/>
    <w:rsid w:val="00E3141B"/>
    <w:rsid w:val="00E31510"/>
    <w:rsid w:val="00E316CA"/>
    <w:rsid w:val="00E319A9"/>
    <w:rsid w:val="00E31A07"/>
    <w:rsid w:val="00E31BC3"/>
    <w:rsid w:val="00E32393"/>
    <w:rsid w:val="00E33001"/>
    <w:rsid w:val="00E3318C"/>
    <w:rsid w:val="00E332A2"/>
    <w:rsid w:val="00E33A3E"/>
    <w:rsid w:val="00E33FC7"/>
    <w:rsid w:val="00E341A0"/>
    <w:rsid w:val="00E343A2"/>
    <w:rsid w:val="00E347B4"/>
    <w:rsid w:val="00E348BC"/>
    <w:rsid w:val="00E34E7E"/>
    <w:rsid w:val="00E35E8D"/>
    <w:rsid w:val="00E362A3"/>
    <w:rsid w:val="00E36495"/>
    <w:rsid w:val="00E36554"/>
    <w:rsid w:val="00E36886"/>
    <w:rsid w:val="00E368B6"/>
    <w:rsid w:val="00E368E5"/>
    <w:rsid w:val="00E36B48"/>
    <w:rsid w:val="00E36CC3"/>
    <w:rsid w:val="00E36D54"/>
    <w:rsid w:val="00E37BC5"/>
    <w:rsid w:val="00E37F50"/>
    <w:rsid w:val="00E37FB2"/>
    <w:rsid w:val="00E40480"/>
    <w:rsid w:val="00E4090B"/>
    <w:rsid w:val="00E40A4B"/>
    <w:rsid w:val="00E40C5B"/>
    <w:rsid w:val="00E40FAA"/>
    <w:rsid w:val="00E41350"/>
    <w:rsid w:val="00E4146C"/>
    <w:rsid w:val="00E41755"/>
    <w:rsid w:val="00E41AE9"/>
    <w:rsid w:val="00E4213C"/>
    <w:rsid w:val="00E423E7"/>
    <w:rsid w:val="00E42510"/>
    <w:rsid w:val="00E42792"/>
    <w:rsid w:val="00E42C9D"/>
    <w:rsid w:val="00E43100"/>
    <w:rsid w:val="00E43B57"/>
    <w:rsid w:val="00E43CE7"/>
    <w:rsid w:val="00E446B3"/>
    <w:rsid w:val="00E44B6F"/>
    <w:rsid w:val="00E44D3E"/>
    <w:rsid w:val="00E44EA6"/>
    <w:rsid w:val="00E44EBB"/>
    <w:rsid w:val="00E44FC8"/>
    <w:rsid w:val="00E45CC9"/>
    <w:rsid w:val="00E461D4"/>
    <w:rsid w:val="00E46694"/>
    <w:rsid w:val="00E47015"/>
    <w:rsid w:val="00E470B2"/>
    <w:rsid w:val="00E470F5"/>
    <w:rsid w:val="00E47810"/>
    <w:rsid w:val="00E479D2"/>
    <w:rsid w:val="00E47B41"/>
    <w:rsid w:val="00E47D6C"/>
    <w:rsid w:val="00E50252"/>
    <w:rsid w:val="00E502FB"/>
    <w:rsid w:val="00E50FCE"/>
    <w:rsid w:val="00E51843"/>
    <w:rsid w:val="00E523BE"/>
    <w:rsid w:val="00E5273E"/>
    <w:rsid w:val="00E52864"/>
    <w:rsid w:val="00E52B78"/>
    <w:rsid w:val="00E52D27"/>
    <w:rsid w:val="00E52F3A"/>
    <w:rsid w:val="00E53135"/>
    <w:rsid w:val="00E5333A"/>
    <w:rsid w:val="00E537E4"/>
    <w:rsid w:val="00E53941"/>
    <w:rsid w:val="00E53E98"/>
    <w:rsid w:val="00E548D9"/>
    <w:rsid w:val="00E548EE"/>
    <w:rsid w:val="00E54A1D"/>
    <w:rsid w:val="00E54B91"/>
    <w:rsid w:val="00E551CB"/>
    <w:rsid w:val="00E552C6"/>
    <w:rsid w:val="00E55A1B"/>
    <w:rsid w:val="00E564CC"/>
    <w:rsid w:val="00E56558"/>
    <w:rsid w:val="00E56699"/>
    <w:rsid w:val="00E56922"/>
    <w:rsid w:val="00E56931"/>
    <w:rsid w:val="00E56DA9"/>
    <w:rsid w:val="00E56F72"/>
    <w:rsid w:val="00E5730E"/>
    <w:rsid w:val="00E5731F"/>
    <w:rsid w:val="00E575E6"/>
    <w:rsid w:val="00E60245"/>
    <w:rsid w:val="00E608E3"/>
    <w:rsid w:val="00E6096E"/>
    <w:rsid w:val="00E60D67"/>
    <w:rsid w:val="00E610AC"/>
    <w:rsid w:val="00E61267"/>
    <w:rsid w:val="00E6162B"/>
    <w:rsid w:val="00E617A5"/>
    <w:rsid w:val="00E61D9C"/>
    <w:rsid w:val="00E62122"/>
    <w:rsid w:val="00E62B8D"/>
    <w:rsid w:val="00E6314B"/>
    <w:rsid w:val="00E631DA"/>
    <w:rsid w:val="00E63354"/>
    <w:rsid w:val="00E63483"/>
    <w:rsid w:val="00E63A79"/>
    <w:rsid w:val="00E63BC7"/>
    <w:rsid w:val="00E63DC8"/>
    <w:rsid w:val="00E642D9"/>
    <w:rsid w:val="00E647EC"/>
    <w:rsid w:val="00E649D6"/>
    <w:rsid w:val="00E64FAC"/>
    <w:rsid w:val="00E650C6"/>
    <w:rsid w:val="00E6520F"/>
    <w:rsid w:val="00E65310"/>
    <w:rsid w:val="00E65630"/>
    <w:rsid w:val="00E65CAE"/>
    <w:rsid w:val="00E66063"/>
    <w:rsid w:val="00E6651E"/>
    <w:rsid w:val="00E66C1C"/>
    <w:rsid w:val="00E66C77"/>
    <w:rsid w:val="00E66F17"/>
    <w:rsid w:val="00E66FE6"/>
    <w:rsid w:val="00E670FA"/>
    <w:rsid w:val="00E67388"/>
    <w:rsid w:val="00E67427"/>
    <w:rsid w:val="00E67617"/>
    <w:rsid w:val="00E67934"/>
    <w:rsid w:val="00E67E7C"/>
    <w:rsid w:val="00E70440"/>
    <w:rsid w:val="00E705CC"/>
    <w:rsid w:val="00E70638"/>
    <w:rsid w:val="00E70B77"/>
    <w:rsid w:val="00E713F9"/>
    <w:rsid w:val="00E714F3"/>
    <w:rsid w:val="00E71813"/>
    <w:rsid w:val="00E71AA8"/>
    <w:rsid w:val="00E71EE6"/>
    <w:rsid w:val="00E726A0"/>
    <w:rsid w:val="00E728A9"/>
    <w:rsid w:val="00E7343D"/>
    <w:rsid w:val="00E737A0"/>
    <w:rsid w:val="00E743C0"/>
    <w:rsid w:val="00E74891"/>
    <w:rsid w:val="00E749D9"/>
    <w:rsid w:val="00E75A0D"/>
    <w:rsid w:val="00E75C45"/>
    <w:rsid w:val="00E75D44"/>
    <w:rsid w:val="00E75DC6"/>
    <w:rsid w:val="00E760F5"/>
    <w:rsid w:val="00E761AD"/>
    <w:rsid w:val="00E76E07"/>
    <w:rsid w:val="00E76E6A"/>
    <w:rsid w:val="00E76FE4"/>
    <w:rsid w:val="00E776EB"/>
    <w:rsid w:val="00E77A30"/>
    <w:rsid w:val="00E8002F"/>
    <w:rsid w:val="00E8045D"/>
    <w:rsid w:val="00E8076C"/>
    <w:rsid w:val="00E80B37"/>
    <w:rsid w:val="00E80E98"/>
    <w:rsid w:val="00E815F6"/>
    <w:rsid w:val="00E816E0"/>
    <w:rsid w:val="00E81D1A"/>
    <w:rsid w:val="00E81DB2"/>
    <w:rsid w:val="00E8235F"/>
    <w:rsid w:val="00E828D2"/>
    <w:rsid w:val="00E828F2"/>
    <w:rsid w:val="00E828F3"/>
    <w:rsid w:val="00E830F6"/>
    <w:rsid w:val="00E8348B"/>
    <w:rsid w:val="00E835E4"/>
    <w:rsid w:val="00E83642"/>
    <w:rsid w:val="00E836FD"/>
    <w:rsid w:val="00E8375F"/>
    <w:rsid w:val="00E83818"/>
    <w:rsid w:val="00E839A9"/>
    <w:rsid w:val="00E839D2"/>
    <w:rsid w:val="00E83B60"/>
    <w:rsid w:val="00E83F51"/>
    <w:rsid w:val="00E84078"/>
    <w:rsid w:val="00E8414C"/>
    <w:rsid w:val="00E84618"/>
    <w:rsid w:val="00E846A4"/>
    <w:rsid w:val="00E84A19"/>
    <w:rsid w:val="00E84BCF"/>
    <w:rsid w:val="00E84F08"/>
    <w:rsid w:val="00E84FD8"/>
    <w:rsid w:val="00E851C5"/>
    <w:rsid w:val="00E8532F"/>
    <w:rsid w:val="00E864C1"/>
    <w:rsid w:val="00E867FB"/>
    <w:rsid w:val="00E86861"/>
    <w:rsid w:val="00E86BDA"/>
    <w:rsid w:val="00E86D0A"/>
    <w:rsid w:val="00E86D6C"/>
    <w:rsid w:val="00E87C44"/>
    <w:rsid w:val="00E87FB7"/>
    <w:rsid w:val="00E90163"/>
    <w:rsid w:val="00E90880"/>
    <w:rsid w:val="00E909F5"/>
    <w:rsid w:val="00E90C88"/>
    <w:rsid w:val="00E910D0"/>
    <w:rsid w:val="00E91363"/>
    <w:rsid w:val="00E913B3"/>
    <w:rsid w:val="00E9172C"/>
    <w:rsid w:val="00E9182B"/>
    <w:rsid w:val="00E91BC9"/>
    <w:rsid w:val="00E91C22"/>
    <w:rsid w:val="00E921CF"/>
    <w:rsid w:val="00E92277"/>
    <w:rsid w:val="00E923D8"/>
    <w:rsid w:val="00E92504"/>
    <w:rsid w:val="00E927B0"/>
    <w:rsid w:val="00E927B8"/>
    <w:rsid w:val="00E929E0"/>
    <w:rsid w:val="00E935A9"/>
    <w:rsid w:val="00E935DD"/>
    <w:rsid w:val="00E935E5"/>
    <w:rsid w:val="00E93866"/>
    <w:rsid w:val="00E93B37"/>
    <w:rsid w:val="00E9480E"/>
    <w:rsid w:val="00E948E4"/>
    <w:rsid w:val="00E94D06"/>
    <w:rsid w:val="00E94E6D"/>
    <w:rsid w:val="00E95087"/>
    <w:rsid w:val="00E95E25"/>
    <w:rsid w:val="00E95E34"/>
    <w:rsid w:val="00E96275"/>
    <w:rsid w:val="00E96346"/>
    <w:rsid w:val="00E9678D"/>
    <w:rsid w:val="00E96927"/>
    <w:rsid w:val="00E96E4E"/>
    <w:rsid w:val="00E975C2"/>
    <w:rsid w:val="00EA0C6A"/>
    <w:rsid w:val="00EA1197"/>
    <w:rsid w:val="00EA166E"/>
    <w:rsid w:val="00EA1BE9"/>
    <w:rsid w:val="00EA22C9"/>
    <w:rsid w:val="00EA2562"/>
    <w:rsid w:val="00EA2D04"/>
    <w:rsid w:val="00EA30F4"/>
    <w:rsid w:val="00EA3623"/>
    <w:rsid w:val="00EA3670"/>
    <w:rsid w:val="00EA3D41"/>
    <w:rsid w:val="00EA3FF4"/>
    <w:rsid w:val="00EA4741"/>
    <w:rsid w:val="00EA516F"/>
    <w:rsid w:val="00EA523F"/>
    <w:rsid w:val="00EA56AD"/>
    <w:rsid w:val="00EA5894"/>
    <w:rsid w:val="00EA5E45"/>
    <w:rsid w:val="00EA6122"/>
    <w:rsid w:val="00EA6ABE"/>
    <w:rsid w:val="00EA6D43"/>
    <w:rsid w:val="00EA6F52"/>
    <w:rsid w:val="00EA7364"/>
    <w:rsid w:val="00EA78B9"/>
    <w:rsid w:val="00EA7AF6"/>
    <w:rsid w:val="00EB0206"/>
    <w:rsid w:val="00EB020A"/>
    <w:rsid w:val="00EB04C7"/>
    <w:rsid w:val="00EB0BA7"/>
    <w:rsid w:val="00EB0C34"/>
    <w:rsid w:val="00EB0D18"/>
    <w:rsid w:val="00EB1113"/>
    <w:rsid w:val="00EB16AF"/>
    <w:rsid w:val="00EB1875"/>
    <w:rsid w:val="00EB1BC5"/>
    <w:rsid w:val="00EB1F01"/>
    <w:rsid w:val="00EB29BF"/>
    <w:rsid w:val="00EB2B1F"/>
    <w:rsid w:val="00EB2BA0"/>
    <w:rsid w:val="00EB2BB6"/>
    <w:rsid w:val="00EB2BD5"/>
    <w:rsid w:val="00EB2D2F"/>
    <w:rsid w:val="00EB32A5"/>
    <w:rsid w:val="00EB34B4"/>
    <w:rsid w:val="00EB3885"/>
    <w:rsid w:val="00EB3AB3"/>
    <w:rsid w:val="00EB3E34"/>
    <w:rsid w:val="00EB3FB7"/>
    <w:rsid w:val="00EB4558"/>
    <w:rsid w:val="00EB456E"/>
    <w:rsid w:val="00EB4680"/>
    <w:rsid w:val="00EB46C1"/>
    <w:rsid w:val="00EB4856"/>
    <w:rsid w:val="00EB4895"/>
    <w:rsid w:val="00EB4DD3"/>
    <w:rsid w:val="00EB4E93"/>
    <w:rsid w:val="00EB560F"/>
    <w:rsid w:val="00EB565D"/>
    <w:rsid w:val="00EB56F7"/>
    <w:rsid w:val="00EB6E26"/>
    <w:rsid w:val="00EB7A69"/>
    <w:rsid w:val="00EB7C35"/>
    <w:rsid w:val="00EC0207"/>
    <w:rsid w:val="00EC0278"/>
    <w:rsid w:val="00EC0572"/>
    <w:rsid w:val="00EC1276"/>
    <w:rsid w:val="00EC152F"/>
    <w:rsid w:val="00EC2E82"/>
    <w:rsid w:val="00EC2F90"/>
    <w:rsid w:val="00EC30A5"/>
    <w:rsid w:val="00EC3389"/>
    <w:rsid w:val="00EC3491"/>
    <w:rsid w:val="00EC372F"/>
    <w:rsid w:val="00EC3D98"/>
    <w:rsid w:val="00EC3E60"/>
    <w:rsid w:val="00EC4188"/>
    <w:rsid w:val="00EC41B1"/>
    <w:rsid w:val="00EC4496"/>
    <w:rsid w:val="00EC44BF"/>
    <w:rsid w:val="00EC5588"/>
    <w:rsid w:val="00EC5B95"/>
    <w:rsid w:val="00EC5D29"/>
    <w:rsid w:val="00EC6883"/>
    <w:rsid w:val="00EC6A3E"/>
    <w:rsid w:val="00EC72C4"/>
    <w:rsid w:val="00EC7595"/>
    <w:rsid w:val="00EC75F2"/>
    <w:rsid w:val="00EC764C"/>
    <w:rsid w:val="00EC7B3C"/>
    <w:rsid w:val="00ED08D7"/>
    <w:rsid w:val="00ED0AA1"/>
    <w:rsid w:val="00ED0D2E"/>
    <w:rsid w:val="00ED1133"/>
    <w:rsid w:val="00ED115A"/>
    <w:rsid w:val="00ED13D4"/>
    <w:rsid w:val="00ED1576"/>
    <w:rsid w:val="00ED17CF"/>
    <w:rsid w:val="00ED1BC9"/>
    <w:rsid w:val="00ED1F26"/>
    <w:rsid w:val="00ED2516"/>
    <w:rsid w:val="00ED266A"/>
    <w:rsid w:val="00ED26A8"/>
    <w:rsid w:val="00ED2880"/>
    <w:rsid w:val="00ED2AC0"/>
    <w:rsid w:val="00ED330D"/>
    <w:rsid w:val="00ED3B62"/>
    <w:rsid w:val="00ED3BB5"/>
    <w:rsid w:val="00ED3E55"/>
    <w:rsid w:val="00ED4444"/>
    <w:rsid w:val="00ED4A03"/>
    <w:rsid w:val="00ED52A4"/>
    <w:rsid w:val="00ED543D"/>
    <w:rsid w:val="00ED5879"/>
    <w:rsid w:val="00ED5AF3"/>
    <w:rsid w:val="00ED6A5F"/>
    <w:rsid w:val="00ED7595"/>
    <w:rsid w:val="00ED75A8"/>
    <w:rsid w:val="00ED783F"/>
    <w:rsid w:val="00ED7A44"/>
    <w:rsid w:val="00ED7E0C"/>
    <w:rsid w:val="00EE037A"/>
    <w:rsid w:val="00EE075B"/>
    <w:rsid w:val="00EE10E5"/>
    <w:rsid w:val="00EE13BC"/>
    <w:rsid w:val="00EE1CDC"/>
    <w:rsid w:val="00EE219C"/>
    <w:rsid w:val="00EE31D7"/>
    <w:rsid w:val="00EE366B"/>
    <w:rsid w:val="00EE3E88"/>
    <w:rsid w:val="00EE4352"/>
    <w:rsid w:val="00EE4540"/>
    <w:rsid w:val="00EE46E5"/>
    <w:rsid w:val="00EE4A07"/>
    <w:rsid w:val="00EE529D"/>
    <w:rsid w:val="00EE5CC1"/>
    <w:rsid w:val="00EE6510"/>
    <w:rsid w:val="00EE7195"/>
    <w:rsid w:val="00EE7416"/>
    <w:rsid w:val="00EE748A"/>
    <w:rsid w:val="00EE770C"/>
    <w:rsid w:val="00EE77A3"/>
    <w:rsid w:val="00EE7DB2"/>
    <w:rsid w:val="00EF02AF"/>
    <w:rsid w:val="00EF02E3"/>
    <w:rsid w:val="00EF0619"/>
    <w:rsid w:val="00EF0A05"/>
    <w:rsid w:val="00EF0A59"/>
    <w:rsid w:val="00EF0C13"/>
    <w:rsid w:val="00EF0CDD"/>
    <w:rsid w:val="00EF177B"/>
    <w:rsid w:val="00EF1E34"/>
    <w:rsid w:val="00EF221A"/>
    <w:rsid w:val="00EF2C2E"/>
    <w:rsid w:val="00EF2D8F"/>
    <w:rsid w:val="00EF2DBE"/>
    <w:rsid w:val="00EF2F0C"/>
    <w:rsid w:val="00EF309E"/>
    <w:rsid w:val="00EF3BCB"/>
    <w:rsid w:val="00EF3D6F"/>
    <w:rsid w:val="00EF3E7E"/>
    <w:rsid w:val="00EF3FAA"/>
    <w:rsid w:val="00EF3FB4"/>
    <w:rsid w:val="00EF41E1"/>
    <w:rsid w:val="00EF46D0"/>
    <w:rsid w:val="00EF476D"/>
    <w:rsid w:val="00EF513A"/>
    <w:rsid w:val="00EF554B"/>
    <w:rsid w:val="00EF5666"/>
    <w:rsid w:val="00EF5A22"/>
    <w:rsid w:val="00EF5B93"/>
    <w:rsid w:val="00EF5E52"/>
    <w:rsid w:val="00EF5FF2"/>
    <w:rsid w:val="00EF6168"/>
    <w:rsid w:val="00EF671A"/>
    <w:rsid w:val="00EF677D"/>
    <w:rsid w:val="00EF6B29"/>
    <w:rsid w:val="00EF6E86"/>
    <w:rsid w:val="00EF7262"/>
    <w:rsid w:val="00EF74D8"/>
    <w:rsid w:val="00F00360"/>
    <w:rsid w:val="00F00634"/>
    <w:rsid w:val="00F00653"/>
    <w:rsid w:val="00F009DC"/>
    <w:rsid w:val="00F00B4F"/>
    <w:rsid w:val="00F00F13"/>
    <w:rsid w:val="00F016F0"/>
    <w:rsid w:val="00F01A3A"/>
    <w:rsid w:val="00F01B62"/>
    <w:rsid w:val="00F01CF9"/>
    <w:rsid w:val="00F02004"/>
    <w:rsid w:val="00F038BE"/>
    <w:rsid w:val="00F03B30"/>
    <w:rsid w:val="00F04CC7"/>
    <w:rsid w:val="00F04E94"/>
    <w:rsid w:val="00F05335"/>
    <w:rsid w:val="00F05782"/>
    <w:rsid w:val="00F05D76"/>
    <w:rsid w:val="00F05F52"/>
    <w:rsid w:val="00F06F14"/>
    <w:rsid w:val="00F075A1"/>
    <w:rsid w:val="00F07736"/>
    <w:rsid w:val="00F10101"/>
    <w:rsid w:val="00F109EA"/>
    <w:rsid w:val="00F10E5B"/>
    <w:rsid w:val="00F113F1"/>
    <w:rsid w:val="00F116C2"/>
    <w:rsid w:val="00F12867"/>
    <w:rsid w:val="00F1295C"/>
    <w:rsid w:val="00F13197"/>
    <w:rsid w:val="00F1370A"/>
    <w:rsid w:val="00F137CB"/>
    <w:rsid w:val="00F1392A"/>
    <w:rsid w:val="00F1419E"/>
    <w:rsid w:val="00F143D4"/>
    <w:rsid w:val="00F14883"/>
    <w:rsid w:val="00F14916"/>
    <w:rsid w:val="00F14924"/>
    <w:rsid w:val="00F14AA3"/>
    <w:rsid w:val="00F14B2D"/>
    <w:rsid w:val="00F14DCB"/>
    <w:rsid w:val="00F15104"/>
    <w:rsid w:val="00F152FD"/>
    <w:rsid w:val="00F15B7E"/>
    <w:rsid w:val="00F1634B"/>
    <w:rsid w:val="00F16475"/>
    <w:rsid w:val="00F164C6"/>
    <w:rsid w:val="00F168DB"/>
    <w:rsid w:val="00F16F39"/>
    <w:rsid w:val="00F16FE5"/>
    <w:rsid w:val="00F1745E"/>
    <w:rsid w:val="00F17F61"/>
    <w:rsid w:val="00F20956"/>
    <w:rsid w:val="00F20ADC"/>
    <w:rsid w:val="00F210DD"/>
    <w:rsid w:val="00F2159C"/>
    <w:rsid w:val="00F2181E"/>
    <w:rsid w:val="00F21A2A"/>
    <w:rsid w:val="00F21A97"/>
    <w:rsid w:val="00F222B7"/>
    <w:rsid w:val="00F22809"/>
    <w:rsid w:val="00F22B6F"/>
    <w:rsid w:val="00F22FF7"/>
    <w:rsid w:val="00F23459"/>
    <w:rsid w:val="00F2345D"/>
    <w:rsid w:val="00F234E0"/>
    <w:rsid w:val="00F237CE"/>
    <w:rsid w:val="00F23ED9"/>
    <w:rsid w:val="00F2401F"/>
    <w:rsid w:val="00F245E2"/>
    <w:rsid w:val="00F24739"/>
    <w:rsid w:val="00F2518C"/>
    <w:rsid w:val="00F25775"/>
    <w:rsid w:val="00F25968"/>
    <w:rsid w:val="00F2602F"/>
    <w:rsid w:val="00F27A53"/>
    <w:rsid w:val="00F27B84"/>
    <w:rsid w:val="00F304C8"/>
    <w:rsid w:val="00F305D3"/>
    <w:rsid w:val="00F30902"/>
    <w:rsid w:val="00F30B06"/>
    <w:rsid w:val="00F313A2"/>
    <w:rsid w:val="00F31A3A"/>
    <w:rsid w:val="00F31AE7"/>
    <w:rsid w:val="00F3200E"/>
    <w:rsid w:val="00F32309"/>
    <w:rsid w:val="00F32483"/>
    <w:rsid w:val="00F3265E"/>
    <w:rsid w:val="00F32B6D"/>
    <w:rsid w:val="00F336DE"/>
    <w:rsid w:val="00F3398A"/>
    <w:rsid w:val="00F339C4"/>
    <w:rsid w:val="00F33AF8"/>
    <w:rsid w:val="00F33DDE"/>
    <w:rsid w:val="00F33EE6"/>
    <w:rsid w:val="00F344A8"/>
    <w:rsid w:val="00F34881"/>
    <w:rsid w:val="00F34CA2"/>
    <w:rsid w:val="00F34E9C"/>
    <w:rsid w:val="00F34EA3"/>
    <w:rsid w:val="00F34F43"/>
    <w:rsid w:val="00F352EC"/>
    <w:rsid w:val="00F35B26"/>
    <w:rsid w:val="00F35CF1"/>
    <w:rsid w:val="00F3624C"/>
    <w:rsid w:val="00F365BD"/>
    <w:rsid w:val="00F36646"/>
    <w:rsid w:val="00F367CE"/>
    <w:rsid w:val="00F374BA"/>
    <w:rsid w:val="00F379CB"/>
    <w:rsid w:val="00F37B4D"/>
    <w:rsid w:val="00F37B77"/>
    <w:rsid w:val="00F37D89"/>
    <w:rsid w:val="00F37E24"/>
    <w:rsid w:val="00F37E2F"/>
    <w:rsid w:val="00F37E6D"/>
    <w:rsid w:val="00F4030C"/>
    <w:rsid w:val="00F40ECF"/>
    <w:rsid w:val="00F41110"/>
    <w:rsid w:val="00F41403"/>
    <w:rsid w:val="00F41740"/>
    <w:rsid w:val="00F418EC"/>
    <w:rsid w:val="00F418FF"/>
    <w:rsid w:val="00F41ADC"/>
    <w:rsid w:val="00F41B17"/>
    <w:rsid w:val="00F42267"/>
    <w:rsid w:val="00F422E1"/>
    <w:rsid w:val="00F422E4"/>
    <w:rsid w:val="00F423FC"/>
    <w:rsid w:val="00F42737"/>
    <w:rsid w:val="00F42772"/>
    <w:rsid w:val="00F431E9"/>
    <w:rsid w:val="00F436AA"/>
    <w:rsid w:val="00F436D6"/>
    <w:rsid w:val="00F43BE0"/>
    <w:rsid w:val="00F43C37"/>
    <w:rsid w:val="00F43CE4"/>
    <w:rsid w:val="00F44056"/>
    <w:rsid w:val="00F4488B"/>
    <w:rsid w:val="00F44C53"/>
    <w:rsid w:val="00F44ED2"/>
    <w:rsid w:val="00F4512B"/>
    <w:rsid w:val="00F4542B"/>
    <w:rsid w:val="00F45554"/>
    <w:rsid w:val="00F460D6"/>
    <w:rsid w:val="00F46DE3"/>
    <w:rsid w:val="00F47158"/>
    <w:rsid w:val="00F471EA"/>
    <w:rsid w:val="00F474FD"/>
    <w:rsid w:val="00F476FC"/>
    <w:rsid w:val="00F47ACF"/>
    <w:rsid w:val="00F47AFF"/>
    <w:rsid w:val="00F47D5F"/>
    <w:rsid w:val="00F5005F"/>
    <w:rsid w:val="00F501C2"/>
    <w:rsid w:val="00F50529"/>
    <w:rsid w:val="00F505CA"/>
    <w:rsid w:val="00F50635"/>
    <w:rsid w:val="00F506C8"/>
    <w:rsid w:val="00F50D90"/>
    <w:rsid w:val="00F50E45"/>
    <w:rsid w:val="00F51831"/>
    <w:rsid w:val="00F5197E"/>
    <w:rsid w:val="00F51B49"/>
    <w:rsid w:val="00F51C19"/>
    <w:rsid w:val="00F520BF"/>
    <w:rsid w:val="00F525E5"/>
    <w:rsid w:val="00F5321A"/>
    <w:rsid w:val="00F53D59"/>
    <w:rsid w:val="00F53EE9"/>
    <w:rsid w:val="00F54441"/>
    <w:rsid w:val="00F54725"/>
    <w:rsid w:val="00F552AA"/>
    <w:rsid w:val="00F558A3"/>
    <w:rsid w:val="00F5615F"/>
    <w:rsid w:val="00F56465"/>
    <w:rsid w:val="00F56638"/>
    <w:rsid w:val="00F56938"/>
    <w:rsid w:val="00F56973"/>
    <w:rsid w:val="00F57003"/>
    <w:rsid w:val="00F5710C"/>
    <w:rsid w:val="00F57F2E"/>
    <w:rsid w:val="00F57F7E"/>
    <w:rsid w:val="00F60035"/>
    <w:rsid w:val="00F601C0"/>
    <w:rsid w:val="00F6098A"/>
    <w:rsid w:val="00F6143E"/>
    <w:rsid w:val="00F61ACF"/>
    <w:rsid w:val="00F61BC0"/>
    <w:rsid w:val="00F621A4"/>
    <w:rsid w:val="00F625B8"/>
    <w:rsid w:val="00F6317F"/>
    <w:rsid w:val="00F63C28"/>
    <w:rsid w:val="00F64382"/>
    <w:rsid w:val="00F645DE"/>
    <w:rsid w:val="00F64647"/>
    <w:rsid w:val="00F64A7C"/>
    <w:rsid w:val="00F64AC9"/>
    <w:rsid w:val="00F64E5B"/>
    <w:rsid w:val="00F651B3"/>
    <w:rsid w:val="00F65406"/>
    <w:rsid w:val="00F65858"/>
    <w:rsid w:val="00F65C77"/>
    <w:rsid w:val="00F65CFA"/>
    <w:rsid w:val="00F662B4"/>
    <w:rsid w:val="00F666C3"/>
    <w:rsid w:val="00F66C69"/>
    <w:rsid w:val="00F66E84"/>
    <w:rsid w:val="00F66EC3"/>
    <w:rsid w:val="00F67106"/>
    <w:rsid w:val="00F701F4"/>
    <w:rsid w:val="00F70533"/>
    <w:rsid w:val="00F7070D"/>
    <w:rsid w:val="00F70AD0"/>
    <w:rsid w:val="00F70DFE"/>
    <w:rsid w:val="00F70F96"/>
    <w:rsid w:val="00F7110F"/>
    <w:rsid w:val="00F712B4"/>
    <w:rsid w:val="00F71524"/>
    <w:rsid w:val="00F717B2"/>
    <w:rsid w:val="00F71B84"/>
    <w:rsid w:val="00F71C5D"/>
    <w:rsid w:val="00F72186"/>
    <w:rsid w:val="00F725A8"/>
    <w:rsid w:val="00F7266F"/>
    <w:rsid w:val="00F726CD"/>
    <w:rsid w:val="00F729FA"/>
    <w:rsid w:val="00F736C5"/>
    <w:rsid w:val="00F73838"/>
    <w:rsid w:val="00F740A9"/>
    <w:rsid w:val="00F7412C"/>
    <w:rsid w:val="00F74391"/>
    <w:rsid w:val="00F7495E"/>
    <w:rsid w:val="00F74CBB"/>
    <w:rsid w:val="00F74E3E"/>
    <w:rsid w:val="00F754C8"/>
    <w:rsid w:val="00F75540"/>
    <w:rsid w:val="00F75690"/>
    <w:rsid w:val="00F75C50"/>
    <w:rsid w:val="00F75F41"/>
    <w:rsid w:val="00F76296"/>
    <w:rsid w:val="00F76474"/>
    <w:rsid w:val="00F76F98"/>
    <w:rsid w:val="00F77819"/>
    <w:rsid w:val="00F8004A"/>
    <w:rsid w:val="00F804FF"/>
    <w:rsid w:val="00F805F8"/>
    <w:rsid w:val="00F81477"/>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5CD6"/>
    <w:rsid w:val="00F8602E"/>
    <w:rsid w:val="00F86067"/>
    <w:rsid w:val="00F8643D"/>
    <w:rsid w:val="00F86686"/>
    <w:rsid w:val="00F86A46"/>
    <w:rsid w:val="00F8709D"/>
    <w:rsid w:val="00F87600"/>
    <w:rsid w:val="00F87686"/>
    <w:rsid w:val="00F8797E"/>
    <w:rsid w:val="00F87B85"/>
    <w:rsid w:val="00F87E5A"/>
    <w:rsid w:val="00F9009F"/>
    <w:rsid w:val="00F90426"/>
    <w:rsid w:val="00F904D0"/>
    <w:rsid w:val="00F907BB"/>
    <w:rsid w:val="00F908F3"/>
    <w:rsid w:val="00F90C35"/>
    <w:rsid w:val="00F90D79"/>
    <w:rsid w:val="00F9108E"/>
    <w:rsid w:val="00F91A93"/>
    <w:rsid w:val="00F92278"/>
    <w:rsid w:val="00F923DF"/>
    <w:rsid w:val="00F926AF"/>
    <w:rsid w:val="00F926D0"/>
    <w:rsid w:val="00F929F4"/>
    <w:rsid w:val="00F92D64"/>
    <w:rsid w:val="00F92D83"/>
    <w:rsid w:val="00F92DDC"/>
    <w:rsid w:val="00F93569"/>
    <w:rsid w:val="00F936F0"/>
    <w:rsid w:val="00F937FC"/>
    <w:rsid w:val="00F93F99"/>
    <w:rsid w:val="00F9400F"/>
    <w:rsid w:val="00F9411C"/>
    <w:rsid w:val="00F9430B"/>
    <w:rsid w:val="00F94CFD"/>
    <w:rsid w:val="00F94E4D"/>
    <w:rsid w:val="00F95445"/>
    <w:rsid w:val="00F9588F"/>
    <w:rsid w:val="00F95EBD"/>
    <w:rsid w:val="00F961A7"/>
    <w:rsid w:val="00F96D77"/>
    <w:rsid w:val="00F96FB5"/>
    <w:rsid w:val="00F972AA"/>
    <w:rsid w:val="00F97884"/>
    <w:rsid w:val="00F978C5"/>
    <w:rsid w:val="00F9BD4F"/>
    <w:rsid w:val="00FA0218"/>
    <w:rsid w:val="00FA0346"/>
    <w:rsid w:val="00FA0D79"/>
    <w:rsid w:val="00FA1470"/>
    <w:rsid w:val="00FA16D9"/>
    <w:rsid w:val="00FA233A"/>
    <w:rsid w:val="00FA2620"/>
    <w:rsid w:val="00FA2FAE"/>
    <w:rsid w:val="00FA311F"/>
    <w:rsid w:val="00FA4462"/>
    <w:rsid w:val="00FA4BB8"/>
    <w:rsid w:val="00FA4DBA"/>
    <w:rsid w:val="00FA4E90"/>
    <w:rsid w:val="00FA4ED4"/>
    <w:rsid w:val="00FA5CED"/>
    <w:rsid w:val="00FA6085"/>
    <w:rsid w:val="00FA64A7"/>
    <w:rsid w:val="00FA65EB"/>
    <w:rsid w:val="00FA664A"/>
    <w:rsid w:val="00FA6811"/>
    <w:rsid w:val="00FA6D66"/>
    <w:rsid w:val="00FA7AC7"/>
    <w:rsid w:val="00FB0718"/>
    <w:rsid w:val="00FB0CB2"/>
    <w:rsid w:val="00FB0EF3"/>
    <w:rsid w:val="00FB12D6"/>
    <w:rsid w:val="00FB16FD"/>
    <w:rsid w:val="00FB1D31"/>
    <w:rsid w:val="00FB2298"/>
    <w:rsid w:val="00FB2781"/>
    <w:rsid w:val="00FB2837"/>
    <w:rsid w:val="00FB2D77"/>
    <w:rsid w:val="00FB2EEE"/>
    <w:rsid w:val="00FB3246"/>
    <w:rsid w:val="00FB393E"/>
    <w:rsid w:val="00FB4044"/>
    <w:rsid w:val="00FB42B0"/>
    <w:rsid w:val="00FB4714"/>
    <w:rsid w:val="00FB47EC"/>
    <w:rsid w:val="00FB49B6"/>
    <w:rsid w:val="00FB4AFE"/>
    <w:rsid w:val="00FB4B76"/>
    <w:rsid w:val="00FB4E54"/>
    <w:rsid w:val="00FB504F"/>
    <w:rsid w:val="00FB517D"/>
    <w:rsid w:val="00FB5930"/>
    <w:rsid w:val="00FB5977"/>
    <w:rsid w:val="00FB62B7"/>
    <w:rsid w:val="00FB689C"/>
    <w:rsid w:val="00FB6A10"/>
    <w:rsid w:val="00FB6FA2"/>
    <w:rsid w:val="00FB71DA"/>
    <w:rsid w:val="00FB71FD"/>
    <w:rsid w:val="00FB7469"/>
    <w:rsid w:val="00FB75B3"/>
    <w:rsid w:val="00FB7650"/>
    <w:rsid w:val="00FB7804"/>
    <w:rsid w:val="00FB7C5E"/>
    <w:rsid w:val="00FB7D8D"/>
    <w:rsid w:val="00FC0010"/>
    <w:rsid w:val="00FC06C9"/>
    <w:rsid w:val="00FC0A02"/>
    <w:rsid w:val="00FC101B"/>
    <w:rsid w:val="00FC1740"/>
    <w:rsid w:val="00FC179E"/>
    <w:rsid w:val="00FC17EE"/>
    <w:rsid w:val="00FC18CB"/>
    <w:rsid w:val="00FC1970"/>
    <w:rsid w:val="00FC2208"/>
    <w:rsid w:val="00FC26AB"/>
    <w:rsid w:val="00FC27A0"/>
    <w:rsid w:val="00FC2EDD"/>
    <w:rsid w:val="00FC3483"/>
    <w:rsid w:val="00FC36F4"/>
    <w:rsid w:val="00FC4BF9"/>
    <w:rsid w:val="00FC4DB4"/>
    <w:rsid w:val="00FC60FB"/>
    <w:rsid w:val="00FC6116"/>
    <w:rsid w:val="00FC68C0"/>
    <w:rsid w:val="00FC70B4"/>
    <w:rsid w:val="00FC70C9"/>
    <w:rsid w:val="00FC72F5"/>
    <w:rsid w:val="00FC76D2"/>
    <w:rsid w:val="00FC788E"/>
    <w:rsid w:val="00FC7D34"/>
    <w:rsid w:val="00FC7F1B"/>
    <w:rsid w:val="00FD0249"/>
    <w:rsid w:val="00FD0594"/>
    <w:rsid w:val="00FD0A93"/>
    <w:rsid w:val="00FD0D4F"/>
    <w:rsid w:val="00FD1323"/>
    <w:rsid w:val="00FD1352"/>
    <w:rsid w:val="00FD155F"/>
    <w:rsid w:val="00FD1B18"/>
    <w:rsid w:val="00FD1DA7"/>
    <w:rsid w:val="00FD2DCE"/>
    <w:rsid w:val="00FD333D"/>
    <w:rsid w:val="00FD37F7"/>
    <w:rsid w:val="00FD3A91"/>
    <w:rsid w:val="00FD3F10"/>
    <w:rsid w:val="00FD40A5"/>
    <w:rsid w:val="00FD4684"/>
    <w:rsid w:val="00FD49D2"/>
    <w:rsid w:val="00FD4B9B"/>
    <w:rsid w:val="00FD4E04"/>
    <w:rsid w:val="00FD624E"/>
    <w:rsid w:val="00FD62FC"/>
    <w:rsid w:val="00FD667B"/>
    <w:rsid w:val="00FD675F"/>
    <w:rsid w:val="00FD6A06"/>
    <w:rsid w:val="00FD7276"/>
    <w:rsid w:val="00FD7337"/>
    <w:rsid w:val="00FD763D"/>
    <w:rsid w:val="00FD7702"/>
    <w:rsid w:val="00FD77DE"/>
    <w:rsid w:val="00FD7AB3"/>
    <w:rsid w:val="00FD7AD5"/>
    <w:rsid w:val="00FD7B71"/>
    <w:rsid w:val="00FE01BF"/>
    <w:rsid w:val="00FE02A0"/>
    <w:rsid w:val="00FE03D6"/>
    <w:rsid w:val="00FE0757"/>
    <w:rsid w:val="00FE07BC"/>
    <w:rsid w:val="00FE0AD0"/>
    <w:rsid w:val="00FE0E6D"/>
    <w:rsid w:val="00FE11D5"/>
    <w:rsid w:val="00FE138C"/>
    <w:rsid w:val="00FE1DDA"/>
    <w:rsid w:val="00FE200B"/>
    <w:rsid w:val="00FE21D9"/>
    <w:rsid w:val="00FE25DA"/>
    <w:rsid w:val="00FE2B15"/>
    <w:rsid w:val="00FE2B1C"/>
    <w:rsid w:val="00FE2C35"/>
    <w:rsid w:val="00FE2F12"/>
    <w:rsid w:val="00FE3B63"/>
    <w:rsid w:val="00FE3C81"/>
    <w:rsid w:val="00FE3C9C"/>
    <w:rsid w:val="00FE3EF7"/>
    <w:rsid w:val="00FE45FC"/>
    <w:rsid w:val="00FE4B88"/>
    <w:rsid w:val="00FE4D7E"/>
    <w:rsid w:val="00FE523E"/>
    <w:rsid w:val="00FE555D"/>
    <w:rsid w:val="00FE57E8"/>
    <w:rsid w:val="00FE5A37"/>
    <w:rsid w:val="00FE71EC"/>
    <w:rsid w:val="00FE722E"/>
    <w:rsid w:val="00FE7AB4"/>
    <w:rsid w:val="00FE7E48"/>
    <w:rsid w:val="00FF0599"/>
    <w:rsid w:val="00FF0D9B"/>
    <w:rsid w:val="00FF0E15"/>
    <w:rsid w:val="00FF0E71"/>
    <w:rsid w:val="00FF0F91"/>
    <w:rsid w:val="00FF0FA7"/>
    <w:rsid w:val="00FF1662"/>
    <w:rsid w:val="00FF1C56"/>
    <w:rsid w:val="00FF1D2E"/>
    <w:rsid w:val="00FF2773"/>
    <w:rsid w:val="00FF2855"/>
    <w:rsid w:val="00FF2A2F"/>
    <w:rsid w:val="00FF3353"/>
    <w:rsid w:val="00FF399F"/>
    <w:rsid w:val="00FF4133"/>
    <w:rsid w:val="00FF41E1"/>
    <w:rsid w:val="00FF4DE3"/>
    <w:rsid w:val="00FF5464"/>
    <w:rsid w:val="00FF5627"/>
    <w:rsid w:val="00FF627D"/>
    <w:rsid w:val="00FF6499"/>
    <w:rsid w:val="00FF6787"/>
    <w:rsid w:val="00FF6809"/>
    <w:rsid w:val="00FF6B1E"/>
    <w:rsid w:val="00FF6B90"/>
    <w:rsid w:val="00FF6E5F"/>
    <w:rsid w:val="00FF7025"/>
    <w:rsid w:val="00FF7344"/>
    <w:rsid w:val="00FF7864"/>
    <w:rsid w:val="00FF7CB1"/>
    <w:rsid w:val="020D8B9F"/>
    <w:rsid w:val="02112809"/>
    <w:rsid w:val="0228D1E5"/>
    <w:rsid w:val="02442D7D"/>
    <w:rsid w:val="024E2F76"/>
    <w:rsid w:val="02B7F3F0"/>
    <w:rsid w:val="02CD3151"/>
    <w:rsid w:val="02F09D9E"/>
    <w:rsid w:val="03B1C4A3"/>
    <w:rsid w:val="0403FE3C"/>
    <w:rsid w:val="04A49B23"/>
    <w:rsid w:val="04AF1DC4"/>
    <w:rsid w:val="04C28B19"/>
    <w:rsid w:val="04E20A52"/>
    <w:rsid w:val="052325F2"/>
    <w:rsid w:val="0523F517"/>
    <w:rsid w:val="052955A6"/>
    <w:rsid w:val="055DB74F"/>
    <w:rsid w:val="0566C66E"/>
    <w:rsid w:val="05A4FD0A"/>
    <w:rsid w:val="05E25243"/>
    <w:rsid w:val="05E32B89"/>
    <w:rsid w:val="05E66824"/>
    <w:rsid w:val="05F47121"/>
    <w:rsid w:val="062AEA5D"/>
    <w:rsid w:val="064BC658"/>
    <w:rsid w:val="066A2DC6"/>
    <w:rsid w:val="06A17EEA"/>
    <w:rsid w:val="072200BE"/>
    <w:rsid w:val="072A1965"/>
    <w:rsid w:val="0731FA3C"/>
    <w:rsid w:val="07900169"/>
    <w:rsid w:val="08283812"/>
    <w:rsid w:val="089ECA1A"/>
    <w:rsid w:val="09311054"/>
    <w:rsid w:val="094EFD69"/>
    <w:rsid w:val="099416E6"/>
    <w:rsid w:val="09B7179F"/>
    <w:rsid w:val="09EA79A8"/>
    <w:rsid w:val="0A041BDC"/>
    <w:rsid w:val="0A210F34"/>
    <w:rsid w:val="0A40C5EE"/>
    <w:rsid w:val="0A68C6ED"/>
    <w:rsid w:val="0A7D60E9"/>
    <w:rsid w:val="0A8E593B"/>
    <w:rsid w:val="0AA72FF9"/>
    <w:rsid w:val="0ACCF92E"/>
    <w:rsid w:val="0ADF0DF7"/>
    <w:rsid w:val="0AE00208"/>
    <w:rsid w:val="0AE244FF"/>
    <w:rsid w:val="0AEA41DB"/>
    <w:rsid w:val="0B0FB779"/>
    <w:rsid w:val="0B338772"/>
    <w:rsid w:val="0B69D4FD"/>
    <w:rsid w:val="0BA7C59A"/>
    <w:rsid w:val="0C24B4E0"/>
    <w:rsid w:val="0C34F967"/>
    <w:rsid w:val="0C4127DF"/>
    <w:rsid w:val="0C77130C"/>
    <w:rsid w:val="0C97910B"/>
    <w:rsid w:val="0CC1880E"/>
    <w:rsid w:val="0CD18E3B"/>
    <w:rsid w:val="0CDA4ADA"/>
    <w:rsid w:val="0D78778B"/>
    <w:rsid w:val="0DD2FF6F"/>
    <w:rsid w:val="0DF2DACF"/>
    <w:rsid w:val="0E0601DE"/>
    <w:rsid w:val="0E2E093C"/>
    <w:rsid w:val="0E55073D"/>
    <w:rsid w:val="0F4AF0FA"/>
    <w:rsid w:val="0FDE8E9A"/>
    <w:rsid w:val="0FFE1220"/>
    <w:rsid w:val="1042ECDB"/>
    <w:rsid w:val="111FBA64"/>
    <w:rsid w:val="112C4EA4"/>
    <w:rsid w:val="1131AFE1"/>
    <w:rsid w:val="114D5FB9"/>
    <w:rsid w:val="1159FB78"/>
    <w:rsid w:val="116214F7"/>
    <w:rsid w:val="11674531"/>
    <w:rsid w:val="11939EFA"/>
    <w:rsid w:val="11A228E8"/>
    <w:rsid w:val="11BEBE72"/>
    <w:rsid w:val="11C372D0"/>
    <w:rsid w:val="11D44F67"/>
    <w:rsid w:val="11FA3444"/>
    <w:rsid w:val="12885BBD"/>
    <w:rsid w:val="1328527D"/>
    <w:rsid w:val="13556F71"/>
    <w:rsid w:val="135A0B6B"/>
    <w:rsid w:val="1371DC75"/>
    <w:rsid w:val="13755BDA"/>
    <w:rsid w:val="1377E865"/>
    <w:rsid w:val="137CAD2B"/>
    <w:rsid w:val="13CE9137"/>
    <w:rsid w:val="13D3FCBA"/>
    <w:rsid w:val="13D8404D"/>
    <w:rsid w:val="13E4C841"/>
    <w:rsid w:val="1477EC6E"/>
    <w:rsid w:val="14A4BF76"/>
    <w:rsid w:val="14B3C625"/>
    <w:rsid w:val="14EFDE2C"/>
    <w:rsid w:val="1500DB75"/>
    <w:rsid w:val="15451349"/>
    <w:rsid w:val="156FAEED"/>
    <w:rsid w:val="15B609F2"/>
    <w:rsid w:val="15CD308C"/>
    <w:rsid w:val="15E9B6FC"/>
    <w:rsid w:val="15ECA4DC"/>
    <w:rsid w:val="164167AE"/>
    <w:rsid w:val="16461569"/>
    <w:rsid w:val="166D60CE"/>
    <w:rsid w:val="16875B48"/>
    <w:rsid w:val="16C48EAA"/>
    <w:rsid w:val="17B321E0"/>
    <w:rsid w:val="17DC9A08"/>
    <w:rsid w:val="181C2934"/>
    <w:rsid w:val="182C806F"/>
    <w:rsid w:val="1830D259"/>
    <w:rsid w:val="1841B04F"/>
    <w:rsid w:val="18836370"/>
    <w:rsid w:val="18884301"/>
    <w:rsid w:val="18976FA6"/>
    <w:rsid w:val="18A05B5A"/>
    <w:rsid w:val="18ABFE9A"/>
    <w:rsid w:val="18EBC18E"/>
    <w:rsid w:val="194AD56F"/>
    <w:rsid w:val="194F0ADE"/>
    <w:rsid w:val="198BD7D9"/>
    <w:rsid w:val="199EAA50"/>
    <w:rsid w:val="1A5D0E44"/>
    <w:rsid w:val="1AB917AB"/>
    <w:rsid w:val="1AEC4189"/>
    <w:rsid w:val="1B078F61"/>
    <w:rsid w:val="1B6FA5DA"/>
    <w:rsid w:val="1BC2CE7D"/>
    <w:rsid w:val="1C218FD9"/>
    <w:rsid w:val="1CAD9DF5"/>
    <w:rsid w:val="1CAE1EED"/>
    <w:rsid w:val="1CE8FA4D"/>
    <w:rsid w:val="1D1D37B5"/>
    <w:rsid w:val="1D3995D0"/>
    <w:rsid w:val="1DD91752"/>
    <w:rsid w:val="1E0E2998"/>
    <w:rsid w:val="1E2B5125"/>
    <w:rsid w:val="1EF111E7"/>
    <w:rsid w:val="1F0458E4"/>
    <w:rsid w:val="1F0AA421"/>
    <w:rsid w:val="1F0CFC4C"/>
    <w:rsid w:val="1F9E8B36"/>
    <w:rsid w:val="1FE958AC"/>
    <w:rsid w:val="201B6347"/>
    <w:rsid w:val="201E5D5D"/>
    <w:rsid w:val="20A34B97"/>
    <w:rsid w:val="20F35EE3"/>
    <w:rsid w:val="21027011"/>
    <w:rsid w:val="21138280"/>
    <w:rsid w:val="211F67F8"/>
    <w:rsid w:val="21299BCB"/>
    <w:rsid w:val="216E1392"/>
    <w:rsid w:val="2182ED7F"/>
    <w:rsid w:val="219DC499"/>
    <w:rsid w:val="21D21404"/>
    <w:rsid w:val="21F33F35"/>
    <w:rsid w:val="2217E1AF"/>
    <w:rsid w:val="222CF912"/>
    <w:rsid w:val="2235186E"/>
    <w:rsid w:val="228A0734"/>
    <w:rsid w:val="22D211E5"/>
    <w:rsid w:val="23125461"/>
    <w:rsid w:val="23139228"/>
    <w:rsid w:val="2369BFB3"/>
    <w:rsid w:val="23B635F6"/>
    <w:rsid w:val="23BC0BD0"/>
    <w:rsid w:val="244EF1A5"/>
    <w:rsid w:val="248DA9D4"/>
    <w:rsid w:val="2491D76C"/>
    <w:rsid w:val="2493387F"/>
    <w:rsid w:val="24A45A1D"/>
    <w:rsid w:val="24C090E7"/>
    <w:rsid w:val="250E5A79"/>
    <w:rsid w:val="251C100A"/>
    <w:rsid w:val="253B5B35"/>
    <w:rsid w:val="25496BA4"/>
    <w:rsid w:val="2556F3DE"/>
    <w:rsid w:val="25A4011D"/>
    <w:rsid w:val="25D6C228"/>
    <w:rsid w:val="261F67FB"/>
    <w:rsid w:val="2689654E"/>
    <w:rsid w:val="27088619"/>
    <w:rsid w:val="274D4532"/>
    <w:rsid w:val="2785FEF8"/>
    <w:rsid w:val="27F0509C"/>
    <w:rsid w:val="27F7D7BE"/>
    <w:rsid w:val="27FAF656"/>
    <w:rsid w:val="28240AF7"/>
    <w:rsid w:val="282D68FC"/>
    <w:rsid w:val="2831816D"/>
    <w:rsid w:val="283753F5"/>
    <w:rsid w:val="28428406"/>
    <w:rsid w:val="2848299F"/>
    <w:rsid w:val="28B4AC61"/>
    <w:rsid w:val="28D3F0D0"/>
    <w:rsid w:val="28EB350F"/>
    <w:rsid w:val="2957E433"/>
    <w:rsid w:val="29A2D2C1"/>
    <w:rsid w:val="29EF0CC9"/>
    <w:rsid w:val="29F4DD4D"/>
    <w:rsid w:val="2A211863"/>
    <w:rsid w:val="2A6531C8"/>
    <w:rsid w:val="2A825A13"/>
    <w:rsid w:val="2A8A7B0A"/>
    <w:rsid w:val="2A913DE3"/>
    <w:rsid w:val="2AE420E6"/>
    <w:rsid w:val="2AE80E6F"/>
    <w:rsid w:val="2B0C8455"/>
    <w:rsid w:val="2B3239C6"/>
    <w:rsid w:val="2B3D2981"/>
    <w:rsid w:val="2B44AE9B"/>
    <w:rsid w:val="2BB1701A"/>
    <w:rsid w:val="2BD49096"/>
    <w:rsid w:val="2BE6D4F6"/>
    <w:rsid w:val="2BE9604C"/>
    <w:rsid w:val="2C166E5C"/>
    <w:rsid w:val="2C1AB6EB"/>
    <w:rsid w:val="2C33BD14"/>
    <w:rsid w:val="2C8E81E6"/>
    <w:rsid w:val="2C918236"/>
    <w:rsid w:val="2C97CA5C"/>
    <w:rsid w:val="2C9D2D82"/>
    <w:rsid w:val="2D728BF9"/>
    <w:rsid w:val="2DE6DC4B"/>
    <w:rsid w:val="2DFE011B"/>
    <w:rsid w:val="2E15A8E1"/>
    <w:rsid w:val="2E3D0787"/>
    <w:rsid w:val="2E54A7CD"/>
    <w:rsid w:val="2E5F9220"/>
    <w:rsid w:val="2E6C80AF"/>
    <w:rsid w:val="2E73910C"/>
    <w:rsid w:val="2E7B9C6B"/>
    <w:rsid w:val="2F4A6134"/>
    <w:rsid w:val="2F848369"/>
    <w:rsid w:val="2F99AE28"/>
    <w:rsid w:val="2FCB3DB7"/>
    <w:rsid w:val="30865F3A"/>
    <w:rsid w:val="30CA8975"/>
    <w:rsid w:val="30E07896"/>
    <w:rsid w:val="3105FD0D"/>
    <w:rsid w:val="3174A849"/>
    <w:rsid w:val="317C220C"/>
    <w:rsid w:val="3195A253"/>
    <w:rsid w:val="31C659B6"/>
    <w:rsid w:val="31DC5013"/>
    <w:rsid w:val="3203F2DF"/>
    <w:rsid w:val="323CFA99"/>
    <w:rsid w:val="32983C0B"/>
    <w:rsid w:val="32C895F4"/>
    <w:rsid w:val="32DAA8BD"/>
    <w:rsid w:val="33385F56"/>
    <w:rsid w:val="333AF0C9"/>
    <w:rsid w:val="34480C32"/>
    <w:rsid w:val="346A8C78"/>
    <w:rsid w:val="34B727CB"/>
    <w:rsid w:val="34C50BC6"/>
    <w:rsid w:val="34E49F95"/>
    <w:rsid w:val="352CF133"/>
    <w:rsid w:val="3555F91F"/>
    <w:rsid w:val="356AA026"/>
    <w:rsid w:val="357C3906"/>
    <w:rsid w:val="35833924"/>
    <w:rsid w:val="3631FBDD"/>
    <w:rsid w:val="3655DEAD"/>
    <w:rsid w:val="367645DE"/>
    <w:rsid w:val="37097378"/>
    <w:rsid w:val="37274F7F"/>
    <w:rsid w:val="3729CC64"/>
    <w:rsid w:val="373FA9E1"/>
    <w:rsid w:val="375FB2D3"/>
    <w:rsid w:val="37DD63E5"/>
    <w:rsid w:val="37E360C6"/>
    <w:rsid w:val="381EF975"/>
    <w:rsid w:val="3832ACA3"/>
    <w:rsid w:val="3852F17C"/>
    <w:rsid w:val="38858566"/>
    <w:rsid w:val="39172737"/>
    <w:rsid w:val="39248D3D"/>
    <w:rsid w:val="397115E7"/>
    <w:rsid w:val="39CCE96A"/>
    <w:rsid w:val="39D12BD2"/>
    <w:rsid w:val="39FF039F"/>
    <w:rsid w:val="3A80F952"/>
    <w:rsid w:val="3AB72F08"/>
    <w:rsid w:val="3AF7CD83"/>
    <w:rsid w:val="3B6EF648"/>
    <w:rsid w:val="3BA2891F"/>
    <w:rsid w:val="3BC5E85D"/>
    <w:rsid w:val="3BD97D95"/>
    <w:rsid w:val="3BDCD388"/>
    <w:rsid w:val="3BE96F1B"/>
    <w:rsid w:val="3C31E1F1"/>
    <w:rsid w:val="3CBF565B"/>
    <w:rsid w:val="3CC03902"/>
    <w:rsid w:val="3CC26D61"/>
    <w:rsid w:val="3CCCB914"/>
    <w:rsid w:val="3CCCBAD8"/>
    <w:rsid w:val="3CDFAE09"/>
    <w:rsid w:val="3D185D9A"/>
    <w:rsid w:val="3D331582"/>
    <w:rsid w:val="3D352474"/>
    <w:rsid w:val="3D6CD07F"/>
    <w:rsid w:val="3DB89A14"/>
    <w:rsid w:val="3DB8ACE8"/>
    <w:rsid w:val="3E2A98D8"/>
    <w:rsid w:val="3E602AAE"/>
    <w:rsid w:val="3E7EEC00"/>
    <w:rsid w:val="3E882841"/>
    <w:rsid w:val="3E959B20"/>
    <w:rsid w:val="3EACFC1A"/>
    <w:rsid w:val="3EDA273E"/>
    <w:rsid w:val="3F00C663"/>
    <w:rsid w:val="3F052C9F"/>
    <w:rsid w:val="3F0BA74B"/>
    <w:rsid w:val="3F5AF63A"/>
    <w:rsid w:val="3F7C57A5"/>
    <w:rsid w:val="3FAD40DC"/>
    <w:rsid w:val="3FDFC2CB"/>
    <w:rsid w:val="400B81CD"/>
    <w:rsid w:val="401C3507"/>
    <w:rsid w:val="402A2B9E"/>
    <w:rsid w:val="40B44B52"/>
    <w:rsid w:val="40D7E558"/>
    <w:rsid w:val="4116F90D"/>
    <w:rsid w:val="4156B713"/>
    <w:rsid w:val="41EBCEBD"/>
    <w:rsid w:val="4261F47D"/>
    <w:rsid w:val="4272E2DA"/>
    <w:rsid w:val="4284909C"/>
    <w:rsid w:val="42866E11"/>
    <w:rsid w:val="42AD007C"/>
    <w:rsid w:val="42D5AB4D"/>
    <w:rsid w:val="432C4880"/>
    <w:rsid w:val="433BA089"/>
    <w:rsid w:val="437BB221"/>
    <w:rsid w:val="43870B10"/>
    <w:rsid w:val="43C6BA5A"/>
    <w:rsid w:val="43D2BF9A"/>
    <w:rsid w:val="43FA4F34"/>
    <w:rsid w:val="44096DDB"/>
    <w:rsid w:val="444160E1"/>
    <w:rsid w:val="44A22907"/>
    <w:rsid w:val="44ADE2ED"/>
    <w:rsid w:val="44E3B191"/>
    <w:rsid w:val="44F8CF37"/>
    <w:rsid w:val="45034D5F"/>
    <w:rsid w:val="4532B582"/>
    <w:rsid w:val="45539F62"/>
    <w:rsid w:val="45576766"/>
    <w:rsid w:val="455C1C08"/>
    <w:rsid w:val="459D076B"/>
    <w:rsid w:val="45BF6CE0"/>
    <w:rsid w:val="463A19E8"/>
    <w:rsid w:val="46960F06"/>
    <w:rsid w:val="46C82126"/>
    <w:rsid w:val="46CD4640"/>
    <w:rsid w:val="47B982FC"/>
    <w:rsid w:val="47E1B819"/>
    <w:rsid w:val="48165C27"/>
    <w:rsid w:val="484460F2"/>
    <w:rsid w:val="4876E0EE"/>
    <w:rsid w:val="48C8DE54"/>
    <w:rsid w:val="48D4A82D"/>
    <w:rsid w:val="4A15E6AC"/>
    <w:rsid w:val="4A45711E"/>
    <w:rsid w:val="4A7BC7B9"/>
    <w:rsid w:val="4AD6001B"/>
    <w:rsid w:val="4B220013"/>
    <w:rsid w:val="4B43A7F1"/>
    <w:rsid w:val="4B506FB4"/>
    <w:rsid w:val="4B578577"/>
    <w:rsid w:val="4BBCF542"/>
    <w:rsid w:val="4BDACC0F"/>
    <w:rsid w:val="4C43E14E"/>
    <w:rsid w:val="4C4452A0"/>
    <w:rsid w:val="4C491481"/>
    <w:rsid w:val="4CC9A16C"/>
    <w:rsid w:val="4D2C4EBD"/>
    <w:rsid w:val="4D2D9E0A"/>
    <w:rsid w:val="4D692C38"/>
    <w:rsid w:val="4D727309"/>
    <w:rsid w:val="4D8BEAF8"/>
    <w:rsid w:val="4DCA0902"/>
    <w:rsid w:val="4E302338"/>
    <w:rsid w:val="4E61F70B"/>
    <w:rsid w:val="4E88D59A"/>
    <w:rsid w:val="4ED14FAC"/>
    <w:rsid w:val="4F26A69D"/>
    <w:rsid w:val="4F519356"/>
    <w:rsid w:val="4F77987D"/>
    <w:rsid w:val="4F943A58"/>
    <w:rsid w:val="4F959C19"/>
    <w:rsid w:val="4FB86BD6"/>
    <w:rsid w:val="4FC80FE5"/>
    <w:rsid w:val="502612DF"/>
    <w:rsid w:val="5032E08A"/>
    <w:rsid w:val="503344E8"/>
    <w:rsid w:val="5070A6E9"/>
    <w:rsid w:val="507FE887"/>
    <w:rsid w:val="50FFC8AA"/>
    <w:rsid w:val="51A2E81B"/>
    <w:rsid w:val="51FEEF86"/>
    <w:rsid w:val="5258733E"/>
    <w:rsid w:val="531B3DEB"/>
    <w:rsid w:val="532C6D76"/>
    <w:rsid w:val="533EB0C4"/>
    <w:rsid w:val="53EFA044"/>
    <w:rsid w:val="53F61D6E"/>
    <w:rsid w:val="5406022F"/>
    <w:rsid w:val="54155F8B"/>
    <w:rsid w:val="541BC420"/>
    <w:rsid w:val="5459A044"/>
    <w:rsid w:val="54E8D84A"/>
    <w:rsid w:val="550E5236"/>
    <w:rsid w:val="5532F0EA"/>
    <w:rsid w:val="553C312A"/>
    <w:rsid w:val="554CB6EB"/>
    <w:rsid w:val="55CF4E46"/>
    <w:rsid w:val="56A0F66D"/>
    <w:rsid w:val="56F5C7DE"/>
    <w:rsid w:val="5726DAAB"/>
    <w:rsid w:val="572971E8"/>
    <w:rsid w:val="576D8D14"/>
    <w:rsid w:val="57C3E28B"/>
    <w:rsid w:val="5810464C"/>
    <w:rsid w:val="59324AE1"/>
    <w:rsid w:val="59593D29"/>
    <w:rsid w:val="59F842AF"/>
    <w:rsid w:val="59F9D3C6"/>
    <w:rsid w:val="5A0F0431"/>
    <w:rsid w:val="5A401A68"/>
    <w:rsid w:val="5AC1E38C"/>
    <w:rsid w:val="5AD24BBC"/>
    <w:rsid w:val="5AD3E014"/>
    <w:rsid w:val="5B25761E"/>
    <w:rsid w:val="5BA277CD"/>
    <w:rsid w:val="5BBA8922"/>
    <w:rsid w:val="5BC702BD"/>
    <w:rsid w:val="5BF58265"/>
    <w:rsid w:val="5C0E88A8"/>
    <w:rsid w:val="5C44161C"/>
    <w:rsid w:val="5C4FFAAD"/>
    <w:rsid w:val="5CF6635D"/>
    <w:rsid w:val="5CFEAC28"/>
    <w:rsid w:val="5D57B46F"/>
    <w:rsid w:val="5D746226"/>
    <w:rsid w:val="5DC96FFE"/>
    <w:rsid w:val="5DDE157D"/>
    <w:rsid w:val="5DE263BD"/>
    <w:rsid w:val="5DE5FC88"/>
    <w:rsid w:val="5E36F8B7"/>
    <w:rsid w:val="5EAC7C50"/>
    <w:rsid w:val="5EE02982"/>
    <w:rsid w:val="5F10DBE3"/>
    <w:rsid w:val="5F27DD5E"/>
    <w:rsid w:val="5F2C45B0"/>
    <w:rsid w:val="5F6047E2"/>
    <w:rsid w:val="5FA71ECC"/>
    <w:rsid w:val="5FE0BBFE"/>
    <w:rsid w:val="603A2B32"/>
    <w:rsid w:val="60C99693"/>
    <w:rsid w:val="6105DE57"/>
    <w:rsid w:val="610F1B24"/>
    <w:rsid w:val="611DF759"/>
    <w:rsid w:val="61743A32"/>
    <w:rsid w:val="61B5735E"/>
    <w:rsid w:val="61B72892"/>
    <w:rsid w:val="61F7EFDF"/>
    <w:rsid w:val="62082C2A"/>
    <w:rsid w:val="62131044"/>
    <w:rsid w:val="62B1C973"/>
    <w:rsid w:val="62B8C121"/>
    <w:rsid w:val="62F6B680"/>
    <w:rsid w:val="62FBD38F"/>
    <w:rsid w:val="6380A8AC"/>
    <w:rsid w:val="63B9199C"/>
    <w:rsid w:val="63FC90AE"/>
    <w:rsid w:val="64652930"/>
    <w:rsid w:val="64B4C499"/>
    <w:rsid w:val="64F88C98"/>
    <w:rsid w:val="64FF7D04"/>
    <w:rsid w:val="651AC8FA"/>
    <w:rsid w:val="65513F11"/>
    <w:rsid w:val="655BAC20"/>
    <w:rsid w:val="655E6E12"/>
    <w:rsid w:val="65615380"/>
    <w:rsid w:val="65A8BBE4"/>
    <w:rsid w:val="65CE2C3B"/>
    <w:rsid w:val="65EF261D"/>
    <w:rsid w:val="66044E8C"/>
    <w:rsid w:val="6610F5CF"/>
    <w:rsid w:val="665C836E"/>
    <w:rsid w:val="668A1D26"/>
    <w:rsid w:val="66B48918"/>
    <w:rsid w:val="66E97FA6"/>
    <w:rsid w:val="6707D91A"/>
    <w:rsid w:val="6723648A"/>
    <w:rsid w:val="674FE552"/>
    <w:rsid w:val="675D3179"/>
    <w:rsid w:val="6775EAF8"/>
    <w:rsid w:val="67A37CDE"/>
    <w:rsid w:val="6835C798"/>
    <w:rsid w:val="689F5A44"/>
    <w:rsid w:val="68DDE1B9"/>
    <w:rsid w:val="69457B03"/>
    <w:rsid w:val="697FFD3D"/>
    <w:rsid w:val="69FCC632"/>
    <w:rsid w:val="6A63DA06"/>
    <w:rsid w:val="6AAE0FE4"/>
    <w:rsid w:val="6BD624AA"/>
    <w:rsid w:val="6C6308A2"/>
    <w:rsid w:val="6D20C1EE"/>
    <w:rsid w:val="6D24311D"/>
    <w:rsid w:val="6D359163"/>
    <w:rsid w:val="6D3FABC7"/>
    <w:rsid w:val="6D5F432D"/>
    <w:rsid w:val="6DC966D4"/>
    <w:rsid w:val="6DE52C7C"/>
    <w:rsid w:val="6E2CCDCC"/>
    <w:rsid w:val="6EC03651"/>
    <w:rsid w:val="6EC46531"/>
    <w:rsid w:val="6EE06343"/>
    <w:rsid w:val="6F28A89E"/>
    <w:rsid w:val="6F80FCDD"/>
    <w:rsid w:val="6FC7C9C6"/>
    <w:rsid w:val="6FD290FE"/>
    <w:rsid w:val="70442C06"/>
    <w:rsid w:val="7053A9ED"/>
    <w:rsid w:val="70647854"/>
    <w:rsid w:val="70ABCE85"/>
    <w:rsid w:val="716825B7"/>
    <w:rsid w:val="7169ADBB"/>
    <w:rsid w:val="7174F1D6"/>
    <w:rsid w:val="718256CD"/>
    <w:rsid w:val="71F706BF"/>
    <w:rsid w:val="72179BB5"/>
    <w:rsid w:val="7275D551"/>
    <w:rsid w:val="727B6D67"/>
    <w:rsid w:val="727BE976"/>
    <w:rsid w:val="729C3FDD"/>
    <w:rsid w:val="72C4C3A2"/>
    <w:rsid w:val="72DC7D41"/>
    <w:rsid w:val="732C4E6E"/>
    <w:rsid w:val="74609403"/>
    <w:rsid w:val="7533A6B5"/>
    <w:rsid w:val="755E66D5"/>
    <w:rsid w:val="75AEE972"/>
    <w:rsid w:val="75B5AFA3"/>
    <w:rsid w:val="75C1251C"/>
    <w:rsid w:val="75E0A1B9"/>
    <w:rsid w:val="75FECC44"/>
    <w:rsid w:val="7627FD48"/>
    <w:rsid w:val="762FFF81"/>
    <w:rsid w:val="7646CA97"/>
    <w:rsid w:val="76903045"/>
    <w:rsid w:val="774B6F11"/>
    <w:rsid w:val="775D50A7"/>
    <w:rsid w:val="77636420"/>
    <w:rsid w:val="777F6677"/>
    <w:rsid w:val="77BCB871"/>
    <w:rsid w:val="77D5CC61"/>
    <w:rsid w:val="77D6057A"/>
    <w:rsid w:val="77DCF14D"/>
    <w:rsid w:val="785FE5EC"/>
    <w:rsid w:val="7865FF88"/>
    <w:rsid w:val="78D69FFE"/>
    <w:rsid w:val="78E7D6EA"/>
    <w:rsid w:val="7923BF85"/>
    <w:rsid w:val="799F1C59"/>
    <w:rsid w:val="79BC4DCF"/>
    <w:rsid w:val="79F381D1"/>
    <w:rsid w:val="7A5DA8AF"/>
    <w:rsid w:val="7A692E00"/>
    <w:rsid w:val="7AA57E85"/>
    <w:rsid w:val="7B4834EC"/>
    <w:rsid w:val="7B4B2B72"/>
    <w:rsid w:val="7B751B11"/>
    <w:rsid w:val="7B80BB51"/>
    <w:rsid w:val="7BB7DFB4"/>
    <w:rsid w:val="7BBF2B81"/>
    <w:rsid w:val="7BECBF29"/>
    <w:rsid w:val="7C4B4F30"/>
    <w:rsid w:val="7C5F66A7"/>
    <w:rsid w:val="7C653CAE"/>
    <w:rsid w:val="7D1F1BAA"/>
    <w:rsid w:val="7D40A641"/>
    <w:rsid w:val="7D6F37B2"/>
    <w:rsid w:val="7DB7B81B"/>
    <w:rsid w:val="7DB982A0"/>
    <w:rsid w:val="7E01F9D1"/>
    <w:rsid w:val="7E25AA4B"/>
    <w:rsid w:val="7E2A0D56"/>
    <w:rsid w:val="7E676E30"/>
    <w:rsid w:val="7E7F5DD2"/>
    <w:rsid w:val="7EA384FE"/>
    <w:rsid w:val="7EA86575"/>
    <w:rsid w:val="7EC1DFE9"/>
    <w:rsid w:val="7ECBB2B3"/>
    <w:rsid w:val="7EE31841"/>
    <w:rsid w:val="7F46B05D"/>
    <w:rsid w:val="7F726BDA"/>
    <w:rsid w:val="7F84B98D"/>
    <w:rsid w:val="7F89DB00"/>
    <w:rsid w:val="7FB47F7F"/>
    <w:rsid w:val="7FC06CBC"/>
    <w:rsid w:val="7FDAE17D"/>
    <w:rsid w:val="7FE7E3E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9A8FC838-22B4-472D-BEF3-B193FE8C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FB"/>
    <w:pPr>
      <w:spacing w:after="0" w:line="240" w:lineRule="auto"/>
    </w:p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rPr>
  </w:style>
  <w:style w:type="paragraph" w:styleId="EndnoteText">
    <w:name w:val="endnote text"/>
    <w:basedOn w:val="Normal"/>
    <w:link w:val="EndnoteTextChar"/>
    <w:uiPriority w:val="99"/>
    <w:unhideWhenUsed/>
    <w:rsid w:val="003253C6"/>
    <w:rPr>
      <w:rFonts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A13015"/>
    <w:pPr>
      <w:tabs>
        <w:tab w:val="right" w:leader="dot" w:pos="9450"/>
      </w:tabs>
      <w:spacing w:after="100" w:line="276" w:lineRule="auto"/>
      <w:ind w:left="450"/>
    </w:pPr>
    <w:rPr>
      <w:rFonts w:ascii="Calibri" w:eastAsiaTheme="majorEastAsia" w:hAnsi="Calibri" w:cstheme="majorBidi"/>
      <w:noProof/>
      <w:szCs w:val="22"/>
    </w:rPr>
  </w:style>
  <w:style w:type="paragraph" w:styleId="TOC2">
    <w:name w:val="toc 2"/>
    <w:basedOn w:val="Normal"/>
    <w:next w:val="Normal"/>
    <w:autoRedefine/>
    <w:uiPriority w:val="39"/>
    <w:unhideWhenUsed/>
    <w:rsid w:val="001D23E0"/>
    <w:pPr>
      <w:tabs>
        <w:tab w:val="right" w:leader="dot" w:pos="9450"/>
      </w:tabs>
      <w:spacing w:after="100" w:line="276" w:lineRule="auto"/>
      <w:ind w:left="450"/>
    </w:pPr>
    <w:rPr>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customStyle="1" w:styleId="UnresolvedMention7">
    <w:name w:val="Unresolved Mention7"/>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RBNBasicNoSpace">
    <w:name w:val="RBN Basic No Space"/>
    <w:basedOn w:val="Normal"/>
    <w:rsid w:val="00B13F08"/>
    <w:rPr>
      <w:rFonts w:eastAsia="Calibri"/>
      <w:szCs w:val="20"/>
    </w:rPr>
  </w:style>
  <w:style w:type="paragraph" w:customStyle="1" w:styleId="RB2Bullets">
    <w:name w:val="RB2 Bullets"/>
    <w:basedOn w:val="Normal"/>
    <w:rsid w:val="00B13F08"/>
    <w:pPr>
      <w:numPr>
        <w:ilvl w:val="1"/>
        <w:numId w:val="1"/>
      </w:numPr>
      <w:spacing w:after="120"/>
    </w:pPr>
    <w:rPr>
      <w:rFonts w:eastAsia="Calibri"/>
      <w:szCs w:val="20"/>
    </w:rPr>
  </w:style>
  <w:style w:type="paragraph" w:customStyle="1" w:styleId="RB3Bullets">
    <w:name w:val="RB3 Bullets"/>
    <w:basedOn w:val="Normal"/>
    <w:rsid w:val="00B13F08"/>
    <w:pPr>
      <w:numPr>
        <w:ilvl w:val="2"/>
        <w:numId w:val="1"/>
      </w:numPr>
      <w:spacing w:after="120"/>
    </w:pPr>
    <w:rPr>
      <w:rFonts w:eastAsia="Calibri"/>
      <w:szCs w:val="20"/>
    </w:rPr>
  </w:style>
  <w:style w:type="paragraph" w:customStyle="1" w:styleId="RB4Bullets">
    <w:name w:val="RB4 Bullets"/>
    <w:basedOn w:val="Normal"/>
    <w:rsid w:val="00B13F08"/>
    <w:pPr>
      <w:numPr>
        <w:ilvl w:val="3"/>
        <w:numId w:val="1"/>
      </w:numPr>
      <w:spacing w:after="120"/>
    </w:pPr>
    <w:rPr>
      <w:rFonts w:eastAsia="Calibri"/>
      <w:szCs w:val="20"/>
    </w:rPr>
  </w:style>
  <w:style w:type="paragraph" w:customStyle="1" w:styleId="RB5Bullets">
    <w:name w:val="RB5 Bullets"/>
    <w:basedOn w:val="Normal"/>
    <w:rsid w:val="00B13F08"/>
    <w:pPr>
      <w:numPr>
        <w:ilvl w:val="4"/>
        <w:numId w:val="1"/>
      </w:numPr>
      <w:spacing w:after="120"/>
    </w:pPr>
    <w:rPr>
      <w:rFonts w:eastAsia="Calibri"/>
      <w:szCs w:val="20"/>
    </w:rPr>
  </w:style>
  <w:style w:type="paragraph" w:customStyle="1" w:styleId="RB6Bullets">
    <w:name w:val="RB6 Bullets"/>
    <w:basedOn w:val="Normal"/>
    <w:rsid w:val="00B13F08"/>
    <w:pPr>
      <w:numPr>
        <w:ilvl w:val="5"/>
        <w:numId w:val="1"/>
      </w:numPr>
      <w:spacing w:after="120"/>
    </w:pPr>
    <w:rPr>
      <w:rFonts w:eastAsia="Calibri"/>
      <w:szCs w:val="20"/>
    </w:rPr>
  </w:style>
  <w:style w:type="paragraph" w:customStyle="1" w:styleId="RB7Bullets">
    <w:name w:val="RB7 Bullets"/>
    <w:basedOn w:val="Normal"/>
    <w:rsid w:val="00B13F08"/>
    <w:pPr>
      <w:numPr>
        <w:ilvl w:val="6"/>
        <w:numId w:val="1"/>
      </w:numPr>
      <w:spacing w:after="120"/>
    </w:pPr>
    <w:rPr>
      <w:rFonts w:eastAsia="Calibri"/>
      <w:szCs w:val="20"/>
    </w:rPr>
  </w:style>
  <w:style w:type="paragraph" w:customStyle="1" w:styleId="RB8Bullets">
    <w:name w:val="RB8 Bullets"/>
    <w:basedOn w:val="Normal"/>
    <w:rsid w:val="00B13F08"/>
    <w:pPr>
      <w:numPr>
        <w:ilvl w:val="7"/>
        <w:numId w:val="1"/>
      </w:numPr>
      <w:spacing w:after="120"/>
    </w:pPr>
    <w:rPr>
      <w:rFonts w:eastAsia="Calibri"/>
      <w:szCs w:val="20"/>
    </w:rPr>
  </w:style>
  <w:style w:type="paragraph" w:customStyle="1" w:styleId="RB9Bullets">
    <w:name w:val="RB9 Bullets"/>
    <w:basedOn w:val="Normal"/>
    <w:rsid w:val="00B13F08"/>
    <w:pPr>
      <w:numPr>
        <w:ilvl w:val="8"/>
        <w:numId w:val="1"/>
      </w:numPr>
      <w:spacing w:after="120"/>
    </w:pPr>
    <w:rPr>
      <w:rFonts w:eastAsia="Calibri"/>
      <w:szCs w:val="20"/>
    </w:rPr>
  </w:style>
  <w:style w:type="paragraph" w:customStyle="1" w:styleId="RBUBullets">
    <w:name w:val="RBU Bullets"/>
    <w:basedOn w:val="Normal"/>
    <w:link w:val="RBUBulletsChar"/>
    <w:rsid w:val="00B13F08"/>
    <w:pPr>
      <w:numPr>
        <w:numId w:val="1"/>
      </w:numPr>
      <w:spacing w:after="120"/>
      <w:ind w:left="720"/>
      <w:jc w:val="both"/>
    </w:pPr>
    <w:rPr>
      <w:rFonts w:eastAsia="Calibri"/>
      <w:szCs w:val="20"/>
    </w:rPr>
  </w:style>
  <w:style w:type="character" w:customStyle="1" w:styleId="RBUBulletsChar">
    <w:name w:val="RBU Bullets Char"/>
    <w:basedOn w:val="DefaultParagraphFont"/>
    <w:link w:val="RBUBullets"/>
    <w:rsid w:val="00B13F08"/>
    <w:rPr>
      <w:rFonts w:eastAsia="Calibri"/>
      <w:szCs w:val="20"/>
    </w:rPr>
  </w:style>
  <w:style w:type="paragraph" w:customStyle="1" w:styleId="RNNum">
    <w:name w:val="RN Num"/>
    <w:basedOn w:val="Normal"/>
    <w:link w:val="RNNumChar"/>
    <w:rsid w:val="007B1DAB"/>
    <w:pPr>
      <w:numPr>
        <w:numId w:val="2"/>
      </w:numPr>
      <w:spacing w:after="240"/>
    </w:pPr>
    <w:rPr>
      <w:rFonts w:eastAsia="Calibri"/>
      <w:szCs w:val="20"/>
    </w:rPr>
  </w:style>
  <w:style w:type="character" w:customStyle="1" w:styleId="RNNumChar">
    <w:name w:val="RN Num Char"/>
    <w:link w:val="RNNum"/>
    <w:rsid w:val="007B1DAB"/>
    <w:rPr>
      <w:rFonts w:eastAsia="Calibri"/>
      <w:szCs w:val="20"/>
    </w:rPr>
  </w:style>
  <w:style w:type="paragraph" w:customStyle="1" w:styleId="RN2Num">
    <w:name w:val="RN2 Num"/>
    <w:basedOn w:val="Normal"/>
    <w:rsid w:val="007B1DAB"/>
    <w:pPr>
      <w:numPr>
        <w:ilvl w:val="1"/>
        <w:numId w:val="2"/>
      </w:numPr>
      <w:spacing w:after="240"/>
    </w:pPr>
    <w:rPr>
      <w:rFonts w:eastAsia="Calibri"/>
      <w:szCs w:val="20"/>
    </w:rPr>
  </w:style>
  <w:style w:type="paragraph" w:customStyle="1" w:styleId="RN3Num">
    <w:name w:val="RN3 Num"/>
    <w:basedOn w:val="Normal"/>
    <w:rsid w:val="007B1DAB"/>
    <w:pPr>
      <w:numPr>
        <w:ilvl w:val="2"/>
        <w:numId w:val="2"/>
      </w:numPr>
      <w:spacing w:after="240"/>
    </w:pPr>
    <w:rPr>
      <w:rFonts w:eastAsia="Calibri"/>
      <w:szCs w:val="20"/>
    </w:rPr>
  </w:style>
  <w:style w:type="paragraph" w:customStyle="1" w:styleId="RN4Num">
    <w:name w:val="RN4 Num"/>
    <w:basedOn w:val="Normal"/>
    <w:rsid w:val="007B1DAB"/>
    <w:pPr>
      <w:numPr>
        <w:ilvl w:val="3"/>
        <w:numId w:val="2"/>
      </w:numPr>
    </w:pPr>
    <w:rPr>
      <w:rFonts w:eastAsia="Calibri"/>
      <w:szCs w:val="20"/>
    </w:rPr>
  </w:style>
  <w:style w:type="paragraph" w:customStyle="1" w:styleId="RN5Num">
    <w:name w:val="RN5 Num"/>
    <w:basedOn w:val="Normal"/>
    <w:rsid w:val="007B1DAB"/>
    <w:pPr>
      <w:numPr>
        <w:ilvl w:val="4"/>
        <w:numId w:val="2"/>
      </w:numPr>
      <w:spacing w:after="240"/>
    </w:pPr>
    <w:rPr>
      <w:rFonts w:eastAsia="Calibri"/>
      <w:szCs w:val="20"/>
    </w:rPr>
  </w:style>
  <w:style w:type="paragraph" w:customStyle="1" w:styleId="RN6Num">
    <w:name w:val="RN6 Num"/>
    <w:basedOn w:val="Normal"/>
    <w:rsid w:val="007B1DAB"/>
    <w:pPr>
      <w:numPr>
        <w:ilvl w:val="5"/>
        <w:numId w:val="2"/>
      </w:numPr>
      <w:spacing w:after="240"/>
    </w:pPr>
    <w:rPr>
      <w:rFonts w:eastAsia="Calibri"/>
      <w:szCs w:val="20"/>
    </w:rPr>
  </w:style>
  <w:style w:type="paragraph" w:customStyle="1" w:styleId="RN7Num">
    <w:name w:val="RN7 Num"/>
    <w:basedOn w:val="Normal"/>
    <w:rsid w:val="007B1DAB"/>
    <w:pPr>
      <w:numPr>
        <w:ilvl w:val="6"/>
        <w:numId w:val="2"/>
      </w:numPr>
      <w:spacing w:after="240"/>
    </w:pPr>
    <w:rPr>
      <w:rFonts w:eastAsia="Calibri"/>
      <w:szCs w:val="20"/>
    </w:rPr>
  </w:style>
  <w:style w:type="paragraph" w:customStyle="1" w:styleId="RN8Num">
    <w:name w:val="RN8 Num"/>
    <w:basedOn w:val="Normal"/>
    <w:rsid w:val="007B1DAB"/>
    <w:pPr>
      <w:numPr>
        <w:ilvl w:val="7"/>
        <w:numId w:val="2"/>
      </w:numPr>
      <w:spacing w:after="240"/>
    </w:pPr>
    <w:rPr>
      <w:rFonts w:eastAsia="Calibri"/>
      <w:szCs w:val="20"/>
    </w:rPr>
  </w:style>
  <w:style w:type="paragraph" w:customStyle="1" w:styleId="RN9Num">
    <w:name w:val="RN9 Num"/>
    <w:basedOn w:val="Normal"/>
    <w:rsid w:val="007B1DAB"/>
    <w:pPr>
      <w:numPr>
        <w:ilvl w:val="8"/>
        <w:numId w:val="2"/>
      </w:numPr>
      <w:spacing w:after="240"/>
    </w:pPr>
    <w:rPr>
      <w:rFonts w:eastAsia="Calibri"/>
      <w:szCs w:val="20"/>
    </w:rPr>
  </w:style>
  <w:style w:type="character" w:styleId="UnresolvedMention">
    <w:name w:val="Unresolved Mention"/>
    <w:basedOn w:val="DefaultParagraphFont"/>
    <w:uiPriority w:val="99"/>
    <w:semiHidden/>
    <w:unhideWhenUsed/>
    <w:rsid w:val="008C0869"/>
    <w:rPr>
      <w:color w:val="605E5C"/>
      <w:shd w:val="clear" w:color="auto" w:fill="E1DFDD"/>
    </w:rPr>
  </w:style>
  <w:style w:type="character" w:styleId="Emphasis">
    <w:name w:val="Emphasis"/>
    <w:basedOn w:val="DefaultParagraphFont"/>
    <w:uiPriority w:val="20"/>
    <w:qFormat/>
    <w:rsid w:val="006B02BE"/>
    <w:rPr>
      <w:i/>
      <w:iCs/>
    </w:rPr>
  </w:style>
  <w:style w:type="paragraph" w:styleId="TOC3">
    <w:name w:val="toc 3"/>
    <w:basedOn w:val="Normal"/>
    <w:next w:val="Normal"/>
    <w:autoRedefine/>
    <w:uiPriority w:val="39"/>
    <w:unhideWhenUsed/>
    <w:rsid w:val="007D1CA1"/>
    <w:pPr>
      <w:spacing w:after="100" w:line="259" w:lineRule="auto"/>
      <w:ind w:left="440"/>
    </w:pPr>
    <w:rPr>
      <w:rFonts w:eastAsiaTheme="minorEastAsia"/>
      <w:sz w:val="22"/>
      <w:szCs w:val="22"/>
    </w:rPr>
  </w:style>
  <w:style w:type="paragraph" w:customStyle="1" w:styleId="FootnoteText1">
    <w:name w:val="Footnote Text1"/>
    <w:basedOn w:val="Normal"/>
    <w:next w:val="FootnoteText"/>
    <w:uiPriority w:val="99"/>
    <w:unhideWhenUsed/>
    <w:rsid w:val="00C22A7C"/>
    <w:rPr>
      <w:rFonts w:ascii="Calibri" w:eastAsia="Calibri" w:hAnsi="Calibri"/>
      <w:sz w:val="20"/>
      <w:szCs w:val="20"/>
    </w:rPr>
  </w:style>
  <w:style w:type="character" w:customStyle="1" w:styleId="Hyperlink1">
    <w:name w:val="Hyperlink1"/>
    <w:basedOn w:val="DefaultParagraphFont"/>
    <w:uiPriority w:val="99"/>
    <w:unhideWhenUsed/>
    <w:rsid w:val="00550940"/>
    <w:rPr>
      <w:color w:val="0563C1"/>
      <w:u w:val="single"/>
    </w:rPr>
  </w:style>
  <w:style w:type="paragraph" w:customStyle="1" w:styleId="paragraph">
    <w:name w:val="paragraph"/>
    <w:basedOn w:val="Normal"/>
    <w:rsid w:val="00FF3353"/>
    <w:pPr>
      <w:spacing w:before="100" w:beforeAutospacing="1" w:after="100" w:afterAutospacing="1"/>
    </w:pPr>
  </w:style>
  <w:style w:type="character" w:customStyle="1" w:styleId="normaltextrun">
    <w:name w:val="normaltextrun"/>
    <w:basedOn w:val="DefaultParagraphFont"/>
    <w:rsid w:val="00FF3353"/>
  </w:style>
  <w:style w:type="character" w:customStyle="1" w:styleId="eop">
    <w:name w:val="eop"/>
    <w:basedOn w:val="DefaultParagraphFont"/>
    <w:rsid w:val="00FF3353"/>
  </w:style>
  <w:style w:type="character" w:customStyle="1" w:styleId="contextualspellingandgrammarerror">
    <w:name w:val="contextualspellingandgrammarerror"/>
    <w:basedOn w:val="DefaultParagraphFont"/>
    <w:rsid w:val="00FF3353"/>
  </w:style>
  <w:style w:type="character" w:customStyle="1" w:styleId="FootnoteTextChar1">
    <w:name w:val="Footnote Text Char1"/>
    <w:basedOn w:val="DefaultParagraphFont"/>
    <w:uiPriority w:val="99"/>
    <w:semiHidden/>
    <w:rsid w:val="00D523F2"/>
    <w:rPr>
      <w:sz w:val="20"/>
      <w:szCs w:val="20"/>
    </w:rPr>
  </w:style>
  <w:style w:type="paragraph" w:customStyle="1" w:styleId="EndnoteText1">
    <w:name w:val="Endnote Text1"/>
    <w:basedOn w:val="Normal"/>
    <w:next w:val="EndnoteText"/>
    <w:uiPriority w:val="99"/>
    <w:unhideWhenUsed/>
    <w:rsid w:val="00D523F2"/>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25371113">
      <w:bodyDiv w:val="1"/>
      <w:marLeft w:val="0"/>
      <w:marRight w:val="0"/>
      <w:marTop w:val="0"/>
      <w:marBottom w:val="0"/>
      <w:divBdr>
        <w:top w:val="none" w:sz="0" w:space="0" w:color="auto"/>
        <w:left w:val="none" w:sz="0" w:space="0" w:color="auto"/>
        <w:bottom w:val="none" w:sz="0" w:space="0" w:color="auto"/>
        <w:right w:val="none" w:sz="0" w:space="0" w:color="auto"/>
      </w:divBdr>
    </w:div>
    <w:div w:id="25714785">
      <w:bodyDiv w:val="1"/>
      <w:marLeft w:val="0"/>
      <w:marRight w:val="0"/>
      <w:marTop w:val="0"/>
      <w:marBottom w:val="0"/>
      <w:divBdr>
        <w:top w:val="none" w:sz="0" w:space="0" w:color="auto"/>
        <w:left w:val="none" w:sz="0" w:space="0" w:color="auto"/>
        <w:bottom w:val="none" w:sz="0" w:space="0" w:color="auto"/>
        <w:right w:val="none" w:sz="0" w:space="0" w:color="auto"/>
      </w:divBdr>
    </w:div>
    <w:div w:id="31225591">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78793499">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06392640">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19492088">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3358698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36680667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12052856">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4012355">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491993489">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0699099">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007344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3314480">
      <w:bodyDiv w:val="1"/>
      <w:marLeft w:val="0"/>
      <w:marRight w:val="0"/>
      <w:marTop w:val="0"/>
      <w:marBottom w:val="0"/>
      <w:divBdr>
        <w:top w:val="none" w:sz="0" w:space="0" w:color="auto"/>
        <w:left w:val="none" w:sz="0" w:space="0" w:color="auto"/>
        <w:bottom w:val="none" w:sz="0" w:space="0" w:color="auto"/>
        <w:right w:val="none" w:sz="0" w:space="0" w:color="auto"/>
      </w:divBdr>
    </w:div>
    <w:div w:id="626012050">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37631912">
      <w:bodyDiv w:val="1"/>
      <w:marLeft w:val="0"/>
      <w:marRight w:val="0"/>
      <w:marTop w:val="0"/>
      <w:marBottom w:val="0"/>
      <w:divBdr>
        <w:top w:val="none" w:sz="0" w:space="0" w:color="auto"/>
        <w:left w:val="none" w:sz="0" w:space="0" w:color="auto"/>
        <w:bottom w:val="none" w:sz="0" w:space="0" w:color="auto"/>
        <w:right w:val="none" w:sz="0" w:space="0" w:color="auto"/>
      </w:divBdr>
    </w:div>
    <w:div w:id="744688625">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7062258">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5115324">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994525206">
      <w:bodyDiv w:val="1"/>
      <w:marLeft w:val="0"/>
      <w:marRight w:val="0"/>
      <w:marTop w:val="0"/>
      <w:marBottom w:val="0"/>
      <w:divBdr>
        <w:top w:val="none" w:sz="0" w:space="0" w:color="auto"/>
        <w:left w:val="none" w:sz="0" w:space="0" w:color="auto"/>
        <w:bottom w:val="none" w:sz="0" w:space="0" w:color="auto"/>
        <w:right w:val="none" w:sz="0" w:space="0" w:color="auto"/>
      </w:divBdr>
    </w:div>
    <w:div w:id="1003162028">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5675">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4289611">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50190305">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269655669">
      <w:bodyDiv w:val="1"/>
      <w:marLeft w:val="0"/>
      <w:marRight w:val="0"/>
      <w:marTop w:val="0"/>
      <w:marBottom w:val="0"/>
      <w:divBdr>
        <w:top w:val="none" w:sz="0" w:space="0" w:color="auto"/>
        <w:left w:val="none" w:sz="0" w:space="0" w:color="auto"/>
        <w:bottom w:val="none" w:sz="0" w:space="0" w:color="auto"/>
        <w:right w:val="none" w:sz="0" w:space="0" w:color="auto"/>
      </w:divBdr>
    </w:div>
    <w:div w:id="1310205576">
      <w:bodyDiv w:val="1"/>
      <w:marLeft w:val="0"/>
      <w:marRight w:val="0"/>
      <w:marTop w:val="0"/>
      <w:marBottom w:val="0"/>
      <w:divBdr>
        <w:top w:val="none" w:sz="0" w:space="0" w:color="auto"/>
        <w:left w:val="none" w:sz="0" w:space="0" w:color="auto"/>
        <w:bottom w:val="none" w:sz="0" w:space="0" w:color="auto"/>
        <w:right w:val="none" w:sz="0" w:space="0" w:color="auto"/>
      </w:divBdr>
    </w:div>
    <w:div w:id="1345476459">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93314379">
      <w:bodyDiv w:val="1"/>
      <w:marLeft w:val="0"/>
      <w:marRight w:val="0"/>
      <w:marTop w:val="0"/>
      <w:marBottom w:val="0"/>
      <w:divBdr>
        <w:top w:val="none" w:sz="0" w:space="0" w:color="auto"/>
        <w:left w:val="none" w:sz="0" w:space="0" w:color="auto"/>
        <w:bottom w:val="none" w:sz="0" w:space="0" w:color="auto"/>
        <w:right w:val="none" w:sz="0" w:space="0" w:color="auto"/>
      </w:divBdr>
    </w:div>
    <w:div w:id="1421488996">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57717957">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56351844">
      <w:bodyDiv w:val="1"/>
      <w:marLeft w:val="0"/>
      <w:marRight w:val="0"/>
      <w:marTop w:val="0"/>
      <w:marBottom w:val="0"/>
      <w:divBdr>
        <w:top w:val="none" w:sz="0" w:space="0" w:color="auto"/>
        <w:left w:val="none" w:sz="0" w:space="0" w:color="auto"/>
        <w:bottom w:val="none" w:sz="0" w:space="0" w:color="auto"/>
        <w:right w:val="none" w:sz="0" w:space="0" w:color="auto"/>
      </w:divBdr>
    </w:div>
    <w:div w:id="1569804727">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59710">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4889301">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2831697">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697150157">
      <w:bodyDiv w:val="1"/>
      <w:marLeft w:val="0"/>
      <w:marRight w:val="0"/>
      <w:marTop w:val="0"/>
      <w:marBottom w:val="0"/>
      <w:divBdr>
        <w:top w:val="none" w:sz="0" w:space="0" w:color="auto"/>
        <w:left w:val="none" w:sz="0" w:space="0" w:color="auto"/>
        <w:bottom w:val="none" w:sz="0" w:space="0" w:color="auto"/>
        <w:right w:val="none" w:sz="0" w:space="0" w:color="auto"/>
      </w:divBdr>
    </w:div>
    <w:div w:id="1714646596">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68497229">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4790574">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61773331">
      <w:bodyDiv w:val="1"/>
      <w:marLeft w:val="0"/>
      <w:marRight w:val="0"/>
      <w:marTop w:val="0"/>
      <w:marBottom w:val="0"/>
      <w:divBdr>
        <w:top w:val="none" w:sz="0" w:space="0" w:color="auto"/>
        <w:left w:val="none" w:sz="0" w:space="0" w:color="auto"/>
        <w:bottom w:val="none" w:sz="0" w:space="0" w:color="auto"/>
        <w:right w:val="none" w:sz="0" w:space="0" w:color="auto"/>
      </w:divBdr>
    </w:div>
    <w:div w:id="191354017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44461116">
      <w:bodyDiv w:val="1"/>
      <w:marLeft w:val="0"/>
      <w:marRight w:val="0"/>
      <w:marTop w:val="0"/>
      <w:marBottom w:val="0"/>
      <w:divBdr>
        <w:top w:val="none" w:sz="0" w:space="0" w:color="auto"/>
        <w:left w:val="none" w:sz="0" w:space="0" w:color="auto"/>
        <w:bottom w:val="none" w:sz="0" w:space="0" w:color="auto"/>
        <w:right w:val="none" w:sz="0" w:space="0" w:color="auto"/>
      </w:divBdr>
    </w:div>
    <w:div w:id="1958945059">
      <w:bodyDiv w:val="1"/>
      <w:marLeft w:val="0"/>
      <w:marRight w:val="0"/>
      <w:marTop w:val="0"/>
      <w:marBottom w:val="0"/>
      <w:divBdr>
        <w:top w:val="none" w:sz="0" w:space="0" w:color="auto"/>
        <w:left w:val="none" w:sz="0" w:space="0" w:color="auto"/>
        <w:bottom w:val="none" w:sz="0" w:space="0" w:color="auto"/>
        <w:right w:val="none" w:sz="0" w:space="0" w:color="auto"/>
      </w:divBdr>
    </w:div>
    <w:div w:id="1958949889">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2022924378">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2607236">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089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endnotes.xml.rels><?xml version="1.0" encoding="UTF-8" standalone="yes"?>
<Relationships xmlns="http://schemas.openxmlformats.org/package/2006/relationships"><Relationship Id="rId8" Type="http://schemas.openxmlformats.org/officeDocument/2006/relationships/hyperlink" Target="https://www.mass.gov/doc/narrative-pdf-the-childrens-medical-center-corporation-change-in-service/download" TargetMode="External"/><Relationship Id="rId13" Type="http://schemas.openxmlformats.org/officeDocument/2006/relationships/hyperlink" Target="https://www.childrenshospital.org/sites/default/files/2022-04/communithy-health-chna-final-report-09302020.pdf" TargetMode="External"/><Relationship Id="rId18" Type="http://schemas.openxmlformats.org/officeDocument/2006/relationships/hyperlink" Target="https://www.ma-dsrip-ta.com/wp-content/uploads/2020/09/Oral-Health-FAQ-Factsheet.pdf" TargetMode="External"/><Relationship Id="rId26" Type="http://schemas.openxmlformats.org/officeDocument/2006/relationships/hyperlink" Target="https://www.mass.gov/files/documents/2018/12/31/jud-lib-105cmr100.pdf" TargetMode="External"/><Relationship Id="rId3" Type="http://schemas.openxmlformats.org/officeDocument/2006/relationships/hyperlink" Target="https://www.luriechildrens.org/en/blog/childrens-mental-health-pandemic-statistics" TargetMode="External"/><Relationship Id="rId21" Type="http://schemas.openxmlformats.org/officeDocument/2006/relationships/hyperlink" Target="https://www.kff.org/medicaid/issue-brief/children-with-special-health-care-needs-coverage-affordability-and-hcbs-access/" TargetMode="External"/><Relationship Id="rId7" Type="http://schemas.openxmlformats.org/officeDocument/2006/relationships/hyperlink" Target="https://mchb.tvisdata.hrsa.gov/Admin/FileUpload/DownloadStateUploadedPdf?filetype=PrintVersion&amp;state=MA&amp;year=2021" TargetMode="External"/><Relationship Id="rId12" Type="http://schemas.openxmlformats.org/officeDocument/2006/relationships/hyperlink" Target="https://www.childrenshospital.org/sites/default/files/2022-04/communithy-health-chna-final-report-09302020.pdf" TargetMode="External"/><Relationship Id="rId17" Type="http://schemas.openxmlformats.org/officeDocument/2006/relationships/hyperlink" Target="https://www.nidcr.nih.gov/health-info/developmental-disabilities" TargetMode="External"/><Relationship Id="rId25" Type="http://schemas.openxmlformats.org/officeDocument/2006/relationships/hyperlink" Target="https://www.mass.gov/files/documents/2018/12/31/jud-lib-105cmr100.pdf" TargetMode="External"/><Relationship Id="rId2" Type="http://schemas.openxmlformats.org/officeDocument/2006/relationships/hyperlink" Target="https://www.luriechildrens.org/en/blog/childrens-mental-health-pandemic-statistics" TargetMode="External"/><Relationship Id="rId16" Type="http://schemas.openxmlformats.org/officeDocument/2006/relationships/hyperlink" Target="https://www.nidcr.nih.gov/health-info/developmental-disabilities" TargetMode="External"/><Relationship Id="rId20" Type="http://schemas.openxmlformats.org/officeDocument/2006/relationships/hyperlink" Target="https://www.kff.org/medicaid/issue-brief/children-with-special-health-care-needs-coverage-affordability-and-hcbs-access/" TargetMode="External"/><Relationship Id="rId29" Type="http://schemas.openxmlformats.org/officeDocument/2006/relationships/hyperlink" Target="http://www.cdc.gov/pcd/issues/2016/15_0535e.htm" TargetMode="External"/><Relationship Id="rId1" Type="http://schemas.openxmlformats.org/officeDocument/2006/relationships/hyperlink" Target="https://pubmed.ncbi.nlm.nih.gov/30379712/" TargetMode="External"/><Relationship Id="rId6" Type="http://schemas.openxmlformats.org/officeDocument/2006/relationships/hyperlink" Target="https://mchb.tvisdata.hrsa.gov/Admin/FileUpload/DownloadStateUploadedPdf?filetype=PrintVersion&amp;state=MA&amp;year=2021" TargetMode="External"/><Relationship Id="rId11" Type="http://schemas.openxmlformats.org/officeDocument/2006/relationships/hyperlink" Target="https://franciscanchildrens.org/wp-content/uploads/2021/07/Franciscan-Childrens-CHNA-Full-Report.pdf" TargetMode="External"/><Relationship Id="rId24" Type="http://schemas.openxmlformats.org/officeDocument/2006/relationships/hyperlink" Target="https://www.mass.gov/doc/community-engagement-guidelines-for-community-health-planning-pdf/download" TargetMode="External"/><Relationship Id="rId32" Type="http://schemas.openxmlformats.org/officeDocument/2006/relationships/hyperlink" Target="http://dx.doi.org/10.5888/pcd13.150535" TargetMode="External"/><Relationship Id="rId5" Type="http://schemas.openxmlformats.org/officeDocument/2006/relationships/hyperlink" Target="http://dx.doi.org/10.15585/mmwr.mm6945a3" TargetMode="External"/><Relationship Id="rId15" Type="http://schemas.openxmlformats.org/officeDocument/2006/relationships/hyperlink" Target="https://www.childrenshospitals.org/-/media/Files/CHA/Main/Issues_and_Advocacy/Key_Issues%20/Children_With_Medical_Complexity/Issue_Briefs_and_Reports/OptimizingHealthCareReport_10152013.pdf" TargetMode="External"/><Relationship Id="rId23" Type="http://schemas.openxmlformats.org/officeDocument/2006/relationships/hyperlink" Target="https://www.mass.gov/doc/community-engagement-guidelines-for-community-health-planning-pdf/download" TargetMode="External"/><Relationship Id="rId28" Type="http://schemas.openxmlformats.org/officeDocument/2006/relationships/hyperlink" Target="https://www.bluecrossmafoundation.org/sites/g/files/csphws2101/files/2021-09/Value-Based%20Pmt_Childrens-Health_ExSum_FINAL.pdf" TargetMode="External"/><Relationship Id="rId10" Type="http://schemas.openxmlformats.org/officeDocument/2006/relationships/hyperlink" Target="https://franciscanchildrens.org/wp-content/uploads/2021/07/Franciscan-Childrens-CHNA-Full-Report.pdf" TargetMode="External"/><Relationship Id="rId19" Type="http://schemas.openxmlformats.org/officeDocument/2006/relationships/hyperlink" Target="https://www.ma-dsrip-ta.com/wp-content/uploads/2020/09/Oral-Health-FAQ-Factsheet.pdf" TargetMode="External"/><Relationship Id="rId31" Type="http://schemas.openxmlformats.org/officeDocument/2006/relationships/hyperlink" Target="http://dx.doi.org/10.5888/pcd13.150535." TargetMode="External"/><Relationship Id="rId4" Type="http://schemas.openxmlformats.org/officeDocument/2006/relationships/hyperlink" Target="http://dx.doi.org/10.15585/mmwr.mm6945a3" TargetMode="External"/><Relationship Id="rId9" Type="http://schemas.openxmlformats.org/officeDocument/2006/relationships/hyperlink" Target="https://www.mass.gov/info-details/the-childrens-medical-center-corporation-health-care-conservation-project-boston-childrens-hospital" TargetMode="External"/><Relationship Id="rId14" Type="http://schemas.openxmlformats.org/officeDocument/2006/relationships/hyperlink" Target="https://www.childrenshospitals.org/-/media/Files/CHA/Main/Issues_and_Advocacy/Key_Issues%20/Children_With_Medical_Complexity/Issue_Briefs_and_Reports/OptimizingHealthCareReport_10152013.pdf" TargetMode="External"/><Relationship Id="rId22" Type="http://schemas.openxmlformats.org/officeDocument/2006/relationships/hyperlink" Target="https://www.healthit.gov/topic/health-it-and-health-information-exchange-basics/benefits-ehrs" TargetMode="External"/><Relationship Id="rId27" Type="http://schemas.openxmlformats.org/officeDocument/2006/relationships/hyperlink" Target="https://www.bluecrossmafoundation.org/sites/g/files/csphws2101/files/2021-09/Value-Based%20Pmt_Childrens-Health_ExSum_FINAL.pdf" TargetMode="External"/><Relationship Id="rId30" Type="http://schemas.openxmlformats.org/officeDocument/2006/relationships/hyperlink" Target="http://www.cdc.gov/pcd/issues/2016/15_0535e.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ap.org/en/advocacy/child-and-adolescent-healthy-mental-development/aap-aacap-cha-declaration-of-a-national-emergency-in-child-and-adolescent-mental-health/" TargetMode="External"/><Relationship Id="rId13" Type="http://schemas.openxmlformats.org/officeDocument/2006/relationships/hyperlink" Target="https://www.mass.gov/doc/narrative-pdf-franciscan-hospital/download" TargetMode="External"/><Relationship Id="rId18" Type="http://schemas.openxmlformats.org/officeDocument/2006/relationships/hyperlink" Target="https://www.mass.gov/info-details/the-childrens-medical-center-corporationfranciscan-hospital-hospitalclinic-substantial-capital-expenditure" TargetMode="External"/><Relationship Id="rId3" Type="http://schemas.openxmlformats.org/officeDocument/2006/relationships/hyperlink" Target="https://www.mass.gov/doc/staff-report-pdf-the-childrens-medical-center-corporation/download" TargetMode="External"/><Relationship Id="rId7" Type="http://schemas.openxmlformats.org/officeDocument/2006/relationships/hyperlink" Target="https://www.mass.gov/doc/narrative-pdf-franciscan-hospital/download" TargetMode="External"/><Relationship Id="rId12" Type="http://schemas.openxmlformats.org/officeDocument/2006/relationships/hyperlink" Target="https://www.mass.gov/doc/narrative-pdf-franciscan-hospital/download" TargetMode="External"/><Relationship Id="rId17" Type="http://schemas.openxmlformats.org/officeDocument/2006/relationships/hyperlink" Target="https://www.mass.gov/info-details/the-childrens-medical-center-corporationfranciscan-hospital-hospitalclinic-substantial-capital-expenditure" TargetMode="External"/><Relationship Id="rId2" Type="http://schemas.openxmlformats.org/officeDocument/2006/relationships/hyperlink" Target="https://www.mass.gov/doc/boston-childrens-hospital-approval/download" TargetMode="External"/><Relationship Id="rId16" Type="http://schemas.openxmlformats.org/officeDocument/2006/relationships/hyperlink" Target="https://www.mass.gov/info-details/the-childrens-medical-center-corporationfranciscan-hospital-hospitalclinic-substantial-capital-expenditure" TargetMode="External"/><Relationship Id="rId1" Type="http://schemas.openxmlformats.org/officeDocument/2006/relationships/hyperlink" Target="https://franciscanchildrens.org/education/kennedy-day-school/" TargetMode="External"/><Relationship Id="rId6" Type="http://schemas.openxmlformats.org/officeDocument/2006/relationships/hyperlink" Target="https://www.mass.gov/doc/narrative-pdf-franciscan-hospital/download" TargetMode="External"/><Relationship Id="rId11" Type="http://schemas.openxmlformats.org/officeDocument/2006/relationships/hyperlink" Target="https://www.mass.gov/doc/boston-childrens-hospital-approval/download" TargetMode="External"/><Relationship Id="rId5" Type="http://schemas.openxmlformats.org/officeDocument/2006/relationships/hyperlink" Target="https://www.mass.gov/doc/application-with-exhibits-pdf/download" TargetMode="External"/><Relationship Id="rId15" Type="http://schemas.openxmlformats.org/officeDocument/2006/relationships/hyperlink" Target="https://www.mass.gov/info-details/the-childrens-medical-center-corporationfranciscan-hospital-hospitalclinic-substantial-capital-expenditure" TargetMode="External"/><Relationship Id="rId10" Type="http://schemas.openxmlformats.org/officeDocument/2006/relationships/hyperlink" Target="https://www.hhs.gov/sites/default/files/surgeon-general-youth-mental-health-advisory.pdf" TargetMode="External"/><Relationship Id="rId19" Type="http://schemas.openxmlformats.org/officeDocument/2006/relationships/hyperlink" Target="https://www.mass.gov/info-details/the-childrens-medical-center-corporationfranciscan-hospital-hospitalclinic-substantial-capital-expenditure" TargetMode="External"/><Relationship Id="rId4" Type="http://schemas.openxmlformats.org/officeDocument/2006/relationships/hyperlink" Target="https://www.mass.gov/doc/application-with-exhibits-pdf/download" TargetMode="External"/><Relationship Id="rId9" Type="http://schemas.openxmlformats.org/officeDocument/2006/relationships/hyperlink" Target="https://www.hhs.gov/sites/default/files/surgeon-general-youth-mental-health-advisory.pdf" TargetMode="External"/><Relationship Id="rId14" Type="http://schemas.openxmlformats.org/officeDocument/2006/relationships/hyperlink" Target="https://www.mass.gov/info-details/the-childrens-medical-center-corporationfranciscan-hospital-hospitalclinic-substantial-capital-expenditure"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9bd06b54b03f747c89854607b46cd4f8">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deee0c3f4ff9833a36ef26c197733a9"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C669-543E-4DFE-B647-58F1BBF548AA}">
  <ds:schemaRefs>
    <ds:schemaRef ds:uri="http://schemas.microsoft.com/sharepoint/v3/contenttype/forms"/>
  </ds:schemaRefs>
</ds:datastoreItem>
</file>

<file path=customXml/itemProps2.xml><?xml version="1.0" encoding="utf-8"?>
<ds:datastoreItem xmlns:ds="http://schemas.openxmlformats.org/officeDocument/2006/customXml" ds:itemID="{A549E55B-7533-4414-8E81-C7EA00C3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9FEBF-3A36-4FCD-85B9-699C9567CCFE}">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BEB95FDA-5EE7-4A51-8FEB-72A0BBA9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36</Pages>
  <Words>12589</Words>
  <Characters>71763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3</cp:revision>
  <cp:lastPrinted>2023-12-12T04:08:00Z</cp:lastPrinted>
  <dcterms:created xsi:type="dcterms:W3CDTF">2024-02-08T14:30:00Z</dcterms:created>
  <dcterms:modified xsi:type="dcterms:W3CDTF">2024-02-09T15:09:00Z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